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BCF13" w14:textId="77777777" w:rsidR="00544649" w:rsidRDefault="00544649">
      <w:pPr>
        <w:adjustRightInd w:val="0"/>
        <w:snapToGrid w:val="0"/>
        <w:spacing w:after="0"/>
        <w:ind w:firstLineChars="0" w:firstLine="0"/>
        <w:jc w:val="center"/>
        <w:rPr>
          <w:rFonts w:eastAsia="黑体" w:cs="Times New Roman"/>
          <w:b/>
          <w:bCs/>
          <w:kern w:val="21"/>
          <w:sz w:val="44"/>
        </w:rPr>
      </w:pPr>
      <w:bookmarkStart w:id="0" w:name="_Hlk188449848"/>
    </w:p>
    <w:p w14:paraId="0D803C7A" w14:textId="77777777" w:rsidR="00544649" w:rsidRDefault="00544649">
      <w:pPr>
        <w:adjustRightInd w:val="0"/>
        <w:snapToGrid w:val="0"/>
        <w:spacing w:after="0"/>
        <w:ind w:firstLineChars="0" w:firstLine="0"/>
        <w:jc w:val="center"/>
        <w:rPr>
          <w:rFonts w:eastAsia="黑体" w:cs="Times New Roman"/>
          <w:b/>
          <w:bCs/>
          <w:kern w:val="21"/>
          <w:sz w:val="44"/>
        </w:rPr>
      </w:pPr>
    </w:p>
    <w:p w14:paraId="168D5299" w14:textId="77777777" w:rsidR="00544649" w:rsidRDefault="00544649">
      <w:pPr>
        <w:adjustRightInd w:val="0"/>
        <w:snapToGrid w:val="0"/>
        <w:spacing w:after="0"/>
        <w:ind w:firstLineChars="0" w:firstLine="0"/>
        <w:jc w:val="center"/>
        <w:rPr>
          <w:rFonts w:eastAsia="黑体" w:cs="Times New Roman"/>
          <w:b/>
          <w:bCs/>
          <w:kern w:val="21"/>
          <w:sz w:val="44"/>
        </w:rPr>
      </w:pPr>
    </w:p>
    <w:p w14:paraId="2FA71A20" w14:textId="77777777" w:rsidR="00544649" w:rsidRDefault="00000000">
      <w:pPr>
        <w:adjustRightInd w:val="0"/>
        <w:snapToGrid w:val="0"/>
        <w:spacing w:after="0"/>
        <w:ind w:firstLineChars="0" w:firstLine="0"/>
        <w:jc w:val="center"/>
        <w:rPr>
          <w:rFonts w:eastAsia="黑体" w:cs="Times New Roman"/>
          <w:b/>
          <w:bCs/>
          <w:kern w:val="21"/>
          <w:sz w:val="44"/>
        </w:rPr>
      </w:pPr>
      <w:r>
        <w:rPr>
          <w:rFonts w:eastAsia="黑体" w:cs="Times New Roman" w:hint="eastAsia"/>
          <w:b/>
          <w:bCs/>
          <w:kern w:val="21"/>
          <w:sz w:val="44"/>
        </w:rPr>
        <w:t>四川剑门圣迪乐村生态科技有限公司</w:t>
      </w:r>
    </w:p>
    <w:p w14:paraId="38A20362" w14:textId="77777777" w:rsidR="00544649" w:rsidRDefault="00000000">
      <w:pPr>
        <w:adjustRightInd w:val="0"/>
        <w:snapToGrid w:val="0"/>
        <w:spacing w:after="0"/>
        <w:ind w:firstLineChars="0" w:firstLine="0"/>
        <w:jc w:val="center"/>
        <w:rPr>
          <w:rFonts w:eastAsia="黑体" w:cs="Times New Roman"/>
          <w:b/>
          <w:bCs/>
          <w:kern w:val="21"/>
          <w:sz w:val="44"/>
        </w:rPr>
      </w:pPr>
      <w:bookmarkStart w:id="1" w:name="_Hlk188449921"/>
      <w:bookmarkEnd w:id="0"/>
      <w:r>
        <w:rPr>
          <w:rFonts w:eastAsia="黑体" w:cs="Times New Roman" w:hint="eastAsia"/>
          <w:b/>
          <w:bCs/>
          <w:kern w:val="21"/>
          <w:sz w:val="44"/>
        </w:rPr>
        <w:t>剑阁非笼养蛋鸡产业链项目</w:t>
      </w:r>
      <w:bookmarkEnd w:id="1"/>
    </w:p>
    <w:p w14:paraId="3A68A490" w14:textId="77777777" w:rsidR="00544649" w:rsidRDefault="00000000">
      <w:pPr>
        <w:adjustRightInd w:val="0"/>
        <w:snapToGrid w:val="0"/>
        <w:spacing w:after="0"/>
        <w:ind w:firstLineChars="0" w:firstLine="0"/>
        <w:jc w:val="center"/>
        <w:rPr>
          <w:rFonts w:cs="Times New Roman"/>
          <w:kern w:val="21"/>
          <w:sz w:val="84"/>
        </w:rPr>
      </w:pPr>
      <w:r>
        <w:rPr>
          <w:rFonts w:cs="Times New Roman"/>
          <w:b/>
          <w:bCs/>
          <w:kern w:val="21"/>
          <w:sz w:val="84"/>
        </w:rPr>
        <w:t>环境影响报告书</w:t>
      </w:r>
    </w:p>
    <w:p w14:paraId="5B7DF99C" w14:textId="77777777" w:rsidR="00544649" w:rsidRDefault="00000000">
      <w:pPr>
        <w:adjustRightInd w:val="0"/>
        <w:snapToGrid w:val="0"/>
        <w:spacing w:beforeLines="100" w:before="312" w:after="0"/>
        <w:ind w:firstLineChars="0" w:firstLine="0"/>
        <w:jc w:val="center"/>
        <w:rPr>
          <w:rFonts w:eastAsiaTheme="minorEastAsia" w:cs="Times New Roman"/>
          <w:b/>
          <w:kern w:val="21"/>
          <w:sz w:val="36"/>
          <w:szCs w:val="36"/>
        </w:rPr>
      </w:pPr>
      <w:r>
        <w:rPr>
          <w:rFonts w:cs="Times New Roman"/>
          <w:kern w:val="21"/>
          <w:sz w:val="36"/>
          <w:szCs w:val="36"/>
        </w:rPr>
        <w:t>（</w:t>
      </w:r>
      <w:r>
        <w:rPr>
          <w:rFonts w:cs="Times New Roman" w:hint="eastAsia"/>
          <w:kern w:val="21"/>
          <w:sz w:val="36"/>
          <w:szCs w:val="36"/>
        </w:rPr>
        <w:t>报批前公示</w:t>
      </w:r>
      <w:r>
        <w:rPr>
          <w:rFonts w:cs="Times New Roman"/>
          <w:kern w:val="21"/>
          <w:sz w:val="36"/>
          <w:szCs w:val="36"/>
        </w:rPr>
        <w:t>）</w:t>
      </w:r>
    </w:p>
    <w:p w14:paraId="0ADDB296" w14:textId="77777777" w:rsidR="00544649" w:rsidRDefault="00544649">
      <w:pPr>
        <w:adjustRightInd w:val="0"/>
        <w:snapToGrid w:val="0"/>
        <w:spacing w:after="0"/>
        <w:ind w:firstLineChars="0" w:firstLine="0"/>
        <w:jc w:val="center"/>
        <w:rPr>
          <w:rFonts w:cs="Times New Roman"/>
          <w:b/>
          <w:kern w:val="21"/>
          <w:sz w:val="28"/>
          <w:szCs w:val="28"/>
        </w:rPr>
      </w:pPr>
    </w:p>
    <w:p w14:paraId="7618E0F5" w14:textId="77777777" w:rsidR="00544649" w:rsidRDefault="00544649">
      <w:pPr>
        <w:adjustRightInd w:val="0"/>
        <w:snapToGrid w:val="0"/>
        <w:spacing w:after="0"/>
        <w:ind w:firstLineChars="0" w:firstLine="0"/>
        <w:jc w:val="center"/>
        <w:rPr>
          <w:rFonts w:cs="Times New Roman"/>
          <w:b/>
          <w:kern w:val="21"/>
          <w:sz w:val="28"/>
          <w:szCs w:val="28"/>
        </w:rPr>
      </w:pPr>
    </w:p>
    <w:p w14:paraId="11D1D9A0" w14:textId="77777777" w:rsidR="00544649" w:rsidRDefault="00544649">
      <w:pPr>
        <w:adjustRightInd w:val="0"/>
        <w:snapToGrid w:val="0"/>
        <w:spacing w:after="0"/>
        <w:ind w:firstLineChars="0" w:firstLine="0"/>
        <w:jc w:val="center"/>
        <w:rPr>
          <w:rFonts w:cs="Times New Roman"/>
          <w:b/>
          <w:kern w:val="21"/>
          <w:sz w:val="28"/>
          <w:szCs w:val="28"/>
        </w:rPr>
      </w:pPr>
    </w:p>
    <w:p w14:paraId="3A968B85" w14:textId="77777777" w:rsidR="00544649" w:rsidRDefault="00544649">
      <w:pPr>
        <w:adjustRightInd w:val="0"/>
        <w:snapToGrid w:val="0"/>
        <w:spacing w:after="0"/>
        <w:ind w:firstLineChars="0" w:firstLine="0"/>
        <w:jc w:val="center"/>
        <w:rPr>
          <w:rFonts w:cs="Times New Roman"/>
          <w:b/>
          <w:kern w:val="21"/>
          <w:sz w:val="28"/>
          <w:szCs w:val="28"/>
        </w:rPr>
      </w:pPr>
    </w:p>
    <w:p w14:paraId="3C73303A" w14:textId="77777777" w:rsidR="00544649" w:rsidRDefault="00544649">
      <w:pPr>
        <w:adjustRightInd w:val="0"/>
        <w:snapToGrid w:val="0"/>
        <w:spacing w:after="0"/>
        <w:ind w:firstLineChars="0" w:firstLine="0"/>
        <w:jc w:val="center"/>
        <w:rPr>
          <w:rFonts w:cs="Times New Roman"/>
          <w:kern w:val="21"/>
          <w:szCs w:val="24"/>
        </w:rPr>
      </w:pPr>
    </w:p>
    <w:p w14:paraId="2A0E02C7" w14:textId="77777777" w:rsidR="00544649" w:rsidRDefault="00544649">
      <w:pPr>
        <w:adjustRightInd w:val="0"/>
        <w:snapToGrid w:val="0"/>
        <w:spacing w:after="0"/>
        <w:ind w:firstLineChars="0" w:firstLine="0"/>
        <w:jc w:val="center"/>
        <w:rPr>
          <w:rFonts w:cs="Times New Roman"/>
          <w:kern w:val="21"/>
          <w:szCs w:val="24"/>
        </w:rPr>
      </w:pPr>
    </w:p>
    <w:p w14:paraId="768D60BC" w14:textId="77777777" w:rsidR="00544649" w:rsidRDefault="00544649">
      <w:pPr>
        <w:adjustRightInd w:val="0"/>
        <w:snapToGrid w:val="0"/>
        <w:spacing w:after="0"/>
        <w:ind w:firstLineChars="0" w:firstLine="0"/>
        <w:jc w:val="center"/>
        <w:rPr>
          <w:rFonts w:cs="Times New Roman"/>
          <w:b/>
          <w:kern w:val="21"/>
          <w:sz w:val="28"/>
          <w:szCs w:val="28"/>
        </w:rPr>
      </w:pPr>
    </w:p>
    <w:p w14:paraId="28C50156" w14:textId="77777777" w:rsidR="00544649" w:rsidRDefault="00544649">
      <w:pPr>
        <w:adjustRightInd w:val="0"/>
        <w:snapToGrid w:val="0"/>
        <w:spacing w:after="0"/>
        <w:ind w:firstLineChars="0" w:firstLine="0"/>
        <w:jc w:val="center"/>
        <w:rPr>
          <w:rFonts w:cs="Times New Roman"/>
          <w:b/>
          <w:kern w:val="21"/>
          <w:sz w:val="28"/>
          <w:szCs w:val="28"/>
        </w:rPr>
      </w:pPr>
    </w:p>
    <w:p w14:paraId="28D10F98" w14:textId="77777777" w:rsidR="00544649" w:rsidRDefault="00000000">
      <w:pPr>
        <w:adjustRightInd w:val="0"/>
        <w:snapToGrid w:val="0"/>
        <w:spacing w:after="0"/>
        <w:ind w:firstLineChars="0" w:firstLine="0"/>
        <w:jc w:val="center"/>
        <w:rPr>
          <w:rFonts w:cs="Times New Roman"/>
          <w:b/>
          <w:kern w:val="21"/>
          <w:sz w:val="28"/>
          <w:szCs w:val="28"/>
        </w:rPr>
      </w:pPr>
      <w:r>
        <w:rPr>
          <w:rFonts w:cs="Times New Roman"/>
          <w:b/>
          <w:kern w:val="21"/>
          <w:sz w:val="28"/>
          <w:szCs w:val="28"/>
        </w:rPr>
        <w:t>建设单位：</w:t>
      </w:r>
      <w:r>
        <w:rPr>
          <w:rFonts w:cs="Times New Roman" w:hint="eastAsia"/>
          <w:b/>
          <w:kern w:val="21"/>
          <w:sz w:val="28"/>
          <w:szCs w:val="28"/>
        </w:rPr>
        <w:t>四川剑门圣迪乐村生态科技有限公司</w:t>
      </w:r>
    </w:p>
    <w:p w14:paraId="774FFB67" w14:textId="77777777" w:rsidR="00544649" w:rsidRDefault="00000000">
      <w:pPr>
        <w:adjustRightInd w:val="0"/>
        <w:snapToGrid w:val="0"/>
        <w:spacing w:after="0"/>
        <w:ind w:firstLineChars="600" w:firstLine="1687"/>
        <w:rPr>
          <w:rFonts w:cs="Times New Roman"/>
          <w:b/>
          <w:kern w:val="21"/>
          <w:sz w:val="28"/>
          <w:szCs w:val="28"/>
        </w:rPr>
      </w:pPr>
      <w:r>
        <w:rPr>
          <w:rFonts w:cs="Times New Roman"/>
          <w:b/>
          <w:kern w:val="21"/>
          <w:sz w:val="28"/>
          <w:szCs w:val="28"/>
        </w:rPr>
        <w:t>评价单位：四川蓉创鼎锋环境科技有限公司</w:t>
      </w:r>
    </w:p>
    <w:p w14:paraId="2C3649B3" w14:textId="77777777" w:rsidR="00544649" w:rsidRDefault="00000000">
      <w:pPr>
        <w:adjustRightInd w:val="0"/>
        <w:snapToGrid w:val="0"/>
        <w:spacing w:after="0"/>
        <w:ind w:firstLineChars="0" w:firstLine="0"/>
        <w:jc w:val="center"/>
        <w:rPr>
          <w:rFonts w:cs="Times New Roman"/>
          <w:b/>
          <w:kern w:val="21"/>
          <w:sz w:val="28"/>
          <w:szCs w:val="28"/>
        </w:rPr>
        <w:sectPr w:rsidR="00544649">
          <w:headerReference w:type="even" r:id="rId9"/>
          <w:headerReference w:type="default" r:id="rId10"/>
          <w:footerReference w:type="even" r:id="rId11"/>
          <w:footerReference w:type="default" r:id="rId12"/>
          <w:headerReference w:type="first" r:id="rId13"/>
          <w:footerReference w:type="first" r:id="rId14"/>
          <w:pgSz w:w="11906" w:h="16838"/>
          <w:pgMar w:top="1134" w:right="1531" w:bottom="1134" w:left="1531" w:header="851" w:footer="992" w:gutter="0"/>
          <w:pgNumType w:fmt="upperRoman"/>
          <w:cols w:space="425"/>
          <w:docGrid w:type="lines" w:linePitch="312"/>
        </w:sectPr>
      </w:pPr>
      <w:r>
        <w:rPr>
          <w:rFonts w:cs="Times New Roman"/>
          <w:b/>
          <w:kern w:val="21"/>
          <w:sz w:val="28"/>
          <w:szCs w:val="28"/>
        </w:rPr>
        <w:t>202</w:t>
      </w:r>
      <w:r>
        <w:rPr>
          <w:rFonts w:cs="Times New Roman" w:hint="eastAsia"/>
          <w:b/>
          <w:kern w:val="21"/>
          <w:sz w:val="28"/>
          <w:szCs w:val="28"/>
        </w:rPr>
        <w:t>5</w:t>
      </w:r>
      <w:r>
        <w:rPr>
          <w:rFonts w:cs="Times New Roman"/>
          <w:b/>
          <w:kern w:val="21"/>
          <w:sz w:val="28"/>
          <w:szCs w:val="28"/>
        </w:rPr>
        <w:t>年</w:t>
      </w:r>
      <w:r>
        <w:rPr>
          <w:rFonts w:cs="Times New Roman" w:hint="eastAsia"/>
          <w:b/>
          <w:kern w:val="21"/>
          <w:sz w:val="28"/>
          <w:szCs w:val="28"/>
        </w:rPr>
        <w:t>4</w:t>
      </w:r>
      <w:r>
        <w:rPr>
          <w:rFonts w:cs="Times New Roman"/>
          <w:b/>
          <w:kern w:val="21"/>
          <w:sz w:val="28"/>
          <w:szCs w:val="28"/>
        </w:rPr>
        <w:t>月</w:t>
      </w:r>
    </w:p>
    <w:p w14:paraId="39B6250E" w14:textId="77777777" w:rsidR="00544649" w:rsidRDefault="00544649">
      <w:pPr>
        <w:pStyle w:val="Default1"/>
        <w:autoSpaceDE/>
        <w:autoSpaceDN/>
        <w:snapToGrid w:val="0"/>
        <w:spacing w:after="0"/>
        <w:rPr>
          <w:rFonts w:ascii="Times New Roman" w:cs="Times New Roman"/>
          <w:color w:val="auto"/>
          <w:kern w:val="21"/>
        </w:rPr>
        <w:sectPr w:rsidR="00544649">
          <w:footerReference w:type="default" r:id="rId15"/>
          <w:pgSz w:w="11906" w:h="16838"/>
          <w:pgMar w:top="1134" w:right="1531" w:bottom="1134" w:left="1531" w:header="851" w:footer="992" w:gutter="0"/>
          <w:pgNumType w:fmt="upperRoman"/>
          <w:cols w:space="425"/>
          <w:docGrid w:type="lines" w:linePitch="312"/>
        </w:sectPr>
      </w:pPr>
    </w:p>
    <w:p w14:paraId="1BB85970" w14:textId="77777777" w:rsidR="00544649" w:rsidRDefault="00000000">
      <w:pPr>
        <w:keepNext/>
        <w:keepLines/>
        <w:adjustRightInd w:val="0"/>
        <w:snapToGrid w:val="0"/>
        <w:spacing w:after="0"/>
        <w:ind w:firstLineChars="0" w:firstLine="0"/>
        <w:rPr>
          <w:rFonts w:cs="Times New Roman"/>
          <w:b/>
          <w:kern w:val="21"/>
          <w:sz w:val="36"/>
          <w:szCs w:val="36"/>
        </w:rPr>
      </w:pPr>
      <w:bookmarkStart w:id="2" w:name="_Toc74"/>
      <w:r>
        <w:rPr>
          <w:rFonts w:cs="Times New Roman"/>
          <w:b/>
          <w:kern w:val="21"/>
          <w:sz w:val="36"/>
          <w:szCs w:val="36"/>
        </w:rPr>
        <w:lastRenderedPageBreak/>
        <w:t>1</w:t>
      </w:r>
      <w:r>
        <w:rPr>
          <w:rFonts w:cs="Times New Roman"/>
          <w:b/>
          <w:kern w:val="21"/>
          <w:sz w:val="36"/>
          <w:szCs w:val="36"/>
        </w:rPr>
        <w:t>概述</w:t>
      </w:r>
      <w:bookmarkEnd w:id="2"/>
    </w:p>
    <w:p w14:paraId="0A4BDEE1" w14:textId="77777777" w:rsidR="00544649" w:rsidRDefault="00000000">
      <w:pPr>
        <w:adjustRightInd w:val="0"/>
        <w:snapToGrid w:val="0"/>
        <w:spacing w:after="0"/>
        <w:ind w:firstLineChars="0" w:firstLine="0"/>
        <w:rPr>
          <w:rFonts w:cs="Times New Roman"/>
          <w:b/>
          <w:bCs/>
          <w:kern w:val="21"/>
          <w:sz w:val="32"/>
          <w:szCs w:val="28"/>
        </w:rPr>
      </w:pPr>
      <w:bookmarkStart w:id="3" w:name="_Toc17910"/>
      <w:bookmarkStart w:id="4" w:name="OLE_LINK3"/>
      <w:r>
        <w:rPr>
          <w:rFonts w:cs="Times New Roman"/>
          <w:b/>
          <w:bCs/>
          <w:kern w:val="21"/>
          <w:sz w:val="32"/>
          <w:szCs w:val="28"/>
        </w:rPr>
        <w:t>1.1</w:t>
      </w:r>
      <w:r>
        <w:rPr>
          <w:rFonts w:cs="Times New Roman"/>
          <w:b/>
          <w:bCs/>
          <w:kern w:val="21"/>
          <w:sz w:val="32"/>
          <w:szCs w:val="28"/>
        </w:rPr>
        <w:t>项目由来</w:t>
      </w:r>
      <w:bookmarkEnd w:id="3"/>
    </w:p>
    <w:bookmarkEnd w:id="4"/>
    <w:p w14:paraId="1BB21244" w14:textId="77777777" w:rsidR="00544649" w:rsidRDefault="00000000">
      <w:pPr>
        <w:adjustRightInd w:val="0"/>
        <w:snapToGrid w:val="0"/>
        <w:spacing w:after="0"/>
        <w:ind w:firstLine="480"/>
        <w:rPr>
          <w:kern w:val="21"/>
        </w:rPr>
      </w:pPr>
      <w:r>
        <w:rPr>
          <w:rFonts w:hint="eastAsia"/>
          <w:kern w:val="21"/>
        </w:rPr>
        <w:t>畜牧业是我国农业和农村经济的重要产业，近年来，中央和省、州各级党委、政府十分重视畜牧业生产的发展，先后出台相关政策，把畜牧业发展列为丰富群众菜篮子、促进农村经济发展和保持社会经济稳定发展的主要产业来抓，并出台了相关扶持标准化、规模化畜禽养殖示范场发展的政策，产业发展政策环境较好。</w:t>
      </w:r>
    </w:p>
    <w:p w14:paraId="19737AD8" w14:textId="77777777" w:rsidR="00544649" w:rsidRDefault="00000000">
      <w:pPr>
        <w:adjustRightInd w:val="0"/>
        <w:snapToGrid w:val="0"/>
        <w:spacing w:after="0"/>
        <w:ind w:firstLine="480"/>
        <w:rPr>
          <w:kern w:val="21"/>
        </w:rPr>
      </w:pPr>
      <w:r>
        <w:rPr>
          <w:rFonts w:hint="eastAsia"/>
        </w:rPr>
        <w:t>在此背景下，为发展规模化蛋鸡养殖业，</w:t>
      </w:r>
      <w:r>
        <w:rPr>
          <w:rFonts w:hint="eastAsia"/>
          <w:kern w:val="21"/>
        </w:rPr>
        <w:t>四川剑门圣迪乐村生态科技有限公司根据企业自身发展需要，选址于剑阁县剑门关镇新龙村六组、双鱼村七组投资建设非笼养蛋鸡产业链项目。本项目为新建项目，总占地面积约</w:t>
      </w:r>
      <w:r>
        <w:rPr>
          <w:rFonts w:hint="eastAsia"/>
          <w:kern w:val="21"/>
        </w:rPr>
        <w:t>168</w:t>
      </w:r>
      <w:r>
        <w:rPr>
          <w:rFonts w:hint="eastAsia"/>
          <w:kern w:val="21"/>
        </w:rPr>
        <w:t>亩，建设存栏规模为</w:t>
      </w:r>
      <w:r>
        <w:rPr>
          <w:rFonts w:hint="eastAsia"/>
          <w:kern w:val="21"/>
        </w:rPr>
        <w:t>30</w:t>
      </w:r>
      <w:r>
        <w:rPr>
          <w:rFonts w:hint="eastAsia"/>
          <w:kern w:val="21"/>
        </w:rPr>
        <w:t>万羽的</w:t>
      </w:r>
      <w:proofErr w:type="gramStart"/>
      <w:r>
        <w:rPr>
          <w:rFonts w:hint="eastAsia"/>
          <w:kern w:val="21"/>
        </w:rPr>
        <w:t>高端非</w:t>
      </w:r>
      <w:proofErr w:type="gramEnd"/>
      <w:r>
        <w:rPr>
          <w:rFonts w:hint="eastAsia"/>
          <w:kern w:val="21"/>
        </w:rPr>
        <w:t>笼养福利蛋鸡养殖示范基地。主要内容包括：养殖鸡舍、隔离带、场区内通道及辅助设施（粪污处理、清洗池、供水供电设施、管理用房）、挡墙等。</w:t>
      </w:r>
    </w:p>
    <w:p w14:paraId="7E3C7686" w14:textId="77777777" w:rsidR="00544649" w:rsidRDefault="00000000">
      <w:pPr>
        <w:adjustRightInd w:val="0"/>
        <w:snapToGrid w:val="0"/>
        <w:spacing w:after="0"/>
        <w:ind w:firstLine="480"/>
      </w:pPr>
      <w:r>
        <w:rPr>
          <w:rFonts w:hint="eastAsia"/>
          <w:kern w:val="21"/>
        </w:rPr>
        <w:t>2024</w:t>
      </w:r>
      <w:r>
        <w:rPr>
          <w:rFonts w:hint="eastAsia"/>
          <w:kern w:val="21"/>
        </w:rPr>
        <w:t>年</w:t>
      </w:r>
      <w:r>
        <w:rPr>
          <w:rFonts w:hint="eastAsia"/>
          <w:kern w:val="21"/>
        </w:rPr>
        <w:t>10</w:t>
      </w:r>
      <w:r>
        <w:rPr>
          <w:rFonts w:hint="eastAsia"/>
          <w:kern w:val="21"/>
        </w:rPr>
        <w:t>月</w:t>
      </w:r>
      <w:r>
        <w:rPr>
          <w:rFonts w:hint="eastAsia"/>
          <w:kern w:val="21"/>
        </w:rPr>
        <w:t>24</w:t>
      </w:r>
      <w:r>
        <w:rPr>
          <w:rFonts w:hint="eastAsia"/>
          <w:kern w:val="21"/>
        </w:rPr>
        <w:t>日，剑阁县发展和</w:t>
      </w:r>
      <w:proofErr w:type="gramStart"/>
      <w:r>
        <w:rPr>
          <w:rFonts w:hint="eastAsia"/>
          <w:kern w:val="21"/>
        </w:rPr>
        <w:t>改革局</w:t>
      </w:r>
      <w:proofErr w:type="gramEnd"/>
      <w:r>
        <w:rPr>
          <w:rFonts w:hint="eastAsia"/>
          <w:kern w:val="21"/>
        </w:rPr>
        <w:t>对本项目进行了备案（川投资备【</w:t>
      </w:r>
      <w:r>
        <w:rPr>
          <w:rFonts w:hint="eastAsia"/>
          <w:kern w:val="21"/>
        </w:rPr>
        <w:t>2410-510823-04-01-461039</w:t>
      </w:r>
      <w:r>
        <w:rPr>
          <w:rFonts w:hint="eastAsia"/>
          <w:kern w:val="21"/>
        </w:rPr>
        <w:t>】</w:t>
      </w:r>
      <w:r>
        <w:rPr>
          <w:rFonts w:hint="eastAsia"/>
          <w:kern w:val="21"/>
        </w:rPr>
        <w:t>FGQB-0196</w:t>
      </w:r>
      <w:r>
        <w:rPr>
          <w:rFonts w:hint="eastAsia"/>
          <w:kern w:val="21"/>
        </w:rPr>
        <w:t>号），原则上同意本项目建设。</w:t>
      </w:r>
      <w:r>
        <w:t>为切实做好环境保护工作，根据《中华人民共和国环境保护法》</w:t>
      </w:r>
      <w:r>
        <w:rPr>
          <w:rFonts w:hint="eastAsia"/>
        </w:rPr>
        <w:t>（中华人民共和国主席令第九号）</w:t>
      </w:r>
      <w:r>
        <w:t>、《中华人民共和国环境影响评价法》</w:t>
      </w:r>
      <w:r>
        <w:rPr>
          <w:rFonts w:hint="eastAsia"/>
        </w:rPr>
        <w:t>（</w:t>
      </w:r>
      <w:r>
        <w:rPr>
          <w:rFonts w:hint="eastAsia"/>
        </w:rPr>
        <w:t>2018</w:t>
      </w:r>
      <w:r>
        <w:rPr>
          <w:rFonts w:hint="eastAsia"/>
        </w:rPr>
        <w:t>年修订）</w:t>
      </w:r>
      <w:r>
        <w:t>和《建设项目环境保护管理</w:t>
      </w:r>
      <w:r>
        <w:rPr>
          <w:rFonts w:hint="eastAsia"/>
        </w:rPr>
        <w:t>条例</w:t>
      </w:r>
      <w:r>
        <w:t>》</w:t>
      </w:r>
      <w:r>
        <w:rPr>
          <w:rFonts w:hint="eastAsia"/>
        </w:rPr>
        <w:t>（中华人民共和国</w:t>
      </w:r>
      <w:r>
        <w:t>国务院令第</w:t>
      </w:r>
      <w:r>
        <w:t>682</w:t>
      </w:r>
      <w:r>
        <w:t>号</w:t>
      </w:r>
      <w:r>
        <w:rPr>
          <w:rFonts w:hint="eastAsia"/>
        </w:rPr>
        <w:t>）</w:t>
      </w:r>
      <w:r>
        <w:t>，本项目需进行环境影响评价工作。</w:t>
      </w:r>
    </w:p>
    <w:p w14:paraId="709BEC83" w14:textId="77777777" w:rsidR="00544649" w:rsidRDefault="00000000">
      <w:pPr>
        <w:adjustRightInd w:val="0"/>
        <w:snapToGrid w:val="0"/>
        <w:spacing w:after="0"/>
        <w:ind w:firstLine="480"/>
        <w:rPr>
          <w:kern w:val="21"/>
        </w:rPr>
      </w:pPr>
      <w:r>
        <w:rPr>
          <w:rFonts w:hint="eastAsia"/>
        </w:rPr>
        <w:t>2024</w:t>
      </w:r>
      <w:r>
        <w:rPr>
          <w:rFonts w:hint="eastAsia"/>
        </w:rPr>
        <w:t>年</w:t>
      </w:r>
      <w:r>
        <w:rPr>
          <w:rFonts w:hint="eastAsia"/>
        </w:rPr>
        <w:t>12</w:t>
      </w:r>
      <w:r>
        <w:rPr>
          <w:rFonts w:hint="eastAsia"/>
        </w:rPr>
        <w:t>月</w:t>
      </w:r>
      <w:r>
        <w:rPr>
          <w:rFonts w:hint="eastAsia"/>
        </w:rPr>
        <w:t>17</w:t>
      </w:r>
      <w:r>
        <w:rPr>
          <w:rFonts w:hint="eastAsia"/>
        </w:rPr>
        <w:t>日，四川省林业和草原局出具了《关于准予剑阁非笼养蛋鸡产业链项目占用林地的行政许可决定》（</w:t>
      </w:r>
      <w:proofErr w:type="gramStart"/>
      <w:r>
        <w:rPr>
          <w:rFonts w:hint="eastAsia"/>
        </w:rPr>
        <w:t>川林资许</w:t>
      </w:r>
      <w:proofErr w:type="gramEnd"/>
      <w:r>
        <w:rPr>
          <w:rFonts w:hint="eastAsia"/>
        </w:rPr>
        <w:t>准（广）〔</w:t>
      </w:r>
      <w:r>
        <w:rPr>
          <w:rFonts w:hint="eastAsia"/>
        </w:rPr>
        <w:t>2024</w:t>
      </w:r>
      <w:r>
        <w:rPr>
          <w:rFonts w:hint="eastAsia"/>
        </w:rPr>
        <w:t>〕</w:t>
      </w:r>
      <w:r>
        <w:rPr>
          <w:rFonts w:hint="eastAsia"/>
        </w:rPr>
        <w:t>115</w:t>
      </w:r>
      <w:r>
        <w:rPr>
          <w:rFonts w:hint="eastAsia"/>
        </w:rPr>
        <w:t>号），准予“剑阁非笼养蛋鸡产业链项目”占用广元市剑阁县集体林地</w:t>
      </w:r>
      <w:r>
        <w:rPr>
          <w:rFonts w:hint="eastAsia"/>
        </w:rPr>
        <w:t>4.6756</w:t>
      </w:r>
      <w:r>
        <w:rPr>
          <w:rFonts w:hint="eastAsia"/>
        </w:rPr>
        <w:t>公顷。本项目用地约</w:t>
      </w:r>
      <w:r>
        <w:rPr>
          <w:rFonts w:hint="eastAsia"/>
        </w:rPr>
        <w:t>168</w:t>
      </w:r>
      <w:r>
        <w:rPr>
          <w:rFonts w:hint="eastAsia"/>
        </w:rPr>
        <w:t>亩，目前已</w:t>
      </w:r>
      <w:r>
        <w:rPr>
          <w:rFonts w:hint="eastAsia"/>
          <w:kern w:val="21"/>
        </w:rPr>
        <w:t>取得四川省林业和草原局颁发的《关于准予剑阁非笼养蛋鸡产业链项目占用林地的行政许可决定》（</w:t>
      </w:r>
      <w:proofErr w:type="gramStart"/>
      <w:r>
        <w:rPr>
          <w:rFonts w:hint="eastAsia"/>
          <w:kern w:val="21"/>
        </w:rPr>
        <w:t>川林资许</w:t>
      </w:r>
      <w:proofErr w:type="gramEnd"/>
      <w:r>
        <w:rPr>
          <w:rFonts w:hint="eastAsia"/>
          <w:kern w:val="21"/>
        </w:rPr>
        <w:t>准（广）〔</w:t>
      </w:r>
      <w:r>
        <w:rPr>
          <w:rFonts w:hint="eastAsia"/>
          <w:kern w:val="21"/>
        </w:rPr>
        <w:t>2024</w:t>
      </w:r>
      <w:r>
        <w:rPr>
          <w:rFonts w:hint="eastAsia"/>
          <w:kern w:val="21"/>
        </w:rPr>
        <w:t>〕</w:t>
      </w:r>
      <w:r>
        <w:rPr>
          <w:rFonts w:hint="eastAsia"/>
          <w:kern w:val="21"/>
        </w:rPr>
        <w:t>115</w:t>
      </w:r>
      <w:r>
        <w:rPr>
          <w:rFonts w:hint="eastAsia"/>
          <w:kern w:val="21"/>
        </w:rPr>
        <w:t>号），批准占用集体林地面积为</w:t>
      </w:r>
      <w:r>
        <w:rPr>
          <w:rFonts w:hint="eastAsia"/>
          <w:kern w:val="21"/>
        </w:rPr>
        <w:t>4.6756</w:t>
      </w:r>
      <w:r>
        <w:rPr>
          <w:rFonts w:hint="eastAsia"/>
          <w:kern w:val="21"/>
        </w:rPr>
        <w:t>公顷（约</w:t>
      </w:r>
      <w:r>
        <w:rPr>
          <w:rFonts w:hint="eastAsia"/>
          <w:kern w:val="21"/>
        </w:rPr>
        <w:t>70.134</w:t>
      </w:r>
      <w:r>
        <w:rPr>
          <w:rFonts w:hint="eastAsia"/>
          <w:kern w:val="21"/>
        </w:rPr>
        <w:t>亩）。此外，本项目剩余约</w:t>
      </w:r>
      <w:r>
        <w:rPr>
          <w:rFonts w:hint="eastAsia"/>
          <w:kern w:val="21"/>
        </w:rPr>
        <w:t>98</w:t>
      </w:r>
      <w:r>
        <w:rPr>
          <w:rFonts w:hint="eastAsia"/>
          <w:kern w:val="21"/>
        </w:rPr>
        <w:t>亩用地的手续将按计划陆续补充完善。根据剑阁县林业局出具的关于《剑阁非笼养蛋鸡产业链项目占用林地意见的复函》，“原则同意本项目在已取得占用林地行政许可决定的用地范围内依法依规开展建设活动，其余未申请相关用地手续的用地范围，在依法依规取得各行业主管部门批准后方可动工”。</w:t>
      </w:r>
    </w:p>
    <w:p w14:paraId="28CD44EB" w14:textId="77777777" w:rsidR="00544649" w:rsidRDefault="00000000">
      <w:pPr>
        <w:adjustRightInd w:val="0"/>
        <w:snapToGrid w:val="0"/>
        <w:spacing w:after="0"/>
        <w:ind w:firstLine="480"/>
        <w:rPr>
          <w:kern w:val="21"/>
        </w:rPr>
      </w:pPr>
      <w:r>
        <w:rPr>
          <w:rFonts w:hint="eastAsia"/>
          <w:kern w:val="21"/>
        </w:rPr>
        <w:t>目前本项目用地已办理</w:t>
      </w:r>
      <w:r>
        <w:rPr>
          <w:rFonts w:hint="eastAsia"/>
          <w:kern w:val="21"/>
        </w:rPr>
        <w:t>4.6756</w:t>
      </w:r>
      <w:r>
        <w:rPr>
          <w:rFonts w:hint="eastAsia"/>
          <w:kern w:val="21"/>
        </w:rPr>
        <w:t>公顷土地设施农业用地备案表，根据剑阁县自然资源局出具的关于《剑阁非笼养蛋鸡产业链项目用地情况说明》的复函，“该项目设施农业用地组卷资料已准备完善，还未在设施农业用地系统上图入库，袋上图入库完成</w:t>
      </w:r>
      <w:r>
        <w:rPr>
          <w:rFonts w:hint="eastAsia"/>
          <w:kern w:val="21"/>
        </w:rPr>
        <w:lastRenderedPageBreak/>
        <w:t>后，原则同意在已批准的用地范围内开展建设活动，其余未完善相关手续的用地范围在取得乡镇备案同意，在设施农业用地系统上图入库后方可实施建设。”</w:t>
      </w:r>
    </w:p>
    <w:p w14:paraId="65D9B16D" w14:textId="77777777" w:rsidR="00544649" w:rsidRDefault="00000000">
      <w:pPr>
        <w:adjustRightInd w:val="0"/>
        <w:snapToGrid w:val="0"/>
        <w:spacing w:after="0"/>
        <w:ind w:firstLine="480"/>
        <w:rPr>
          <w:kern w:val="21"/>
        </w:rPr>
      </w:pPr>
      <w:bookmarkStart w:id="5" w:name="OLE_LINK22"/>
      <w:bookmarkStart w:id="6" w:name="OLE_LINK12"/>
      <w:r>
        <w:rPr>
          <w:rFonts w:hint="eastAsia"/>
          <w:kern w:val="21"/>
        </w:rPr>
        <w:t>本项目建设存栏规模为</w:t>
      </w:r>
      <w:r>
        <w:rPr>
          <w:rFonts w:hint="eastAsia"/>
          <w:kern w:val="21"/>
        </w:rPr>
        <w:t>30</w:t>
      </w:r>
      <w:r>
        <w:rPr>
          <w:rFonts w:hint="eastAsia"/>
          <w:kern w:val="21"/>
        </w:rPr>
        <w:t>万羽的</w:t>
      </w:r>
      <w:proofErr w:type="gramStart"/>
      <w:r>
        <w:rPr>
          <w:rFonts w:hint="eastAsia"/>
          <w:kern w:val="21"/>
        </w:rPr>
        <w:t>高端非</w:t>
      </w:r>
      <w:proofErr w:type="gramEnd"/>
      <w:r>
        <w:rPr>
          <w:rFonts w:hint="eastAsia"/>
          <w:kern w:val="21"/>
        </w:rPr>
        <w:t>笼养福利蛋鸡养殖示范基地。其中育雏鸡养殖鸡舍</w:t>
      </w:r>
      <w:r>
        <w:rPr>
          <w:rFonts w:hint="eastAsia"/>
          <w:kern w:val="21"/>
        </w:rPr>
        <w:t>2</w:t>
      </w:r>
      <w:r>
        <w:rPr>
          <w:rFonts w:hint="eastAsia"/>
          <w:kern w:val="21"/>
        </w:rPr>
        <w:t>栋，青年鸡存栏规模</w:t>
      </w:r>
      <w:r>
        <w:rPr>
          <w:rFonts w:hint="eastAsia"/>
          <w:kern w:val="21"/>
        </w:rPr>
        <w:t>7.5</w:t>
      </w:r>
      <w:r>
        <w:rPr>
          <w:rFonts w:hint="eastAsia"/>
          <w:kern w:val="21"/>
        </w:rPr>
        <w:t>万羽，外购一日</w:t>
      </w:r>
      <w:proofErr w:type="gramStart"/>
      <w:r>
        <w:rPr>
          <w:rFonts w:hint="eastAsia"/>
          <w:kern w:val="21"/>
        </w:rPr>
        <w:t>龄</w:t>
      </w:r>
      <w:proofErr w:type="gramEnd"/>
      <w:r>
        <w:rPr>
          <w:rFonts w:hint="eastAsia"/>
          <w:kern w:val="21"/>
        </w:rPr>
        <w:t>鸡苗经育雏舍饲养</w:t>
      </w:r>
      <w:r>
        <w:rPr>
          <w:rFonts w:hint="eastAsia"/>
          <w:kern w:val="21"/>
        </w:rPr>
        <w:t>105</w:t>
      </w:r>
      <w:r>
        <w:rPr>
          <w:rFonts w:hint="eastAsia"/>
          <w:kern w:val="21"/>
        </w:rPr>
        <w:t>天后育成青年鸡，转运至蛋鸡舍进行产蛋。本项目建设蛋鸡养殖鸡舍</w:t>
      </w:r>
      <w:r>
        <w:rPr>
          <w:rFonts w:hint="eastAsia"/>
          <w:kern w:val="21"/>
        </w:rPr>
        <w:t>6</w:t>
      </w:r>
      <w:r>
        <w:rPr>
          <w:rFonts w:hint="eastAsia"/>
          <w:kern w:val="21"/>
        </w:rPr>
        <w:t>栋，存栏规模</w:t>
      </w:r>
      <w:r>
        <w:rPr>
          <w:rFonts w:hint="eastAsia"/>
          <w:kern w:val="21"/>
        </w:rPr>
        <w:t>22.5</w:t>
      </w:r>
      <w:r>
        <w:rPr>
          <w:rFonts w:hint="eastAsia"/>
          <w:kern w:val="21"/>
        </w:rPr>
        <w:t>万羽，蛋鸡舍经过约</w:t>
      </w:r>
      <w:r>
        <w:rPr>
          <w:rFonts w:hint="eastAsia"/>
          <w:kern w:val="21"/>
        </w:rPr>
        <w:t>390</w:t>
      </w:r>
      <w:r>
        <w:rPr>
          <w:rFonts w:hint="eastAsia"/>
          <w:kern w:val="21"/>
        </w:rPr>
        <w:t>天的产蛋期后作为淘汰蛋鸡外售</w:t>
      </w:r>
      <w:bookmarkEnd w:id="5"/>
      <w:r>
        <w:rPr>
          <w:rFonts w:hint="eastAsia"/>
          <w:kern w:val="21"/>
        </w:rPr>
        <w:t>。</w:t>
      </w:r>
    </w:p>
    <w:bookmarkEnd w:id="6"/>
    <w:p w14:paraId="6B789C6E" w14:textId="77777777" w:rsidR="00544649" w:rsidRDefault="00000000">
      <w:pPr>
        <w:adjustRightInd w:val="0"/>
        <w:snapToGrid w:val="0"/>
        <w:spacing w:after="0"/>
        <w:ind w:firstLine="480"/>
        <w:rPr>
          <w:kern w:val="21"/>
        </w:rPr>
      </w:pPr>
      <w:r>
        <w:rPr>
          <w:rFonts w:hint="eastAsia"/>
          <w:kern w:val="21"/>
        </w:rPr>
        <w:t>根据《排污许可证申请与核发技术规范畜禽养殖行业》（</w:t>
      </w:r>
      <w:r>
        <w:rPr>
          <w:kern w:val="21"/>
        </w:rPr>
        <w:t>HJ1029-2019</w:t>
      </w:r>
      <w:r>
        <w:rPr>
          <w:rFonts w:hint="eastAsia"/>
          <w:kern w:val="21"/>
        </w:rPr>
        <w:t>），</w:t>
      </w:r>
      <w:r>
        <w:rPr>
          <w:kern w:val="21"/>
        </w:rPr>
        <w:t>30</w:t>
      </w:r>
      <w:r>
        <w:rPr>
          <w:rFonts w:hint="eastAsia"/>
          <w:kern w:val="21"/>
        </w:rPr>
        <w:t>羽蛋鸡折算成</w:t>
      </w:r>
      <w:r>
        <w:rPr>
          <w:kern w:val="21"/>
        </w:rPr>
        <w:t>1</w:t>
      </w:r>
      <w:r>
        <w:rPr>
          <w:rFonts w:hint="eastAsia"/>
          <w:kern w:val="21"/>
        </w:rPr>
        <w:t>头猪，本项目新建</w:t>
      </w:r>
      <w:proofErr w:type="gramStart"/>
      <w:r>
        <w:rPr>
          <w:rFonts w:hint="eastAsia"/>
          <w:kern w:val="21"/>
        </w:rPr>
        <w:t>蛋鸡年</w:t>
      </w:r>
      <w:proofErr w:type="gramEnd"/>
      <w:r>
        <w:rPr>
          <w:rFonts w:hint="eastAsia"/>
          <w:kern w:val="21"/>
        </w:rPr>
        <w:t>存栏</w:t>
      </w:r>
      <w:r>
        <w:rPr>
          <w:rFonts w:hint="eastAsia"/>
          <w:kern w:val="21"/>
        </w:rPr>
        <w:t>30</w:t>
      </w:r>
      <w:r>
        <w:rPr>
          <w:rFonts w:hint="eastAsia"/>
          <w:kern w:val="21"/>
        </w:rPr>
        <w:t>万羽，折算为存栏</w:t>
      </w:r>
      <w:r>
        <w:rPr>
          <w:rFonts w:hint="eastAsia"/>
          <w:kern w:val="21"/>
        </w:rPr>
        <w:t>10000</w:t>
      </w:r>
      <w:r>
        <w:rPr>
          <w:rFonts w:hint="eastAsia"/>
          <w:kern w:val="21"/>
        </w:rPr>
        <w:t>头生猪。根据《建设项目环境影响评价分类管理名录（</w:t>
      </w:r>
      <w:r>
        <w:rPr>
          <w:rFonts w:hint="eastAsia"/>
          <w:kern w:val="21"/>
        </w:rPr>
        <w:t>2021</w:t>
      </w:r>
      <w:r>
        <w:rPr>
          <w:rFonts w:hint="eastAsia"/>
          <w:kern w:val="21"/>
        </w:rPr>
        <w:t>年版）》，“存栏生猪</w:t>
      </w:r>
      <w:r>
        <w:rPr>
          <w:rFonts w:hint="eastAsia"/>
          <w:kern w:val="21"/>
        </w:rPr>
        <w:t>2500</w:t>
      </w:r>
      <w:r>
        <w:rPr>
          <w:rFonts w:hint="eastAsia"/>
          <w:kern w:val="21"/>
        </w:rPr>
        <w:t>头（其他畜禽种类折合猪的养殖规模）及以上无出栏量的规模化畜禽养殖”，应编制环境影响报告书。</w:t>
      </w:r>
      <w:r>
        <w:rPr>
          <w:rFonts w:hint="eastAsia"/>
          <w:kern w:val="21"/>
        </w:rPr>
        <w:t>2024</w:t>
      </w:r>
      <w:r>
        <w:rPr>
          <w:rFonts w:hint="eastAsia"/>
          <w:kern w:val="21"/>
        </w:rPr>
        <w:t>年</w:t>
      </w:r>
      <w:r>
        <w:rPr>
          <w:rFonts w:hint="eastAsia"/>
          <w:kern w:val="21"/>
        </w:rPr>
        <w:t>11</w:t>
      </w:r>
      <w:r>
        <w:rPr>
          <w:rFonts w:hint="eastAsia"/>
          <w:kern w:val="21"/>
        </w:rPr>
        <w:t>月，四川剑门圣迪乐村生态科技有限公司委托我单位编制该项目环境影响报告书。</w:t>
      </w:r>
    </w:p>
    <w:p w14:paraId="0D160F24" w14:textId="77777777" w:rsidR="00544649" w:rsidRDefault="00000000">
      <w:pPr>
        <w:keepNext/>
        <w:adjustRightInd w:val="0"/>
        <w:snapToGrid w:val="0"/>
        <w:spacing w:after="0"/>
        <w:ind w:firstLineChars="0" w:firstLine="0"/>
        <w:rPr>
          <w:rFonts w:cs="Times New Roman"/>
          <w:b/>
          <w:bCs/>
          <w:kern w:val="21"/>
          <w:sz w:val="32"/>
          <w:szCs w:val="28"/>
        </w:rPr>
      </w:pPr>
      <w:r>
        <w:rPr>
          <w:rFonts w:cs="Times New Roman"/>
          <w:b/>
          <w:bCs/>
          <w:kern w:val="21"/>
          <w:sz w:val="32"/>
          <w:szCs w:val="28"/>
        </w:rPr>
        <w:t>1.2</w:t>
      </w:r>
      <w:r>
        <w:rPr>
          <w:rFonts w:cs="Times New Roman"/>
          <w:b/>
          <w:bCs/>
          <w:kern w:val="21"/>
          <w:sz w:val="32"/>
          <w:szCs w:val="28"/>
        </w:rPr>
        <w:t>环境影响评价工作过程</w:t>
      </w:r>
    </w:p>
    <w:p w14:paraId="224F9034" w14:textId="77777777" w:rsidR="00544649" w:rsidRDefault="00000000">
      <w:pPr>
        <w:adjustRightInd w:val="0"/>
        <w:snapToGrid w:val="0"/>
        <w:spacing w:after="0"/>
        <w:ind w:firstLine="480"/>
        <w:rPr>
          <w:rFonts w:cs="Times New Roman"/>
          <w:kern w:val="21"/>
          <w:szCs w:val="24"/>
        </w:rPr>
      </w:pPr>
      <w:r>
        <w:rPr>
          <w:rFonts w:cs="Times New Roman"/>
          <w:kern w:val="21"/>
          <w:szCs w:val="24"/>
        </w:rPr>
        <w:t>环境影响评价工作一般分三个阶段，即前期准备、调研和工作方案阶段，分析论证和预测评价阶段，环境影响评价文件编制阶段，具体</w:t>
      </w:r>
      <w:r>
        <w:rPr>
          <w:rFonts w:cs="Times New Roman" w:hint="eastAsia"/>
          <w:kern w:val="21"/>
          <w:szCs w:val="24"/>
        </w:rPr>
        <w:t>工作</w:t>
      </w:r>
      <w:r>
        <w:rPr>
          <w:rFonts w:cs="Times New Roman"/>
          <w:kern w:val="21"/>
          <w:szCs w:val="24"/>
        </w:rPr>
        <w:t>程序见</w:t>
      </w:r>
      <w:r>
        <w:rPr>
          <w:rFonts w:cs="Times New Roman" w:hint="eastAsia"/>
          <w:kern w:val="21"/>
          <w:szCs w:val="24"/>
        </w:rPr>
        <w:t>下图</w:t>
      </w:r>
      <w:r>
        <w:rPr>
          <w:rFonts w:cs="Times New Roman"/>
          <w:kern w:val="21"/>
          <w:szCs w:val="24"/>
        </w:rPr>
        <w:t>。</w:t>
      </w:r>
    </w:p>
    <w:p w14:paraId="615BD03D"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noProof/>
          <w:kern w:val="21"/>
          <w:sz w:val="21"/>
          <w:szCs w:val="21"/>
        </w:rPr>
        <w:lastRenderedPageBreak/>
        <w:drawing>
          <wp:inline distT="0" distB="0" distL="114300" distR="114300" wp14:anchorId="658BE365" wp14:editId="429F7A6D">
            <wp:extent cx="5487670" cy="6726555"/>
            <wp:effectExtent l="0" t="0" r="17780" b="17145"/>
            <wp:docPr id="2" name="图片 2" descr="BE7E3946-197F-4867-9588-DF5D34E2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E7E3946-197F-4867-9588-DF5D34E22810"/>
                    <pic:cNvPicPr>
                      <a:picLocks noChangeAspect="1"/>
                    </pic:cNvPicPr>
                  </pic:nvPicPr>
                  <pic:blipFill>
                    <a:blip r:embed="rId16"/>
                    <a:srcRect l="1312" t="614" r="939" b="773"/>
                    <a:stretch>
                      <a:fillRect/>
                    </a:stretch>
                  </pic:blipFill>
                  <pic:spPr>
                    <a:xfrm>
                      <a:off x="0" y="0"/>
                      <a:ext cx="5487670" cy="6726555"/>
                    </a:xfrm>
                    <a:prstGeom prst="rect">
                      <a:avLst/>
                    </a:prstGeom>
                  </pic:spPr>
                </pic:pic>
              </a:graphicData>
            </a:graphic>
          </wp:inline>
        </w:drawing>
      </w:r>
    </w:p>
    <w:p w14:paraId="1A509A97" w14:textId="77777777" w:rsidR="00544649" w:rsidRDefault="00000000">
      <w:pPr>
        <w:numPr>
          <w:ilvl w:val="0"/>
          <w:numId w:val="4"/>
        </w:numPr>
        <w:adjustRightInd w:val="0"/>
        <w:snapToGrid w:val="0"/>
        <w:spacing w:beforeLines="20" w:before="62" w:afterLines="20" w:after="62" w:line="240" w:lineRule="auto"/>
        <w:ind w:left="0" w:firstLineChars="0"/>
        <w:jc w:val="center"/>
        <w:rPr>
          <w:rFonts w:cs="Times New Roman"/>
          <w:b/>
          <w:bCs/>
          <w:kern w:val="21"/>
          <w:sz w:val="21"/>
          <w:szCs w:val="21"/>
        </w:rPr>
      </w:pPr>
      <w:r>
        <w:rPr>
          <w:rFonts w:cs="Times New Roman"/>
          <w:b/>
          <w:bCs/>
          <w:kern w:val="21"/>
          <w:sz w:val="21"/>
          <w:szCs w:val="21"/>
        </w:rPr>
        <w:t>项目环境影响评价工作流程图</w:t>
      </w:r>
    </w:p>
    <w:p w14:paraId="214751F3" w14:textId="77777777" w:rsidR="00544649" w:rsidRDefault="00000000">
      <w:pPr>
        <w:adjustRightInd w:val="0"/>
        <w:snapToGrid w:val="0"/>
        <w:spacing w:after="0"/>
        <w:ind w:firstLine="480"/>
        <w:rPr>
          <w:kern w:val="21"/>
        </w:rPr>
      </w:pPr>
      <w:r>
        <w:rPr>
          <w:kern w:val="21"/>
        </w:rPr>
        <w:t>根据《中华人民共和国环境保护法》（中华人民共和国主席令第九号）、《中华人民共和国环境影响评价法》（中华人民共和国主席令第四十八号）和《建设项目环境保护管理条例》（国务院第</w:t>
      </w:r>
      <w:r>
        <w:rPr>
          <w:kern w:val="21"/>
        </w:rPr>
        <w:t>682</w:t>
      </w:r>
      <w:r>
        <w:rPr>
          <w:kern w:val="21"/>
        </w:rPr>
        <w:t>号令）</w:t>
      </w:r>
      <w:r>
        <w:rPr>
          <w:rFonts w:hint="eastAsia"/>
          <w:kern w:val="21"/>
        </w:rPr>
        <w:t>等</w:t>
      </w:r>
      <w:r>
        <w:rPr>
          <w:kern w:val="21"/>
        </w:rPr>
        <w:t>有关</w:t>
      </w:r>
      <w:r>
        <w:rPr>
          <w:rFonts w:hint="eastAsia"/>
          <w:kern w:val="21"/>
        </w:rPr>
        <w:t>法律法规</w:t>
      </w:r>
      <w:r>
        <w:rPr>
          <w:kern w:val="21"/>
        </w:rPr>
        <w:t>的规定，本项目应开展环境影响评价工作。根据《国民经济行业分类》（</w:t>
      </w:r>
      <w:r>
        <w:rPr>
          <w:kern w:val="21"/>
        </w:rPr>
        <w:t>GB/T4754-2017</w:t>
      </w:r>
      <w:r>
        <w:rPr>
          <w:kern w:val="21"/>
        </w:rPr>
        <w:t>）</w:t>
      </w:r>
      <w:r>
        <w:rPr>
          <w:rFonts w:hint="eastAsia"/>
          <w:kern w:val="21"/>
        </w:rPr>
        <w:t>及分类注释</w:t>
      </w:r>
      <w:r>
        <w:rPr>
          <w:kern w:val="21"/>
        </w:rPr>
        <w:t>，本项目为</w:t>
      </w:r>
      <w:r>
        <w:rPr>
          <w:rFonts w:hint="eastAsia"/>
          <w:b/>
          <w:bCs/>
          <w:kern w:val="21"/>
        </w:rPr>
        <w:t>A321</w:t>
      </w:r>
      <w:r>
        <w:rPr>
          <w:b/>
          <w:bCs/>
          <w:kern w:val="21"/>
        </w:rPr>
        <w:t>0</w:t>
      </w:r>
      <w:r>
        <w:rPr>
          <w:rFonts w:hint="eastAsia"/>
          <w:b/>
          <w:bCs/>
          <w:kern w:val="21"/>
        </w:rPr>
        <w:t>鸡的饲养</w:t>
      </w:r>
      <w:r>
        <w:rPr>
          <w:rFonts w:hint="eastAsia"/>
          <w:kern w:val="21"/>
        </w:rPr>
        <w:t>。根据生态环境部《建设项目环境影响评价分类管理名录》（</w:t>
      </w:r>
      <w:r>
        <w:rPr>
          <w:rFonts w:hint="eastAsia"/>
          <w:kern w:val="21"/>
        </w:rPr>
        <w:t>2021</w:t>
      </w:r>
      <w:r>
        <w:rPr>
          <w:rFonts w:hint="eastAsia"/>
          <w:kern w:val="21"/>
        </w:rPr>
        <w:t>年版）（部令第</w:t>
      </w:r>
      <w:r>
        <w:rPr>
          <w:rFonts w:hint="eastAsia"/>
          <w:kern w:val="21"/>
        </w:rPr>
        <w:t>16</w:t>
      </w:r>
      <w:r>
        <w:rPr>
          <w:rFonts w:hint="eastAsia"/>
          <w:kern w:val="21"/>
        </w:rPr>
        <w:t>号），本项目属于“二、畜牧业”中“</w:t>
      </w:r>
      <w:r>
        <w:rPr>
          <w:rFonts w:hint="eastAsia"/>
          <w:kern w:val="21"/>
        </w:rPr>
        <w:t>3</w:t>
      </w:r>
      <w:r>
        <w:rPr>
          <w:rFonts w:hint="eastAsia"/>
          <w:kern w:val="21"/>
        </w:rPr>
        <w:t>家禽饲养</w:t>
      </w:r>
      <w:r>
        <w:rPr>
          <w:rFonts w:hint="eastAsia"/>
          <w:kern w:val="21"/>
        </w:rPr>
        <w:t>032</w:t>
      </w:r>
      <w:r>
        <w:rPr>
          <w:rFonts w:hint="eastAsia"/>
          <w:kern w:val="21"/>
        </w:rPr>
        <w:t>”“存栏生猪</w:t>
      </w:r>
      <w:r>
        <w:rPr>
          <w:rFonts w:hint="eastAsia"/>
          <w:kern w:val="21"/>
        </w:rPr>
        <w:t>2500</w:t>
      </w:r>
      <w:r>
        <w:rPr>
          <w:rFonts w:hint="eastAsia"/>
          <w:kern w:val="21"/>
        </w:rPr>
        <w:t>头（其他畜禽种类折合猪的养殖规模）及以上无出栏量的规模化畜禽养殖”，应</w:t>
      </w:r>
      <w:r>
        <w:rPr>
          <w:rFonts w:hint="eastAsia"/>
          <w:kern w:val="21"/>
        </w:rPr>
        <w:lastRenderedPageBreak/>
        <w:t>编制环境影响报告书。</w:t>
      </w:r>
    </w:p>
    <w:p w14:paraId="481F8881" w14:textId="77777777" w:rsidR="00544649" w:rsidRDefault="00000000">
      <w:pPr>
        <w:adjustRightInd w:val="0"/>
        <w:snapToGrid w:val="0"/>
        <w:spacing w:after="0"/>
        <w:ind w:firstLine="480"/>
        <w:rPr>
          <w:kern w:val="21"/>
        </w:rPr>
      </w:pPr>
      <w:r>
        <w:rPr>
          <w:kern w:val="21"/>
        </w:rPr>
        <w:t>为此，</w:t>
      </w:r>
      <w:r>
        <w:rPr>
          <w:rFonts w:hint="eastAsia"/>
          <w:kern w:val="21"/>
        </w:rPr>
        <w:t>四川剑门圣迪乐村生态科技有限公司委托四川蓉创鼎锋环境科技有限公司承担该项目的环境影响报告书编制工作。接受建设单位委托后，环评单位首先研究了相关的法律法规及规划，确定评价文件类型；其次开展初步的现场调查及资料收集，根据建设单位提供的资料，进行初步的工程分析</w:t>
      </w:r>
      <w:r>
        <w:rPr>
          <w:kern w:val="21"/>
        </w:rPr>
        <w:t>，确定评价重点，制定工作方案，安排进一步环境现状详查，在资料收集完成后，进行各专题分析，提出环保措施并进行技术经济论证，最终形成环评文件。</w:t>
      </w:r>
    </w:p>
    <w:p w14:paraId="7CC4A3A9" w14:textId="77777777" w:rsidR="00544649" w:rsidRDefault="00000000">
      <w:pPr>
        <w:adjustRightInd w:val="0"/>
        <w:snapToGrid w:val="0"/>
        <w:spacing w:after="0"/>
        <w:ind w:firstLine="480"/>
        <w:rPr>
          <w:rFonts w:cs="Times New Roman"/>
          <w:kern w:val="21"/>
        </w:rPr>
      </w:pPr>
      <w:r>
        <w:rPr>
          <w:rFonts w:ascii="宋体" w:hAnsi="宋体" w:cs="宋体"/>
          <w:kern w:val="21"/>
          <w:szCs w:val="24"/>
        </w:rPr>
        <w:t>具体评价过程如下：</w:t>
      </w:r>
    </w:p>
    <w:p w14:paraId="1EC792B1" w14:textId="77777777" w:rsidR="00544649" w:rsidRDefault="00000000">
      <w:pPr>
        <w:adjustRightInd w:val="0"/>
        <w:snapToGrid w:val="0"/>
        <w:spacing w:after="0"/>
        <w:ind w:firstLine="480"/>
        <w:rPr>
          <w:kern w:val="21"/>
        </w:rPr>
      </w:pPr>
      <w:r>
        <w:rPr>
          <w:rFonts w:cs="Times New Roman"/>
          <w:kern w:val="21"/>
          <w:szCs w:val="24"/>
        </w:rPr>
        <w:t>（</w:t>
      </w:r>
      <w:r>
        <w:rPr>
          <w:rFonts w:cs="Times New Roman"/>
          <w:kern w:val="21"/>
          <w:szCs w:val="24"/>
        </w:rPr>
        <w:t>1</w:t>
      </w:r>
      <w:r>
        <w:rPr>
          <w:rFonts w:cs="Times New Roman"/>
          <w:kern w:val="21"/>
          <w:szCs w:val="24"/>
        </w:rPr>
        <w:t>）</w:t>
      </w:r>
      <w:r>
        <w:rPr>
          <w:rFonts w:cs="Times New Roman"/>
          <w:kern w:val="21"/>
          <w:szCs w:val="24"/>
        </w:rPr>
        <w:t>202</w:t>
      </w:r>
      <w:r>
        <w:rPr>
          <w:rFonts w:cs="Times New Roman" w:hint="eastAsia"/>
          <w:kern w:val="21"/>
          <w:szCs w:val="24"/>
        </w:rPr>
        <w:t>4</w:t>
      </w:r>
      <w:r>
        <w:rPr>
          <w:rFonts w:cs="Times New Roman"/>
          <w:kern w:val="21"/>
          <w:szCs w:val="24"/>
        </w:rPr>
        <w:t>年</w:t>
      </w:r>
      <w:r>
        <w:rPr>
          <w:rFonts w:cs="Times New Roman" w:hint="eastAsia"/>
          <w:kern w:val="21"/>
          <w:szCs w:val="24"/>
        </w:rPr>
        <w:t>11</w:t>
      </w:r>
      <w:r>
        <w:rPr>
          <w:rFonts w:cs="Times New Roman"/>
          <w:kern w:val="21"/>
          <w:szCs w:val="24"/>
        </w:rPr>
        <w:t>月</w:t>
      </w:r>
      <w:r>
        <w:rPr>
          <w:rFonts w:cs="Times New Roman" w:hint="eastAsia"/>
          <w:kern w:val="21"/>
          <w:szCs w:val="24"/>
        </w:rPr>
        <w:t>27</w:t>
      </w:r>
      <w:r>
        <w:rPr>
          <w:rFonts w:cs="Times New Roman"/>
          <w:kern w:val="21"/>
          <w:szCs w:val="24"/>
        </w:rPr>
        <w:t>日，</w:t>
      </w:r>
      <w:r>
        <w:rPr>
          <w:rFonts w:hint="eastAsia"/>
          <w:kern w:val="21"/>
        </w:rPr>
        <w:t>四川剑门圣迪乐村生态科技有限公司委托四川蓉创鼎锋环境科技有限公司承担本项目环境影响评价工作；</w:t>
      </w:r>
    </w:p>
    <w:p w14:paraId="6953535C"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2</w:t>
      </w:r>
      <w:r>
        <w:rPr>
          <w:rFonts w:cs="Times New Roman"/>
          <w:kern w:val="21"/>
          <w:szCs w:val="24"/>
        </w:rPr>
        <w:t>）</w:t>
      </w:r>
      <w:r>
        <w:rPr>
          <w:rFonts w:cs="Times New Roman"/>
          <w:kern w:val="21"/>
          <w:szCs w:val="24"/>
        </w:rPr>
        <w:t>202</w:t>
      </w:r>
      <w:r>
        <w:rPr>
          <w:rFonts w:cs="Times New Roman" w:hint="eastAsia"/>
          <w:kern w:val="21"/>
          <w:szCs w:val="24"/>
        </w:rPr>
        <w:t>4</w:t>
      </w:r>
      <w:r>
        <w:rPr>
          <w:rFonts w:cs="Times New Roman"/>
          <w:kern w:val="21"/>
          <w:szCs w:val="24"/>
        </w:rPr>
        <w:t>年</w:t>
      </w:r>
      <w:r>
        <w:rPr>
          <w:rFonts w:cs="Times New Roman" w:hint="eastAsia"/>
          <w:kern w:val="21"/>
          <w:szCs w:val="24"/>
        </w:rPr>
        <w:t>11</w:t>
      </w:r>
      <w:r>
        <w:rPr>
          <w:rFonts w:cs="Times New Roman"/>
          <w:kern w:val="21"/>
          <w:szCs w:val="24"/>
        </w:rPr>
        <w:t>月</w:t>
      </w:r>
      <w:r>
        <w:rPr>
          <w:rFonts w:cs="Times New Roman" w:hint="eastAsia"/>
          <w:kern w:val="21"/>
          <w:szCs w:val="24"/>
        </w:rPr>
        <w:t>28</w:t>
      </w:r>
      <w:r>
        <w:rPr>
          <w:rFonts w:cs="Times New Roman"/>
          <w:kern w:val="21"/>
          <w:szCs w:val="24"/>
        </w:rPr>
        <w:t>日，环评单位对项目所在地进行了</w:t>
      </w:r>
      <w:r>
        <w:rPr>
          <w:rFonts w:cs="Times New Roman" w:hint="eastAsia"/>
          <w:kern w:val="21"/>
          <w:szCs w:val="24"/>
        </w:rPr>
        <w:t>现场踏勘</w:t>
      </w:r>
      <w:r>
        <w:rPr>
          <w:rFonts w:cs="Times New Roman"/>
          <w:kern w:val="21"/>
          <w:szCs w:val="24"/>
        </w:rPr>
        <w:t>，并收集了相关资料；</w:t>
      </w:r>
    </w:p>
    <w:p w14:paraId="3CB1E011"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3</w:t>
      </w:r>
      <w:r>
        <w:rPr>
          <w:rFonts w:cs="Times New Roman"/>
          <w:kern w:val="21"/>
          <w:szCs w:val="24"/>
        </w:rPr>
        <w:t>）</w:t>
      </w:r>
      <w:r>
        <w:rPr>
          <w:rFonts w:cs="Times New Roman" w:hint="eastAsia"/>
          <w:kern w:val="21"/>
          <w:szCs w:val="24"/>
        </w:rPr>
        <w:t>2024</w:t>
      </w:r>
      <w:r>
        <w:rPr>
          <w:rFonts w:cs="Times New Roman" w:hint="eastAsia"/>
          <w:kern w:val="21"/>
          <w:szCs w:val="24"/>
        </w:rPr>
        <w:t>年</w:t>
      </w:r>
      <w:r>
        <w:rPr>
          <w:rFonts w:cs="Times New Roman" w:hint="eastAsia"/>
          <w:kern w:val="21"/>
          <w:szCs w:val="24"/>
        </w:rPr>
        <w:t>12</w:t>
      </w:r>
      <w:r>
        <w:rPr>
          <w:rFonts w:cs="Times New Roman" w:hint="eastAsia"/>
          <w:kern w:val="21"/>
          <w:szCs w:val="24"/>
        </w:rPr>
        <w:t>月</w:t>
      </w:r>
      <w:r>
        <w:rPr>
          <w:rFonts w:cs="Times New Roman" w:hint="eastAsia"/>
          <w:kern w:val="21"/>
          <w:szCs w:val="24"/>
        </w:rPr>
        <w:t>16</w:t>
      </w:r>
      <w:r>
        <w:rPr>
          <w:rFonts w:cs="Times New Roman" w:hint="eastAsia"/>
          <w:kern w:val="21"/>
          <w:szCs w:val="24"/>
        </w:rPr>
        <w:t>日至</w:t>
      </w:r>
      <w:r>
        <w:rPr>
          <w:rFonts w:cs="Times New Roman" w:hint="eastAsia"/>
          <w:kern w:val="21"/>
          <w:szCs w:val="24"/>
        </w:rPr>
        <w:t>12</w:t>
      </w:r>
      <w:r>
        <w:rPr>
          <w:rFonts w:cs="Times New Roman" w:hint="eastAsia"/>
          <w:kern w:val="21"/>
          <w:szCs w:val="24"/>
        </w:rPr>
        <w:t>月</w:t>
      </w:r>
      <w:r>
        <w:rPr>
          <w:rFonts w:cs="Times New Roman" w:hint="eastAsia"/>
          <w:kern w:val="21"/>
          <w:szCs w:val="24"/>
        </w:rPr>
        <w:t>22</w:t>
      </w:r>
      <w:r>
        <w:rPr>
          <w:rFonts w:cs="Times New Roman" w:hint="eastAsia"/>
          <w:kern w:val="21"/>
          <w:szCs w:val="24"/>
        </w:rPr>
        <w:t>日</w:t>
      </w:r>
      <w:r>
        <w:rPr>
          <w:rFonts w:cs="Times New Roman"/>
          <w:kern w:val="21"/>
          <w:szCs w:val="24"/>
        </w:rPr>
        <w:t>，进行</w:t>
      </w:r>
      <w:r>
        <w:rPr>
          <w:rFonts w:cs="Times New Roman" w:hint="eastAsia"/>
          <w:kern w:val="21"/>
          <w:szCs w:val="24"/>
        </w:rPr>
        <w:t>环境空气</w:t>
      </w:r>
      <w:r>
        <w:rPr>
          <w:rFonts w:cs="Times New Roman"/>
          <w:kern w:val="21"/>
          <w:szCs w:val="24"/>
        </w:rPr>
        <w:t>、噪声、地下水</w:t>
      </w:r>
      <w:r>
        <w:rPr>
          <w:rFonts w:cs="Times New Roman" w:hint="eastAsia"/>
          <w:kern w:val="21"/>
          <w:szCs w:val="24"/>
        </w:rPr>
        <w:t>、土壤</w:t>
      </w:r>
      <w:r>
        <w:rPr>
          <w:rFonts w:cs="Times New Roman"/>
          <w:kern w:val="21"/>
          <w:szCs w:val="24"/>
        </w:rPr>
        <w:t>的</w:t>
      </w:r>
      <w:r>
        <w:rPr>
          <w:rFonts w:cs="Times New Roman" w:hint="eastAsia"/>
          <w:kern w:val="21"/>
          <w:szCs w:val="24"/>
        </w:rPr>
        <w:t>现状</w:t>
      </w:r>
      <w:r>
        <w:rPr>
          <w:rFonts w:cs="Times New Roman"/>
          <w:kern w:val="21"/>
          <w:szCs w:val="24"/>
        </w:rPr>
        <w:t>监测；</w:t>
      </w:r>
    </w:p>
    <w:p w14:paraId="0EEDB862" w14:textId="77777777" w:rsidR="00544649" w:rsidRDefault="00000000">
      <w:pPr>
        <w:adjustRightInd w:val="0"/>
        <w:snapToGrid w:val="0"/>
        <w:spacing w:after="0"/>
        <w:ind w:firstLine="480"/>
        <w:rPr>
          <w:rFonts w:cs="Times New Roman"/>
          <w:kern w:val="21"/>
        </w:rPr>
      </w:pPr>
      <w:r>
        <w:rPr>
          <w:rFonts w:cs="Times New Roman"/>
          <w:kern w:val="21"/>
          <w:szCs w:val="24"/>
        </w:rPr>
        <w:t>（</w:t>
      </w:r>
      <w:r>
        <w:rPr>
          <w:rFonts w:cs="Times New Roman"/>
          <w:kern w:val="21"/>
          <w:szCs w:val="24"/>
        </w:rPr>
        <w:t>4</w:t>
      </w:r>
      <w:r>
        <w:rPr>
          <w:rFonts w:cs="Times New Roman"/>
          <w:kern w:val="21"/>
          <w:szCs w:val="24"/>
        </w:rPr>
        <w:t>）</w:t>
      </w:r>
      <w:r>
        <w:rPr>
          <w:rFonts w:cs="Times New Roman"/>
          <w:kern w:val="21"/>
          <w:szCs w:val="24"/>
        </w:rPr>
        <w:t>20</w:t>
      </w:r>
      <w:r>
        <w:rPr>
          <w:rFonts w:cs="Times New Roman" w:hint="eastAsia"/>
          <w:kern w:val="21"/>
          <w:szCs w:val="24"/>
        </w:rPr>
        <w:t>24</w:t>
      </w:r>
      <w:r>
        <w:rPr>
          <w:rFonts w:cs="Times New Roman"/>
          <w:kern w:val="21"/>
          <w:szCs w:val="24"/>
        </w:rPr>
        <w:t>年</w:t>
      </w:r>
      <w:r>
        <w:rPr>
          <w:rFonts w:cs="Times New Roman" w:hint="eastAsia"/>
          <w:kern w:val="21"/>
          <w:szCs w:val="24"/>
        </w:rPr>
        <w:t>12</w:t>
      </w:r>
      <w:r>
        <w:rPr>
          <w:rFonts w:cs="Times New Roman" w:hint="eastAsia"/>
          <w:kern w:val="21"/>
          <w:szCs w:val="24"/>
        </w:rPr>
        <w:t>月</w:t>
      </w:r>
      <w:r>
        <w:rPr>
          <w:rFonts w:cs="Times New Roman" w:hint="eastAsia"/>
          <w:kern w:val="21"/>
          <w:szCs w:val="24"/>
        </w:rPr>
        <w:t>~2025</w:t>
      </w:r>
      <w:r>
        <w:rPr>
          <w:rFonts w:cs="Times New Roman" w:hint="eastAsia"/>
          <w:kern w:val="21"/>
          <w:szCs w:val="24"/>
        </w:rPr>
        <w:t>年</w:t>
      </w:r>
      <w:r>
        <w:rPr>
          <w:rFonts w:cs="Times New Roman" w:hint="eastAsia"/>
          <w:kern w:val="21"/>
          <w:szCs w:val="24"/>
        </w:rPr>
        <w:t>2</w:t>
      </w:r>
      <w:r>
        <w:rPr>
          <w:rFonts w:cs="Times New Roman"/>
          <w:kern w:val="21"/>
          <w:szCs w:val="24"/>
        </w:rPr>
        <w:t>月，项目环境影响报告书初稿基本编制完成</w:t>
      </w:r>
      <w:r>
        <w:rPr>
          <w:rFonts w:cs="Times New Roman" w:hint="eastAsia"/>
          <w:kern w:val="21"/>
          <w:szCs w:val="24"/>
        </w:rPr>
        <w:t>，</w:t>
      </w:r>
      <w:r>
        <w:rPr>
          <w:rFonts w:cs="Times New Roman"/>
          <w:kern w:val="21"/>
          <w:szCs w:val="24"/>
        </w:rPr>
        <w:t>进入</w:t>
      </w:r>
      <w:r>
        <w:rPr>
          <w:rFonts w:hint="eastAsia"/>
          <w:kern w:val="21"/>
        </w:rPr>
        <w:t>四川蓉创鼎锋环境科技有限公司</w:t>
      </w:r>
      <w:r>
        <w:rPr>
          <w:rFonts w:cs="Times New Roman"/>
          <w:kern w:val="21"/>
          <w:szCs w:val="24"/>
        </w:rPr>
        <w:t>内审</w:t>
      </w:r>
      <w:r>
        <w:rPr>
          <w:rFonts w:cs="Times New Roman" w:hint="eastAsia"/>
          <w:kern w:val="21"/>
          <w:szCs w:val="24"/>
        </w:rPr>
        <w:t>程序</w:t>
      </w:r>
      <w:r>
        <w:rPr>
          <w:rFonts w:cs="Times New Roman"/>
          <w:kern w:val="21"/>
          <w:szCs w:val="24"/>
        </w:rPr>
        <w:t>，经审核、修改、校核后，完成项目环境影响报告书</w:t>
      </w:r>
      <w:r>
        <w:rPr>
          <w:rFonts w:cs="Times New Roman" w:hint="eastAsia"/>
          <w:kern w:val="21"/>
          <w:szCs w:val="24"/>
        </w:rPr>
        <w:t>。</w:t>
      </w:r>
    </w:p>
    <w:p w14:paraId="50C730A9" w14:textId="77777777" w:rsidR="00544649" w:rsidRDefault="00000000">
      <w:pPr>
        <w:keepNext/>
        <w:keepLines/>
        <w:adjustRightInd w:val="0"/>
        <w:snapToGrid w:val="0"/>
        <w:spacing w:after="0"/>
        <w:ind w:firstLineChars="0" w:firstLine="0"/>
        <w:rPr>
          <w:rFonts w:cs="Times New Roman"/>
          <w:b/>
          <w:kern w:val="21"/>
          <w:sz w:val="32"/>
        </w:rPr>
      </w:pPr>
      <w:r>
        <w:rPr>
          <w:rFonts w:cs="Times New Roman"/>
          <w:b/>
          <w:kern w:val="21"/>
          <w:sz w:val="32"/>
        </w:rPr>
        <w:t>1.3</w:t>
      </w:r>
      <w:r>
        <w:rPr>
          <w:rFonts w:cs="Times New Roman"/>
          <w:b/>
          <w:kern w:val="21"/>
          <w:sz w:val="32"/>
        </w:rPr>
        <w:t>项目特点</w:t>
      </w:r>
    </w:p>
    <w:p w14:paraId="04A2B1EB" w14:textId="77777777" w:rsidR="00544649" w:rsidRDefault="00000000">
      <w:pPr>
        <w:adjustRightInd w:val="0"/>
        <w:snapToGrid w:val="0"/>
        <w:spacing w:after="0"/>
        <w:ind w:firstLine="480"/>
        <w:rPr>
          <w:rFonts w:cs="Times New Roman"/>
          <w:kern w:val="21"/>
        </w:rPr>
      </w:pPr>
      <w:r>
        <w:rPr>
          <w:rFonts w:cs="Times New Roman"/>
          <w:kern w:val="21"/>
        </w:rPr>
        <w:t>本项目为</w:t>
      </w:r>
      <w:r>
        <w:rPr>
          <w:rFonts w:hint="eastAsia"/>
          <w:kern w:val="21"/>
        </w:rPr>
        <w:t>剑阁非笼养蛋鸡产业链项目</w:t>
      </w:r>
      <w:r>
        <w:rPr>
          <w:rFonts w:cs="Times New Roman"/>
          <w:kern w:val="21"/>
        </w:rPr>
        <w:t>，</w:t>
      </w:r>
      <w:r>
        <w:rPr>
          <w:rFonts w:cs="Times New Roman" w:hint="eastAsia"/>
          <w:kern w:val="21"/>
        </w:rPr>
        <w:t>建设存栏规模为</w:t>
      </w:r>
      <w:r>
        <w:rPr>
          <w:rFonts w:cs="Times New Roman" w:hint="eastAsia"/>
          <w:kern w:val="21"/>
        </w:rPr>
        <w:t>30</w:t>
      </w:r>
      <w:r>
        <w:rPr>
          <w:rFonts w:cs="Times New Roman" w:hint="eastAsia"/>
          <w:kern w:val="21"/>
        </w:rPr>
        <w:t>万羽蛋鸡</w:t>
      </w:r>
      <w:r>
        <w:rPr>
          <w:rFonts w:cs="Times New Roman"/>
          <w:kern w:val="21"/>
        </w:rPr>
        <w:t>，</w:t>
      </w:r>
      <w:r>
        <w:rPr>
          <w:rFonts w:cs="Times New Roman" w:hint="eastAsia"/>
          <w:kern w:val="21"/>
        </w:rPr>
        <w:t>其中育雏鸡场青年蛋鸡存栏</w:t>
      </w:r>
      <w:r>
        <w:rPr>
          <w:rFonts w:cs="Times New Roman" w:hint="eastAsia"/>
          <w:kern w:val="21"/>
        </w:rPr>
        <w:t>7.5</w:t>
      </w:r>
      <w:r>
        <w:rPr>
          <w:rFonts w:cs="Times New Roman" w:hint="eastAsia"/>
          <w:kern w:val="21"/>
        </w:rPr>
        <w:t>万羽，蛋鸡场存栏蛋鸡</w:t>
      </w:r>
      <w:r>
        <w:rPr>
          <w:rFonts w:cs="Times New Roman" w:hint="eastAsia"/>
          <w:kern w:val="21"/>
        </w:rPr>
        <w:t>22.5</w:t>
      </w:r>
      <w:r>
        <w:rPr>
          <w:rFonts w:cs="Times New Roman" w:hint="eastAsia"/>
          <w:kern w:val="21"/>
        </w:rPr>
        <w:t>万羽，</w:t>
      </w:r>
      <w:r>
        <w:rPr>
          <w:rFonts w:cs="Times New Roman"/>
          <w:kern w:val="21"/>
        </w:rPr>
        <w:t>年</w:t>
      </w:r>
      <w:r>
        <w:rPr>
          <w:rFonts w:cs="Times New Roman" w:hint="eastAsia"/>
          <w:kern w:val="21"/>
        </w:rPr>
        <w:t>产高品质鸡蛋约</w:t>
      </w:r>
      <w:r>
        <w:rPr>
          <w:rFonts w:cs="Times New Roman"/>
          <w:kern w:val="21"/>
        </w:rPr>
        <w:t>3375</w:t>
      </w:r>
      <w:r>
        <w:rPr>
          <w:rFonts w:cs="Times New Roman"/>
          <w:kern w:val="21"/>
        </w:rPr>
        <w:t>吨。</w:t>
      </w:r>
    </w:p>
    <w:p w14:paraId="709034C6" w14:textId="77777777" w:rsidR="00544649" w:rsidRDefault="00000000">
      <w:pPr>
        <w:adjustRightInd w:val="0"/>
        <w:snapToGrid w:val="0"/>
        <w:spacing w:after="0"/>
        <w:ind w:firstLine="480"/>
        <w:rPr>
          <w:rFonts w:cs="Times New Roman"/>
          <w:kern w:val="21"/>
        </w:rPr>
      </w:pPr>
      <w:r>
        <w:rPr>
          <w:rFonts w:cs="Times New Roman"/>
          <w:kern w:val="21"/>
        </w:rPr>
        <w:t>本项目特点汇总如下：</w:t>
      </w:r>
    </w:p>
    <w:p w14:paraId="674576CE" w14:textId="77777777" w:rsidR="00544649" w:rsidRDefault="00000000">
      <w:pPr>
        <w:numPr>
          <w:ilvl w:val="0"/>
          <w:numId w:val="5"/>
        </w:numPr>
        <w:adjustRightInd w:val="0"/>
        <w:snapToGrid w:val="0"/>
        <w:spacing w:after="0"/>
        <w:ind w:firstLine="480"/>
        <w:rPr>
          <w:rFonts w:cs="Times New Roman"/>
          <w:kern w:val="21"/>
        </w:rPr>
      </w:pPr>
      <w:r>
        <w:rPr>
          <w:rFonts w:cs="Times New Roman"/>
          <w:kern w:val="21"/>
        </w:rPr>
        <w:t>本项目建设性质为</w:t>
      </w:r>
      <w:r>
        <w:rPr>
          <w:rFonts w:cs="Times New Roman" w:hint="eastAsia"/>
          <w:kern w:val="21"/>
        </w:rPr>
        <w:t>新建</w:t>
      </w:r>
      <w:r>
        <w:rPr>
          <w:rFonts w:cs="Times New Roman" w:hint="eastAsia"/>
          <w:kern w:val="21"/>
          <w:szCs w:val="24"/>
        </w:rPr>
        <w:t>，</w:t>
      </w:r>
      <w:r>
        <w:rPr>
          <w:rFonts w:cs="Times New Roman"/>
          <w:kern w:val="21"/>
          <w:szCs w:val="24"/>
        </w:rPr>
        <w:t>选址</w:t>
      </w:r>
      <w:r>
        <w:rPr>
          <w:rFonts w:cs="Times New Roman" w:hint="eastAsia"/>
          <w:kern w:val="21"/>
          <w:szCs w:val="24"/>
        </w:rPr>
        <w:t>位于</w:t>
      </w:r>
      <w:r>
        <w:rPr>
          <w:rFonts w:hint="eastAsia"/>
          <w:kern w:val="21"/>
        </w:rPr>
        <w:t>四川省广元市剑阁县剑门关镇新龙村六组、双鱼村七组</w:t>
      </w:r>
      <w:r>
        <w:rPr>
          <w:rFonts w:cs="Times New Roman"/>
          <w:kern w:val="21"/>
        </w:rPr>
        <w:t>。项目</w:t>
      </w:r>
      <w:r>
        <w:rPr>
          <w:rFonts w:cs="Times New Roman" w:hint="eastAsia"/>
          <w:kern w:val="21"/>
        </w:rPr>
        <w:t>周边</w:t>
      </w:r>
      <w:r>
        <w:rPr>
          <w:rFonts w:cs="Times New Roman"/>
          <w:kern w:val="21"/>
        </w:rPr>
        <w:t>为农村环境，</w:t>
      </w:r>
      <w:r>
        <w:rPr>
          <w:rFonts w:cs="Times New Roman" w:hint="eastAsia"/>
          <w:kern w:val="21"/>
        </w:rPr>
        <w:t>不涉及</w:t>
      </w:r>
      <w:r>
        <w:rPr>
          <w:rFonts w:cs="Times New Roman"/>
          <w:kern w:val="21"/>
        </w:rPr>
        <w:t>饮用水水源保护区、风景名胜区、城镇居民区、永久基本农田保护红线、文化教育科学研究人口集中区域、江河、湖库、渠道等环境敏感区</w:t>
      </w:r>
      <w:r>
        <w:rPr>
          <w:rFonts w:cs="Times New Roman" w:hint="eastAsia"/>
          <w:kern w:val="21"/>
        </w:rPr>
        <w:t>。本项目</w:t>
      </w:r>
      <w:proofErr w:type="gramStart"/>
      <w:r>
        <w:rPr>
          <w:rFonts w:cs="Times New Roman" w:hint="eastAsia"/>
          <w:kern w:val="21"/>
        </w:rPr>
        <w:t>育雏场距离</w:t>
      </w:r>
      <w:proofErr w:type="gramEnd"/>
      <w:r>
        <w:rPr>
          <w:rFonts w:cs="Times New Roman" w:hint="eastAsia"/>
          <w:kern w:val="21"/>
        </w:rPr>
        <w:t>西侧“剑门蜀道国家级风景名胜区”最近距离为</w:t>
      </w:r>
      <w:r>
        <w:rPr>
          <w:rFonts w:cs="Times New Roman" w:hint="eastAsia"/>
          <w:kern w:val="21"/>
        </w:rPr>
        <w:t>1.34km</w:t>
      </w:r>
      <w:r>
        <w:rPr>
          <w:rFonts w:cs="Times New Roman" w:hint="eastAsia"/>
          <w:kern w:val="21"/>
        </w:rPr>
        <w:t>，</w:t>
      </w:r>
      <w:proofErr w:type="gramStart"/>
      <w:r>
        <w:rPr>
          <w:rFonts w:cs="Times New Roman" w:hint="eastAsia"/>
          <w:kern w:val="21"/>
        </w:rPr>
        <w:t>育雏场距离</w:t>
      </w:r>
      <w:proofErr w:type="gramEnd"/>
      <w:r>
        <w:rPr>
          <w:rFonts w:cs="Times New Roman" w:hint="eastAsia"/>
          <w:kern w:val="21"/>
        </w:rPr>
        <w:t>北侧“剑门关地质公园”最近距离为</w:t>
      </w:r>
      <w:r>
        <w:rPr>
          <w:rFonts w:cs="Times New Roman" w:hint="eastAsia"/>
          <w:kern w:val="21"/>
        </w:rPr>
        <w:t>2.36km</w:t>
      </w:r>
      <w:r>
        <w:rPr>
          <w:rFonts w:cs="Times New Roman" w:hint="eastAsia"/>
          <w:kern w:val="21"/>
        </w:rPr>
        <w:t>。</w:t>
      </w:r>
    </w:p>
    <w:p w14:paraId="6EEBA5CF"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根据广元市剑阁生态环境局出具的《关于剑阁非笼养蛋鸡产业链项目选址不涉及集中式饮用水水源保护区的说明》，本项目不涉及集中式饮用水水源保护区范围；根据剑阁县农业农村局出具的《证明》文件，本项目不在畜禽养殖禁养区内，符合剑阁县畜牧业发展规划。</w:t>
      </w:r>
    </w:p>
    <w:p w14:paraId="6144E265"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lastRenderedPageBreak/>
        <w:t>综上，本项目</w:t>
      </w:r>
      <w:r>
        <w:rPr>
          <w:rFonts w:cs="Times New Roman"/>
          <w:kern w:val="21"/>
          <w:szCs w:val="24"/>
        </w:rPr>
        <w:t>符合《畜禽养殖业污染防治技术规范》</w:t>
      </w:r>
      <w:r>
        <w:rPr>
          <w:rFonts w:cs="Times New Roman" w:hint="eastAsia"/>
          <w:kern w:val="21"/>
          <w:szCs w:val="24"/>
        </w:rPr>
        <w:t>，</w:t>
      </w:r>
      <w:r>
        <w:rPr>
          <w:rFonts w:cs="Times New Roman"/>
          <w:kern w:val="21"/>
          <w:szCs w:val="24"/>
        </w:rPr>
        <w:t>选址合理。</w:t>
      </w:r>
    </w:p>
    <w:p w14:paraId="2AAE219F"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hint="eastAsia"/>
          <w:kern w:val="21"/>
        </w:rPr>
        <w:t>2</w:t>
      </w:r>
      <w:r>
        <w:rPr>
          <w:rFonts w:cs="Times New Roman"/>
          <w:kern w:val="21"/>
        </w:rPr>
        <w:t>）本项目以现代化、标准化、无公害的养殖管理模式建设规模化蛋鸡养殖场，</w:t>
      </w:r>
      <w:r>
        <w:rPr>
          <w:rFonts w:cs="Times New Roman" w:hint="eastAsia"/>
          <w:kern w:val="21"/>
        </w:rPr>
        <w:t>蛋鸡</w:t>
      </w:r>
      <w:r>
        <w:rPr>
          <w:rFonts w:cs="Times New Roman"/>
          <w:kern w:val="21"/>
        </w:rPr>
        <w:t>经过约</w:t>
      </w:r>
      <w:r>
        <w:rPr>
          <w:rFonts w:cs="Times New Roman" w:hint="eastAsia"/>
          <w:kern w:val="21"/>
        </w:rPr>
        <w:t>390</w:t>
      </w:r>
      <w:r>
        <w:rPr>
          <w:rFonts w:cs="Times New Roman"/>
          <w:kern w:val="21"/>
        </w:rPr>
        <w:t>d</w:t>
      </w:r>
      <w:r>
        <w:rPr>
          <w:rFonts w:cs="Times New Roman"/>
          <w:kern w:val="21"/>
        </w:rPr>
        <w:t>的产蛋期后作为淘汰蛋鸡外售，场内不进行饲料加工，饲养工艺较为简单，</w:t>
      </w:r>
      <w:proofErr w:type="gramStart"/>
      <w:r>
        <w:rPr>
          <w:rFonts w:cs="Times New Roman"/>
          <w:kern w:val="21"/>
        </w:rPr>
        <w:t>产污环节</w:t>
      </w:r>
      <w:proofErr w:type="gramEnd"/>
      <w:r>
        <w:rPr>
          <w:rFonts w:cs="Times New Roman"/>
          <w:kern w:val="21"/>
        </w:rPr>
        <w:t>相对较少。</w:t>
      </w:r>
    </w:p>
    <w:p w14:paraId="754C9DEF"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hint="eastAsia"/>
          <w:kern w:val="21"/>
        </w:rPr>
        <w:t>3</w:t>
      </w:r>
      <w:r>
        <w:rPr>
          <w:rFonts w:cs="Times New Roman"/>
          <w:kern w:val="21"/>
        </w:rPr>
        <w:t>）</w:t>
      </w:r>
      <w:r>
        <w:rPr>
          <w:rFonts w:cs="Times New Roman" w:hint="eastAsia"/>
          <w:kern w:val="21"/>
        </w:rPr>
        <w:t>本项目属于集约化畜禽养殖，养殖过程中采用干清粪工艺，蛋鸡饲养周期内不进行鸡舍冲洗，仅在一个饲养周期结束后蛋鸡更换期间进行地面的冲洗、消毒，会产生鸡舍冲洗废水。本项目厂区内设有办公及宿舍楼，提供食宿，运营期会产生餐厨废水、生活污水。本项目育雏鸡场及产蛋鸡场均设有污水处理站，餐厨废水、职工生活污水、鸡舍清洗废水及蛋品清洗废水</w:t>
      </w:r>
      <w:proofErr w:type="gramStart"/>
      <w:r>
        <w:rPr>
          <w:rFonts w:cs="Times New Roman" w:hint="eastAsia"/>
          <w:kern w:val="21"/>
        </w:rPr>
        <w:t>一并经</w:t>
      </w:r>
      <w:proofErr w:type="gramEnd"/>
      <w:r>
        <w:rPr>
          <w:rFonts w:cs="Times New Roman" w:hint="eastAsia"/>
          <w:kern w:val="21"/>
        </w:rPr>
        <w:t>场内污水处理站处理达</w:t>
      </w:r>
      <w:bookmarkStart w:id="7" w:name="OLE_LINK14"/>
      <w:r>
        <w:rPr>
          <w:rFonts w:cs="Times New Roman" w:hint="eastAsia"/>
          <w:kern w:val="21"/>
        </w:rPr>
        <w:t>《农田灌溉水质标准》（</w:t>
      </w:r>
      <w:r>
        <w:rPr>
          <w:rFonts w:cs="Times New Roman" w:hint="eastAsia"/>
          <w:kern w:val="21"/>
        </w:rPr>
        <w:t>GB5084-2021</w:t>
      </w:r>
      <w:r>
        <w:rPr>
          <w:rFonts w:cs="Times New Roman" w:hint="eastAsia"/>
          <w:kern w:val="21"/>
        </w:rPr>
        <w:t>）</w:t>
      </w:r>
      <w:bookmarkEnd w:id="7"/>
      <w:proofErr w:type="gramStart"/>
      <w:r>
        <w:rPr>
          <w:rFonts w:cs="Times New Roman" w:hint="eastAsia"/>
          <w:kern w:val="21"/>
        </w:rPr>
        <w:t>中旱作</w:t>
      </w:r>
      <w:proofErr w:type="gramEnd"/>
      <w:r>
        <w:rPr>
          <w:rFonts w:cs="Times New Roman" w:hint="eastAsia"/>
          <w:kern w:val="21"/>
        </w:rPr>
        <w:t>标准后用于项目周边林地灌溉，不外排。</w:t>
      </w:r>
      <w:r>
        <w:rPr>
          <w:rFonts w:cs="Times New Roman"/>
          <w:kern w:val="21"/>
        </w:rPr>
        <w:t>项目废水不会对区域地表水环境产生明显不利影响。</w:t>
      </w:r>
    </w:p>
    <w:p w14:paraId="1753DD7A"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hint="eastAsia"/>
          <w:kern w:val="21"/>
        </w:rPr>
        <w:t>4</w:t>
      </w:r>
      <w:r>
        <w:rPr>
          <w:rFonts w:cs="Times New Roman"/>
          <w:kern w:val="21"/>
        </w:rPr>
        <w:t>）本项目运营期主要大气污染源为</w:t>
      </w:r>
      <w:proofErr w:type="gramStart"/>
      <w:r>
        <w:rPr>
          <w:rFonts w:cs="Times New Roman" w:hint="eastAsia"/>
          <w:kern w:val="21"/>
        </w:rPr>
        <w:t>育雏场</w:t>
      </w:r>
      <w:proofErr w:type="gramEnd"/>
      <w:r>
        <w:rPr>
          <w:rFonts w:cs="Times New Roman" w:hint="eastAsia"/>
          <w:kern w:val="21"/>
        </w:rPr>
        <w:t>和蛋鸡场</w:t>
      </w:r>
      <w:r>
        <w:rPr>
          <w:rFonts w:cs="Times New Roman"/>
          <w:kern w:val="21"/>
        </w:rPr>
        <w:t>饲养期间鸡舍产生的恶臭，</w:t>
      </w:r>
      <w:r>
        <w:rPr>
          <w:rFonts w:cs="Times New Roman" w:hint="eastAsia"/>
          <w:kern w:val="21"/>
        </w:rPr>
        <w:t>污水处理</w:t>
      </w:r>
      <w:proofErr w:type="gramStart"/>
      <w:r>
        <w:rPr>
          <w:rFonts w:cs="Times New Roman" w:hint="eastAsia"/>
          <w:kern w:val="21"/>
        </w:rPr>
        <w:t>站产生</w:t>
      </w:r>
      <w:proofErr w:type="gramEnd"/>
      <w:r>
        <w:rPr>
          <w:rFonts w:cs="Times New Roman" w:hint="eastAsia"/>
          <w:kern w:val="21"/>
        </w:rPr>
        <w:t>的恶臭废气，</w:t>
      </w:r>
      <w:r>
        <w:rPr>
          <w:rFonts w:cs="Times New Roman"/>
          <w:kern w:val="21"/>
        </w:rPr>
        <w:t>主要污染物为氨和硫化氢，</w:t>
      </w:r>
      <w:r>
        <w:rPr>
          <w:rFonts w:cs="Times New Roman" w:hint="eastAsia"/>
          <w:kern w:val="21"/>
        </w:rPr>
        <w:t>鸡舍</w:t>
      </w:r>
      <w:r>
        <w:rPr>
          <w:rFonts w:cs="Times New Roman"/>
          <w:kern w:val="21"/>
        </w:rPr>
        <w:t>通过采取喷洒除臭剂、鸡粪日产日清、合理使用鸡饲料等措施减少恶臭污染物产生及逸散</w:t>
      </w:r>
      <w:r>
        <w:rPr>
          <w:rFonts w:cs="Times New Roman" w:hint="eastAsia"/>
          <w:kern w:val="21"/>
        </w:rPr>
        <w:t>；污水处理站加盖密闭，定期喷洒除臭剂，污水处理站四周设置绿化区域。恶臭废气采取治理措施后</w:t>
      </w:r>
      <w:r>
        <w:rPr>
          <w:rFonts w:cs="Times New Roman"/>
          <w:kern w:val="21"/>
        </w:rPr>
        <w:t>对区域环境空气质量影响较小。</w:t>
      </w:r>
    </w:p>
    <w:p w14:paraId="07644A58"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hint="eastAsia"/>
          <w:kern w:val="21"/>
        </w:rPr>
        <w:t>5</w:t>
      </w:r>
      <w:r>
        <w:rPr>
          <w:rFonts w:cs="Times New Roman"/>
          <w:kern w:val="21"/>
        </w:rPr>
        <w:t>）本项目运营期噪声源主要为饲料上料系统、清粪系统、</w:t>
      </w:r>
      <w:r>
        <w:rPr>
          <w:rFonts w:ascii="宋体" w:hAnsi="宋体" w:cs="宋体" w:hint="eastAsia"/>
          <w:kern w:val="21"/>
          <w:szCs w:val="24"/>
        </w:rPr>
        <w:t>水泵等设备产生的设备噪声及</w:t>
      </w:r>
      <w:r>
        <w:rPr>
          <w:rFonts w:cs="Times New Roman"/>
          <w:kern w:val="21"/>
        </w:rPr>
        <w:t>鸡叫声（突发性）等，在采用低噪声设备，并采取减震、隔声、消声、吸声及合理布置等措施后，噪声可实现达标排放。</w:t>
      </w:r>
    </w:p>
    <w:p w14:paraId="2D84CE36"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hint="eastAsia"/>
          <w:kern w:val="21"/>
        </w:rPr>
        <w:t>6</w:t>
      </w:r>
      <w:r>
        <w:rPr>
          <w:rFonts w:cs="Times New Roman"/>
          <w:kern w:val="21"/>
        </w:rPr>
        <w:t>）本项目采用干清粪工艺，鸡粪日产日清，</w:t>
      </w:r>
      <w:proofErr w:type="gramStart"/>
      <w:r>
        <w:rPr>
          <w:rFonts w:cs="Times New Roman"/>
          <w:kern w:val="21"/>
        </w:rPr>
        <w:t>由</w:t>
      </w:r>
      <w:r>
        <w:rPr>
          <w:rFonts w:cs="Times New Roman" w:hint="eastAsia"/>
          <w:kern w:val="21"/>
        </w:rPr>
        <w:t>粪带</w:t>
      </w:r>
      <w:proofErr w:type="gramEnd"/>
      <w:r>
        <w:rPr>
          <w:rFonts w:cs="Times New Roman"/>
          <w:kern w:val="21"/>
        </w:rPr>
        <w:t>输送机转运至密闭罐车，外运至</w:t>
      </w:r>
      <w:r>
        <w:rPr>
          <w:rFonts w:cs="Times New Roman" w:hint="eastAsia"/>
          <w:kern w:val="21"/>
        </w:rPr>
        <w:t>四川省田宝生物科技有限公司</w:t>
      </w:r>
      <w:r>
        <w:rPr>
          <w:rFonts w:cs="Times New Roman"/>
          <w:kern w:val="21"/>
        </w:rPr>
        <w:t>进行有机肥生产处理，不在场内暂存；病死鸡暂存于</w:t>
      </w:r>
      <w:r>
        <w:rPr>
          <w:rFonts w:cs="Times New Roman" w:hint="eastAsia"/>
          <w:kern w:val="21"/>
        </w:rPr>
        <w:t>病死鸡</w:t>
      </w:r>
      <w:r>
        <w:rPr>
          <w:rFonts w:cs="Times New Roman"/>
          <w:kern w:val="21"/>
        </w:rPr>
        <w:t>暂存点设置的冰柜中，由</w:t>
      </w:r>
      <w:r>
        <w:rPr>
          <w:rFonts w:cs="Times New Roman" w:hint="eastAsia"/>
          <w:kern w:val="21"/>
        </w:rPr>
        <w:t>广元</w:t>
      </w:r>
      <w:proofErr w:type="gramStart"/>
      <w:r>
        <w:rPr>
          <w:rFonts w:cs="Times New Roman" w:hint="eastAsia"/>
          <w:kern w:val="21"/>
        </w:rPr>
        <w:t>市朗坤环保</w:t>
      </w:r>
      <w:proofErr w:type="gramEnd"/>
      <w:r>
        <w:rPr>
          <w:rFonts w:cs="Times New Roman" w:hint="eastAsia"/>
          <w:kern w:val="21"/>
        </w:rPr>
        <w:t>科技有限公司当日</w:t>
      </w:r>
      <w:r>
        <w:rPr>
          <w:rFonts w:cs="Times New Roman"/>
          <w:kern w:val="21"/>
        </w:rPr>
        <w:t>清运后进行无害化处理。本项目各类</w:t>
      </w:r>
      <w:proofErr w:type="gramStart"/>
      <w:r>
        <w:rPr>
          <w:rFonts w:cs="Times New Roman"/>
          <w:kern w:val="21"/>
        </w:rPr>
        <w:t>固体废物经减量化</w:t>
      </w:r>
      <w:proofErr w:type="gramEnd"/>
      <w:r>
        <w:rPr>
          <w:rFonts w:cs="Times New Roman"/>
          <w:kern w:val="21"/>
        </w:rPr>
        <w:t>、无害化处理后，均能得到妥善处置，对周围环境的影响较小。</w:t>
      </w:r>
    </w:p>
    <w:p w14:paraId="5AE7C8F4"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hint="eastAsia"/>
          <w:kern w:val="21"/>
        </w:rPr>
        <w:t>7</w:t>
      </w:r>
      <w:r>
        <w:rPr>
          <w:rFonts w:cs="Times New Roman"/>
          <w:kern w:val="21"/>
        </w:rPr>
        <w:t>）本项目</w:t>
      </w:r>
      <w:proofErr w:type="gramStart"/>
      <w:r>
        <w:rPr>
          <w:rFonts w:cs="Times New Roman"/>
          <w:kern w:val="21"/>
        </w:rPr>
        <w:t>运营期拟对</w:t>
      </w:r>
      <w:proofErr w:type="gramEnd"/>
      <w:r>
        <w:rPr>
          <w:rFonts w:cs="Times New Roman" w:hint="eastAsia"/>
          <w:kern w:val="21"/>
          <w:szCs w:val="21"/>
        </w:rPr>
        <w:t>病检室、消毒池、车辆消毒棚、危险废物暂存间、发电机房、储油间、淸粪</w:t>
      </w:r>
      <w:r>
        <w:rPr>
          <w:rFonts w:cs="Times New Roman"/>
          <w:kern w:val="21"/>
          <w:szCs w:val="24"/>
        </w:rPr>
        <w:t>坑以及污水处理设施区采取重点防渗，在防渗混凝土基础上增设</w:t>
      </w:r>
      <w:r>
        <w:rPr>
          <w:rFonts w:cs="Times New Roman"/>
          <w:kern w:val="21"/>
          <w:szCs w:val="24"/>
        </w:rPr>
        <w:t>2mm</w:t>
      </w:r>
      <w:r>
        <w:rPr>
          <w:rFonts w:cs="Times New Roman"/>
          <w:kern w:val="21"/>
          <w:szCs w:val="24"/>
        </w:rPr>
        <w:t>厚高密度聚乙烯膜进行防渗处理</w:t>
      </w:r>
      <w:r>
        <w:rPr>
          <w:rFonts w:cs="Times New Roman" w:hint="eastAsia"/>
          <w:kern w:val="21"/>
          <w:szCs w:val="24"/>
        </w:rPr>
        <w:t>，</w:t>
      </w:r>
      <w:r>
        <w:rPr>
          <w:rFonts w:cs="Times New Roman"/>
          <w:kern w:val="21"/>
          <w:szCs w:val="24"/>
        </w:rPr>
        <w:t>等效黏土防渗层</w:t>
      </w:r>
      <w:r>
        <w:rPr>
          <w:rFonts w:cs="Times New Roman"/>
          <w:kern w:val="21"/>
          <w:szCs w:val="24"/>
        </w:rPr>
        <w:t>Mb≥6.0m</w:t>
      </w:r>
      <w:r>
        <w:rPr>
          <w:rFonts w:cs="Times New Roman"/>
          <w:kern w:val="21"/>
          <w:szCs w:val="24"/>
        </w:rPr>
        <w:t>，</w:t>
      </w:r>
      <w:r>
        <w:rPr>
          <w:rFonts w:cs="Times New Roman"/>
          <w:kern w:val="21"/>
          <w:szCs w:val="24"/>
        </w:rPr>
        <w:t>K≤1.0×10</w:t>
      </w:r>
      <w:r>
        <w:rPr>
          <w:rFonts w:cs="Times New Roman"/>
          <w:kern w:val="21"/>
          <w:szCs w:val="24"/>
          <w:vertAlign w:val="superscript"/>
        </w:rPr>
        <w:t>-7</w:t>
      </w:r>
      <w:r>
        <w:rPr>
          <w:rFonts w:cs="Times New Roman"/>
          <w:kern w:val="21"/>
          <w:szCs w:val="24"/>
        </w:rPr>
        <w:t>cm/s</w:t>
      </w:r>
      <w:r>
        <w:rPr>
          <w:rFonts w:cs="Times New Roman"/>
          <w:kern w:val="21"/>
          <w:szCs w:val="24"/>
        </w:rPr>
        <w:t>；</w:t>
      </w:r>
      <w:r>
        <w:rPr>
          <w:rFonts w:cs="Times New Roman" w:hint="eastAsia"/>
          <w:kern w:val="21"/>
          <w:szCs w:val="24"/>
        </w:rPr>
        <w:t>其中</w:t>
      </w:r>
      <w:r>
        <w:rPr>
          <w:rFonts w:cs="Times New Roman"/>
          <w:kern w:val="21"/>
          <w:szCs w:val="24"/>
        </w:rPr>
        <w:t>危险废物暂存间</w:t>
      </w:r>
      <w:r>
        <w:rPr>
          <w:rFonts w:cs="Times New Roman" w:hint="eastAsia"/>
          <w:kern w:val="21"/>
          <w:szCs w:val="24"/>
        </w:rPr>
        <w:t>应</w:t>
      </w:r>
      <w:r>
        <w:rPr>
          <w:rFonts w:cs="Times New Roman"/>
          <w:kern w:val="21"/>
          <w:szCs w:val="24"/>
        </w:rPr>
        <w:t>按照《危险废物贮存污染控制标准》（</w:t>
      </w:r>
      <w:r>
        <w:rPr>
          <w:rFonts w:cs="Times New Roman"/>
          <w:kern w:val="21"/>
          <w:szCs w:val="24"/>
        </w:rPr>
        <w:t>GB18597-2023</w:t>
      </w:r>
      <w:r>
        <w:rPr>
          <w:rFonts w:cs="Times New Roman"/>
          <w:kern w:val="21"/>
          <w:szCs w:val="24"/>
        </w:rPr>
        <w:t>）要求，</w:t>
      </w:r>
      <w:r>
        <w:rPr>
          <w:rFonts w:cs="Times New Roman" w:hint="eastAsia"/>
          <w:kern w:val="21"/>
          <w:szCs w:val="24"/>
        </w:rPr>
        <w:t>危险废物暂存间设置防渗托盘</w:t>
      </w:r>
      <w:r>
        <w:rPr>
          <w:rFonts w:cs="Times New Roman"/>
          <w:kern w:val="21"/>
          <w:szCs w:val="24"/>
        </w:rPr>
        <w:t>，防渗技术要求为等效黏土防渗层</w:t>
      </w:r>
      <w:r>
        <w:rPr>
          <w:rFonts w:cs="Times New Roman"/>
          <w:kern w:val="21"/>
          <w:szCs w:val="24"/>
        </w:rPr>
        <w:t>Mb≥6.0m</w:t>
      </w:r>
      <w:r>
        <w:rPr>
          <w:rFonts w:cs="Times New Roman"/>
          <w:kern w:val="21"/>
          <w:szCs w:val="24"/>
        </w:rPr>
        <w:t>，</w:t>
      </w:r>
      <w:r>
        <w:rPr>
          <w:rFonts w:cs="Times New Roman"/>
          <w:kern w:val="21"/>
          <w:szCs w:val="24"/>
        </w:rPr>
        <w:t>K≤1×10</w:t>
      </w:r>
      <w:r>
        <w:rPr>
          <w:rFonts w:cs="Times New Roman"/>
          <w:kern w:val="21"/>
          <w:szCs w:val="24"/>
          <w:vertAlign w:val="superscript"/>
        </w:rPr>
        <w:t>-10</w:t>
      </w:r>
      <w:r>
        <w:rPr>
          <w:rFonts w:cs="Times New Roman"/>
          <w:kern w:val="21"/>
          <w:szCs w:val="24"/>
        </w:rPr>
        <w:t>cm/s</w:t>
      </w:r>
      <w:r>
        <w:rPr>
          <w:rFonts w:cs="Times New Roman"/>
          <w:kern w:val="21"/>
          <w:szCs w:val="24"/>
        </w:rPr>
        <w:t>，本项目</w:t>
      </w:r>
      <w:r>
        <w:rPr>
          <w:rFonts w:cs="Times New Roman" w:hint="eastAsia"/>
          <w:kern w:val="21"/>
          <w:szCs w:val="24"/>
        </w:rPr>
        <w:t>危险</w:t>
      </w:r>
      <w:r>
        <w:rPr>
          <w:rFonts w:cs="Times New Roman"/>
          <w:kern w:val="21"/>
          <w:szCs w:val="24"/>
        </w:rPr>
        <w:t>废物暂存间</w:t>
      </w:r>
      <w:r>
        <w:rPr>
          <w:rFonts w:cs="Times New Roman" w:hint="eastAsia"/>
          <w:kern w:val="21"/>
          <w:szCs w:val="24"/>
        </w:rPr>
        <w:t>内</w:t>
      </w:r>
      <w:r>
        <w:rPr>
          <w:rFonts w:cs="Times New Roman"/>
          <w:kern w:val="21"/>
          <w:szCs w:val="24"/>
        </w:rPr>
        <w:t>采取分区域设置，医疗废物与其他危险废物分类收集，密封</w:t>
      </w:r>
      <w:r>
        <w:rPr>
          <w:rFonts w:cs="Times New Roman"/>
          <w:kern w:val="21"/>
          <w:szCs w:val="24"/>
        </w:rPr>
        <w:lastRenderedPageBreak/>
        <w:t>包装，分区域暂存</w:t>
      </w:r>
      <w:r>
        <w:rPr>
          <w:rFonts w:cs="Times New Roman"/>
          <w:kern w:val="21"/>
        </w:rPr>
        <w:t>；对</w:t>
      </w:r>
      <w:r>
        <w:rPr>
          <w:rFonts w:cs="Times New Roman" w:hint="eastAsia"/>
          <w:kern w:val="21"/>
        </w:rPr>
        <w:t>养殖鸡舍、蛋品车间、临时库房、蓄水池初期雨水收集池及污水暂存池等</w:t>
      </w:r>
      <w:r>
        <w:rPr>
          <w:rFonts w:cs="Times New Roman"/>
          <w:kern w:val="21"/>
        </w:rPr>
        <w:t>采取一般防渗，等效黏土防渗层</w:t>
      </w:r>
      <w:r>
        <w:rPr>
          <w:rFonts w:cs="Times New Roman"/>
          <w:kern w:val="21"/>
        </w:rPr>
        <w:t>Mb≥1.5m</w:t>
      </w:r>
      <w:r>
        <w:rPr>
          <w:rFonts w:cs="Times New Roman"/>
          <w:kern w:val="21"/>
        </w:rPr>
        <w:t>，</w:t>
      </w:r>
      <w:r>
        <w:rPr>
          <w:rFonts w:cs="Times New Roman"/>
          <w:kern w:val="21"/>
        </w:rPr>
        <w:t>K≤1×10</w:t>
      </w:r>
      <w:r>
        <w:rPr>
          <w:rFonts w:cs="Times New Roman"/>
          <w:kern w:val="21"/>
          <w:vertAlign w:val="superscript"/>
        </w:rPr>
        <w:t>-7</w:t>
      </w:r>
      <w:r>
        <w:rPr>
          <w:rFonts w:cs="Times New Roman"/>
          <w:kern w:val="21"/>
        </w:rPr>
        <w:t>cm/s</w:t>
      </w:r>
      <w:r>
        <w:rPr>
          <w:rFonts w:cs="Times New Roman"/>
          <w:kern w:val="21"/>
        </w:rPr>
        <w:t>；</w:t>
      </w:r>
      <w:r>
        <w:rPr>
          <w:rFonts w:cs="Times New Roman" w:hint="eastAsia"/>
          <w:kern w:val="21"/>
        </w:rPr>
        <w:t>办公生活区、门卫室及场内道路</w:t>
      </w:r>
      <w:r>
        <w:rPr>
          <w:rFonts w:cs="Times New Roman"/>
          <w:kern w:val="21"/>
        </w:rPr>
        <w:t>等其他区域采取简单防渗，即一般地面硬化。</w:t>
      </w:r>
    </w:p>
    <w:p w14:paraId="09152298"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hint="eastAsia"/>
          <w:kern w:val="21"/>
        </w:rPr>
        <w:t>8</w:t>
      </w:r>
      <w:r>
        <w:rPr>
          <w:rFonts w:cs="Times New Roman"/>
          <w:kern w:val="21"/>
        </w:rPr>
        <w:t>）项目的环境风险源主要有柴油泄漏、</w:t>
      </w:r>
      <w:r>
        <w:rPr>
          <w:rFonts w:cs="Times New Roman" w:hint="eastAsia"/>
          <w:kern w:val="21"/>
        </w:rPr>
        <w:t>污水处理设施故障、</w:t>
      </w:r>
      <w:r>
        <w:rPr>
          <w:rFonts w:cs="Times New Roman"/>
          <w:kern w:val="21"/>
        </w:rPr>
        <w:t>动物疫情等，</w:t>
      </w:r>
      <w:r>
        <w:rPr>
          <w:rFonts w:cs="Times New Roman" w:hint="eastAsia"/>
          <w:kern w:val="21"/>
        </w:rPr>
        <w:t>本次评价</w:t>
      </w:r>
      <w:r>
        <w:rPr>
          <w:rFonts w:cs="Times New Roman"/>
          <w:kern w:val="21"/>
        </w:rPr>
        <w:t>拟采取相应的风险防范措施，项目环境风险可控。</w:t>
      </w:r>
      <w:bookmarkStart w:id="8" w:name="_Toc81906165"/>
      <w:bookmarkStart w:id="9" w:name="_Toc92983225"/>
      <w:bookmarkStart w:id="10" w:name="_Toc83853391"/>
      <w:bookmarkStart w:id="11" w:name="_Toc101688655"/>
      <w:bookmarkStart w:id="12" w:name="_Toc106904114"/>
      <w:bookmarkStart w:id="13" w:name="_Toc93219724"/>
      <w:bookmarkStart w:id="14" w:name="_Toc103868629"/>
      <w:bookmarkStart w:id="15" w:name="_Toc85016836"/>
      <w:bookmarkStart w:id="16" w:name="_Toc92984123"/>
      <w:bookmarkStart w:id="17" w:name="_Toc105664556"/>
      <w:bookmarkStart w:id="18" w:name="_Toc95980507"/>
      <w:bookmarkStart w:id="19" w:name="_Toc106904115"/>
      <w:bookmarkStart w:id="20" w:name="_Toc92873348"/>
      <w:bookmarkStart w:id="21" w:name="_Toc92983449"/>
      <w:bookmarkStart w:id="22" w:name="_Toc99100373"/>
      <w:bookmarkStart w:id="23" w:name="_Toc92984122"/>
      <w:bookmarkStart w:id="24" w:name="_Toc105577096"/>
      <w:bookmarkStart w:id="25" w:name="_Toc102722497"/>
      <w:bookmarkStart w:id="26" w:name="_Toc101688654"/>
      <w:bookmarkStart w:id="27" w:name="_Toc83710958"/>
      <w:bookmarkStart w:id="28" w:name="_Toc82007295"/>
      <w:bookmarkStart w:id="29" w:name="_Toc103868309"/>
      <w:bookmarkStart w:id="30" w:name="_Toc82007296"/>
      <w:bookmarkStart w:id="31" w:name="_Toc105664555"/>
      <w:bookmarkStart w:id="32" w:name="_Toc106293177"/>
      <w:bookmarkStart w:id="33" w:name="_Toc93219725"/>
      <w:bookmarkStart w:id="34" w:name="_Toc102722496"/>
      <w:bookmarkStart w:id="35" w:name="_Toc103868630"/>
      <w:bookmarkStart w:id="36" w:name="_Toc81906166"/>
      <w:bookmarkStart w:id="37" w:name="_Toc92465900"/>
      <w:bookmarkStart w:id="38" w:name="_Toc92873347"/>
      <w:bookmarkStart w:id="39" w:name="_Toc95980506"/>
      <w:bookmarkStart w:id="40" w:name="_Toc103868308"/>
      <w:bookmarkStart w:id="41" w:name="_Toc105577095"/>
      <w:bookmarkStart w:id="42" w:name="_Toc83710959"/>
      <w:bookmarkStart w:id="43" w:name="_Toc92983224"/>
      <w:bookmarkStart w:id="44" w:name="_Toc85016837"/>
      <w:bookmarkStart w:id="45" w:name="_Toc99100372"/>
      <w:bookmarkStart w:id="46" w:name="_Toc106290881"/>
      <w:bookmarkStart w:id="47" w:name="_Toc106293178"/>
      <w:bookmarkStart w:id="48" w:name="_Toc106290882"/>
      <w:bookmarkStart w:id="49" w:name="_Toc83760686"/>
      <w:bookmarkStart w:id="50" w:name="_Toc83760687"/>
      <w:bookmarkStart w:id="51" w:name="_Toc103271287"/>
      <w:bookmarkStart w:id="52" w:name="_Toc83853392"/>
      <w:bookmarkStart w:id="53" w:name="_Toc92983448"/>
      <w:bookmarkStart w:id="54" w:name="_Toc92465899"/>
      <w:bookmarkStart w:id="55" w:name="_Toc83761563"/>
      <w:bookmarkStart w:id="56" w:name="_Toc103271288"/>
      <w:bookmarkStart w:id="57" w:name="_Toc8376156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ADCCE8E" w14:textId="77777777" w:rsidR="00544649" w:rsidRDefault="00000000">
      <w:pPr>
        <w:keepNext/>
        <w:adjustRightInd w:val="0"/>
        <w:snapToGrid w:val="0"/>
        <w:spacing w:after="0"/>
        <w:ind w:firstLineChars="0" w:firstLine="0"/>
        <w:rPr>
          <w:rFonts w:cs="Times New Roman"/>
          <w:b/>
          <w:bCs/>
          <w:kern w:val="21"/>
          <w:sz w:val="32"/>
          <w:szCs w:val="28"/>
        </w:rPr>
      </w:pPr>
      <w:bookmarkStart w:id="58" w:name="_Toc20989"/>
      <w:r>
        <w:rPr>
          <w:rFonts w:cs="Times New Roman"/>
          <w:b/>
          <w:bCs/>
          <w:kern w:val="21"/>
          <w:sz w:val="32"/>
          <w:szCs w:val="28"/>
        </w:rPr>
        <w:t>1.4</w:t>
      </w:r>
      <w:bookmarkEnd w:id="58"/>
      <w:r>
        <w:rPr>
          <w:rFonts w:cs="Times New Roman" w:hint="eastAsia"/>
          <w:b/>
          <w:bCs/>
          <w:kern w:val="21"/>
          <w:sz w:val="32"/>
          <w:szCs w:val="28"/>
        </w:rPr>
        <w:t>项目相关判定情况</w:t>
      </w:r>
    </w:p>
    <w:p w14:paraId="53ECCCF1" w14:textId="77777777" w:rsidR="00544649" w:rsidRDefault="00000000">
      <w:pPr>
        <w:adjustRightInd w:val="0"/>
        <w:snapToGrid w:val="0"/>
        <w:spacing w:after="0"/>
        <w:ind w:firstLine="480"/>
        <w:rPr>
          <w:rFonts w:cs="Times New Roman"/>
          <w:kern w:val="21"/>
        </w:rPr>
      </w:pPr>
      <w:r>
        <w:rPr>
          <w:rFonts w:cs="Times New Roman"/>
          <w:kern w:val="21"/>
        </w:rPr>
        <w:t>根据建设单位提供的资料，本项目相关判定情况如下所示：</w:t>
      </w:r>
    </w:p>
    <w:p w14:paraId="3E7F0B99" w14:textId="77777777" w:rsidR="00544649" w:rsidRDefault="00000000">
      <w:pPr>
        <w:numPr>
          <w:ilvl w:val="0"/>
          <w:numId w:val="6"/>
        </w:numPr>
        <w:adjustRightInd w:val="0"/>
        <w:snapToGrid w:val="0"/>
        <w:spacing w:after="0"/>
        <w:ind w:left="0" w:firstLine="480"/>
        <w:rPr>
          <w:rFonts w:cs="Times New Roman"/>
          <w:kern w:val="21"/>
        </w:rPr>
      </w:pPr>
      <w:r>
        <w:rPr>
          <w:rFonts w:cs="Times New Roman"/>
          <w:kern w:val="21"/>
          <w:szCs w:val="24"/>
          <w:lang w:bidi="ar"/>
        </w:rPr>
        <w:t>根据生态环境部《建设项目环境影响评价分类管理名录》（</w:t>
      </w:r>
      <w:r>
        <w:rPr>
          <w:rFonts w:cs="Times New Roman"/>
          <w:kern w:val="21"/>
          <w:szCs w:val="24"/>
          <w:lang w:bidi="ar"/>
        </w:rPr>
        <w:t>2021</w:t>
      </w:r>
      <w:r>
        <w:rPr>
          <w:rFonts w:cs="Times New Roman"/>
          <w:kern w:val="21"/>
          <w:szCs w:val="24"/>
          <w:lang w:bidi="ar"/>
        </w:rPr>
        <w:t>年版）（部令第</w:t>
      </w:r>
      <w:r>
        <w:rPr>
          <w:rFonts w:cs="Times New Roman"/>
          <w:kern w:val="21"/>
          <w:szCs w:val="24"/>
          <w:lang w:bidi="ar"/>
        </w:rPr>
        <w:t>16</w:t>
      </w:r>
      <w:r>
        <w:rPr>
          <w:rFonts w:cs="Times New Roman"/>
          <w:kern w:val="21"/>
          <w:szCs w:val="24"/>
          <w:lang w:bidi="ar"/>
        </w:rPr>
        <w:t>号），</w:t>
      </w:r>
      <w:r>
        <w:rPr>
          <w:rFonts w:cs="Times New Roman" w:hint="eastAsia"/>
          <w:kern w:val="21"/>
          <w:szCs w:val="24"/>
        </w:rPr>
        <w:t>本项目属于“二、畜牧业”中“</w:t>
      </w:r>
      <w:r>
        <w:rPr>
          <w:rFonts w:cs="Times New Roman" w:hint="eastAsia"/>
          <w:kern w:val="21"/>
          <w:szCs w:val="24"/>
        </w:rPr>
        <w:t>3</w:t>
      </w:r>
      <w:r>
        <w:rPr>
          <w:rFonts w:cs="Times New Roman" w:hint="eastAsia"/>
          <w:kern w:val="21"/>
          <w:szCs w:val="24"/>
        </w:rPr>
        <w:t>家禽饲养</w:t>
      </w:r>
      <w:r>
        <w:rPr>
          <w:rFonts w:cs="Times New Roman" w:hint="eastAsia"/>
          <w:kern w:val="21"/>
          <w:szCs w:val="24"/>
        </w:rPr>
        <w:t>032</w:t>
      </w:r>
      <w:r>
        <w:rPr>
          <w:rFonts w:cs="Times New Roman" w:hint="eastAsia"/>
          <w:kern w:val="21"/>
          <w:szCs w:val="24"/>
        </w:rPr>
        <w:t>”“存栏生猪</w:t>
      </w:r>
      <w:r>
        <w:rPr>
          <w:rFonts w:cs="Times New Roman" w:hint="eastAsia"/>
          <w:kern w:val="21"/>
          <w:szCs w:val="24"/>
        </w:rPr>
        <w:t>2500</w:t>
      </w:r>
      <w:r>
        <w:rPr>
          <w:rFonts w:cs="Times New Roman" w:hint="eastAsia"/>
          <w:kern w:val="21"/>
          <w:szCs w:val="24"/>
        </w:rPr>
        <w:t>头（其他畜禽种类折合猪的养殖规模）及以上无出栏量的规模化畜禽养殖”，应编制环境影响报告书；</w:t>
      </w:r>
    </w:p>
    <w:p w14:paraId="2AECC274" w14:textId="77777777" w:rsidR="00544649" w:rsidRDefault="00000000">
      <w:pPr>
        <w:numPr>
          <w:ilvl w:val="0"/>
          <w:numId w:val="6"/>
        </w:numPr>
        <w:adjustRightInd w:val="0"/>
        <w:snapToGrid w:val="0"/>
        <w:spacing w:after="0"/>
        <w:ind w:left="0" w:firstLine="480"/>
        <w:rPr>
          <w:rFonts w:cs="Times New Roman"/>
          <w:kern w:val="21"/>
        </w:rPr>
      </w:pPr>
      <w:r>
        <w:rPr>
          <w:rFonts w:cs="Times New Roman"/>
          <w:kern w:val="21"/>
        </w:rPr>
        <w:t>该项目已经取得</w:t>
      </w:r>
      <w:r>
        <w:rPr>
          <w:rFonts w:cs="Times New Roman" w:hint="eastAsia"/>
          <w:kern w:val="21"/>
        </w:rPr>
        <w:t>剑阁县发展和</w:t>
      </w:r>
      <w:proofErr w:type="gramStart"/>
      <w:r>
        <w:rPr>
          <w:rFonts w:cs="Times New Roman" w:hint="eastAsia"/>
          <w:kern w:val="21"/>
        </w:rPr>
        <w:t>改革局</w:t>
      </w:r>
      <w:proofErr w:type="gramEnd"/>
      <w:r>
        <w:rPr>
          <w:rFonts w:cs="Times New Roman"/>
          <w:kern w:val="21"/>
        </w:rPr>
        <w:t>对本项目备案</w:t>
      </w:r>
      <w:r>
        <w:rPr>
          <w:rFonts w:cs="Times New Roman" w:hint="eastAsia"/>
          <w:kern w:val="21"/>
          <w:szCs w:val="24"/>
        </w:rPr>
        <w:t>（</w:t>
      </w:r>
      <w:r>
        <w:rPr>
          <w:rFonts w:cs="Times New Roman" w:hint="eastAsia"/>
          <w:kern w:val="21"/>
        </w:rPr>
        <w:t>川投资备【</w:t>
      </w:r>
      <w:r>
        <w:rPr>
          <w:rFonts w:cs="Times New Roman" w:hint="eastAsia"/>
          <w:kern w:val="21"/>
        </w:rPr>
        <w:t>2410-510823-04-01-461039</w:t>
      </w:r>
      <w:r>
        <w:rPr>
          <w:rFonts w:cs="Times New Roman" w:hint="eastAsia"/>
          <w:kern w:val="21"/>
        </w:rPr>
        <w:t>】</w:t>
      </w:r>
      <w:r>
        <w:rPr>
          <w:rFonts w:cs="Times New Roman" w:hint="eastAsia"/>
          <w:kern w:val="21"/>
        </w:rPr>
        <w:t>FGQB-0196</w:t>
      </w:r>
      <w:r>
        <w:rPr>
          <w:rFonts w:cs="Times New Roman" w:hint="eastAsia"/>
          <w:kern w:val="21"/>
        </w:rPr>
        <w:t>号</w:t>
      </w:r>
      <w:r>
        <w:rPr>
          <w:rFonts w:cs="Times New Roman" w:hint="eastAsia"/>
          <w:kern w:val="21"/>
          <w:szCs w:val="24"/>
        </w:rPr>
        <w:t>），</w:t>
      </w:r>
      <w:r>
        <w:rPr>
          <w:rFonts w:cs="Times New Roman"/>
          <w:kern w:val="21"/>
          <w:szCs w:val="24"/>
        </w:rPr>
        <w:t>原则上同意本项目建设；</w:t>
      </w:r>
    </w:p>
    <w:p w14:paraId="57EC95C2" w14:textId="77777777" w:rsidR="00544649" w:rsidRDefault="00000000">
      <w:pPr>
        <w:numPr>
          <w:ilvl w:val="0"/>
          <w:numId w:val="6"/>
        </w:numPr>
        <w:adjustRightInd w:val="0"/>
        <w:snapToGrid w:val="0"/>
        <w:spacing w:after="0"/>
        <w:ind w:left="0" w:firstLine="480"/>
        <w:rPr>
          <w:rFonts w:cs="Times New Roman"/>
          <w:kern w:val="21"/>
        </w:rPr>
      </w:pPr>
      <w:r>
        <w:rPr>
          <w:rFonts w:cs="Times New Roman"/>
          <w:kern w:val="21"/>
          <w:szCs w:val="24"/>
        </w:rPr>
        <w:t>根</w:t>
      </w:r>
      <w:r>
        <w:rPr>
          <w:rFonts w:cs="Times New Roman" w:hint="eastAsia"/>
          <w:kern w:val="21"/>
          <w:szCs w:val="24"/>
        </w:rPr>
        <w:t>据国家发展和改革委员会</w:t>
      </w:r>
      <w:r>
        <w:rPr>
          <w:rFonts w:cs="Times New Roman" w:hint="eastAsia"/>
          <w:kern w:val="21"/>
          <w:szCs w:val="24"/>
        </w:rPr>
        <w:t>2023</w:t>
      </w:r>
      <w:r>
        <w:rPr>
          <w:rFonts w:cs="Times New Roman" w:hint="eastAsia"/>
          <w:kern w:val="21"/>
          <w:szCs w:val="24"/>
        </w:rPr>
        <w:t>年第</w:t>
      </w:r>
      <w:r>
        <w:rPr>
          <w:rFonts w:cs="Times New Roman" w:hint="eastAsia"/>
          <w:kern w:val="21"/>
          <w:szCs w:val="24"/>
        </w:rPr>
        <w:t>7</w:t>
      </w:r>
      <w:r>
        <w:rPr>
          <w:rFonts w:cs="Times New Roman" w:hint="eastAsia"/>
          <w:kern w:val="21"/>
          <w:szCs w:val="24"/>
        </w:rPr>
        <w:t>号令《产业结构调整指导目录（</w:t>
      </w:r>
      <w:r>
        <w:rPr>
          <w:rFonts w:cs="Times New Roman" w:hint="eastAsia"/>
          <w:kern w:val="21"/>
          <w:szCs w:val="24"/>
        </w:rPr>
        <w:t>2024</w:t>
      </w:r>
      <w:r>
        <w:rPr>
          <w:rFonts w:cs="Times New Roman" w:hint="eastAsia"/>
          <w:kern w:val="21"/>
          <w:szCs w:val="24"/>
        </w:rPr>
        <w:t>年本）》</w:t>
      </w:r>
      <w:r>
        <w:rPr>
          <w:rFonts w:cs="Times New Roman"/>
          <w:kern w:val="21"/>
          <w:szCs w:val="24"/>
        </w:rPr>
        <w:t>，该项目属于</w:t>
      </w:r>
      <w:r>
        <w:rPr>
          <w:rFonts w:cs="Times New Roman" w:hint="eastAsia"/>
          <w:kern w:val="21"/>
          <w:szCs w:val="24"/>
        </w:rPr>
        <w:t>“</w:t>
      </w:r>
      <w:r>
        <w:rPr>
          <w:rFonts w:cs="Times New Roman"/>
          <w:kern w:val="21"/>
          <w:szCs w:val="24"/>
        </w:rPr>
        <w:t>鼓励类</w:t>
      </w:r>
      <w:r>
        <w:rPr>
          <w:rFonts w:cs="Times New Roman" w:hint="eastAsia"/>
          <w:kern w:val="21"/>
          <w:szCs w:val="24"/>
        </w:rPr>
        <w:t>”</w:t>
      </w:r>
      <w:r>
        <w:rPr>
          <w:rFonts w:cs="Times New Roman"/>
          <w:kern w:val="21"/>
          <w:szCs w:val="24"/>
        </w:rPr>
        <w:t>第</w:t>
      </w:r>
      <w:r>
        <w:rPr>
          <w:rFonts w:cs="Times New Roman" w:hint="eastAsia"/>
          <w:kern w:val="21"/>
          <w:szCs w:val="24"/>
        </w:rPr>
        <w:t>一</w:t>
      </w:r>
      <w:r>
        <w:rPr>
          <w:rFonts w:cs="Times New Roman"/>
          <w:kern w:val="21"/>
          <w:szCs w:val="24"/>
        </w:rPr>
        <w:t>条</w:t>
      </w:r>
      <w:r>
        <w:rPr>
          <w:rFonts w:cs="Times New Roman" w:hint="eastAsia"/>
          <w:kern w:val="21"/>
          <w:szCs w:val="24"/>
        </w:rPr>
        <w:t>“农林牧渔业”</w:t>
      </w:r>
      <w:r>
        <w:rPr>
          <w:rFonts w:cs="Times New Roman"/>
          <w:kern w:val="21"/>
          <w:szCs w:val="24"/>
        </w:rPr>
        <w:t>中第</w:t>
      </w:r>
      <w:r>
        <w:rPr>
          <w:rFonts w:cs="Times New Roman"/>
          <w:kern w:val="21"/>
          <w:szCs w:val="24"/>
        </w:rPr>
        <w:t>1</w:t>
      </w:r>
      <w:r>
        <w:rPr>
          <w:rFonts w:cs="Times New Roman" w:hint="eastAsia"/>
          <w:kern w:val="21"/>
          <w:szCs w:val="24"/>
        </w:rPr>
        <w:t>4</w:t>
      </w:r>
      <w:r>
        <w:rPr>
          <w:rFonts w:cs="Times New Roman"/>
          <w:kern w:val="21"/>
          <w:szCs w:val="24"/>
        </w:rPr>
        <w:t>款</w:t>
      </w:r>
      <w:r>
        <w:rPr>
          <w:rFonts w:cs="Times New Roman" w:hint="eastAsia"/>
          <w:kern w:val="21"/>
          <w:szCs w:val="24"/>
        </w:rPr>
        <w:t>“畜禽标准化规模养殖技</w:t>
      </w:r>
      <w:r>
        <w:rPr>
          <w:rFonts w:cs="Times New Roman"/>
          <w:kern w:val="21"/>
          <w:szCs w:val="24"/>
        </w:rPr>
        <w:t>术开发与应用</w:t>
      </w:r>
      <w:r>
        <w:rPr>
          <w:rFonts w:cs="Times New Roman" w:hint="eastAsia"/>
          <w:kern w:val="21"/>
          <w:szCs w:val="24"/>
        </w:rPr>
        <w:t>”</w:t>
      </w:r>
      <w:r>
        <w:rPr>
          <w:rFonts w:cs="Times New Roman"/>
          <w:kern w:val="21"/>
          <w:szCs w:val="24"/>
        </w:rPr>
        <w:t>；</w:t>
      </w:r>
    </w:p>
    <w:p w14:paraId="2A3A2778" w14:textId="77777777" w:rsidR="00544649" w:rsidRDefault="00000000">
      <w:pPr>
        <w:numPr>
          <w:ilvl w:val="0"/>
          <w:numId w:val="6"/>
        </w:numPr>
        <w:adjustRightInd w:val="0"/>
        <w:snapToGrid w:val="0"/>
        <w:spacing w:after="0"/>
        <w:ind w:left="0" w:firstLine="480"/>
        <w:rPr>
          <w:rFonts w:cs="Times New Roman"/>
          <w:kern w:val="21"/>
        </w:rPr>
      </w:pPr>
      <w:r>
        <w:rPr>
          <w:rFonts w:cs="Times New Roman"/>
          <w:kern w:val="21"/>
        </w:rPr>
        <w:t>根据</w:t>
      </w:r>
      <w:r>
        <w:rPr>
          <w:rFonts w:cs="Times New Roman" w:hint="eastAsia"/>
          <w:kern w:val="21"/>
        </w:rPr>
        <w:t>剑门关</w:t>
      </w:r>
      <w:r>
        <w:rPr>
          <w:rFonts w:cs="Times New Roman"/>
          <w:kern w:val="21"/>
        </w:rPr>
        <w:t>镇人民政府出具《设施农用地项目信息备案表》，本项目符合农业发展政策和规划，建设内容符合有关规定，农村土地承包经营权流转符合相关规定，选址符合规定，土地复垦措施可行、用地未超过规定控制规模和比例，不占用永久基本农田，符合设施用地备案要求。</w:t>
      </w:r>
    </w:p>
    <w:p w14:paraId="1408E0F7" w14:textId="77777777" w:rsidR="00544649" w:rsidRDefault="00000000">
      <w:pPr>
        <w:numPr>
          <w:ilvl w:val="0"/>
          <w:numId w:val="6"/>
        </w:numPr>
        <w:adjustRightInd w:val="0"/>
        <w:snapToGrid w:val="0"/>
        <w:spacing w:after="0"/>
        <w:ind w:left="0" w:firstLine="480"/>
        <w:rPr>
          <w:rFonts w:cs="Times New Roman"/>
          <w:kern w:val="21"/>
        </w:rPr>
      </w:pPr>
      <w:r>
        <w:rPr>
          <w:rFonts w:cs="Times New Roman"/>
          <w:kern w:val="21"/>
        </w:rPr>
        <w:t>该项目建设符合《四川省畜禽养殖污染防治规划》、</w:t>
      </w:r>
      <w:r>
        <w:rPr>
          <w:rFonts w:cs="Times New Roman" w:hint="eastAsia"/>
          <w:kern w:val="21"/>
        </w:rPr>
        <w:t>《广元市“十四五”畜牧业发展规划》（</w:t>
      </w:r>
      <w:proofErr w:type="gramStart"/>
      <w:r>
        <w:rPr>
          <w:rFonts w:cs="Times New Roman" w:hint="eastAsia"/>
          <w:kern w:val="21"/>
        </w:rPr>
        <w:t>广农</w:t>
      </w:r>
      <w:r>
        <w:rPr>
          <w:rFonts w:cs="Times New Roman" w:hint="eastAsia"/>
          <w:kern w:val="21"/>
          <w:szCs w:val="24"/>
        </w:rPr>
        <w:t>〔</w:t>
      </w:r>
      <w:r>
        <w:rPr>
          <w:rFonts w:cs="Times New Roman" w:hint="eastAsia"/>
          <w:kern w:val="21"/>
          <w:szCs w:val="24"/>
        </w:rPr>
        <w:t>2023</w:t>
      </w:r>
      <w:r>
        <w:rPr>
          <w:rFonts w:cs="Times New Roman" w:hint="eastAsia"/>
          <w:kern w:val="21"/>
          <w:szCs w:val="24"/>
        </w:rPr>
        <w:t>〕</w:t>
      </w:r>
      <w:proofErr w:type="gramEnd"/>
      <w:r>
        <w:rPr>
          <w:rFonts w:cs="Times New Roman" w:hint="eastAsia"/>
          <w:kern w:val="21"/>
          <w:szCs w:val="24"/>
        </w:rPr>
        <w:t>36</w:t>
      </w:r>
      <w:r>
        <w:rPr>
          <w:rFonts w:cs="Times New Roman" w:hint="eastAsia"/>
          <w:kern w:val="21"/>
          <w:szCs w:val="24"/>
        </w:rPr>
        <w:t>号</w:t>
      </w:r>
      <w:r>
        <w:rPr>
          <w:rFonts w:cs="Times New Roman" w:hint="eastAsia"/>
          <w:kern w:val="21"/>
        </w:rPr>
        <w:t>）、</w:t>
      </w:r>
      <w:r>
        <w:rPr>
          <w:rFonts w:cs="Times New Roman" w:hint="eastAsia"/>
          <w:kern w:val="21"/>
          <w:szCs w:val="24"/>
        </w:rPr>
        <w:t>《剑阁县人民政府办公室关于印发剑阁县畜禽养殖禁养区限养区适养区划定方案及</w:t>
      </w:r>
      <w:r>
        <w:rPr>
          <w:rFonts w:cs="Times New Roman" w:hint="eastAsia"/>
          <w:kern w:val="21"/>
          <w:szCs w:val="24"/>
        </w:rPr>
        <w:t>1</w:t>
      </w:r>
      <w:r>
        <w:rPr>
          <w:rFonts w:cs="Times New Roman" w:hint="eastAsia"/>
          <w:kern w:val="21"/>
          <w:szCs w:val="24"/>
        </w:rPr>
        <w:t>：</w:t>
      </w:r>
      <w:r>
        <w:rPr>
          <w:rFonts w:cs="Times New Roman" w:hint="eastAsia"/>
          <w:kern w:val="21"/>
          <w:szCs w:val="24"/>
        </w:rPr>
        <w:t>50000</w:t>
      </w:r>
      <w:r>
        <w:rPr>
          <w:rFonts w:cs="Times New Roman" w:hint="eastAsia"/>
          <w:kern w:val="21"/>
          <w:szCs w:val="24"/>
        </w:rPr>
        <w:t>电子分布地图的通知》（</w:t>
      </w:r>
      <w:proofErr w:type="gramStart"/>
      <w:r>
        <w:rPr>
          <w:rFonts w:cs="Times New Roman" w:hint="eastAsia"/>
          <w:kern w:val="21"/>
          <w:szCs w:val="24"/>
        </w:rPr>
        <w:t>剑府办</w:t>
      </w:r>
      <w:proofErr w:type="gramEnd"/>
      <w:r>
        <w:rPr>
          <w:rFonts w:cs="Times New Roman" w:hint="eastAsia"/>
          <w:kern w:val="21"/>
          <w:szCs w:val="24"/>
        </w:rPr>
        <w:t>发〔</w:t>
      </w:r>
      <w:r>
        <w:rPr>
          <w:rFonts w:cs="Times New Roman" w:hint="eastAsia"/>
          <w:kern w:val="21"/>
          <w:szCs w:val="24"/>
        </w:rPr>
        <w:t>2018</w:t>
      </w:r>
      <w:r>
        <w:rPr>
          <w:rFonts w:cs="Times New Roman" w:hint="eastAsia"/>
          <w:kern w:val="21"/>
          <w:szCs w:val="24"/>
        </w:rPr>
        <w:t>〕</w:t>
      </w:r>
      <w:r>
        <w:rPr>
          <w:rFonts w:cs="Times New Roman" w:hint="eastAsia"/>
          <w:kern w:val="21"/>
          <w:szCs w:val="24"/>
        </w:rPr>
        <w:t>71</w:t>
      </w:r>
      <w:r>
        <w:rPr>
          <w:rFonts w:cs="Times New Roman" w:hint="eastAsia"/>
          <w:kern w:val="21"/>
          <w:szCs w:val="24"/>
        </w:rPr>
        <w:t>号）</w:t>
      </w:r>
      <w:r>
        <w:rPr>
          <w:rFonts w:cs="Times New Roman" w:hint="eastAsia"/>
          <w:kern w:val="21"/>
        </w:rPr>
        <w:t>等</w:t>
      </w:r>
      <w:r>
        <w:rPr>
          <w:rFonts w:cs="Times New Roman"/>
          <w:kern w:val="21"/>
        </w:rPr>
        <w:t>相关</w:t>
      </w:r>
      <w:r>
        <w:rPr>
          <w:rFonts w:cs="Times New Roman" w:hint="eastAsia"/>
          <w:kern w:val="21"/>
        </w:rPr>
        <w:t>行业</w:t>
      </w:r>
      <w:r>
        <w:rPr>
          <w:rFonts w:cs="Times New Roman"/>
          <w:kern w:val="21"/>
        </w:rPr>
        <w:t>规划</w:t>
      </w:r>
      <w:r>
        <w:rPr>
          <w:rFonts w:cs="Times New Roman" w:hint="eastAsia"/>
          <w:kern w:val="21"/>
        </w:rPr>
        <w:t>及规范</w:t>
      </w:r>
      <w:r>
        <w:rPr>
          <w:rFonts w:cs="Times New Roman"/>
          <w:kern w:val="21"/>
        </w:rPr>
        <w:t>要求。</w:t>
      </w:r>
    </w:p>
    <w:p w14:paraId="33AB2A50" w14:textId="77777777" w:rsidR="00544649" w:rsidRDefault="00000000">
      <w:pPr>
        <w:numPr>
          <w:ilvl w:val="0"/>
          <w:numId w:val="6"/>
        </w:numPr>
        <w:adjustRightInd w:val="0"/>
        <w:snapToGrid w:val="0"/>
        <w:spacing w:after="0"/>
        <w:ind w:left="0" w:firstLine="480"/>
        <w:rPr>
          <w:rFonts w:cs="Times New Roman"/>
          <w:kern w:val="21"/>
        </w:rPr>
      </w:pPr>
      <w:r>
        <w:rPr>
          <w:rFonts w:cs="Times New Roman"/>
          <w:kern w:val="21"/>
        </w:rPr>
        <w:t>该项目建设符合</w:t>
      </w:r>
      <w:r>
        <w:rPr>
          <w:rFonts w:cs="Times New Roman" w:hint="eastAsia"/>
          <w:kern w:val="21"/>
        </w:rPr>
        <w:t>“</w:t>
      </w:r>
      <w:r>
        <w:rPr>
          <w:rFonts w:cs="Times New Roman"/>
          <w:kern w:val="21"/>
        </w:rPr>
        <w:t>三线一单</w:t>
      </w:r>
      <w:r>
        <w:rPr>
          <w:rFonts w:cs="Times New Roman" w:hint="eastAsia"/>
          <w:kern w:val="21"/>
        </w:rPr>
        <w:t>”</w:t>
      </w:r>
      <w:r>
        <w:rPr>
          <w:rFonts w:cs="Times New Roman"/>
          <w:kern w:val="21"/>
        </w:rPr>
        <w:t>相关要求。</w:t>
      </w:r>
    </w:p>
    <w:p w14:paraId="48831CF3"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hint="eastAsia"/>
          <w:kern w:val="21"/>
        </w:rPr>
        <w:t>7</w:t>
      </w:r>
      <w:r>
        <w:rPr>
          <w:rFonts w:cs="Times New Roman"/>
          <w:kern w:val="21"/>
        </w:rPr>
        <w:t>）根据外环境关系图可知，项目周围多为林地，分布有散居住户，本项目以</w:t>
      </w:r>
      <w:proofErr w:type="gramStart"/>
      <w:r>
        <w:rPr>
          <w:rFonts w:cs="Times New Roman" w:hint="eastAsia"/>
          <w:kern w:val="21"/>
        </w:rPr>
        <w:t>育雏场</w:t>
      </w:r>
      <w:proofErr w:type="gramEnd"/>
      <w:r>
        <w:rPr>
          <w:rFonts w:cs="Times New Roman" w:hint="eastAsia"/>
          <w:kern w:val="21"/>
        </w:rPr>
        <w:t>和蛋鸡场养殖鸡舍、污水处理站</w:t>
      </w:r>
      <w:r>
        <w:rPr>
          <w:rFonts w:cs="Times New Roman"/>
          <w:kern w:val="21"/>
        </w:rPr>
        <w:t>划定</w:t>
      </w:r>
      <w:r>
        <w:rPr>
          <w:rFonts w:cs="Times New Roman"/>
          <w:kern w:val="21"/>
        </w:rPr>
        <w:t>200m</w:t>
      </w:r>
      <w:r>
        <w:rPr>
          <w:rFonts w:cs="Times New Roman"/>
          <w:kern w:val="21"/>
        </w:rPr>
        <w:t>卫生防护距离，卫生防护距离内</w:t>
      </w:r>
      <w:r>
        <w:rPr>
          <w:rFonts w:cs="Times New Roman" w:hint="eastAsia"/>
          <w:kern w:val="21"/>
        </w:rPr>
        <w:t>有散户居民</w:t>
      </w:r>
      <w:r>
        <w:rPr>
          <w:rFonts w:cs="Times New Roman" w:hint="eastAsia"/>
          <w:kern w:val="21"/>
        </w:rPr>
        <w:t>1</w:t>
      </w:r>
      <w:r>
        <w:rPr>
          <w:rFonts w:cs="Times New Roman" w:hint="eastAsia"/>
          <w:kern w:val="21"/>
        </w:rPr>
        <w:t>户，位于项目蛋鸡场西侧距离场界</w:t>
      </w:r>
      <w:r>
        <w:rPr>
          <w:rFonts w:cs="Times New Roman" w:hint="eastAsia"/>
          <w:kern w:val="21"/>
        </w:rPr>
        <w:t>125m</w:t>
      </w:r>
      <w:r>
        <w:rPr>
          <w:rFonts w:cs="Times New Roman" w:hint="eastAsia"/>
          <w:kern w:val="21"/>
        </w:rPr>
        <w:t>处（签订房屋租赁协议），</w:t>
      </w:r>
      <w:r>
        <w:rPr>
          <w:rFonts w:cs="Times New Roman"/>
          <w:kern w:val="21"/>
        </w:rPr>
        <w:t>无医院、学校等敏感目标。因此，项目选址合理。</w:t>
      </w:r>
    </w:p>
    <w:p w14:paraId="68FA609B" w14:textId="77777777" w:rsidR="00544649" w:rsidRDefault="00000000">
      <w:pPr>
        <w:adjustRightInd w:val="0"/>
        <w:snapToGrid w:val="0"/>
        <w:spacing w:after="0"/>
        <w:ind w:firstLineChars="0" w:firstLine="0"/>
        <w:rPr>
          <w:rFonts w:cs="Times New Roman"/>
          <w:b/>
          <w:bCs/>
          <w:kern w:val="21"/>
          <w:sz w:val="32"/>
          <w:szCs w:val="28"/>
        </w:rPr>
      </w:pPr>
      <w:bookmarkStart w:id="59" w:name="_Toc8284"/>
      <w:r>
        <w:rPr>
          <w:rFonts w:cs="Times New Roman"/>
          <w:b/>
          <w:bCs/>
          <w:kern w:val="21"/>
          <w:sz w:val="32"/>
          <w:szCs w:val="28"/>
        </w:rPr>
        <w:t>1.5</w:t>
      </w:r>
      <w:r>
        <w:rPr>
          <w:rFonts w:cs="Times New Roman"/>
          <w:b/>
          <w:bCs/>
          <w:kern w:val="21"/>
          <w:sz w:val="32"/>
          <w:szCs w:val="28"/>
        </w:rPr>
        <w:t>主要关注的环境问题</w:t>
      </w:r>
      <w:bookmarkEnd w:id="59"/>
    </w:p>
    <w:p w14:paraId="6858FB57" w14:textId="77777777" w:rsidR="00544649" w:rsidRDefault="00000000">
      <w:pPr>
        <w:adjustRightInd w:val="0"/>
        <w:snapToGrid w:val="0"/>
        <w:spacing w:after="0"/>
        <w:ind w:firstLine="480"/>
        <w:rPr>
          <w:rFonts w:cs="Times New Roman"/>
          <w:kern w:val="21"/>
        </w:rPr>
      </w:pPr>
      <w:r>
        <w:rPr>
          <w:rFonts w:cs="Times New Roman"/>
          <w:kern w:val="21"/>
        </w:rPr>
        <w:lastRenderedPageBreak/>
        <w:t>根据现场踏勘及建设单位提供的资料，本次评价主要关注的环境问题如下所示：</w:t>
      </w:r>
    </w:p>
    <w:p w14:paraId="38AF1B10" w14:textId="77777777" w:rsidR="00544649" w:rsidRDefault="00000000">
      <w:pPr>
        <w:numPr>
          <w:ilvl w:val="0"/>
          <w:numId w:val="7"/>
        </w:numPr>
        <w:adjustRightInd w:val="0"/>
        <w:snapToGrid w:val="0"/>
        <w:spacing w:after="0"/>
        <w:ind w:firstLine="480"/>
        <w:rPr>
          <w:rFonts w:cs="Times New Roman"/>
          <w:kern w:val="21"/>
        </w:rPr>
      </w:pPr>
      <w:r>
        <w:rPr>
          <w:rFonts w:hint="eastAsia"/>
          <w:kern w:val="21"/>
        </w:rPr>
        <w:t>本项目为新建项目，在环境现状调查、收集项目工程资料基础上，分析项目施工期及运营期产生的环境影响，并针对性的提出污染防治措施；</w:t>
      </w:r>
    </w:p>
    <w:p w14:paraId="30AE0237" w14:textId="77777777" w:rsidR="00544649" w:rsidRDefault="00000000">
      <w:pPr>
        <w:numPr>
          <w:ilvl w:val="0"/>
          <w:numId w:val="7"/>
        </w:numPr>
        <w:adjustRightInd w:val="0"/>
        <w:snapToGrid w:val="0"/>
        <w:spacing w:after="0"/>
        <w:ind w:firstLine="480"/>
        <w:rPr>
          <w:rFonts w:cs="Times New Roman"/>
          <w:kern w:val="21"/>
        </w:rPr>
      </w:pPr>
      <w:r>
        <w:rPr>
          <w:rFonts w:cs="Times New Roman"/>
          <w:kern w:val="21"/>
        </w:rPr>
        <w:t>本项目废气包括鸡舍、鸡粪散发的恶臭气体，重点分析本项目产生的恶臭对周围环境的影响；</w:t>
      </w:r>
    </w:p>
    <w:p w14:paraId="1E97C3CF" w14:textId="77777777" w:rsidR="00544649" w:rsidRDefault="00000000">
      <w:pPr>
        <w:numPr>
          <w:ilvl w:val="0"/>
          <w:numId w:val="7"/>
        </w:numPr>
        <w:adjustRightInd w:val="0"/>
        <w:snapToGrid w:val="0"/>
        <w:spacing w:after="0"/>
        <w:ind w:firstLine="480"/>
        <w:rPr>
          <w:rFonts w:cs="Times New Roman"/>
          <w:kern w:val="21"/>
        </w:rPr>
      </w:pPr>
      <w:r>
        <w:rPr>
          <w:rFonts w:cs="Times New Roman"/>
          <w:kern w:val="21"/>
        </w:rPr>
        <w:t>本项目废水主要为员工生活污水</w:t>
      </w:r>
      <w:r>
        <w:rPr>
          <w:rFonts w:cs="Times New Roman" w:hint="eastAsia"/>
          <w:kern w:val="21"/>
        </w:rPr>
        <w:t>及养殖鸡舍清洗废水等</w:t>
      </w:r>
      <w:r>
        <w:rPr>
          <w:rFonts w:cs="Times New Roman"/>
          <w:kern w:val="21"/>
        </w:rPr>
        <w:t>，重点分析本项目污水污染防治措施可行性；</w:t>
      </w:r>
    </w:p>
    <w:p w14:paraId="3F3FAF25" w14:textId="77777777" w:rsidR="00544649" w:rsidRDefault="00000000">
      <w:pPr>
        <w:numPr>
          <w:ilvl w:val="0"/>
          <w:numId w:val="7"/>
        </w:numPr>
        <w:adjustRightInd w:val="0"/>
        <w:snapToGrid w:val="0"/>
        <w:spacing w:after="0"/>
        <w:ind w:firstLine="480"/>
        <w:rPr>
          <w:rFonts w:cs="Times New Roman"/>
          <w:kern w:val="21"/>
        </w:rPr>
      </w:pPr>
      <w:r>
        <w:rPr>
          <w:rFonts w:cs="Times New Roman"/>
          <w:kern w:val="21"/>
        </w:rPr>
        <w:t>本项目产生大量鸡粪、饲料残渣及散落羽毛、</w:t>
      </w:r>
      <w:r>
        <w:rPr>
          <w:rFonts w:cs="Times New Roman" w:hint="eastAsia"/>
          <w:kern w:val="21"/>
        </w:rPr>
        <w:t>破损鸡蛋</w:t>
      </w:r>
      <w:r>
        <w:rPr>
          <w:rFonts w:cs="Times New Roman"/>
          <w:kern w:val="21"/>
        </w:rPr>
        <w:t>、病死鸡、医疗废物、生活垃圾和餐厨垃圾等固体废物，重点分析本项目一般工业</w:t>
      </w:r>
      <w:proofErr w:type="gramStart"/>
      <w:r>
        <w:rPr>
          <w:rFonts w:cs="Times New Roman"/>
          <w:kern w:val="21"/>
        </w:rPr>
        <w:t>固废及危险</w:t>
      </w:r>
      <w:proofErr w:type="gramEnd"/>
      <w:r>
        <w:rPr>
          <w:rFonts w:cs="Times New Roman"/>
          <w:kern w:val="21"/>
        </w:rPr>
        <w:t>废物处置和去向可行性，同时重点</w:t>
      </w:r>
      <w:proofErr w:type="gramStart"/>
      <w:r>
        <w:rPr>
          <w:rFonts w:cs="Times New Roman"/>
          <w:kern w:val="21"/>
        </w:rPr>
        <w:t>关注危废暂存</w:t>
      </w:r>
      <w:proofErr w:type="gramEnd"/>
      <w:r>
        <w:rPr>
          <w:rFonts w:cs="Times New Roman"/>
          <w:kern w:val="21"/>
        </w:rPr>
        <w:t>间的规范化建设情况。</w:t>
      </w:r>
    </w:p>
    <w:p w14:paraId="092EFB35" w14:textId="77777777" w:rsidR="00544649" w:rsidRDefault="00000000">
      <w:pPr>
        <w:numPr>
          <w:ilvl w:val="0"/>
          <w:numId w:val="7"/>
        </w:numPr>
        <w:adjustRightInd w:val="0"/>
        <w:snapToGrid w:val="0"/>
        <w:spacing w:after="0"/>
        <w:ind w:firstLine="480"/>
        <w:rPr>
          <w:rFonts w:cs="Times New Roman"/>
          <w:kern w:val="21"/>
        </w:rPr>
      </w:pPr>
      <w:r>
        <w:rPr>
          <w:rFonts w:cs="Times New Roman"/>
          <w:kern w:val="21"/>
        </w:rPr>
        <w:t>重点分析本项目土壤和地下水的分区防渗措施情况，从源头控制，避免项目运行对土壤及地下水造成污染。</w:t>
      </w:r>
    </w:p>
    <w:p w14:paraId="6A67CEC8" w14:textId="77777777" w:rsidR="00544649" w:rsidRDefault="00000000">
      <w:pPr>
        <w:numPr>
          <w:ilvl w:val="0"/>
          <w:numId w:val="7"/>
        </w:numPr>
        <w:adjustRightInd w:val="0"/>
        <w:snapToGrid w:val="0"/>
        <w:spacing w:after="0"/>
        <w:ind w:firstLine="480"/>
        <w:rPr>
          <w:rFonts w:cs="Times New Roman"/>
          <w:kern w:val="21"/>
        </w:rPr>
      </w:pPr>
      <w:r>
        <w:rPr>
          <w:rFonts w:cs="Times New Roman"/>
          <w:kern w:val="21"/>
        </w:rPr>
        <w:t>重点关注本项目药品泄漏</w:t>
      </w:r>
      <w:r>
        <w:rPr>
          <w:rFonts w:cs="Times New Roman" w:hint="eastAsia"/>
          <w:kern w:val="21"/>
        </w:rPr>
        <w:t>、柴油泄漏</w:t>
      </w:r>
      <w:r>
        <w:rPr>
          <w:rFonts w:cs="Times New Roman"/>
          <w:kern w:val="21"/>
        </w:rPr>
        <w:t>等环境风险问题。</w:t>
      </w:r>
    </w:p>
    <w:p w14:paraId="2B74C724" w14:textId="77777777" w:rsidR="00544649" w:rsidRDefault="00000000">
      <w:pPr>
        <w:adjustRightInd w:val="0"/>
        <w:snapToGrid w:val="0"/>
        <w:spacing w:after="0"/>
        <w:ind w:firstLineChars="0" w:firstLine="0"/>
        <w:rPr>
          <w:rFonts w:cs="Times New Roman"/>
          <w:b/>
          <w:bCs/>
          <w:kern w:val="21"/>
          <w:sz w:val="32"/>
          <w:szCs w:val="28"/>
        </w:rPr>
      </w:pPr>
      <w:bookmarkStart w:id="60" w:name="_Toc29771"/>
      <w:r>
        <w:rPr>
          <w:rFonts w:cs="Times New Roman"/>
          <w:b/>
          <w:bCs/>
          <w:kern w:val="21"/>
          <w:sz w:val="32"/>
          <w:szCs w:val="28"/>
        </w:rPr>
        <w:t>1.6</w:t>
      </w:r>
      <w:r>
        <w:rPr>
          <w:rFonts w:cs="Times New Roman"/>
          <w:b/>
          <w:bCs/>
          <w:kern w:val="21"/>
          <w:sz w:val="32"/>
          <w:szCs w:val="28"/>
        </w:rPr>
        <w:t>环境影响报告书主要结论</w:t>
      </w:r>
      <w:bookmarkEnd w:id="60"/>
    </w:p>
    <w:p w14:paraId="3A088CEA" w14:textId="77777777" w:rsidR="00544649" w:rsidRDefault="00000000">
      <w:pPr>
        <w:adjustRightInd w:val="0"/>
        <w:snapToGrid w:val="0"/>
        <w:spacing w:after="0"/>
        <w:ind w:firstLine="480"/>
        <w:rPr>
          <w:rFonts w:cs="Times New Roman"/>
          <w:kern w:val="21"/>
          <w:szCs w:val="24"/>
        </w:rPr>
      </w:pPr>
      <w:r>
        <w:rPr>
          <w:rFonts w:cs="Times New Roman"/>
          <w:kern w:val="21"/>
        </w:rPr>
        <w:t>经分析，本项目建设符合相关产业政策，符合区域畜禽养殖规划，选址基本合理，采用的工艺具有先进性和成熟性，符合清洁生产要求；项目选址周围无明显环境制约因素；环</w:t>
      </w:r>
      <w:proofErr w:type="gramStart"/>
      <w:r>
        <w:rPr>
          <w:rFonts w:cs="Times New Roman"/>
          <w:kern w:val="21"/>
        </w:rPr>
        <w:t>评提出</w:t>
      </w:r>
      <w:proofErr w:type="gramEnd"/>
      <w:r>
        <w:rPr>
          <w:rFonts w:cs="Times New Roman"/>
          <w:kern w:val="21"/>
        </w:rPr>
        <w:t>的废气、废水、噪声、</w:t>
      </w:r>
      <w:proofErr w:type="gramStart"/>
      <w:r>
        <w:rPr>
          <w:rFonts w:cs="Times New Roman"/>
          <w:kern w:val="21"/>
        </w:rPr>
        <w:t>固废等污染</w:t>
      </w:r>
      <w:proofErr w:type="gramEnd"/>
      <w:r>
        <w:rPr>
          <w:rFonts w:cs="Times New Roman"/>
          <w:kern w:val="21"/>
        </w:rPr>
        <w:t>防治措施技术可靠、经济可行。建设单位在采取了环</w:t>
      </w:r>
      <w:proofErr w:type="gramStart"/>
      <w:r>
        <w:rPr>
          <w:rFonts w:cs="Times New Roman"/>
          <w:kern w:val="21"/>
        </w:rPr>
        <w:t>评提出</w:t>
      </w:r>
      <w:proofErr w:type="gramEnd"/>
      <w:r>
        <w:rPr>
          <w:rFonts w:cs="Times New Roman"/>
          <w:kern w:val="21"/>
        </w:rPr>
        <w:t>的废气、废水、噪声、固</w:t>
      </w:r>
      <w:proofErr w:type="gramStart"/>
      <w:r>
        <w:rPr>
          <w:rFonts w:cs="Times New Roman"/>
          <w:kern w:val="21"/>
        </w:rPr>
        <w:t>废以及</w:t>
      </w:r>
      <w:proofErr w:type="gramEnd"/>
      <w:r>
        <w:rPr>
          <w:rFonts w:cs="Times New Roman"/>
          <w:kern w:val="21"/>
        </w:rPr>
        <w:t>生态措施之后，污染物能够达标排放，环境风险可控，项目对周围环境的影响较小。项目建设坚持社会、经济、环境协调发展；落实报告书中提出的各项环保措施和污染物达标排放的前提下，严格执行</w:t>
      </w:r>
      <w:r>
        <w:rPr>
          <w:rFonts w:cs="Times New Roman" w:hint="eastAsia"/>
          <w:kern w:val="21"/>
        </w:rPr>
        <w:t>“</w:t>
      </w:r>
      <w:r>
        <w:rPr>
          <w:rFonts w:cs="Times New Roman"/>
          <w:kern w:val="21"/>
        </w:rPr>
        <w:t>三同时</w:t>
      </w:r>
      <w:r>
        <w:rPr>
          <w:rFonts w:cs="Times New Roman" w:hint="eastAsia"/>
          <w:kern w:val="21"/>
        </w:rPr>
        <w:t>”</w:t>
      </w:r>
      <w:r>
        <w:rPr>
          <w:rFonts w:cs="Times New Roman"/>
          <w:kern w:val="21"/>
        </w:rPr>
        <w:t>制度，确保各项污染物治理措施正常运行。在污染物达标排放的前提下，从环境保护的角度分析</w:t>
      </w:r>
      <w:r>
        <w:rPr>
          <w:rFonts w:cs="Times New Roman"/>
          <w:kern w:val="21"/>
          <w:szCs w:val="24"/>
        </w:rPr>
        <w:t>，项目建设是可行的。</w:t>
      </w:r>
    </w:p>
    <w:p w14:paraId="7512C8DE" w14:textId="77777777" w:rsidR="00544649" w:rsidRDefault="00544649">
      <w:pPr>
        <w:adjustRightInd w:val="0"/>
        <w:snapToGrid w:val="0"/>
        <w:spacing w:after="0"/>
        <w:ind w:firstLineChars="0" w:firstLine="0"/>
        <w:rPr>
          <w:rFonts w:cs="Times New Roman"/>
          <w:kern w:val="21"/>
          <w:szCs w:val="24"/>
        </w:rPr>
        <w:sectPr w:rsidR="00544649">
          <w:footerReference w:type="default" r:id="rId17"/>
          <w:pgSz w:w="11906" w:h="16838"/>
          <w:pgMar w:top="1134" w:right="1531" w:bottom="1134" w:left="1531" w:header="851" w:footer="850" w:gutter="0"/>
          <w:pgNumType w:fmt="upperRoman" w:start="1"/>
          <w:cols w:space="425"/>
          <w:docGrid w:type="lines" w:linePitch="312"/>
        </w:sectPr>
      </w:pPr>
    </w:p>
    <w:bookmarkStart w:id="61" w:name="_Toc72" w:displacedByCustomXml="next"/>
    <w:bookmarkStart w:id="62" w:name="_Toc14285" w:displacedByCustomXml="next"/>
    <w:sdt>
      <w:sdtPr>
        <w:rPr>
          <w:rFonts w:ascii="Times New Roman" w:eastAsia="宋体" w:hAnsi="Times New Roman" w:cstheme="minorBidi"/>
          <w:color w:val="auto"/>
          <w:kern w:val="2"/>
          <w:sz w:val="24"/>
          <w:szCs w:val="22"/>
          <w:lang w:val="zh-CN"/>
        </w:rPr>
        <w:id w:val="-1594084213"/>
      </w:sdtPr>
      <w:sdtEndPr>
        <w:rPr>
          <w:b/>
          <w:bCs/>
        </w:rPr>
      </w:sdtEndPr>
      <w:sdtContent>
        <w:p w14:paraId="6CB0E102" w14:textId="77777777" w:rsidR="00544649" w:rsidRPr="008C3902" w:rsidRDefault="00000000" w:rsidP="000B6388">
          <w:pPr>
            <w:pStyle w:val="TOC10"/>
            <w:adjustRightInd w:val="0"/>
            <w:snapToGrid w:val="0"/>
            <w:spacing w:before="0" w:after="0" w:line="360" w:lineRule="auto"/>
            <w:jc w:val="center"/>
            <w:rPr>
              <w:rFonts w:hint="eastAsia"/>
              <w:color w:val="auto"/>
            </w:rPr>
          </w:pPr>
          <w:r w:rsidRPr="008C3902">
            <w:rPr>
              <w:color w:val="auto"/>
              <w:lang w:val="zh-CN"/>
            </w:rPr>
            <w:t>目录</w:t>
          </w:r>
        </w:p>
        <w:p w14:paraId="2F8DF116" w14:textId="05F08268" w:rsidR="008C3902" w:rsidRPr="008C3902" w:rsidRDefault="00000000" w:rsidP="000B6388">
          <w:pPr>
            <w:pStyle w:val="TOC1"/>
            <w:tabs>
              <w:tab w:val="right" w:leader="dot" w:pos="8834"/>
            </w:tabs>
            <w:adjustRightInd w:val="0"/>
            <w:snapToGrid w:val="0"/>
            <w:spacing w:after="0"/>
            <w:rPr>
              <w:rFonts w:asciiTheme="minorHAnsi" w:eastAsiaTheme="minorEastAsia" w:hAnsiTheme="minorHAnsi" w:hint="eastAsia"/>
              <w:noProof/>
              <w:sz w:val="22"/>
              <w:szCs w:val="24"/>
              <w14:ligatures w14:val="standardContextual"/>
            </w:rPr>
          </w:pPr>
          <w:r w:rsidRPr="008C3902">
            <w:fldChar w:fldCharType="begin"/>
          </w:r>
          <w:r w:rsidRPr="008C3902">
            <w:instrText xml:space="preserve"> TOC \o "1-3" \h \z \u </w:instrText>
          </w:r>
          <w:r w:rsidRPr="008C3902">
            <w:fldChar w:fldCharType="separate"/>
          </w:r>
          <w:hyperlink w:anchor="_Toc195009784" w:history="1">
            <w:r w:rsidR="008C3902" w:rsidRPr="008C3902">
              <w:rPr>
                <w:rStyle w:val="afe"/>
                <w:rFonts w:cs="Times New Roman" w:hint="eastAsia"/>
                <w:noProof/>
                <w:kern w:val="21"/>
              </w:rPr>
              <w:t>1</w:t>
            </w:r>
            <w:r w:rsidR="008C3902" w:rsidRPr="008C3902">
              <w:rPr>
                <w:rStyle w:val="afe"/>
                <w:rFonts w:hint="eastAsia"/>
                <w:noProof/>
                <w:kern w:val="21"/>
              </w:rPr>
              <w:t xml:space="preserve"> </w:t>
            </w:r>
            <w:r w:rsidR="008C3902" w:rsidRPr="008C3902">
              <w:rPr>
                <w:rStyle w:val="afe"/>
                <w:rFonts w:hint="eastAsia"/>
                <w:noProof/>
                <w:kern w:val="21"/>
              </w:rPr>
              <w:t>总则</w:t>
            </w:r>
            <w:r w:rsidR="008C3902" w:rsidRPr="008C3902">
              <w:rPr>
                <w:rFonts w:hint="eastAsia"/>
                <w:noProof/>
                <w:webHidden/>
              </w:rPr>
              <w:tab/>
            </w:r>
            <w:r w:rsidR="008C3902" w:rsidRPr="008C3902">
              <w:rPr>
                <w:rFonts w:hint="eastAsia"/>
                <w:noProof/>
                <w:webHidden/>
              </w:rPr>
              <w:fldChar w:fldCharType="begin"/>
            </w:r>
            <w:r w:rsidR="008C3902" w:rsidRPr="008C3902">
              <w:rPr>
                <w:rFonts w:hint="eastAsia"/>
                <w:noProof/>
                <w:webHidden/>
              </w:rPr>
              <w:instrText xml:space="preserve"> </w:instrText>
            </w:r>
            <w:r w:rsidR="008C3902" w:rsidRPr="008C3902">
              <w:rPr>
                <w:noProof/>
                <w:webHidden/>
              </w:rPr>
              <w:instrText>PAGEREF _Toc195009784 \h</w:instrText>
            </w:r>
            <w:r w:rsidR="008C3902" w:rsidRPr="008C3902">
              <w:rPr>
                <w:rFonts w:hint="eastAsia"/>
                <w:noProof/>
                <w:webHidden/>
              </w:rPr>
              <w:instrText xml:space="preserve"> </w:instrText>
            </w:r>
            <w:r w:rsidR="008C3902" w:rsidRPr="008C3902">
              <w:rPr>
                <w:rFonts w:hint="eastAsia"/>
                <w:noProof/>
                <w:webHidden/>
              </w:rPr>
            </w:r>
            <w:r w:rsidR="008C3902" w:rsidRPr="008C3902">
              <w:rPr>
                <w:rFonts w:hint="eastAsia"/>
                <w:noProof/>
                <w:webHidden/>
              </w:rPr>
              <w:fldChar w:fldCharType="separate"/>
            </w:r>
            <w:r w:rsidR="00E05496">
              <w:rPr>
                <w:noProof/>
                <w:webHidden/>
              </w:rPr>
              <w:t>1</w:t>
            </w:r>
            <w:r w:rsidR="008C3902" w:rsidRPr="008C3902">
              <w:rPr>
                <w:rFonts w:hint="eastAsia"/>
                <w:noProof/>
                <w:webHidden/>
              </w:rPr>
              <w:fldChar w:fldCharType="end"/>
            </w:r>
          </w:hyperlink>
        </w:p>
        <w:p w14:paraId="7366AA70" w14:textId="4661291D"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785" w:history="1">
            <w:r w:rsidRPr="008C3902">
              <w:rPr>
                <w:rStyle w:val="afe"/>
                <w:rFonts w:cs="Times New Roman" w:hint="eastAsia"/>
                <w:noProof/>
                <w:kern w:val="21"/>
              </w:rPr>
              <w:t>1.1</w:t>
            </w:r>
            <w:r w:rsidRPr="008C3902">
              <w:rPr>
                <w:rStyle w:val="afe"/>
                <w:rFonts w:hint="eastAsia"/>
                <w:noProof/>
                <w:kern w:val="21"/>
              </w:rPr>
              <w:t xml:space="preserve"> </w:t>
            </w:r>
            <w:r w:rsidRPr="008C3902">
              <w:rPr>
                <w:rStyle w:val="afe"/>
                <w:rFonts w:hint="eastAsia"/>
                <w:noProof/>
                <w:kern w:val="21"/>
              </w:rPr>
              <w:t>编制依据</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_Toc195009785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w:t>
            </w:r>
            <w:r w:rsidRPr="008C3902">
              <w:rPr>
                <w:rFonts w:hint="eastAsia"/>
                <w:noProof/>
                <w:webHidden/>
              </w:rPr>
              <w:fldChar w:fldCharType="end"/>
            </w:r>
          </w:hyperlink>
        </w:p>
        <w:p w14:paraId="44A58C8A" w14:textId="1204132C"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786" w:history="1">
            <w:r w:rsidRPr="008C3902">
              <w:rPr>
                <w:rStyle w:val="afe"/>
                <w:rFonts w:cs="Times New Roman" w:hint="eastAsia"/>
                <w:noProof/>
                <w:kern w:val="21"/>
              </w:rPr>
              <w:t xml:space="preserve">1.1.1 </w:t>
            </w:r>
            <w:r w:rsidRPr="008C3902">
              <w:rPr>
                <w:rStyle w:val="afe"/>
                <w:rFonts w:cs="Times New Roman" w:hint="eastAsia"/>
                <w:noProof/>
                <w:kern w:val="21"/>
              </w:rPr>
              <w:t>相关法律法规及政策性文件</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_Toc195009786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w:t>
            </w:r>
            <w:r w:rsidRPr="008C3902">
              <w:rPr>
                <w:rFonts w:hint="eastAsia"/>
                <w:noProof/>
                <w:webHidden/>
              </w:rPr>
              <w:fldChar w:fldCharType="end"/>
            </w:r>
          </w:hyperlink>
        </w:p>
        <w:p w14:paraId="1E0D5BBB" w14:textId="2276EACD"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787" w:history="1">
            <w:r w:rsidRPr="008C3902">
              <w:rPr>
                <w:rStyle w:val="afe"/>
                <w:rFonts w:cs="Times New Roman" w:hint="eastAsia"/>
                <w:noProof/>
                <w:kern w:val="21"/>
              </w:rPr>
              <w:t xml:space="preserve">1.1.2 </w:t>
            </w:r>
            <w:r w:rsidRPr="008C3902">
              <w:rPr>
                <w:rStyle w:val="afe"/>
                <w:rFonts w:cs="Times New Roman" w:hint="eastAsia"/>
                <w:noProof/>
                <w:kern w:val="21"/>
              </w:rPr>
              <w:t>环境影响评价技术导则及相关技术规范</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_Toc195009787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3</w:t>
            </w:r>
            <w:r w:rsidRPr="008C3902">
              <w:rPr>
                <w:rFonts w:hint="eastAsia"/>
                <w:noProof/>
                <w:webHidden/>
              </w:rPr>
              <w:fldChar w:fldCharType="end"/>
            </w:r>
          </w:hyperlink>
        </w:p>
        <w:p w14:paraId="0184E75C" w14:textId="5D23C77F"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788" w:history="1">
            <w:r w:rsidRPr="008C3902">
              <w:rPr>
                <w:rStyle w:val="afe"/>
                <w:rFonts w:cs="Times New Roman" w:hint="eastAsia"/>
                <w:noProof/>
                <w:kern w:val="21"/>
              </w:rPr>
              <w:t xml:space="preserve">1.1.3 </w:t>
            </w:r>
            <w:r w:rsidRPr="008C3902">
              <w:rPr>
                <w:rStyle w:val="afe"/>
                <w:rFonts w:cs="Times New Roman" w:hint="eastAsia"/>
                <w:noProof/>
                <w:kern w:val="21"/>
              </w:rPr>
              <w:t>相关规划</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_Toc195009788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3</w:t>
            </w:r>
            <w:r w:rsidRPr="008C3902">
              <w:rPr>
                <w:rFonts w:hint="eastAsia"/>
                <w:noProof/>
                <w:webHidden/>
              </w:rPr>
              <w:fldChar w:fldCharType="end"/>
            </w:r>
          </w:hyperlink>
        </w:p>
        <w:p w14:paraId="62AC6067" w14:textId="39E0CE6F"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789" w:history="1">
            <w:r w:rsidRPr="008C3902">
              <w:rPr>
                <w:rStyle w:val="afe"/>
                <w:rFonts w:cs="Times New Roman" w:hint="eastAsia"/>
                <w:noProof/>
                <w:kern w:val="21"/>
              </w:rPr>
              <w:t xml:space="preserve">1.1.4 </w:t>
            </w:r>
            <w:r w:rsidRPr="008C3902">
              <w:rPr>
                <w:rStyle w:val="afe"/>
                <w:rFonts w:cs="Times New Roman" w:hint="eastAsia"/>
                <w:noProof/>
                <w:kern w:val="21"/>
              </w:rPr>
              <w:t>相关技术及工作文件</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_Toc195009789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4</w:t>
            </w:r>
            <w:r w:rsidRPr="008C3902">
              <w:rPr>
                <w:rFonts w:hint="eastAsia"/>
                <w:noProof/>
                <w:webHidden/>
              </w:rPr>
              <w:fldChar w:fldCharType="end"/>
            </w:r>
          </w:hyperlink>
        </w:p>
        <w:p w14:paraId="09FB412A" w14:textId="7147613D"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790" w:history="1">
            <w:r w:rsidRPr="008C3902">
              <w:rPr>
                <w:rStyle w:val="afe"/>
                <w:rFonts w:cs="Times New Roman" w:hint="eastAsia"/>
                <w:noProof/>
                <w:kern w:val="21"/>
              </w:rPr>
              <w:t xml:space="preserve">1.2 </w:t>
            </w:r>
            <w:r w:rsidRPr="008C3902">
              <w:rPr>
                <w:rStyle w:val="afe"/>
                <w:rFonts w:cs="Times New Roman" w:hint="eastAsia"/>
                <w:noProof/>
                <w:kern w:val="21"/>
              </w:rPr>
              <w:t>产业政策、规划符合性</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_Toc195009790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4</w:t>
            </w:r>
            <w:r w:rsidRPr="008C3902">
              <w:rPr>
                <w:rFonts w:hint="eastAsia"/>
                <w:noProof/>
                <w:webHidden/>
              </w:rPr>
              <w:fldChar w:fldCharType="end"/>
            </w:r>
          </w:hyperlink>
        </w:p>
        <w:p w14:paraId="06FF9CDC" w14:textId="39E77DCE"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791" w:history="1">
            <w:r w:rsidRPr="008C3902">
              <w:rPr>
                <w:rStyle w:val="afe"/>
                <w:rFonts w:cs="Times New Roman" w:hint="eastAsia"/>
                <w:noProof/>
                <w:kern w:val="21"/>
              </w:rPr>
              <w:t xml:space="preserve">1.2.1 </w:t>
            </w:r>
            <w:r w:rsidRPr="008C3902">
              <w:rPr>
                <w:rStyle w:val="afe"/>
                <w:rFonts w:cs="Times New Roman" w:hint="eastAsia"/>
                <w:noProof/>
                <w:kern w:val="21"/>
              </w:rPr>
              <w:t>与国家产业政策符合性分析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_Toc195009791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4</w:t>
            </w:r>
            <w:r w:rsidRPr="008C3902">
              <w:rPr>
                <w:rFonts w:hint="eastAsia"/>
                <w:noProof/>
                <w:webHidden/>
              </w:rPr>
              <w:fldChar w:fldCharType="end"/>
            </w:r>
          </w:hyperlink>
        </w:p>
        <w:p w14:paraId="17316B08" w14:textId="166032AC"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792" w:history="1">
            <w:r w:rsidRPr="008C3902">
              <w:rPr>
                <w:rStyle w:val="afe"/>
                <w:rFonts w:cs="Times New Roman" w:hint="eastAsia"/>
                <w:noProof/>
                <w:kern w:val="21"/>
              </w:rPr>
              <w:t xml:space="preserve">1.2.2 </w:t>
            </w:r>
            <w:r w:rsidRPr="008C3902">
              <w:rPr>
                <w:rStyle w:val="afe"/>
                <w:rFonts w:cs="Times New Roman" w:hint="eastAsia"/>
                <w:noProof/>
                <w:kern w:val="21"/>
              </w:rPr>
              <w:t>与畜禽养殖行业规划及相关文件符合性分析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_Toc195009792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5</w:t>
            </w:r>
            <w:r w:rsidRPr="008C3902">
              <w:rPr>
                <w:rFonts w:hint="eastAsia"/>
                <w:noProof/>
                <w:webHidden/>
              </w:rPr>
              <w:fldChar w:fldCharType="end"/>
            </w:r>
          </w:hyperlink>
        </w:p>
        <w:p w14:paraId="5DE3D3D7" w14:textId="13D20330"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793" w:history="1">
            <w:r w:rsidRPr="008C3902">
              <w:rPr>
                <w:rStyle w:val="afe"/>
                <w:rFonts w:cs="Times New Roman" w:hint="eastAsia"/>
                <w:noProof/>
                <w:kern w:val="21"/>
              </w:rPr>
              <w:t xml:space="preserve">1.2.3 </w:t>
            </w:r>
            <w:r w:rsidRPr="008C3902">
              <w:rPr>
                <w:rStyle w:val="afe"/>
                <w:rFonts w:cs="Times New Roman" w:hint="eastAsia"/>
                <w:noProof/>
                <w:kern w:val="21"/>
              </w:rPr>
              <w:t>与生态环境分区管控要求的符合性分析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_Toc195009793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w:t>
            </w:r>
            <w:r w:rsidRPr="008C3902">
              <w:rPr>
                <w:rFonts w:hint="eastAsia"/>
                <w:noProof/>
                <w:webHidden/>
              </w:rPr>
              <w:fldChar w:fldCharType="end"/>
            </w:r>
          </w:hyperlink>
        </w:p>
        <w:p w14:paraId="0842D951" w14:textId="40EDE421"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794" w:history="1">
            <w:r w:rsidRPr="008C3902">
              <w:rPr>
                <w:rStyle w:val="afe"/>
                <w:rFonts w:cs="Times New Roman" w:hint="eastAsia"/>
                <w:noProof/>
                <w:kern w:val="21"/>
              </w:rPr>
              <w:t xml:space="preserve">1.2.4 </w:t>
            </w:r>
            <w:r w:rsidRPr="008C3902">
              <w:rPr>
                <w:rStyle w:val="afe"/>
                <w:rFonts w:cs="Times New Roman" w:hint="eastAsia"/>
                <w:noProof/>
                <w:kern w:val="21"/>
              </w:rPr>
              <w:t>其他符合性分析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_Toc195009794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38</w:t>
            </w:r>
            <w:r w:rsidRPr="008C3902">
              <w:rPr>
                <w:rFonts w:hint="eastAsia"/>
                <w:noProof/>
                <w:webHidden/>
              </w:rPr>
              <w:fldChar w:fldCharType="end"/>
            </w:r>
          </w:hyperlink>
        </w:p>
        <w:p w14:paraId="0797B5B9" w14:textId="4C90DD4F"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795" w:history="1">
            <w:r w:rsidRPr="008C3902">
              <w:rPr>
                <w:rStyle w:val="afe"/>
                <w:rFonts w:cs="Times New Roman" w:hint="eastAsia"/>
                <w:noProof/>
                <w:kern w:val="21"/>
              </w:rPr>
              <w:t xml:space="preserve">1.3 </w:t>
            </w:r>
            <w:r w:rsidRPr="008C3902">
              <w:rPr>
                <w:rStyle w:val="afe"/>
                <w:rFonts w:cs="Times New Roman" w:hint="eastAsia"/>
                <w:noProof/>
                <w:kern w:val="21"/>
              </w:rPr>
              <w:t>评价目的和原则</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_Toc195009795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44</w:t>
            </w:r>
            <w:r w:rsidRPr="008C3902">
              <w:rPr>
                <w:rFonts w:hint="eastAsia"/>
                <w:noProof/>
                <w:webHidden/>
              </w:rPr>
              <w:fldChar w:fldCharType="end"/>
            </w:r>
          </w:hyperlink>
        </w:p>
        <w:p w14:paraId="62231DA5" w14:textId="111A4088"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796" w:history="1">
            <w:r w:rsidRPr="008C3902">
              <w:rPr>
                <w:rStyle w:val="afe"/>
                <w:rFonts w:cs="Times New Roman" w:hint="eastAsia"/>
                <w:noProof/>
                <w:kern w:val="21"/>
              </w:rPr>
              <w:t xml:space="preserve">1.3.1 </w:t>
            </w:r>
            <w:r w:rsidRPr="008C3902">
              <w:rPr>
                <w:rStyle w:val="afe"/>
                <w:rFonts w:cs="Times New Roman" w:hint="eastAsia"/>
                <w:noProof/>
                <w:kern w:val="21"/>
              </w:rPr>
              <w:t>评价目的</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_Toc195009796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44</w:t>
            </w:r>
            <w:r w:rsidRPr="008C3902">
              <w:rPr>
                <w:rFonts w:hint="eastAsia"/>
                <w:noProof/>
                <w:webHidden/>
              </w:rPr>
              <w:fldChar w:fldCharType="end"/>
            </w:r>
          </w:hyperlink>
        </w:p>
        <w:p w14:paraId="78353FEB" w14:textId="6E017408"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797" w:history="1">
            <w:r w:rsidRPr="008C3902">
              <w:rPr>
                <w:rStyle w:val="afe"/>
                <w:rFonts w:cs="Times New Roman" w:hint="eastAsia"/>
                <w:noProof/>
                <w:kern w:val="21"/>
              </w:rPr>
              <w:t xml:space="preserve">1.3.2 </w:t>
            </w:r>
            <w:r w:rsidRPr="008C3902">
              <w:rPr>
                <w:rStyle w:val="afe"/>
                <w:rFonts w:cs="Times New Roman" w:hint="eastAsia"/>
                <w:noProof/>
                <w:kern w:val="21"/>
              </w:rPr>
              <w:t>评价原则</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_Toc195009797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45</w:t>
            </w:r>
            <w:r w:rsidRPr="008C3902">
              <w:rPr>
                <w:rFonts w:hint="eastAsia"/>
                <w:noProof/>
                <w:webHidden/>
              </w:rPr>
              <w:fldChar w:fldCharType="end"/>
            </w:r>
          </w:hyperlink>
        </w:p>
        <w:p w14:paraId="2DE219AD" w14:textId="03FED3B0"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798" w:history="1">
            <w:r w:rsidRPr="008C3902">
              <w:rPr>
                <w:rStyle w:val="afe"/>
                <w:rFonts w:cs="Times New Roman" w:hint="eastAsia"/>
                <w:noProof/>
                <w:kern w:val="21"/>
              </w:rPr>
              <w:t xml:space="preserve">1.4 </w:t>
            </w:r>
            <w:r w:rsidRPr="008C3902">
              <w:rPr>
                <w:rStyle w:val="afe"/>
                <w:rFonts w:cs="Times New Roman" w:hint="eastAsia"/>
                <w:noProof/>
                <w:kern w:val="21"/>
              </w:rPr>
              <w:t>评价内容及重点</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_Toc195009798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45</w:t>
            </w:r>
            <w:r w:rsidRPr="008C3902">
              <w:rPr>
                <w:rFonts w:hint="eastAsia"/>
                <w:noProof/>
                <w:webHidden/>
              </w:rPr>
              <w:fldChar w:fldCharType="end"/>
            </w:r>
          </w:hyperlink>
        </w:p>
        <w:p w14:paraId="55FFCCB3" w14:textId="76F8664E"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799" w:history="1">
            <w:r w:rsidRPr="008C3902">
              <w:rPr>
                <w:rStyle w:val="afe"/>
                <w:rFonts w:cs="Times New Roman" w:hint="eastAsia"/>
                <w:noProof/>
                <w:kern w:val="21"/>
              </w:rPr>
              <w:t xml:space="preserve">1.5 </w:t>
            </w:r>
            <w:r w:rsidRPr="008C3902">
              <w:rPr>
                <w:rStyle w:val="afe"/>
                <w:rFonts w:cs="Times New Roman" w:hint="eastAsia"/>
                <w:noProof/>
                <w:kern w:val="21"/>
              </w:rPr>
              <w:t>环境影响识别和评价因子选择</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_Toc195009799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45</w:t>
            </w:r>
            <w:r w:rsidRPr="008C3902">
              <w:rPr>
                <w:rFonts w:hint="eastAsia"/>
                <w:noProof/>
                <w:webHidden/>
              </w:rPr>
              <w:fldChar w:fldCharType="end"/>
            </w:r>
          </w:hyperlink>
        </w:p>
        <w:p w14:paraId="515CDA79" w14:textId="041C5F79"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00" w:history="1">
            <w:r w:rsidRPr="008C3902">
              <w:rPr>
                <w:rStyle w:val="afe"/>
                <w:rFonts w:cs="Times New Roman" w:hint="eastAsia"/>
                <w:noProof/>
                <w:kern w:val="21"/>
              </w:rPr>
              <w:t xml:space="preserve">1.5.1 </w:t>
            </w:r>
            <w:r w:rsidRPr="008C3902">
              <w:rPr>
                <w:rStyle w:val="afe"/>
                <w:rFonts w:cs="Times New Roman" w:hint="eastAsia"/>
                <w:noProof/>
                <w:kern w:val="21"/>
              </w:rPr>
              <w:t>环境影响识别</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_Toc195009800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45</w:t>
            </w:r>
            <w:r w:rsidRPr="008C3902">
              <w:rPr>
                <w:rFonts w:hint="eastAsia"/>
                <w:noProof/>
                <w:webHidden/>
              </w:rPr>
              <w:fldChar w:fldCharType="end"/>
            </w:r>
          </w:hyperlink>
        </w:p>
        <w:p w14:paraId="72363FED" w14:textId="14C31E3C"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01" w:history="1">
            <w:r w:rsidRPr="008C3902">
              <w:rPr>
                <w:rStyle w:val="afe"/>
                <w:rFonts w:cs="Times New Roman" w:hint="eastAsia"/>
                <w:noProof/>
                <w:kern w:val="21"/>
              </w:rPr>
              <w:t xml:space="preserve">1.5.2 </w:t>
            </w:r>
            <w:r w:rsidRPr="008C3902">
              <w:rPr>
                <w:rStyle w:val="afe"/>
                <w:rFonts w:cs="Times New Roman" w:hint="eastAsia"/>
                <w:noProof/>
                <w:kern w:val="21"/>
              </w:rPr>
              <w:t>评价因子筛选</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_Toc195009801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46</w:t>
            </w:r>
            <w:r w:rsidRPr="008C3902">
              <w:rPr>
                <w:rFonts w:hint="eastAsia"/>
                <w:noProof/>
                <w:webHidden/>
              </w:rPr>
              <w:fldChar w:fldCharType="end"/>
            </w:r>
          </w:hyperlink>
        </w:p>
        <w:p w14:paraId="263F5D7C" w14:textId="675D812D"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02" w:history="1">
            <w:r w:rsidRPr="008C3902">
              <w:rPr>
                <w:rStyle w:val="afe"/>
                <w:rFonts w:cs="Times New Roman" w:hint="eastAsia"/>
                <w:noProof/>
                <w:kern w:val="21"/>
              </w:rPr>
              <w:t xml:space="preserve">1.6 </w:t>
            </w:r>
            <w:r w:rsidRPr="008C3902">
              <w:rPr>
                <w:rStyle w:val="afe"/>
                <w:rFonts w:cs="Times New Roman" w:hint="eastAsia"/>
                <w:noProof/>
                <w:kern w:val="21"/>
              </w:rPr>
              <w:t>评价标准</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_Toc195009802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47</w:t>
            </w:r>
            <w:r w:rsidRPr="008C3902">
              <w:rPr>
                <w:rFonts w:hint="eastAsia"/>
                <w:noProof/>
                <w:webHidden/>
              </w:rPr>
              <w:fldChar w:fldCharType="end"/>
            </w:r>
          </w:hyperlink>
        </w:p>
        <w:p w14:paraId="67F23796" w14:textId="4CB97DF5"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03" w:history="1">
            <w:r w:rsidRPr="008C3902">
              <w:rPr>
                <w:rStyle w:val="afe"/>
                <w:rFonts w:cs="Times New Roman" w:hint="eastAsia"/>
                <w:noProof/>
                <w:kern w:val="21"/>
              </w:rPr>
              <w:t xml:space="preserve">1.6.1 </w:t>
            </w:r>
            <w:r w:rsidRPr="008C3902">
              <w:rPr>
                <w:rStyle w:val="afe"/>
                <w:rFonts w:cs="Times New Roman" w:hint="eastAsia"/>
                <w:noProof/>
                <w:kern w:val="21"/>
              </w:rPr>
              <w:t>环境功能区划</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_Toc195009803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47</w:t>
            </w:r>
            <w:r w:rsidRPr="008C3902">
              <w:rPr>
                <w:rFonts w:hint="eastAsia"/>
                <w:noProof/>
                <w:webHidden/>
              </w:rPr>
              <w:fldChar w:fldCharType="end"/>
            </w:r>
          </w:hyperlink>
        </w:p>
        <w:p w14:paraId="524B51A7" w14:textId="4B32715A"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04" w:history="1">
            <w:r w:rsidRPr="008C3902">
              <w:rPr>
                <w:rStyle w:val="afe"/>
                <w:rFonts w:cs="Times New Roman" w:hint="eastAsia"/>
                <w:noProof/>
                <w:kern w:val="21"/>
              </w:rPr>
              <w:t xml:space="preserve">1.6.2 </w:t>
            </w:r>
            <w:r w:rsidRPr="008C3902">
              <w:rPr>
                <w:rStyle w:val="afe"/>
                <w:rFonts w:cs="Times New Roman" w:hint="eastAsia"/>
                <w:noProof/>
                <w:kern w:val="21"/>
              </w:rPr>
              <w:t>环境质量标准</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_Toc195009804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47</w:t>
            </w:r>
            <w:r w:rsidRPr="008C3902">
              <w:rPr>
                <w:rFonts w:hint="eastAsia"/>
                <w:noProof/>
                <w:webHidden/>
              </w:rPr>
              <w:fldChar w:fldCharType="end"/>
            </w:r>
          </w:hyperlink>
        </w:p>
        <w:p w14:paraId="2E885D8B" w14:textId="76ABE2D8"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05" w:history="1">
            <w:r w:rsidRPr="008C3902">
              <w:rPr>
                <w:rStyle w:val="afe"/>
                <w:rFonts w:cs="Times New Roman" w:hint="eastAsia"/>
                <w:noProof/>
                <w:kern w:val="21"/>
              </w:rPr>
              <w:t xml:space="preserve">1.6.3 </w:t>
            </w:r>
            <w:r w:rsidRPr="008C3902">
              <w:rPr>
                <w:rStyle w:val="afe"/>
                <w:rFonts w:cs="Times New Roman" w:hint="eastAsia"/>
                <w:noProof/>
                <w:kern w:val="21"/>
              </w:rPr>
              <w:t>污染物排放标准</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_Toc195009805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50</w:t>
            </w:r>
            <w:r w:rsidRPr="008C3902">
              <w:rPr>
                <w:rFonts w:hint="eastAsia"/>
                <w:noProof/>
                <w:webHidden/>
              </w:rPr>
              <w:fldChar w:fldCharType="end"/>
            </w:r>
          </w:hyperlink>
        </w:p>
        <w:p w14:paraId="40796A39" w14:textId="63A9DB2A"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06" w:history="1">
            <w:r w:rsidRPr="008C3902">
              <w:rPr>
                <w:rStyle w:val="afe"/>
                <w:rFonts w:cs="Times New Roman" w:hint="eastAsia"/>
                <w:noProof/>
                <w:kern w:val="21"/>
              </w:rPr>
              <w:t xml:space="preserve">1.7 </w:t>
            </w:r>
            <w:r w:rsidRPr="008C3902">
              <w:rPr>
                <w:rStyle w:val="afe"/>
                <w:rFonts w:cs="Times New Roman" w:hint="eastAsia"/>
                <w:noProof/>
                <w:kern w:val="21"/>
              </w:rPr>
              <w:t>评价工作等级及评价范围</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_Toc195009806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53</w:t>
            </w:r>
            <w:r w:rsidRPr="008C3902">
              <w:rPr>
                <w:rFonts w:hint="eastAsia"/>
                <w:noProof/>
                <w:webHidden/>
              </w:rPr>
              <w:fldChar w:fldCharType="end"/>
            </w:r>
          </w:hyperlink>
        </w:p>
        <w:p w14:paraId="0CECE68D" w14:textId="595A5D88"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07" w:history="1">
            <w:r w:rsidRPr="008C3902">
              <w:rPr>
                <w:rStyle w:val="afe"/>
                <w:rFonts w:cs="Times New Roman" w:hint="eastAsia"/>
                <w:noProof/>
                <w:kern w:val="21"/>
              </w:rPr>
              <w:t xml:space="preserve">1.7.1 </w:t>
            </w:r>
            <w:r w:rsidRPr="008C3902">
              <w:rPr>
                <w:rStyle w:val="afe"/>
                <w:rFonts w:cs="Times New Roman" w:hint="eastAsia"/>
                <w:noProof/>
                <w:kern w:val="21"/>
              </w:rPr>
              <w:t>大气环境评价</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_Toc195009807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53</w:t>
            </w:r>
            <w:r w:rsidRPr="008C3902">
              <w:rPr>
                <w:rFonts w:hint="eastAsia"/>
                <w:noProof/>
                <w:webHidden/>
              </w:rPr>
              <w:fldChar w:fldCharType="end"/>
            </w:r>
          </w:hyperlink>
        </w:p>
        <w:p w14:paraId="77555A87" w14:textId="27360EAC"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08" w:history="1">
            <w:r w:rsidRPr="008C3902">
              <w:rPr>
                <w:rStyle w:val="afe"/>
                <w:rFonts w:cs="Times New Roman" w:hint="eastAsia"/>
                <w:noProof/>
                <w:kern w:val="21"/>
              </w:rPr>
              <w:t xml:space="preserve">1.7.2 </w:t>
            </w:r>
            <w:r w:rsidRPr="008C3902">
              <w:rPr>
                <w:rStyle w:val="afe"/>
                <w:rFonts w:cs="Times New Roman" w:hint="eastAsia"/>
                <w:noProof/>
                <w:kern w:val="21"/>
              </w:rPr>
              <w:t>地表水环境评价</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_Toc195009808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55</w:t>
            </w:r>
            <w:r w:rsidRPr="008C3902">
              <w:rPr>
                <w:rFonts w:hint="eastAsia"/>
                <w:noProof/>
                <w:webHidden/>
              </w:rPr>
              <w:fldChar w:fldCharType="end"/>
            </w:r>
          </w:hyperlink>
        </w:p>
        <w:p w14:paraId="207EECCC" w14:textId="546C8512"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09" w:history="1">
            <w:r w:rsidRPr="008C3902">
              <w:rPr>
                <w:rStyle w:val="afe"/>
                <w:rFonts w:cs="Times New Roman" w:hint="eastAsia"/>
                <w:noProof/>
                <w:kern w:val="21"/>
              </w:rPr>
              <w:t xml:space="preserve">1.7.3 </w:t>
            </w:r>
            <w:r w:rsidRPr="008C3902">
              <w:rPr>
                <w:rStyle w:val="afe"/>
                <w:rFonts w:cs="Times New Roman" w:hint="eastAsia"/>
                <w:noProof/>
                <w:kern w:val="21"/>
              </w:rPr>
              <w:t>地下水环境评价</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_Toc195009809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57</w:t>
            </w:r>
            <w:r w:rsidRPr="008C3902">
              <w:rPr>
                <w:rFonts w:hint="eastAsia"/>
                <w:noProof/>
                <w:webHidden/>
              </w:rPr>
              <w:fldChar w:fldCharType="end"/>
            </w:r>
          </w:hyperlink>
        </w:p>
        <w:p w14:paraId="404F1C69" w14:textId="608168D3"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10" w:history="1">
            <w:r w:rsidRPr="008C3902">
              <w:rPr>
                <w:rStyle w:val="afe"/>
                <w:rFonts w:cs="Times New Roman" w:hint="eastAsia"/>
                <w:noProof/>
                <w:kern w:val="21"/>
              </w:rPr>
              <w:t xml:space="preserve">1.7.4 </w:t>
            </w:r>
            <w:r w:rsidRPr="008C3902">
              <w:rPr>
                <w:rStyle w:val="afe"/>
                <w:rFonts w:cs="Times New Roman" w:hint="eastAsia"/>
                <w:noProof/>
                <w:kern w:val="21"/>
              </w:rPr>
              <w:t>声环境评价</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_Toc195009810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59</w:t>
            </w:r>
            <w:r w:rsidRPr="008C3902">
              <w:rPr>
                <w:rFonts w:hint="eastAsia"/>
                <w:noProof/>
                <w:webHidden/>
              </w:rPr>
              <w:fldChar w:fldCharType="end"/>
            </w:r>
          </w:hyperlink>
        </w:p>
        <w:p w14:paraId="3601BADE" w14:textId="7BE16EC9"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11" w:history="1">
            <w:r w:rsidRPr="008C3902">
              <w:rPr>
                <w:rStyle w:val="afe"/>
                <w:rFonts w:cs="Times New Roman" w:hint="eastAsia"/>
                <w:noProof/>
                <w:kern w:val="21"/>
              </w:rPr>
              <w:t xml:space="preserve">1.7.5 </w:t>
            </w:r>
            <w:r w:rsidRPr="008C3902">
              <w:rPr>
                <w:rStyle w:val="afe"/>
                <w:rFonts w:cs="Times New Roman" w:hint="eastAsia"/>
                <w:noProof/>
                <w:kern w:val="21"/>
              </w:rPr>
              <w:t>生态环境评价</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_Toc195009811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59</w:t>
            </w:r>
            <w:r w:rsidRPr="008C3902">
              <w:rPr>
                <w:rFonts w:hint="eastAsia"/>
                <w:noProof/>
                <w:webHidden/>
              </w:rPr>
              <w:fldChar w:fldCharType="end"/>
            </w:r>
          </w:hyperlink>
        </w:p>
        <w:p w14:paraId="7B6A9E80" w14:textId="25413570"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12" w:history="1">
            <w:r w:rsidRPr="008C3902">
              <w:rPr>
                <w:rStyle w:val="afe"/>
                <w:rFonts w:cs="Times New Roman" w:hint="eastAsia"/>
                <w:noProof/>
                <w:kern w:val="21"/>
              </w:rPr>
              <w:t xml:space="preserve">1.7.6 </w:t>
            </w:r>
            <w:r w:rsidRPr="008C3902">
              <w:rPr>
                <w:rStyle w:val="afe"/>
                <w:rFonts w:cs="Times New Roman" w:hint="eastAsia"/>
                <w:noProof/>
                <w:kern w:val="21"/>
              </w:rPr>
              <w:t>土壤环境评价</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_Toc195009812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60</w:t>
            </w:r>
            <w:r w:rsidRPr="008C3902">
              <w:rPr>
                <w:rFonts w:hint="eastAsia"/>
                <w:noProof/>
                <w:webHidden/>
              </w:rPr>
              <w:fldChar w:fldCharType="end"/>
            </w:r>
          </w:hyperlink>
        </w:p>
        <w:p w14:paraId="444F9C1F" w14:textId="4773042D"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13" w:history="1">
            <w:r w:rsidRPr="008C3902">
              <w:rPr>
                <w:rStyle w:val="afe"/>
                <w:rFonts w:cs="Times New Roman" w:hint="eastAsia"/>
                <w:noProof/>
                <w:kern w:val="21"/>
              </w:rPr>
              <w:t xml:space="preserve">1.7.7 </w:t>
            </w:r>
            <w:r w:rsidRPr="008C3902">
              <w:rPr>
                <w:rStyle w:val="afe"/>
                <w:rFonts w:cs="Times New Roman" w:hint="eastAsia"/>
                <w:noProof/>
                <w:kern w:val="21"/>
              </w:rPr>
              <w:t>环境风险</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_Toc195009813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61</w:t>
            </w:r>
            <w:r w:rsidRPr="008C3902">
              <w:rPr>
                <w:rFonts w:hint="eastAsia"/>
                <w:noProof/>
                <w:webHidden/>
              </w:rPr>
              <w:fldChar w:fldCharType="end"/>
            </w:r>
          </w:hyperlink>
        </w:p>
        <w:p w14:paraId="3D252269" w14:textId="58BC8257"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14" w:history="1">
            <w:r w:rsidRPr="008C3902">
              <w:rPr>
                <w:rStyle w:val="afe"/>
                <w:rFonts w:cs="Times New Roman" w:hint="eastAsia"/>
                <w:noProof/>
                <w:kern w:val="21"/>
              </w:rPr>
              <w:t xml:space="preserve">1.8 </w:t>
            </w:r>
            <w:r w:rsidRPr="008C3902">
              <w:rPr>
                <w:rStyle w:val="afe"/>
                <w:rFonts w:cs="Times New Roman" w:hint="eastAsia"/>
                <w:noProof/>
                <w:kern w:val="21"/>
              </w:rPr>
              <w:t>评价时段</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_Toc195009814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62</w:t>
            </w:r>
            <w:r w:rsidRPr="008C3902">
              <w:rPr>
                <w:rFonts w:hint="eastAsia"/>
                <w:noProof/>
                <w:webHidden/>
              </w:rPr>
              <w:fldChar w:fldCharType="end"/>
            </w:r>
          </w:hyperlink>
        </w:p>
        <w:p w14:paraId="54A5E51E" w14:textId="25132378"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15" w:history="1">
            <w:r w:rsidRPr="008C3902">
              <w:rPr>
                <w:rStyle w:val="afe"/>
                <w:rFonts w:cs="Times New Roman" w:hint="eastAsia"/>
                <w:noProof/>
                <w:kern w:val="21"/>
              </w:rPr>
              <w:t xml:space="preserve">1.9 </w:t>
            </w:r>
            <w:r w:rsidRPr="008C3902">
              <w:rPr>
                <w:rStyle w:val="afe"/>
                <w:rFonts w:cs="Times New Roman" w:hint="eastAsia"/>
                <w:noProof/>
                <w:kern w:val="21"/>
              </w:rPr>
              <w:t>项目外环境关系及环境保护目标</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_Toc195009815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63</w:t>
            </w:r>
            <w:r w:rsidRPr="008C3902">
              <w:rPr>
                <w:rFonts w:hint="eastAsia"/>
                <w:noProof/>
                <w:webHidden/>
              </w:rPr>
              <w:fldChar w:fldCharType="end"/>
            </w:r>
          </w:hyperlink>
        </w:p>
        <w:p w14:paraId="7B539AF8" w14:textId="6261F4C8"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16" w:history="1">
            <w:r w:rsidRPr="008C3902">
              <w:rPr>
                <w:rStyle w:val="afe"/>
                <w:rFonts w:cs="Times New Roman" w:hint="eastAsia"/>
                <w:noProof/>
                <w:kern w:val="21"/>
              </w:rPr>
              <w:t>1.9.1</w:t>
            </w:r>
            <w:r w:rsidRPr="008C3902">
              <w:rPr>
                <w:rStyle w:val="afe"/>
                <w:rFonts w:hint="eastAsia"/>
                <w:noProof/>
                <w:kern w:val="21"/>
              </w:rPr>
              <w:t xml:space="preserve"> </w:t>
            </w:r>
            <w:r w:rsidRPr="008C3902">
              <w:rPr>
                <w:rStyle w:val="afe"/>
                <w:rFonts w:hint="eastAsia"/>
                <w:noProof/>
                <w:kern w:val="21"/>
              </w:rPr>
              <w:t>项目外环境关系</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_Toc195009816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63</w:t>
            </w:r>
            <w:r w:rsidRPr="008C3902">
              <w:rPr>
                <w:rFonts w:hint="eastAsia"/>
                <w:noProof/>
                <w:webHidden/>
              </w:rPr>
              <w:fldChar w:fldCharType="end"/>
            </w:r>
          </w:hyperlink>
        </w:p>
        <w:p w14:paraId="516D0B96" w14:textId="70B01A43"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17" w:history="1">
            <w:r w:rsidRPr="008C3902">
              <w:rPr>
                <w:rStyle w:val="afe"/>
                <w:rFonts w:cs="Times New Roman" w:hint="eastAsia"/>
                <w:noProof/>
                <w:kern w:val="21"/>
              </w:rPr>
              <w:t xml:space="preserve">1.9.2 </w:t>
            </w:r>
            <w:r w:rsidRPr="008C3902">
              <w:rPr>
                <w:rStyle w:val="afe"/>
                <w:rFonts w:cs="Times New Roman" w:hint="eastAsia"/>
                <w:noProof/>
                <w:kern w:val="21"/>
              </w:rPr>
              <w:t>主要保护目标</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_Toc195009817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64</w:t>
            </w:r>
            <w:r w:rsidRPr="008C3902">
              <w:rPr>
                <w:rFonts w:hint="eastAsia"/>
                <w:noProof/>
                <w:webHidden/>
              </w:rPr>
              <w:fldChar w:fldCharType="end"/>
            </w:r>
          </w:hyperlink>
        </w:p>
        <w:p w14:paraId="5F625E1F" w14:textId="419DD061"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18" w:history="1">
            <w:r w:rsidRPr="008C3902">
              <w:rPr>
                <w:rStyle w:val="afe"/>
                <w:rFonts w:cs="Times New Roman" w:hint="eastAsia"/>
                <w:noProof/>
                <w:kern w:val="21"/>
              </w:rPr>
              <w:t xml:space="preserve">1.10 </w:t>
            </w:r>
            <w:r w:rsidRPr="008C3902">
              <w:rPr>
                <w:rStyle w:val="afe"/>
                <w:rFonts w:cs="Times New Roman" w:hint="eastAsia"/>
                <w:noProof/>
                <w:kern w:val="21"/>
              </w:rPr>
              <w:t>污染控制目标</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_Toc195009818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69</w:t>
            </w:r>
            <w:r w:rsidRPr="008C3902">
              <w:rPr>
                <w:rFonts w:hint="eastAsia"/>
                <w:noProof/>
                <w:webHidden/>
              </w:rPr>
              <w:fldChar w:fldCharType="end"/>
            </w:r>
          </w:hyperlink>
        </w:p>
        <w:p w14:paraId="5BC1A2ED" w14:textId="3AAEC923"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19" w:history="1">
            <w:r w:rsidRPr="008C3902">
              <w:rPr>
                <w:rStyle w:val="afe"/>
                <w:rFonts w:cs="Times New Roman" w:hint="eastAsia"/>
                <w:noProof/>
                <w:kern w:val="21"/>
              </w:rPr>
              <w:t xml:space="preserve">1.10.1 </w:t>
            </w:r>
            <w:r w:rsidRPr="008C3902">
              <w:rPr>
                <w:rStyle w:val="afe"/>
                <w:rFonts w:cs="Times New Roman" w:hint="eastAsia"/>
                <w:noProof/>
                <w:kern w:val="21"/>
              </w:rPr>
              <w:t>施工期污染控制目标</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_Toc195009819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69</w:t>
            </w:r>
            <w:r w:rsidRPr="008C3902">
              <w:rPr>
                <w:rFonts w:hint="eastAsia"/>
                <w:noProof/>
                <w:webHidden/>
              </w:rPr>
              <w:fldChar w:fldCharType="end"/>
            </w:r>
          </w:hyperlink>
        </w:p>
        <w:p w14:paraId="2E944BDE" w14:textId="367AF006"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20" w:history="1">
            <w:r w:rsidRPr="008C3902">
              <w:rPr>
                <w:rStyle w:val="afe"/>
                <w:rFonts w:cs="Times New Roman" w:hint="eastAsia"/>
                <w:noProof/>
                <w:kern w:val="21"/>
              </w:rPr>
              <w:t xml:space="preserve">1.10.2 </w:t>
            </w:r>
            <w:r w:rsidRPr="008C3902">
              <w:rPr>
                <w:rStyle w:val="afe"/>
                <w:rFonts w:cs="Times New Roman" w:hint="eastAsia"/>
                <w:noProof/>
                <w:kern w:val="21"/>
              </w:rPr>
              <w:t>营运期污染控制目标</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_Toc195009820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69</w:t>
            </w:r>
            <w:r w:rsidRPr="008C3902">
              <w:rPr>
                <w:rFonts w:hint="eastAsia"/>
                <w:noProof/>
                <w:webHidden/>
              </w:rPr>
              <w:fldChar w:fldCharType="end"/>
            </w:r>
          </w:hyperlink>
        </w:p>
        <w:p w14:paraId="0A2F6176" w14:textId="1259EBF7"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21" w:history="1">
            <w:r w:rsidRPr="008C3902">
              <w:rPr>
                <w:rStyle w:val="afe"/>
                <w:rFonts w:cs="Times New Roman" w:hint="eastAsia"/>
                <w:noProof/>
                <w:kern w:val="21"/>
              </w:rPr>
              <w:t xml:space="preserve">1.11 </w:t>
            </w:r>
            <w:r w:rsidRPr="008C3902">
              <w:rPr>
                <w:rStyle w:val="afe"/>
                <w:rFonts w:cs="Times New Roman" w:hint="eastAsia"/>
                <w:noProof/>
                <w:kern w:val="21"/>
              </w:rPr>
              <w:t>项目选址合理性分析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_Toc195009821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70</w:t>
            </w:r>
            <w:r w:rsidRPr="008C3902">
              <w:rPr>
                <w:rFonts w:hint="eastAsia"/>
                <w:noProof/>
                <w:webHidden/>
              </w:rPr>
              <w:fldChar w:fldCharType="end"/>
            </w:r>
          </w:hyperlink>
        </w:p>
        <w:p w14:paraId="56BAAF3A" w14:textId="015D7347"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22" w:history="1">
            <w:r w:rsidRPr="008C3902">
              <w:rPr>
                <w:rStyle w:val="afe"/>
                <w:rFonts w:cs="Times New Roman" w:hint="eastAsia"/>
                <w:noProof/>
                <w:kern w:val="21"/>
              </w:rPr>
              <w:t>1.11.1</w:t>
            </w:r>
            <w:r w:rsidRPr="008C3902">
              <w:rPr>
                <w:rStyle w:val="afe"/>
                <w:rFonts w:hint="eastAsia"/>
                <w:noProof/>
                <w:kern w:val="21"/>
              </w:rPr>
              <w:t xml:space="preserve"> </w:t>
            </w:r>
            <w:r w:rsidRPr="008C3902">
              <w:rPr>
                <w:rStyle w:val="afe"/>
                <w:rFonts w:hint="eastAsia"/>
                <w:noProof/>
                <w:kern w:val="21"/>
              </w:rPr>
              <w:t>项目用地规划符合性</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_Toc195009822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70</w:t>
            </w:r>
            <w:r w:rsidRPr="008C3902">
              <w:rPr>
                <w:rFonts w:hint="eastAsia"/>
                <w:noProof/>
                <w:webHidden/>
              </w:rPr>
              <w:fldChar w:fldCharType="end"/>
            </w:r>
          </w:hyperlink>
        </w:p>
        <w:p w14:paraId="52E12939" w14:textId="4726AA37"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23" w:history="1">
            <w:r w:rsidRPr="008C3902">
              <w:rPr>
                <w:rStyle w:val="afe"/>
                <w:rFonts w:cs="Times New Roman" w:hint="eastAsia"/>
                <w:noProof/>
                <w:kern w:val="21"/>
              </w:rPr>
              <w:t>1.11.2</w:t>
            </w:r>
            <w:r w:rsidRPr="008C3902">
              <w:rPr>
                <w:rStyle w:val="afe"/>
                <w:rFonts w:hint="eastAsia"/>
                <w:noProof/>
                <w:kern w:val="21"/>
              </w:rPr>
              <w:t xml:space="preserve"> </w:t>
            </w:r>
            <w:r w:rsidRPr="008C3902">
              <w:rPr>
                <w:rStyle w:val="afe"/>
                <w:rFonts w:hint="eastAsia"/>
                <w:noProof/>
                <w:kern w:val="21"/>
              </w:rPr>
              <w:t>与行业选址要求符合性分析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_Toc195009823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71</w:t>
            </w:r>
            <w:r w:rsidRPr="008C3902">
              <w:rPr>
                <w:rFonts w:hint="eastAsia"/>
                <w:noProof/>
                <w:webHidden/>
              </w:rPr>
              <w:fldChar w:fldCharType="end"/>
            </w:r>
          </w:hyperlink>
        </w:p>
        <w:p w14:paraId="22F751CA" w14:textId="4F6B3E00"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24" w:history="1">
            <w:r w:rsidRPr="008C3902">
              <w:rPr>
                <w:rStyle w:val="afe"/>
                <w:rFonts w:cs="Times New Roman" w:hint="eastAsia"/>
                <w:noProof/>
                <w:kern w:val="21"/>
              </w:rPr>
              <w:t>1.11.3</w:t>
            </w:r>
            <w:r w:rsidRPr="008C3902">
              <w:rPr>
                <w:rStyle w:val="afe"/>
                <w:rFonts w:hint="eastAsia"/>
                <w:noProof/>
                <w:kern w:val="21"/>
              </w:rPr>
              <w:t xml:space="preserve"> </w:t>
            </w:r>
            <w:r w:rsidRPr="008C3902">
              <w:rPr>
                <w:rStyle w:val="afe"/>
                <w:rFonts w:hint="eastAsia"/>
                <w:noProof/>
                <w:kern w:val="21"/>
              </w:rPr>
              <w:t>项目周边影响因素分析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_Toc195009824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72</w:t>
            </w:r>
            <w:r w:rsidRPr="008C3902">
              <w:rPr>
                <w:rFonts w:hint="eastAsia"/>
                <w:noProof/>
                <w:webHidden/>
              </w:rPr>
              <w:fldChar w:fldCharType="end"/>
            </w:r>
          </w:hyperlink>
        </w:p>
        <w:p w14:paraId="0509834F" w14:textId="1FB45C0A"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25" w:history="1">
            <w:r w:rsidRPr="008C3902">
              <w:rPr>
                <w:rStyle w:val="afe"/>
                <w:rFonts w:cs="Times New Roman" w:hint="eastAsia"/>
                <w:noProof/>
                <w:kern w:val="21"/>
              </w:rPr>
              <w:t>1.12</w:t>
            </w:r>
            <w:r w:rsidRPr="008C3902">
              <w:rPr>
                <w:rStyle w:val="afe"/>
                <w:rFonts w:cs="Times New Roman" w:hint="eastAsia"/>
                <w:noProof/>
                <w:kern w:val="21"/>
              </w:rPr>
              <w:t>小结</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_Toc195009825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74</w:t>
            </w:r>
            <w:r w:rsidRPr="008C3902">
              <w:rPr>
                <w:rFonts w:hint="eastAsia"/>
                <w:noProof/>
                <w:webHidden/>
              </w:rPr>
              <w:fldChar w:fldCharType="end"/>
            </w:r>
          </w:hyperlink>
        </w:p>
        <w:p w14:paraId="58FF27C4" w14:textId="3F251AE0"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26" w:history="1">
            <w:r w:rsidRPr="008C3902">
              <w:rPr>
                <w:rStyle w:val="afe"/>
                <w:rFonts w:cs="Times New Roman" w:hint="eastAsia"/>
                <w:noProof/>
                <w:kern w:val="21"/>
              </w:rPr>
              <w:t>1.13</w:t>
            </w:r>
            <w:r w:rsidRPr="008C3902">
              <w:rPr>
                <w:rStyle w:val="afe"/>
                <w:rFonts w:cs="Times New Roman" w:hint="eastAsia"/>
                <w:noProof/>
                <w:kern w:val="21"/>
              </w:rPr>
              <w:t>评价工作程序</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_Toc195009826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74</w:t>
            </w:r>
            <w:r w:rsidRPr="008C3902">
              <w:rPr>
                <w:rFonts w:hint="eastAsia"/>
                <w:noProof/>
                <w:webHidden/>
              </w:rPr>
              <w:fldChar w:fldCharType="end"/>
            </w:r>
          </w:hyperlink>
        </w:p>
        <w:p w14:paraId="4FA581A3" w14:textId="3A13BC17" w:rsidR="008C3902" w:rsidRPr="008C3902" w:rsidRDefault="008C3902" w:rsidP="000B6388">
          <w:pPr>
            <w:pStyle w:val="TOC1"/>
            <w:tabs>
              <w:tab w:val="right" w:leader="dot" w:pos="8834"/>
            </w:tabs>
            <w:adjustRightInd w:val="0"/>
            <w:snapToGrid w:val="0"/>
            <w:spacing w:after="0"/>
            <w:rPr>
              <w:rFonts w:asciiTheme="minorHAnsi" w:eastAsiaTheme="minorEastAsia" w:hAnsiTheme="minorHAnsi" w:hint="eastAsia"/>
              <w:noProof/>
              <w:sz w:val="22"/>
              <w:szCs w:val="24"/>
              <w14:ligatures w14:val="standardContextual"/>
            </w:rPr>
          </w:pPr>
          <w:hyperlink w:anchor="_Toc195009827" w:history="1">
            <w:r w:rsidRPr="008C3902">
              <w:rPr>
                <w:rStyle w:val="afe"/>
                <w:rFonts w:cs="Times New Roman" w:hint="eastAsia"/>
                <w:noProof/>
                <w:kern w:val="21"/>
              </w:rPr>
              <w:t xml:space="preserve">2 </w:t>
            </w:r>
            <w:r w:rsidRPr="008C3902">
              <w:rPr>
                <w:rStyle w:val="afe"/>
                <w:rFonts w:cs="Times New Roman" w:hint="eastAsia"/>
                <w:noProof/>
                <w:kern w:val="21"/>
              </w:rPr>
              <w:t>项目概况</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_Toc195009827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76</w:t>
            </w:r>
            <w:r w:rsidRPr="008C3902">
              <w:rPr>
                <w:rFonts w:hint="eastAsia"/>
                <w:noProof/>
                <w:webHidden/>
              </w:rPr>
              <w:fldChar w:fldCharType="end"/>
            </w:r>
          </w:hyperlink>
        </w:p>
        <w:p w14:paraId="1B6B3896" w14:textId="473FAE1E"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28" w:history="1">
            <w:r w:rsidRPr="008C3902">
              <w:rPr>
                <w:rStyle w:val="afe"/>
                <w:rFonts w:cs="Times New Roman" w:hint="eastAsia"/>
                <w:noProof/>
                <w:kern w:val="21"/>
              </w:rPr>
              <w:t xml:space="preserve">2.1 </w:t>
            </w:r>
            <w:r w:rsidRPr="008C3902">
              <w:rPr>
                <w:rStyle w:val="afe"/>
                <w:rFonts w:cs="Times New Roman" w:hint="eastAsia"/>
                <w:noProof/>
                <w:kern w:val="21"/>
              </w:rPr>
              <w:t>建设项目概况</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_Toc195009828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76</w:t>
            </w:r>
            <w:r w:rsidRPr="008C3902">
              <w:rPr>
                <w:rFonts w:hint="eastAsia"/>
                <w:noProof/>
                <w:webHidden/>
              </w:rPr>
              <w:fldChar w:fldCharType="end"/>
            </w:r>
          </w:hyperlink>
        </w:p>
        <w:p w14:paraId="7B669B52" w14:textId="48BF888F"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29" w:history="1">
            <w:r w:rsidRPr="008C3902">
              <w:rPr>
                <w:rStyle w:val="afe"/>
                <w:rFonts w:cs="Times New Roman" w:hint="eastAsia"/>
                <w:noProof/>
                <w:kern w:val="21"/>
              </w:rPr>
              <w:t xml:space="preserve">2.1.1 </w:t>
            </w:r>
            <w:r w:rsidRPr="008C3902">
              <w:rPr>
                <w:rStyle w:val="afe"/>
                <w:rFonts w:cs="Times New Roman" w:hint="eastAsia"/>
                <w:noProof/>
                <w:kern w:val="21"/>
              </w:rPr>
              <w:t>项目基本情况</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_Toc195009829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76</w:t>
            </w:r>
            <w:r w:rsidRPr="008C3902">
              <w:rPr>
                <w:rFonts w:hint="eastAsia"/>
                <w:noProof/>
                <w:webHidden/>
              </w:rPr>
              <w:fldChar w:fldCharType="end"/>
            </w:r>
          </w:hyperlink>
        </w:p>
        <w:p w14:paraId="2A6187E9" w14:textId="09D336FE"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30" w:history="1">
            <w:r w:rsidRPr="008C3902">
              <w:rPr>
                <w:rStyle w:val="afe"/>
                <w:rFonts w:cs="Times New Roman" w:hint="eastAsia"/>
                <w:noProof/>
                <w:kern w:val="21"/>
              </w:rPr>
              <w:t xml:space="preserve">2.1.2 </w:t>
            </w:r>
            <w:r w:rsidRPr="008C3902">
              <w:rPr>
                <w:rStyle w:val="afe"/>
                <w:rFonts w:cs="Times New Roman" w:hint="eastAsia"/>
                <w:noProof/>
                <w:kern w:val="21"/>
              </w:rPr>
              <w:t>养殖规模及产品方案</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_Toc195009830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76</w:t>
            </w:r>
            <w:r w:rsidRPr="008C3902">
              <w:rPr>
                <w:rFonts w:hint="eastAsia"/>
                <w:noProof/>
                <w:webHidden/>
              </w:rPr>
              <w:fldChar w:fldCharType="end"/>
            </w:r>
          </w:hyperlink>
        </w:p>
        <w:p w14:paraId="7AA7B781" w14:textId="73B8E602"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31" w:history="1">
            <w:r w:rsidRPr="008C3902">
              <w:rPr>
                <w:rStyle w:val="afe"/>
                <w:rFonts w:cs="Times New Roman" w:hint="eastAsia"/>
                <w:noProof/>
                <w:kern w:val="21"/>
              </w:rPr>
              <w:t xml:space="preserve">2.1.3 </w:t>
            </w:r>
            <w:r w:rsidRPr="008C3902">
              <w:rPr>
                <w:rStyle w:val="afe"/>
                <w:rFonts w:cs="Times New Roman" w:hint="eastAsia"/>
                <w:noProof/>
                <w:kern w:val="21"/>
              </w:rPr>
              <w:t>建设内容及组成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_Toc195009831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77</w:t>
            </w:r>
            <w:r w:rsidRPr="008C3902">
              <w:rPr>
                <w:rFonts w:hint="eastAsia"/>
                <w:noProof/>
                <w:webHidden/>
              </w:rPr>
              <w:fldChar w:fldCharType="end"/>
            </w:r>
          </w:hyperlink>
        </w:p>
        <w:p w14:paraId="0F37C31B" w14:textId="5DF788D9"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32" w:history="1">
            <w:r w:rsidRPr="008C3902">
              <w:rPr>
                <w:rStyle w:val="afe"/>
                <w:rFonts w:cs="Times New Roman" w:hint="eastAsia"/>
                <w:noProof/>
                <w:kern w:val="21"/>
              </w:rPr>
              <w:t xml:space="preserve">2.1.4 </w:t>
            </w:r>
            <w:r w:rsidRPr="008C3902">
              <w:rPr>
                <w:rStyle w:val="afe"/>
                <w:rFonts w:cs="Times New Roman" w:hint="eastAsia"/>
                <w:noProof/>
                <w:kern w:val="21"/>
              </w:rPr>
              <w:t>原辅材料及能源消耗</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_Toc195009832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83</w:t>
            </w:r>
            <w:r w:rsidRPr="008C3902">
              <w:rPr>
                <w:rFonts w:hint="eastAsia"/>
                <w:noProof/>
                <w:webHidden/>
              </w:rPr>
              <w:fldChar w:fldCharType="end"/>
            </w:r>
          </w:hyperlink>
        </w:p>
        <w:p w14:paraId="6944A45E" w14:textId="370F525F"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33" w:history="1">
            <w:r w:rsidRPr="008C3902">
              <w:rPr>
                <w:rStyle w:val="afe"/>
                <w:rFonts w:cs="Times New Roman" w:hint="eastAsia"/>
                <w:noProof/>
                <w:kern w:val="21"/>
              </w:rPr>
              <w:t xml:space="preserve">2.1.5 </w:t>
            </w:r>
            <w:r w:rsidRPr="008C3902">
              <w:rPr>
                <w:rStyle w:val="afe"/>
                <w:rFonts w:cs="Times New Roman" w:hint="eastAsia"/>
                <w:noProof/>
                <w:kern w:val="21"/>
              </w:rPr>
              <w:t>主要生产设备</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_Toc195009833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83</w:t>
            </w:r>
            <w:r w:rsidRPr="008C3902">
              <w:rPr>
                <w:rFonts w:hint="eastAsia"/>
                <w:noProof/>
                <w:webHidden/>
              </w:rPr>
              <w:fldChar w:fldCharType="end"/>
            </w:r>
          </w:hyperlink>
        </w:p>
        <w:p w14:paraId="0962A7E2" w14:textId="2F374BDB"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34" w:history="1">
            <w:r w:rsidRPr="008C3902">
              <w:rPr>
                <w:rStyle w:val="afe"/>
                <w:rFonts w:cs="Times New Roman" w:hint="eastAsia"/>
                <w:noProof/>
                <w:kern w:val="21"/>
              </w:rPr>
              <w:t xml:space="preserve">2.2 </w:t>
            </w:r>
            <w:r w:rsidRPr="008C3902">
              <w:rPr>
                <w:rStyle w:val="afe"/>
                <w:rFonts w:cs="Times New Roman" w:hint="eastAsia"/>
                <w:noProof/>
                <w:kern w:val="21"/>
              </w:rPr>
              <w:t>工程建设内容</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_Toc195009834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83</w:t>
            </w:r>
            <w:r w:rsidRPr="008C3902">
              <w:rPr>
                <w:rFonts w:hint="eastAsia"/>
                <w:noProof/>
                <w:webHidden/>
              </w:rPr>
              <w:fldChar w:fldCharType="end"/>
            </w:r>
          </w:hyperlink>
        </w:p>
        <w:p w14:paraId="28CF34A3" w14:textId="18E17F21"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35" w:history="1">
            <w:r w:rsidRPr="008C3902">
              <w:rPr>
                <w:rStyle w:val="afe"/>
                <w:rFonts w:cs="Times New Roman" w:hint="eastAsia"/>
                <w:noProof/>
                <w:kern w:val="21"/>
              </w:rPr>
              <w:t xml:space="preserve">2.2.1 </w:t>
            </w:r>
            <w:r w:rsidRPr="008C3902">
              <w:rPr>
                <w:rStyle w:val="afe"/>
                <w:rFonts w:cs="Times New Roman" w:hint="eastAsia"/>
                <w:noProof/>
                <w:kern w:val="21"/>
              </w:rPr>
              <w:t>主体工程</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_Toc195009835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83</w:t>
            </w:r>
            <w:r w:rsidRPr="008C3902">
              <w:rPr>
                <w:rFonts w:hint="eastAsia"/>
                <w:noProof/>
                <w:webHidden/>
              </w:rPr>
              <w:fldChar w:fldCharType="end"/>
            </w:r>
          </w:hyperlink>
        </w:p>
        <w:p w14:paraId="30231926" w14:textId="571129A8"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36" w:history="1">
            <w:r w:rsidRPr="008C3902">
              <w:rPr>
                <w:rStyle w:val="afe"/>
                <w:rFonts w:cs="Times New Roman" w:hint="eastAsia"/>
                <w:noProof/>
                <w:kern w:val="21"/>
              </w:rPr>
              <w:t xml:space="preserve">2.2.2 </w:t>
            </w:r>
            <w:r w:rsidRPr="008C3902">
              <w:rPr>
                <w:rStyle w:val="afe"/>
                <w:rFonts w:cs="Times New Roman" w:hint="eastAsia"/>
                <w:noProof/>
                <w:kern w:val="21"/>
              </w:rPr>
              <w:t>公用工程</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_Toc195009836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83</w:t>
            </w:r>
            <w:r w:rsidRPr="008C3902">
              <w:rPr>
                <w:rFonts w:hint="eastAsia"/>
                <w:noProof/>
                <w:webHidden/>
              </w:rPr>
              <w:fldChar w:fldCharType="end"/>
            </w:r>
          </w:hyperlink>
        </w:p>
        <w:p w14:paraId="4D8888AB" w14:textId="3BEB5852"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37" w:history="1">
            <w:r w:rsidRPr="008C3902">
              <w:rPr>
                <w:rStyle w:val="afe"/>
                <w:rFonts w:cs="Times New Roman" w:hint="eastAsia"/>
                <w:noProof/>
                <w:kern w:val="21"/>
              </w:rPr>
              <w:t xml:space="preserve">2.2.3 </w:t>
            </w:r>
            <w:r w:rsidRPr="008C3902">
              <w:rPr>
                <w:rStyle w:val="afe"/>
                <w:rFonts w:cs="Times New Roman" w:hint="eastAsia"/>
                <w:noProof/>
                <w:kern w:val="21"/>
              </w:rPr>
              <w:t>鸡粪及病死鸡运输路线</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_Toc195009837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87</w:t>
            </w:r>
            <w:r w:rsidRPr="008C3902">
              <w:rPr>
                <w:rFonts w:hint="eastAsia"/>
                <w:noProof/>
                <w:webHidden/>
              </w:rPr>
              <w:fldChar w:fldCharType="end"/>
            </w:r>
          </w:hyperlink>
        </w:p>
        <w:p w14:paraId="09EFD500" w14:textId="2358343B"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38" w:history="1">
            <w:r w:rsidRPr="008C3902">
              <w:rPr>
                <w:rStyle w:val="afe"/>
                <w:rFonts w:cs="Times New Roman" w:hint="eastAsia"/>
                <w:noProof/>
                <w:kern w:val="21"/>
              </w:rPr>
              <w:t xml:space="preserve">2.3 </w:t>
            </w:r>
            <w:r w:rsidRPr="008C3902">
              <w:rPr>
                <w:rStyle w:val="afe"/>
                <w:rFonts w:cs="Times New Roman" w:hint="eastAsia"/>
                <w:noProof/>
                <w:kern w:val="21"/>
              </w:rPr>
              <w:t>总平面布置合理性分析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_Toc195009838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87</w:t>
            </w:r>
            <w:r w:rsidRPr="008C3902">
              <w:rPr>
                <w:rFonts w:hint="eastAsia"/>
                <w:noProof/>
                <w:webHidden/>
              </w:rPr>
              <w:fldChar w:fldCharType="end"/>
            </w:r>
          </w:hyperlink>
        </w:p>
        <w:p w14:paraId="50CB2269" w14:textId="508DE205"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39" w:history="1">
            <w:r w:rsidRPr="008C3902">
              <w:rPr>
                <w:rStyle w:val="afe"/>
                <w:rFonts w:cs="Times New Roman" w:hint="eastAsia"/>
                <w:noProof/>
                <w:kern w:val="21"/>
              </w:rPr>
              <w:t xml:space="preserve">2.4 </w:t>
            </w:r>
            <w:r w:rsidRPr="008C3902">
              <w:rPr>
                <w:rStyle w:val="afe"/>
                <w:rFonts w:cs="Times New Roman" w:hint="eastAsia"/>
                <w:noProof/>
                <w:kern w:val="21"/>
              </w:rPr>
              <w:t>劳动定员与工作制度</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_Toc195009839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90</w:t>
            </w:r>
            <w:r w:rsidRPr="008C3902">
              <w:rPr>
                <w:rFonts w:hint="eastAsia"/>
                <w:noProof/>
                <w:webHidden/>
              </w:rPr>
              <w:fldChar w:fldCharType="end"/>
            </w:r>
          </w:hyperlink>
        </w:p>
        <w:p w14:paraId="1BF405F1" w14:textId="13A7E7B4"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40" w:history="1">
            <w:r w:rsidRPr="008C3902">
              <w:rPr>
                <w:rStyle w:val="afe"/>
                <w:rFonts w:cs="Times New Roman" w:hint="eastAsia"/>
                <w:noProof/>
                <w:kern w:val="21"/>
              </w:rPr>
              <w:t xml:space="preserve">2.5 </w:t>
            </w:r>
            <w:r w:rsidRPr="008C3902">
              <w:rPr>
                <w:rStyle w:val="afe"/>
                <w:rFonts w:cs="Times New Roman" w:hint="eastAsia"/>
                <w:noProof/>
                <w:kern w:val="21"/>
              </w:rPr>
              <w:t>水平衡分析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_Toc195009840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90</w:t>
            </w:r>
            <w:r w:rsidRPr="008C3902">
              <w:rPr>
                <w:rFonts w:hint="eastAsia"/>
                <w:noProof/>
                <w:webHidden/>
              </w:rPr>
              <w:fldChar w:fldCharType="end"/>
            </w:r>
          </w:hyperlink>
        </w:p>
        <w:p w14:paraId="7B94A253" w14:textId="19E66CAB"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41" w:history="1">
            <w:r w:rsidRPr="008C3902">
              <w:rPr>
                <w:rStyle w:val="afe"/>
                <w:rFonts w:cs="Times New Roman" w:hint="eastAsia"/>
                <w:noProof/>
                <w:kern w:val="21"/>
              </w:rPr>
              <w:t xml:space="preserve">2.5.1 </w:t>
            </w:r>
            <w:r w:rsidRPr="008C3902">
              <w:rPr>
                <w:rStyle w:val="afe"/>
                <w:rFonts w:cs="Times New Roman" w:hint="eastAsia"/>
                <w:noProof/>
                <w:kern w:val="21"/>
              </w:rPr>
              <w:t>给水</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_Toc195009841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90</w:t>
            </w:r>
            <w:r w:rsidRPr="008C3902">
              <w:rPr>
                <w:rFonts w:hint="eastAsia"/>
                <w:noProof/>
                <w:webHidden/>
              </w:rPr>
              <w:fldChar w:fldCharType="end"/>
            </w:r>
          </w:hyperlink>
        </w:p>
        <w:p w14:paraId="102437B3" w14:textId="30BAEA3D"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42" w:history="1">
            <w:r w:rsidRPr="008C3902">
              <w:rPr>
                <w:rStyle w:val="afe"/>
                <w:rFonts w:cs="Times New Roman" w:hint="eastAsia"/>
                <w:noProof/>
                <w:kern w:val="21"/>
              </w:rPr>
              <w:t xml:space="preserve">2.5.2 </w:t>
            </w:r>
            <w:r w:rsidRPr="008C3902">
              <w:rPr>
                <w:rStyle w:val="afe"/>
                <w:rFonts w:cs="Times New Roman" w:hint="eastAsia"/>
                <w:noProof/>
                <w:kern w:val="21"/>
              </w:rPr>
              <w:t>排水</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_Toc195009842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90</w:t>
            </w:r>
            <w:r w:rsidRPr="008C3902">
              <w:rPr>
                <w:rFonts w:hint="eastAsia"/>
                <w:noProof/>
                <w:webHidden/>
              </w:rPr>
              <w:fldChar w:fldCharType="end"/>
            </w:r>
          </w:hyperlink>
        </w:p>
        <w:p w14:paraId="58799715" w14:textId="0964FE2A"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43" w:history="1">
            <w:r w:rsidRPr="008C3902">
              <w:rPr>
                <w:rStyle w:val="afe"/>
                <w:rFonts w:cs="Times New Roman" w:hint="eastAsia"/>
                <w:noProof/>
                <w:kern w:val="21"/>
              </w:rPr>
              <w:t xml:space="preserve">2.5.3 </w:t>
            </w:r>
            <w:r w:rsidRPr="008C3902">
              <w:rPr>
                <w:rStyle w:val="afe"/>
                <w:rFonts w:cs="Times New Roman" w:hint="eastAsia"/>
                <w:noProof/>
                <w:kern w:val="21"/>
              </w:rPr>
              <w:t>水平衡</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_Toc195009843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90</w:t>
            </w:r>
            <w:r w:rsidRPr="008C3902">
              <w:rPr>
                <w:rFonts w:hint="eastAsia"/>
                <w:noProof/>
                <w:webHidden/>
              </w:rPr>
              <w:fldChar w:fldCharType="end"/>
            </w:r>
          </w:hyperlink>
        </w:p>
        <w:p w14:paraId="4BA5DE4A" w14:textId="343E75D9" w:rsidR="008C3902" w:rsidRPr="008C3902" w:rsidRDefault="008C3902" w:rsidP="000B6388">
          <w:pPr>
            <w:pStyle w:val="TOC1"/>
            <w:tabs>
              <w:tab w:val="right" w:leader="dot" w:pos="8834"/>
            </w:tabs>
            <w:adjustRightInd w:val="0"/>
            <w:snapToGrid w:val="0"/>
            <w:spacing w:after="0"/>
            <w:rPr>
              <w:rFonts w:asciiTheme="minorHAnsi" w:eastAsiaTheme="minorEastAsia" w:hAnsiTheme="minorHAnsi" w:hint="eastAsia"/>
              <w:noProof/>
              <w:sz w:val="22"/>
              <w:szCs w:val="24"/>
              <w14:ligatures w14:val="standardContextual"/>
            </w:rPr>
          </w:pPr>
          <w:hyperlink w:anchor="_Toc195009844" w:history="1">
            <w:r w:rsidRPr="008C3902">
              <w:rPr>
                <w:rStyle w:val="afe"/>
                <w:rFonts w:cs="Times New Roman" w:hint="eastAsia"/>
                <w:noProof/>
                <w:kern w:val="21"/>
              </w:rPr>
              <w:t xml:space="preserve">3 </w:t>
            </w:r>
            <w:r w:rsidRPr="008C3902">
              <w:rPr>
                <w:rStyle w:val="afe"/>
                <w:rFonts w:cs="Times New Roman" w:hint="eastAsia"/>
                <w:noProof/>
                <w:kern w:val="21"/>
              </w:rPr>
              <w:t>工程分析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_Toc195009844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91</w:t>
            </w:r>
            <w:r w:rsidRPr="008C3902">
              <w:rPr>
                <w:rFonts w:hint="eastAsia"/>
                <w:noProof/>
                <w:webHidden/>
              </w:rPr>
              <w:fldChar w:fldCharType="end"/>
            </w:r>
          </w:hyperlink>
        </w:p>
        <w:p w14:paraId="354D98AC" w14:textId="24372432"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45" w:history="1">
            <w:r w:rsidRPr="008C3902">
              <w:rPr>
                <w:rStyle w:val="afe"/>
                <w:rFonts w:cs="Times New Roman" w:hint="eastAsia"/>
                <w:noProof/>
                <w:kern w:val="21"/>
              </w:rPr>
              <w:t xml:space="preserve">3.1 </w:t>
            </w:r>
            <w:r w:rsidRPr="008C3902">
              <w:rPr>
                <w:rStyle w:val="afe"/>
                <w:rFonts w:cs="Times New Roman" w:hint="eastAsia"/>
                <w:noProof/>
                <w:kern w:val="21"/>
              </w:rPr>
              <w:t>施工期工程分析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_Toc195009845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91</w:t>
            </w:r>
            <w:r w:rsidRPr="008C3902">
              <w:rPr>
                <w:rFonts w:hint="eastAsia"/>
                <w:noProof/>
                <w:webHidden/>
              </w:rPr>
              <w:fldChar w:fldCharType="end"/>
            </w:r>
          </w:hyperlink>
        </w:p>
        <w:p w14:paraId="7CE6C583" w14:textId="727DCC4A"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46" w:history="1">
            <w:r w:rsidRPr="008C3902">
              <w:rPr>
                <w:rStyle w:val="afe"/>
                <w:rFonts w:cs="Times New Roman" w:hint="eastAsia"/>
                <w:noProof/>
                <w:kern w:val="21"/>
              </w:rPr>
              <w:t xml:space="preserve">3.1.1 </w:t>
            </w:r>
            <w:r w:rsidRPr="008C3902">
              <w:rPr>
                <w:rStyle w:val="afe"/>
                <w:rFonts w:cs="Times New Roman" w:hint="eastAsia"/>
                <w:noProof/>
                <w:kern w:val="21"/>
              </w:rPr>
              <w:t>施工期工艺流程及产污环节分析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_Toc195009846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91</w:t>
            </w:r>
            <w:r w:rsidRPr="008C3902">
              <w:rPr>
                <w:rFonts w:hint="eastAsia"/>
                <w:noProof/>
                <w:webHidden/>
              </w:rPr>
              <w:fldChar w:fldCharType="end"/>
            </w:r>
          </w:hyperlink>
        </w:p>
        <w:p w14:paraId="3C343A49" w14:textId="7CFDB75C"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47" w:history="1">
            <w:r w:rsidRPr="008C3902">
              <w:rPr>
                <w:rStyle w:val="afe"/>
                <w:rFonts w:cs="Times New Roman" w:hint="eastAsia"/>
                <w:noProof/>
                <w:kern w:val="21"/>
              </w:rPr>
              <w:t xml:space="preserve">3.1.2 </w:t>
            </w:r>
            <w:r w:rsidRPr="008C3902">
              <w:rPr>
                <w:rStyle w:val="afe"/>
                <w:rFonts w:cs="Times New Roman" w:hint="eastAsia"/>
                <w:noProof/>
                <w:kern w:val="21"/>
              </w:rPr>
              <w:t>施工期污染源强分析及治理措施</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_Toc195009847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92</w:t>
            </w:r>
            <w:r w:rsidRPr="008C3902">
              <w:rPr>
                <w:rFonts w:hint="eastAsia"/>
                <w:noProof/>
                <w:webHidden/>
              </w:rPr>
              <w:fldChar w:fldCharType="end"/>
            </w:r>
          </w:hyperlink>
        </w:p>
        <w:p w14:paraId="3AACDA90" w14:textId="67F1B7DF"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48" w:history="1">
            <w:r w:rsidRPr="008C3902">
              <w:rPr>
                <w:rStyle w:val="afe"/>
                <w:rFonts w:cs="Times New Roman" w:hint="eastAsia"/>
                <w:noProof/>
                <w:kern w:val="21"/>
              </w:rPr>
              <w:t xml:space="preserve">3.2 </w:t>
            </w:r>
            <w:r w:rsidRPr="008C3902">
              <w:rPr>
                <w:rStyle w:val="afe"/>
                <w:rFonts w:cs="Times New Roman" w:hint="eastAsia"/>
                <w:noProof/>
                <w:kern w:val="21"/>
              </w:rPr>
              <w:t>运营期工程分析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_Toc195009848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98</w:t>
            </w:r>
            <w:r w:rsidRPr="008C3902">
              <w:rPr>
                <w:rFonts w:hint="eastAsia"/>
                <w:noProof/>
                <w:webHidden/>
              </w:rPr>
              <w:fldChar w:fldCharType="end"/>
            </w:r>
          </w:hyperlink>
        </w:p>
        <w:p w14:paraId="14498A33" w14:textId="744270FE"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49" w:history="1">
            <w:r w:rsidRPr="008C3902">
              <w:rPr>
                <w:rStyle w:val="afe"/>
                <w:rFonts w:cs="Times New Roman" w:hint="eastAsia"/>
                <w:noProof/>
                <w:kern w:val="21"/>
              </w:rPr>
              <w:t xml:space="preserve">3.2.1 </w:t>
            </w:r>
            <w:r w:rsidRPr="008C3902">
              <w:rPr>
                <w:rStyle w:val="afe"/>
                <w:rFonts w:cs="Times New Roman" w:hint="eastAsia"/>
                <w:noProof/>
                <w:kern w:val="21"/>
              </w:rPr>
              <w:t>运营期工艺流程及产污环节分析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_Toc195009849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98</w:t>
            </w:r>
            <w:r w:rsidRPr="008C3902">
              <w:rPr>
                <w:rFonts w:hint="eastAsia"/>
                <w:noProof/>
                <w:webHidden/>
              </w:rPr>
              <w:fldChar w:fldCharType="end"/>
            </w:r>
          </w:hyperlink>
        </w:p>
        <w:p w14:paraId="64478FBB" w14:textId="73CC522C"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50" w:history="1">
            <w:r w:rsidRPr="008C3902">
              <w:rPr>
                <w:rStyle w:val="afe"/>
                <w:rFonts w:cs="Times New Roman" w:hint="eastAsia"/>
                <w:noProof/>
                <w:kern w:val="21"/>
              </w:rPr>
              <w:t xml:space="preserve">3.2.2 </w:t>
            </w:r>
            <w:r w:rsidRPr="008C3902">
              <w:rPr>
                <w:rStyle w:val="afe"/>
                <w:rFonts w:cs="Times New Roman" w:hint="eastAsia"/>
                <w:noProof/>
                <w:kern w:val="21"/>
              </w:rPr>
              <w:t>运营期污染物产生及治理措施</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_Toc195009850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100</w:t>
            </w:r>
            <w:r w:rsidRPr="008C3902">
              <w:rPr>
                <w:rFonts w:hint="eastAsia"/>
                <w:noProof/>
                <w:webHidden/>
              </w:rPr>
              <w:fldChar w:fldCharType="end"/>
            </w:r>
          </w:hyperlink>
        </w:p>
        <w:p w14:paraId="2861E488" w14:textId="4C28B837"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51" w:history="1">
            <w:r w:rsidRPr="008C3902">
              <w:rPr>
                <w:rStyle w:val="afe"/>
                <w:rFonts w:cs="Times New Roman" w:hint="eastAsia"/>
                <w:noProof/>
                <w:kern w:val="21"/>
              </w:rPr>
              <w:t xml:space="preserve">3.3 </w:t>
            </w:r>
            <w:r w:rsidRPr="008C3902">
              <w:rPr>
                <w:rStyle w:val="afe"/>
                <w:rFonts w:cs="Times New Roman" w:hint="eastAsia"/>
                <w:noProof/>
                <w:kern w:val="21"/>
              </w:rPr>
              <w:t>总量控制</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_Toc195009851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106</w:t>
            </w:r>
            <w:r w:rsidRPr="008C3902">
              <w:rPr>
                <w:rFonts w:hint="eastAsia"/>
                <w:noProof/>
                <w:webHidden/>
              </w:rPr>
              <w:fldChar w:fldCharType="end"/>
            </w:r>
          </w:hyperlink>
        </w:p>
        <w:p w14:paraId="4E8908F3" w14:textId="37FEBDB1"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52" w:history="1">
            <w:r w:rsidRPr="008C3902">
              <w:rPr>
                <w:rStyle w:val="afe"/>
                <w:rFonts w:cs="Times New Roman" w:hint="eastAsia"/>
                <w:noProof/>
                <w:kern w:val="21"/>
              </w:rPr>
              <w:t xml:space="preserve">3.3.1 </w:t>
            </w:r>
            <w:r w:rsidRPr="008C3902">
              <w:rPr>
                <w:rStyle w:val="afe"/>
                <w:rFonts w:cs="Times New Roman" w:hint="eastAsia"/>
                <w:noProof/>
                <w:kern w:val="21"/>
              </w:rPr>
              <w:t>总量控制的目的与原则</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_Toc195009852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106</w:t>
            </w:r>
            <w:r w:rsidRPr="008C3902">
              <w:rPr>
                <w:rFonts w:hint="eastAsia"/>
                <w:noProof/>
                <w:webHidden/>
              </w:rPr>
              <w:fldChar w:fldCharType="end"/>
            </w:r>
          </w:hyperlink>
        </w:p>
        <w:p w14:paraId="7A29406B" w14:textId="5B6244CD"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53" w:history="1">
            <w:r w:rsidRPr="008C3902">
              <w:rPr>
                <w:rStyle w:val="afe"/>
                <w:rFonts w:cs="Times New Roman" w:hint="eastAsia"/>
                <w:noProof/>
                <w:kern w:val="21"/>
              </w:rPr>
              <w:t xml:space="preserve">3.3.2 </w:t>
            </w:r>
            <w:r w:rsidRPr="008C3902">
              <w:rPr>
                <w:rStyle w:val="afe"/>
                <w:rFonts w:cs="Times New Roman" w:hint="eastAsia"/>
                <w:noProof/>
                <w:kern w:val="21"/>
              </w:rPr>
              <w:t>总量建议</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_Toc195009853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106</w:t>
            </w:r>
            <w:r w:rsidRPr="008C3902">
              <w:rPr>
                <w:rFonts w:hint="eastAsia"/>
                <w:noProof/>
                <w:webHidden/>
              </w:rPr>
              <w:fldChar w:fldCharType="end"/>
            </w:r>
          </w:hyperlink>
        </w:p>
        <w:p w14:paraId="1B994987" w14:textId="7CDF9B1B" w:rsidR="008C3902" w:rsidRPr="008C3902" w:rsidRDefault="008C3902" w:rsidP="000B6388">
          <w:pPr>
            <w:pStyle w:val="TOC1"/>
            <w:tabs>
              <w:tab w:val="right" w:leader="dot" w:pos="8834"/>
            </w:tabs>
            <w:adjustRightInd w:val="0"/>
            <w:snapToGrid w:val="0"/>
            <w:spacing w:after="0"/>
            <w:rPr>
              <w:rFonts w:asciiTheme="minorHAnsi" w:eastAsiaTheme="minorEastAsia" w:hAnsiTheme="minorHAnsi" w:hint="eastAsia"/>
              <w:noProof/>
              <w:sz w:val="22"/>
              <w:szCs w:val="24"/>
              <w14:ligatures w14:val="standardContextual"/>
            </w:rPr>
          </w:pPr>
          <w:hyperlink w:anchor="_Toc195009854" w:history="1">
            <w:r w:rsidRPr="008C3902">
              <w:rPr>
                <w:rStyle w:val="afe"/>
                <w:rFonts w:cs="Times New Roman" w:hint="eastAsia"/>
                <w:noProof/>
                <w:kern w:val="21"/>
              </w:rPr>
              <w:t xml:space="preserve">4 </w:t>
            </w:r>
            <w:r w:rsidRPr="008C3902">
              <w:rPr>
                <w:rStyle w:val="afe"/>
                <w:rFonts w:cs="Times New Roman" w:hint="eastAsia"/>
                <w:noProof/>
                <w:kern w:val="21"/>
              </w:rPr>
              <w:t>区域自然环境概况</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_Toc195009854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108</w:t>
            </w:r>
            <w:r w:rsidRPr="008C3902">
              <w:rPr>
                <w:rFonts w:hint="eastAsia"/>
                <w:noProof/>
                <w:webHidden/>
              </w:rPr>
              <w:fldChar w:fldCharType="end"/>
            </w:r>
          </w:hyperlink>
        </w:p>
        <w:p w14:paraId="62A66EDF" w14:textId="3E5C8FF5"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55" w:history="1">
            <w:r w:rsidRPr="008C3902">
              <w:rPr>
                <w:rStyle w:val="afe"/>
                <w:rFonts w:cs="Times New Roman" w:hint="eastAsia"/>
                <w:noProof/>
                <w:kern w:val="21"/>
              </w:rPr>
              <w:t xml:space="preserve">4.1 </w:t>
            </w:r>
            <w:r w:rsidRPr="008C3902">
              <w:rPr>
                <w:rStyle w:val="afe"/>
                <w:rFonts w:cs="Times New Roman" w:hint="eastAsia"/>
                <w:noProof/>
                <w:kern w:val="21"/>
              </w:rPr>
              <w:t>地理位置</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_Toc195009855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108</w:t>
            </w:r>
            <w:r w:rsidRPr="008C3902">
              <w:rPr>
                <w:rFonts w:hint="eastAsia"/>
                <w:noProof/>
                <w:webHidden/>
              </w:rPr>
              <w:fldChar w:fldCharType="end"/>
            </w:r>
          </w:hyperlink>
        </w:p>
        <w:p w14:paraId="25F84F02" w14:textId="54802AA2"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56" w:history="1">
            <w:r w:rsidRPr="008C3902">
              <w:rPr>
                <w:rStyle w:val="afe"/>
                <w:rFonts w:cs="Times New Roman" w:hint="eastAsia"/>
                <w:noProof/>
                <w:kern w:val="21"/>
              </w:rPr>
              <w:t xml:space="preserve">4.2 </w:t>
            </w:r>
            <w:r w:rsidRPr="008C3902">
              <w:rPr>
                <w:rStyle w:val="afe"/>
                <w:rFonts w:cs="Times New Roman" w:hint="eastAsia"/>
                <w:noProof/>
                <w:kern w:val="21"/>
              </w:rPr>
              <w:t>地形地貌</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_Toc195009856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108</w:t>
            </w:r>
            <w:r w:rsidRPr="008C3902">
              <w:rPr>
                <w:rFonts w:hint="eastAsia"/>
                <w:noProof/>
                <w:webHidden/>
              </w:rPr>
              <w:fldChar w:fldCharType="end"/>
            </w:r>
          </w:hyperlink>
        </w:p>
        <w:p w14:paraId="41FBCC14" w14:textId="476326FB"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57" w:history="1">
            <w:r w:rsidRPr="008C3902">
              <w:rPr>
                <w:rStyle w:val="afe"/>
                <w:rFonts w:cs="Times New Roman" w:hint="eastAsia"/>
                <w:noProof/>
                <w:kern w:val="21"/>
              </w:rPr>
              <w:t xml:space="preserve">4.3 </w:t>
            </w:r>
            <w:r w:rsidRPr="008C3902">
              <w:rPr>
                <w:rStyle w:val="afe"/>
                <w:rFonts w:cs="Times New Roman" w:hint="eastAsia"/>
                <w:noProof/>
                <w:kern w:val="21"/>
              </w:rPr>
              <w:t>气候、气象特征</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_Toc195009857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109</w:t>
            </w:r>
            <w:r w:rsidRPr="008C3902">
              <w:rPr>
                <w:rFonts w:hint="eastAsia"/>
                <w:noProof/>
                <w:webHidden/>
              </w:rPr>
              <w:fldChar w:fldCharType="end"/>
            </w:r>
          </w:hyperlink>
        </w:p>
        <w:p w14:paraId="73D0F8A0" w14:textId="14EDDD9A"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58" w:history="1">
            <w:r w:rsidRPr="008C3902">
              <w:rPr>
                <w:rStyle w:val="afe"/>
                <w:rFonts w:cs="Times New Roman" w:hint="eastAsia"/>
                <w:noProof/>
                <w:kern w:val="21"/>
              </w:rPr>
              <w:t xml:space="preserve">4.4 </w:t>
            </w:r>
            <w:r w:rsidRPr="008C3902">
              <w:rPr>
                <w:rStyle w:val="afe"/>
                <w:rFonts w:cs="Times New Roman" w:hint="eastAsia"/>
                <w:noProof/>
                <w:kern w:val="21"/>
              </w:rPr>
              <w:t>水文水系</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_Toc195009858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109</w:t>
            </w:r>
            <w:r w:rsidRPr="008C3902">
              <w:rPr>
                <w:rFonts w:hint="eastAsia"/>
                <w:noProof/>
                <w:webHidden/>
              </w:rPr>
              <w:fldChar w:fldCharType="end"/>
            </w:r>
          </w:hyperlink>
        </w:p>
        <w:p w14:paraId="32DEF867" w14:textId="3843865C"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59" w:history="1">
            <w:r w:rsidRPr="008C3902">
              <w:rPr>
                <w:rStyle w:val="afe"/>
                <w:rFonts w:cs="Times New Roman" w:hint="eastAsia"/>
                <w:noProof/>
                <w:kern w:val="21"/>
              </w:rPr>
              <w:t xml:space="preserve">4.5 </w:t>
            </w:r>
            <w:r w:rsidRPr="008C3902">
              <w:rPr>
                <w:rStyle w:val="afe"/>
                <w:rFonts w:cs="Times New Roman" w:hint="eastAsia"/>
                <w:noProof/>
                <w:kern w:val="21"/>
              </w:rPr>
              <w:t>自然资源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_Toc195009859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109</w:t>
            </w:r>
            <w:r w:rsidRPr="008C3902">
              <w:rPr>
                <w:rFonts w:hint="eastAsia"/>
                <w:noProof/>
                <w:webHidden/>
              </w:rPr>
              <w:fldChar w:fldCharType="end"/>
            </w:r>
          </w:hyperlink>
        </w:p>
        <w:p w14:paraId="2EEC5F03" w14:textId="66E0006B"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60" w:history="1">
            <w:r w:rsidRPr="008C3902">
              <w:rPr>
                <w:rStyle w:val="afe"/>
                <w:rFonts w:cs="Times New Roman" w:hint="eastAsia"/>
                <w:noProof/>
                <w:kern w:val="21"/>
              </w:rPr>
              <w:t xml:space="preserve">4.6 </w:t>
            </w:r>
            <w:r w:rsidRPr="008C3902">
              <w:rPr>
                <w:rStyle w:val="afe"/>
                <w:rFonts w:cs="Times New Roman" w:hint="eastAsia"/>
                <w:noProof/>
                <w:kern w:val="21"/>
              </w:rPr>
              <w:t>旅游资源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_Toc195009860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110</w:t>
            </w:r>
            <w:r w:rsidRPr="008C3902">
              <w:rPr>
                <w:rFonts w:hint="eastAsia"/>
                <w:noProof/>
                <w:webHidden/>
              </w:rPr>
              <w:fldChar w:fldCharType="end"/>
            </w:r>
          </w:hyperlink>
        </w:p>
        <w:p w14:paraId="3D05B687" w14:textId="668D7535"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61" w:history="1">
            <w:r w:rsidRPr="008C3902">
              <w:rPr>
                <w:rStyle w:val="afe"/>
                <w:rFonts w:cs="Times New Roman" w:hint="eastAsia"/>
                <w:noProof/>
                <w:kern w:val="21"/>
              </w:rPr>
              <w:t>4.7</w:t>
            </w:r>
            <w:r w:rsidRPr="008C3902">
              <w:rPr>
                <w:rStyle w:val="afe"/>
                <w:rFonts w:ascii="宋体" w:hAnsi="宋体" w:cs="宋体" w:hint="eastAsia"/>
                <w:noProof/>
                <w:kern w:val="21"/>
                <w:lang w:bidi="ar"/>
              </w:rPr>
              <w:t xml:space="preserve"> 剑阁县畜牧业养殖业现状</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_Toc195009861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110</w:t>
            </w:r>
            <w:r w:rsidRPr="008C3902">
              <w:rPr>
                <w:rFonts w:hint="eastAsia"/>
                <w:noProof/>
                <w:webHidden/>
              </w:rPr>
              <w:fldChar w:fldCharType="end"/>
            </w:r>
          </w:hyperlink>
        </w:p>
        <w:p w14:paraId="1F383AFA" w14:textId="489F15F7"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62" w:history="1">
            <w:r w:rsidRPr="008C3902">
              <w:rPr>
                <w:rStyle w:val="afe"/>
                <w:rFonts w:cs="Times New Roman" w:hint="eastAsia"/>
                <w:noProof/>
                <w:kern w:val="21"/>
              </w:rPr>
              <w:t>4.8</w:t>
            </w:r>
            <w:r w:rsidRPr="008C3902">
              <w:rPr>
                <w:rStyle w:val="afe"/>
                <w:rFonts w:ascii="宋体" w:hAnsi="宋体" w:cs="宋体" w:hint="eastAsia"/>
                <w:noProof/>
                <w:kern w:val="21"/>
                <w:lang w:bidi="ar"/>
              </w:rPr>
              <w:t xml:space="preserve"> 风景名胜区</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_Toc195009862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112</w:t>
            </w:r>
            <w:r w:rsidRPr="008C3902">
              <w:rPr>
                <w:rFonts w:hint="eastAsia"/>
                <w:noProof/>
                <w:webHidden/>
              </w:rPr>
              <w:fldChar w:fldCharType="end"/>
            </w:r>
          </w:hyperlink>
        </w:p>
        <w:p w14:paraId="4B3B4BCE" w14:textId="077341D3" w:rsidR="008C3902" w:rsidRPr="008C3902" w:rsidRDefault="008C3902" w:rsidP="000B6388">
          <w:pPr>
            <w:pStyle w:val="TOC1"/>
            <w:tabs>
              <w:tab w:val="right" w:leader="dot" w:pos="8834"/>
            </w:tabs>
            <w:adjustRightInd w:val="0"/>
            <w:snapToGrid w:val="0"/>
            <w:spacing w:after="0"/>
            <w:rPr>
              <w:rFonts w:asciiTheme="minorHAnsi" w:eastAsiaTheme="minorEastAsia" w:hAnsiTheme="minorHAnsi" w:hint="eastAsia"/>
              <w:noProof/>
              <w:sz w:val="22"/>
              <w:szCs w:val="24"/>
              <w14:ligatures w14:val="standardContextual"/>
            </w:rPr>
          </w:pPr>
          <w:hyperlink w:anchor="_Toc195009863" w:history="1">
            <w:r w:rsidRPr="008C3902">
              <w:rPr>
                <w:rStyle w:val="afe"/>
                <w:rFonts w:cs="Times New Roman" w:hint="eastAsia"/>
                <w:noProof/>
                <w:kern w:val="21"/>
              </w:rPr>
              <w:t xml:space="preserve">5 </w:t>
            </w:r>
            <w:r w:rsidRPr="008C3902">
              <w:rPr>
                <w:rStyle w:val="afe"/>
                <w:rFonts w:cs="Times New Roman" w:hint="eastAsia"/>
                <w:noProof/>
                <w:kern w:val="21"/>
              </w:rPr>
              <w:t>环境质量现状评价</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_Toc195009863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113</w:t>
            </w:r>
            <w:r w:rsidRPr="008C3902">
              <w:rPr>
                <w:rFonts w:hint="eastAsia"/>
                <w:noProof/>
                <w:webHidden/>
              </w:rPr>
              <w:fldChar w:fldCharType="end"/>
            </w:r>
          </w:hyperlink>
        </w:p>
        <w:p w14:paraId="3CD80683" w14:textId="7DAD3857"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64" w:history="1">
            <w:r w:rsidRPr="008C3902">
              <w:rPr>
                <w:rStyle w:val="afe"/>
                <w:rFonts w:cs="Times New Roman" w:hint="eastAsia"/>
                <w:noProof/>
                <w:kern w:val="21"/>
              </w:rPr>
              <w:t xml:space="preserve">5.1 </w:t>
            </w:r>
            <w:r w:rsidRPr="008C3902">
              <w:rPr>
                <w:rStyle w:val="afe"/>
                <w:rFonts w:cs="Times New Roman" w:hint="eastAsia"/>
                <w:noProof/>
                <w:kern w:val="21"/>
              </w:rPr>
              <w:t>环境空气质量现状与评价</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_Toc195009864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113</w:t>
            </w:r>
            <w:r w:rsidRPr="008C3902">
              <w:rPr>
                <w:rFonts w:hint="eastAsia"/>
                <w:noProof/>
                <w:webHidden/>
              </w:rPr>
              <w:fldChar w:fldCharType="end"/>
            </w:r>
          </w:hyperlink>
        </w:p>
        <w:p w14:paraId="467E9FEA" w14:textId="24C97C8E"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65" w:history="1">
            <w:r w:rsidRPr="008C3902">
              <w:rPr>
                <w:rStyle w:val="afe"/>
                <w:rFonts w:cs="Times New Roman" w:hint="eastAsia"/>
                <w:noProof/>
                <w:kern w:val="21"/>
              </w:rPr>
              <w:t xml:space="preserve">5.1.1 </w:t>
            </w:r>
            <w:r w:rsidRPr="008C3902">
              <w:rPr>
                <w:rStyle w:val="afe"/>
                <w:rFonts w:cs="Times New Roman" w:hint="eastAsia"/>
                <w:noProof/>
                <w:kern w:val="21"/>
              </w:rPr>
              <w:t>项目区域环境空气质量现状</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_Toc195009865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113</w:t>
            </w:r>
            <w:r w:rsidRPr="008C3902">
              <w:rPr>
                <w:rFonts w:hint="eastAsia"/>
                <w:noProof/>
                <w:webHidden/>
              </w:rPr>
              <w:fldChar w:fldCharType="end"/>
            </w:r>
          </w:hyperlink>
        </w:p>
        <w:p w14:paraId="02C9A310" w14:textId="2D97C6BD"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66" w:history="1">
            <w:r w:rsidRPr="008C3902">
              <w:rPr>
                <w:rStyle w:val="afe"/>
                <w:rFonts w:cs="Times New Roman" w:hint="eastAsia"/>
                <w:noProof/>
                <w:kern w:val="21"/>
              </w:rPr>
              <w:t xml:space="preserve">5.1.2 </w:t>
            </w:r>
            <w:r w:rsidRPr="008C3902">
              <w:rPr>
                <w:rStyle w:val="afe"/>
                <w:rFonts w:cs="Times New Roman" w:hint="eastAsia"/>
                <w:noProof/>
                <w:kern w:val="21"/>
              </w:rPr>
              <w:t>项目特征污染物环境空气质量现状</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_Toc195009866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115</w:t>
            </w:r>
            <w:r w:rsidRPr="008C3902">
              <w:rPr>
                <w:rFonts w:hint="eastAsia"/>
                <w:noProof/>
                <w:webHidden/>
              </w:rPr>
              <w:fldChar w:fldCharType="end"/>
            </w:r>
          </w:hyperlink>
        </w:p>
        <w:p w14:paraId="0C814221" w14:textId="25469C98"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67" w:history="1">
            <w:r w:rsidRPr="008C3902">
              <w:rPr>
                <w:rStyle w:val="afe"/>
                <w:rFonts w:cs="Times New Roman" w:hint="eastAsia"/>
                <w:noProof/>
                <w:kern w:val="21"/>
              </w:rPr>
              <w:t xml:space="preserve">5.2 </w:t>
            </w:r>
            <w:r w:rsidRPr="008C3902">
              <w:rPr>
                <w:rStyle w:val="afe"/>
                <w:rFonts w:cs="Times New Roman" w:hint="eastAsia"/>
                <w:noProof/>
                <w:kern w:val="21"/>
              </w:rPr>
              <w:t>地表水环境质量现状与评价</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_Toc195009867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115</w:t>
            </w:r>
            <w:r w:rsidRPr="008C3902">
              <w:rPr>
                <w:rFonts w:hint="eastAsia"/>
                <w:noProof/>
                <w:webHidden/>
              </w:rPr>
              <w:fldChar w:fldCharType="end"/>
            </w:r>
          </w:hyperlink>
        </w:p>
        <w:p w14:paraId="55D2B100" w14:textId="060AFD99"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68" w:history="1">
            <w:r w:rsidRPr="008C3902">
              <w:rPr>
                <w:rStyle w:val="afe"/>
                <w:rFonts w:cs="Times New Roman" w:hint="eastAsia"/>
                <w:noProof/>
                <w:kern w:val="21"/>
              </w:rPr>
              <w:t xml:space="preserve">5.3 </w:t>
            </w:r>
            <w:r w:rsidRPr="008C3902">
              <w:rPr>
                <w:rStyle w:val="afe"/>
                <w:rFonts w:cs="Times New Roman" w:hint="eastAsia"/>
                <w:noProof/>
                <w:kern w:val="21"/>
              </w:rPr>
              <w:t>地下水环境质量现状与评价</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_Toc195009868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116</w:t>
            </w:r>
            <w:r w:rsidRPr="008C3902">
              <w:rPr>
                <w:rFonts w:hint="eastAsia"/>
                <w:noProof/>
                <w:webHidden/>
              </w:rPr>
              <w:fldChar w:fldCharType="end"/>
            </w:r>
          </w:hyperlink>
        </w:p>
        <w:p w14:paraId="0EDD22A3" w14:textId="5DD4C431"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69" w:history="1">
            <w:r w:rsidRPr="008C3902">
              <w:rPr>
                <w:rStyle w:val="afe"/>
                <w:rFonts w:cs="Times New Roman" w:hint="eastAsia"/>
                <w:noProof/>
                <w:kern w:val="21"/>
              </w:rPr>
              <w:t xml:space="preserve">5.3.1 </w:t>
            </w:r>
            <w:r w:rsidRPr="008C3902">
              <w:rPr>
                <w:rStyle w:val="afe"/>
                <w:rFonts w:cs="Times New Roman" w:hint="eastAsia"/>
                <w:noProof/>
                <w:kern w:val="21"/>
              </w:rPr>
              <w:t>地下水水质</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_Toc195009869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116</w:t>
            </w:r>
            <w:r w:rsidRPr="008C3902">
              <w:rPr>
                <w:rFonts w:hint="eastAsia"/>
                <w:noProof/>
                <w:webHidden/>
              </w:rPr>
              <w:fldChar w:fldCharType="end"/>
            </w:r>
          </w:hyperlink>
        </w:p>
        <w:p w14:paraId="54868302" w14:textId="6E800ADE"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70" w:history="1">
            <w:r w:rsidRPr="008C3902">
              <w:rPr>
                <w:rStyle w:val="afe"/>
                <w:rFonts w:cs="Times New Roman" w:hint="eastAsia"/>
                <w:noProof/>
                <w:kern w:val="21"/>
              </w:rPr>
              <w:t xml:space="preserve">5.3.2 </w:t>
            </w:r>
            <w:r w:rsidRPr="008C3902">
              <w:rPr>
                <w:rStyle w:val="afe"/>
                <w:rFonts w:cs="Times New Roman" w:hint="eastAsia"/>
                <w:noProof/>
                <w:kern w:val="21"/>
              </w:rPr>
              <w:t>地下水环境质量现状评价</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_Toc195009870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116</w:t>
            </w:r>
            <w:r w:rsidRPr="008C3902">
              <w:rPr>
                <w:rFonts w:hint="eastAsia"/>
                <w:noProof/>
                <w:webHidden/>
              </w:rPr>
              <w:fldChar w:fldCharType="end"/>
            </w:r>
          </w:hyperlink>
        </w:p>
        <w:p w14:paraId="475CBB9E" w14:textId="1651E9B9"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71" w:history="1">
            <w:r w:rsidRPr="008C3902">
              <w:rPr>
                <w:rStyle w:val="afe"/>
                <w:rFonts w:cs="Times New Roman" w:hint="eastAsia"/>
                <w:noProof/>
                <w:kern w:val="21"/>
              </w:rPr>
              <w:t xml:space="preserve">5.3.3 </w:t>
            </w:r>
            <w:r w:rsidRPr="008C3902">
              <w:rPr>
                <w:rStyle w:val="afe"/>
                <w:rFonts w:cs="Times New Roman" w:hint="eastAsia"/>
                <w:noProof/>
                <w:kern w:val="21"/>
              </w:rPr>
              <w:t>地下水水位</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_Toc195009871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117</w:t>
            </w:r>
            <w:r w:rsidRPr="008C3902">
              <w:rPr>
                <w:rFonts w:hint="eastAsia"/>
                <w:noProof/>
                <w:webHidden/>
              </w:rPr>
              <w:fldChar w:fldCharType="end"/>
            </w:r>
          </w:hyperlink>
        </w:p>
        <w:p w14:paraId="66A1AF90" w14:textId="536EE77D"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73" w:history="1">
            <w:r w:rsidRPr="008C3902">
              <w:rPr>
                <w:rStyle w:val="afe"/>
                <w:rFonts w:cs="Times New Roman" w:hint="eastAsia"/>
                <w:noProof/>
                <w:kern w:val="21"/>
              </w:rPr>
              <w:t xml:space="preserve">5.4 </w:t>
            </w:r>
            <w:r w:rsidRPr="008C3902">
              <w:rPr>
                <w:rStyle w:val="afe"/>
                <w:rFonts w:cs="Times New Roman" w:hint="eastAsia"/>
                <w:noProof/>
                <w:kern w:val="21"/>
              </w:rPr>
              <w:t>声环境质量现状与评价</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_Toc195009873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117</w:t>
            </w:r>
            <w:r w:rsidRPr="008C3902">
              <w:rPr>
                <w:rFonts w:hint="eastAsia"/>
                <w:noProof/>
                <w:webHidden/>
              </w:rPr>
              <w:fldChar w:fldCharType="end"/>
            </w:r>
          </w:hyperlink>
        </w:p>
        <w:p w14:paraId="63D91229" w14:textId="641D6876"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74" w:history="1">
            <w:r w:rsidRPr="008C3902">
              <w:rPr>
                <w:rStyle w:val="afe"/>
                <w:rFonts w:cs="Times New Roman" w:hint="eastAsia"/>
                <w:noProof/>
                <w:kern w:val="21"/>
              </w:rPr>
              <w:t>5.5</w:t>
            </w:r>
            <w:r w:rsidRPr="008C3902">
              <w:rPr>
                <w:rStyle w:val="afe"/>
                <w:rFonts w:ascii="宋体" w:hAnsi="宋体" w:cs="宋体" w:hint="eastAsia"/>
                <w:noProof/>
                <w:kern w:val="21"/>
              </w:rPr>
              <w:t xml:space="preserve"> 土壤环境质量现状监测与评价</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_Toc195009874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118</w:t>
            </w:r>
            <w:r w:rsidRPr="008C3902">
              <w:rPr>
                <w:rFonts w:hint="eastAsia"/>
                <w:noProof/>
                <w:webHidden/>
              </w:rPr>
              <w:fldChar w:fldCharType="end"/>
            </w:r>
          </w:hyperlink>
        </w:p>
        <w:p w14:paraId="199A897C" w14:textId="66735FBE"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75" w:history="1">
            <w:r w:rsidRPr="008C3902">
              <w:rPr>
                <w:rStyle w:val="afe"/>
                <w:rFonts w:cs="Times New Roman" w:hint="eastAsia"/>
                <w:noProof/>
                <w:kern w:val="21"/>
              </w:rPr>
              <w:t>5.6</w:t>
            </w:r>
            <w:r w:rsidRPr="008C3902">
              <w:rPr>
                <w:rStyle w:val="afe"/>
                <w:rFonts w:ascii="宋体" w:hAnsi="宋体" w:cs="宋体" w:hint="eastAsia"/>
                <w:noProof/>
                <w:kern w:val="21"/>
              </w:rPr>
              <w:t xml:space="preserve"> 生态环境质量现状</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_Toc195009875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119</w:t>
            </w:r>
            <w:r w:rsidRPr="008C3902">
              <w:rPr>
                <w:rFonts w:hint="eastAsia"/>
                <w:noProof/>
                <w:webHidden/>
              </w:rPr>
              <w:fldChar w:fldCharType="end"/>
            </w:r>
          </w:hyperlink>
        </w:p>
        <w:p w14:paraId="589924AD" w14:textId="1D7C49C6"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76" w:history="1">
            <w:r w:rsidRPr="008C3902">
              <w:rPr>
                <w:rStyle w:val="afe"/>
                <w:rFonts w:cs="Times New Roman" w:hint="eastAsia"/>
                <w:noProof/>
                <w:kern w:val="21"/>
              </w:rPr>
              <w:t xml:space="preserve">5.6.1 </w:t>
            </w:r>
            <w:r w:rsidRPr="008C3902">
              <w:rPr>
                <w:rStyle w:val="afe"/>
                <w:rFonts w:cs="Times New Roman" w:hint="eastAsia"/>
                <w:noProof/>
                <w:kern w:val="21"/>
              </w:rPr>
              <w:t>生态系统功能及保护现状</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_Toc195009876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119</w:t>
            </w:r>
            <w:r w:rsidRPr="008C3902">
              <w:rPr>
                <w:rFonts w:hint="eastAsia"/>
                <w:noProof/>
                <w:webHidden/>
              </w:rPr>
              <w:fldChar w:fldCharType="end"/>
            </w:r>
          </w:hyperlink>
        </w:p>
        <w:p w14:paraId="0620D765" w14:textId="259EDE3A"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77" w:history="1">
            <w:r w:rsidRPr="008C3902">
              <w:rPr>
                <w:rStyle w:val="afe"/>
                <w:rFonts w:cs="Times New Roman" w:hint="eastAsia"/>
                <w:noProof/>
                <w:kern w:val="21"/>
              </w:rPr>
              <w:t xml:space="preserve">5.6.2 </w:t>
            </w:r>
            <w:r w:rsidRPr="008C3902">
              <w:rPr>
                <w:rStyle w:val="afe"/>
                <w:rFonts w:cs="Times New Roman" w:hint="eastAsia"/>
                <w:noProof/>
                <w:kern w:val="21"/>
              </w:rPr>
              <w:t>生态环境现状</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_Toc195009877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120</w:t>
            </w:r>
            <w:r w:rsidRPr="008C3902">
              <w:rPr>
                <w:rFonts w:hint="eastAsia"/>
                <w:noProof/>
                <w:webHidden/>
              </w:rPr>
              <w:fldChar w:fldCharType="end"/>
            </w:r>
          </w:hyperlink>
        </w:p>
        <w:p w14:paraId="34F3E94D" w14:textId="1877BF76" w:rsidR="008C3902" w:rsidRPr="008C3902" w:rsidRDefault="008C3902" w:rsidP="000B6388">
          <w:pPr>
            <w:pStyle w:val="TOC1"/>
            <w:tabs>
              <w:tab w:val="right" w:leader="dot" w:pos="8834"/>
            </w:tabs>
            <w:adjustRightInd w:val="0"/>
            <w:snapToGrid w:val="0"/>
            <w:spacing w:after="0"/>
            <w:rPr>
              <w:rFonts w:asciiTheme="minorHAnsi" w:eastAsiaTheme="minorEastAsia" w:hAnsiTheme="minorHAnsi" w:hint="eastAsia"/>
              <w:noProof/>
              <w:sz w:val="22"/>
              <w:szCs w:val="24"/>
              <w14:ligatures w14:val="standardContextual"/>
            </w:rPr>
          </w:pPr>
          <w:hyperlink w:anchor="_Toc195009878" w:history="1">
            <w:r w:rsidRPr="008C3902">
              <w:rPr>
                <w:rStyle w:val="afe"/>
                <w:rFonts w:cs="Times New Roman" w:hint="eastAsia"/>
                <w:noProof/>
                <w:kern w:val="21"/>
              </w:rPr>
              <w:t xml:space="preserve">6 </w:t>
            </w:r>
            <w:r w:rsidRPr="008C3902">
              <w:rPr>
                <w:rStyle w:val="afe"/>
                <w:rFonts w:cs="Times New Roman" w:hint="eastAsia"/>
                <w:noProof/>
                <w:kern w:val="21"/>
              </w:rPr>
              <w:t>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_Toc195009878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121</w:t>
            </w:r>
            <w:r w:rsidRPr="008C3902">
              <w:rPr>
                <w:rFonts w:hint="eastAsia"/>
                <w:noProof/>
                <w:webHidden/>
              </w:rPr>
              <w:fldChar w:fldCharType="end"/>
            </w:r>
          </w:hyperlink>
        </w:p>
        <w:p w14:paraId="0C49FDE0" w14:textId="1610DA25"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79" w:history="1">
            <w:r w:rsidRPr="008C3902">
              <w:rPr>
                <w:rStyle w:val="afe"/>
                <w:rFonts w:cs="Times New Roman" w:hint="eastAsia"/>
                <w:noProof/>
                <w:kern w:val="21"/>
              </w:rPr>
              <w:t xml:space="preserve">6.1 </w:t>
            </w:r>
            <w:r w:rsidRPr="008C3902">
              <w:rPr>
                <w:rStyle w:val="afe"/>
                <w:rFonts w:cs="Times New Roman" w:hint="eastAsia"/>
                <w:noProof/>
                <w:kern w:val="21"/>
              </w:rPr>
              <w:t>施工期环境影响分析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_Toc195009879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121</w:t>
            </w:r>
            <w:r w:rsidRPr="008C3902">
              <w:rPr>
                <w:rFonts w:hint="eastAsia"/>
                <w:noProof/>
                <w:webHidden/>
              </w:rPr>
              <w:fldChar w:fldCharType="end"/>
            </w:r>
          </w:hyperlink>
        </w:p>
        <w:p w14:paraId="0D9D381F" w14:textId="1173AA90"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80" w:history="1">
            <w:r w:rsidRPr="008C3902">
              <w:rPr>
                <w:rStyle w:val="afe"/>
                <w:rFonts w:cs="Times New Roman" w:hint="eastAsia"/>
                <w:noProof/>
                <w:kern w:val="21"/>
              </w:rPr>
              <w:t xml:space="preserve">6.1.1 </w:t>
            </w:r>
            <w:r w:rsidRPr="008C3902">
              <w:rPr>
                <w:rStyle w:val="afe"/>
                <w:rFonts w:cs="Times New Roman" w:hint="eastAsia"/>
                <w:noProof/>
                <w:kern w:val="21"/>
              </w:rPr>
              <w:t>施工期大气环境影响分析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_Toc195009880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121</w:t>
            </w:r>
            <w:r w:rsidRPr="008C3902">
              <w:rPr>
                <w:rFonts w:hint="eastAsia"/>
                <w:noProof/>
                <w:webHidden/>
              </w:rPr>
              <w:fldChar w:fldCharType="end"/>
            </w:r>
          </w:hyperlink>
        </w:p>
        <w:p w14:paraId="637EA426" w14:textId="7B3C1EE6"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81" w:history="1">
            <w:r w:rsidRPr="008C3902">
              <w:rPr>
                <w:rStyle w:val="afe"/>
                <w:rFonts w:cs="Times New Roman" w:hint="eastAsia"/>
                <w:noProof/>
                <w:kern w:val="21"/>
              </w:rPr>
              <w:t xml:space="preserve">6.1.2 </w:t>
            </w:r>
            <w:r w:rsidRPr="008C3902">
              <w:rPr>
                <w:rStyle w:val="afe"/>
                <w:rFonts w:cs="Times New Roman" w:hint="eastAsia"/>
                <w:noProof/>
                <w:kern w:val="21"/>
              </w:rPr>
              <w:t>施工期水环境影响分析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_Toc195009881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124</w:t>
            </w:r>
            <w:r w:rsidRPr="008C3902">
              <w:rPr>
                <w:rFonts w:hint="eastAsia"/>
                <w:noProof/>
                <w:webHidden/>
              </w:rPr>
              <w:fldChar w:fldCharType="end"/>
            </w:r>
          </w:hyperlink>
        </w:p>
        <w:p w14:paraId="0C6C2A10" w14:textId="09B1582A"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82" w:history="1">
            <w:r w:rsidRPr="008C3902">
              <w:rPr>
                <w:rStyle w:val="afe"/>
                <w:rFonts w:cs="Times New Roman" w:hint="eastAsia"/>
                <w:noProof/>
                <w:kern w:val="21"/>
              </w:rPr>
              <w:t xml:space="preserve">6.1.3 </w:t>
            </w:r>
            <w:r w:rsidRPr="008C3902">
              <w:rPr>
                <w:rStyle w:val="afe"/>
                <w:rFonts w:cs="Times New Roman" w:hint="eastAsia"/>
                <w:noProof/>
                <w:kern w:val="21"/>
              </w:rPr>
              <w:t>施工期声环境影响分析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_Toc195009882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124</w:t>
            </w:r>
            <w:r w:rsidRPr="008C3902">
              <w:rPr>
                <w:rFonts w:hint="eastAsia"/>
                <w:noProof/>
                <w:webHidden/>
              </w:rPr>
              <w:fldChar w:fldCharType="end"/>
            </w:r>
          </w:hyperlink>
        </w:p>
        <w:p w14:paraId="2C965CA3" w14:textId="740506F5"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83" w:history="1">
            <w:r w:rsidRPr="008C3902">
              <w:rPr>
                <w:rStyle w:val="afe"/>
                <w:rFonts w:cs="Times New Roman" w:hint="eastAsia"/>
                <w:noProof/>
                <w:kern w:val="21"/>
              </w:rPr>
              <w:t xml:space="preserve">6.1.4 </w:t>
            </w:r>
            <w:r w:rsidRPr="008C3902">
              <w:rPr>
                <w:rStyle w:val="afe"/>
                <w:rFonts w:cs="Times New Roman" w:hint="eastAsia"/>
                <w:noProof/>
                <w:kern w:val="21"/>
              </w:rPr>
              <w:t>施工期固体废物环境影响分析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_Toc195009883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126</w:t>
            </w:r>
            <w:r w:rsidRPr="008C3902">
              <w:rPr>
                <w:rFonts w:hint="eastAsia"/>
                <w:noProof/>
                <w:webHidden/>
              </w:rPr>
              <w:fldChar w:fldCharType="end"/>
            </w:r>
          </w:hyperlink>
        </w:p>
        <w:p w14:paraId="1F6CB53B" w14:textId="25602BFC"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84" w:history="1">
            <w:r w:rsidRPr="008C3902">
              <w:rPr>
                <w:rStyle w:val="afe"/>
                <w:rFonts w:cs="Times New Roman" w:hint="eastAsia"/>
                <w:noProof/>
                <w:kern w:val="21"/>
              </w:rPr>
              <w:t xml:space="preserve">6.1.5 </w:t>
            </w:r>
            <w:r w:rsidRPr="008C3902">
              <w:rPr>
                <w:rStyle w:val="afe"/>
                <w:rFonts w:cs="Times New Roman" w:hint="eastAsia"/>
                <w:noProof/>
                <w:kern w:val="21"/>
              </w:rPr>
              <w:t>施工期生态环境影响分析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_Toc195009884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127</w:t>
            </w:r>
            <w:r w:rsidRPr="008C3902">
              <w:rPr>
                <w:rFonts w:hint="eastAsia"/>
                <w:noProof/>
                <w:webHidden/>
              </w:rPr>
              <w:fldChar w:fldCharType="end"/>
            </w:r>
          </w:hyperlink>
        </w:p>
        <w:p w14:paraId="28714E02" w14:textId="6A3ED3F7"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85" w:history="1">
            <w:r w:rsidRPr="008C3902">
              <w:rPr>
                <w:rStyle w:val="afe"/>
                <w:rFonts w:cs="Times New Roman" w:hint="eastAsia"/>
                <w:noProof/>
                <w:kern w:val="21"/>
              </w:rPr>
              <w:t xml:space="preserve">6.2 </w:t>
            </w:r>
            <w:r w:rsidRPr="008C3902">
              <w:rPr>
                <w:rStyle w:val="afe"/>
                <w:rFonts w:cs="Times New Roman" w:hint="eastAsia"/>
                <w:noProof/>
                <w:kern w:val="21"/>
              </w:rPr>
              <w:t>运营期环境影响分析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_Toc195009885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127</w:t>
            </w:r>
            <w:r w:rsidRPr="008C3902">
              <w:rPr>
                <w:rFonts w:hint="eastAsia"/>
                <w:noProof/>
                <w:webHidden/>
              </w:rPr>
              <w:fldChar w:fldCharType="end"/>
            </w:r>
          </w:hyperlink>
        </w:p>
        <w:p w14:paraId="1DCA77B3" w14:textId="22026ED8"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86" w:history="1">
            <w:r w:rsidRPr="008C3902">
              <w:rPr>
                <w:rStyle w:val="afe"/>
                <w:rFonts w:cs="Times New Roman" w:hint="eastAsia"/>
                <w:noProof/>
                <w:kern w:val="21"/>
              </w:rPr>
              <w:t xml:space="preserve">6.2.1 </w:t>
            </w:r>
            <w:r w:rsidRPr="008C3902">
              <w:rPr>
                <w:rStyle w:val="afe"/>
                <w:rFonts w:cs="Times New Roman" w:hint="eastAsia"/>
                <w:noProof/>
                <w:kern w:val="21"/>
              </w:rPr>
              <w:t>运营期大气环境影响分析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_Toc195009886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127</w:t>
            </w:r>
            <w:r w:rsidRPr="008C3902">
              <w:rPr>
                <w:rFonts w:hint="eastAsia"/>
                <w:noProof/>
                <w:webHidden/>
              </w:rPr>
              <w:fldChar w:fldCharType="end"/>
            </w:r>
          </w:hyperlink>
        </w:p>
        <w:p w14:paraId="7B5EC0C0" w14:textId="3F8D3A0C"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87" w:history="1">
            <w:r w:rsidRPr="008C3902">
              <w:rPr>
                <w:rStyle w:val="afe"/>
                <w:rFonts w:cs="Times New Roman" w:hint="eastAsia"/>
                <w:noProof/>
                <w:kern w:val="21"/>
              </w:rPr>
              <w:t xml:space="preserve">6.2.2 </w:t>
            </w:r>
            <w:r w:rsidRPr="008C3902">
              <w:rPr>
                <w:rStyle w:val="afe"/>
                <w:rFonts w:cs="Times New Roman" w:hint="eastAsia"/>
                <w:noProof/>
                <w:kern w:val="21"/>
              </w:rPr>
              <w:t>运营期地表水环境影响分析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_Toc195009887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131</w:t>
            </w:r>
            <w:r w:rsidRPr="008C3902">
              <w:rPr>
                <w:rFonts w:hint="eastAsia"/>
                <w:noProof/>
                <w:webHidden/>
              </w:rPr>
              <w:fldChar w:fldCharType="end"/>
            </w:r>
          </w:hyperlink>
        </w:p>
        <w:p w14:paraId="7D1584D3" w14:textId="0B9CCFC1"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88" w:history="1">
            <w:r w:rsidRPr="008C3902">
              <w:rPr>
                <w:rStyle w:val="afe"/>
                <w:rFonts w:cs="Times New Roman" w:hint="eastAsia"/>
                <w:noProof/>
                <w:kern w:val="21"/>
              </w:rPr>
              <w:t xml:space="preserve">6.2.3 </w:t>
            </w:r>
            <w:r w:rsidRPr="008C3902">
              <w:rPr>
                <w:rStyle w:val="afe"/>
                <w:rFonts w:cs="Times New Roman" w:hint="eastAsia"/>
                <w:noProof/>
                <w:kern w:val="21"/>
              </w:rPr>
              <w:t>运营期地下水环境影响分析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_Toc195009888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135</w:t>
            </w:r>
            <w:r w:rsidRPr="008C3902">
              <w:rPr>
                <w:rFonts w:hint="eastAsia"/>
                <w:noProof/>
                <w:webHidden/>
              </w:rPr>
              <w:fldChar w:fldCharType="end"/>
            </w:r>
          </w:hyperlink>
        </w:p>
        <w:p w14:paraId="3D959541" w14:textId="7C65EA29"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89" w:history="1">
            <w:r w:rsidRPr="008C3902">
              <w:rPr>
                <w:rStyle w:val="afe"/>
                <w:rFonts w:cs="Times New Roman" w:hint="eastAsia"/>
                <w:noProof/>
                <w:kern w:val="21"/>
              </w:rPr>
              <w:t xml:space="preserve">6.2.4 </w:t>
            </w:r>
            <w:r w:rsidRPr="008C3902">
              <w:rPr>
                <w:rStyle w:val="afe"/>
                <w:rFonts w:cs="Times New Roman" w:hint="eastAsia"/>
                <w:noProof/>
                <w:kern w:val="21"/>
              </w:rPr>
              <w:t>运营期声环境影响分析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_Toc195009889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137</w:t>
            </w:r>
            <w:r w:rsidRPr="008C3902">
              <w:rPr>
                <w:rFonts w:hint="eastAsia"/>
                <w:noProof/>
                <w:webHidden/>
              </w:rPr>
              <w:fldChar w:fldCharType="end"/>
            </w:r>
          </w:hyperlink>
        </w:p>
        <w:p w14:paraId="2E8BA92B" w14:textId="46C2CD6B"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90" w:history="1">
            <w:r w:rsidRPr="008C3902">
              <w:rPr>
                <w:rStyle w:val="afe"/>
                <w:rFonts w:cs="Times New Roman" w:hint="eastAsia"/>
                <w:noProof/>
                <w:kern w:val="21"/>
              </w:rPr>
              <w:t xml:space="preserve">6.2.5 </w:t>
            </w:r>
            <w:r w:rsidRPr="008C3902">
              <w:rPr>
                <w:rStyle w:val="afe"/>
                <w:rFonts w:cs="Times New Roman" w:hint="eastAsia"/>
                <w:noProof/>
                <w:kern w:val="21"/>
              </w:rPr>
              <w:t>运营期固体废物环境影响分析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_Toc195009890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139</w:t>
            </w:r>
            <w:r w:rsidRPr="008C3902">
              <w:rPr>
                <w:rFonts w:hint="eastAsia"/>
                <w:noProof/>
                <w:webHidden/>
              </w:rPr>
              <w:fldChar w:fldCharType="end"/>
            </w:r>
          </w:hyperlink>
        </w:p>
        <w:p w14:paraId="3EE5A632" w14:textId="103C3547"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91" w:history="1">
            <w:r w:rsidRPr="008C3902">
              <w:rPr>
                <w:rStyle w:val="afe"/>
                <w:rFonts w:cs="Times New Roman" w:hint="eastAsia"/>
                <w:noProof/>
                <w:kern w:val="21"/>
              </w:rPr>
              <w:t xml:space="preserve">6.2.6 </w:t>
            </w:r>
            <w:r w:rsidRPr="008C3902">
              <w:rPr>
                <w:rStyle w:val="afe"/>
                <w:rFonts w:cs="Times New Roman" w:hint="eastAsia"/>
                <w:noProof/>
                <w:kern w:val="21"/>
              </w:rPr>
              <w:t>生态环境影响分析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_Toc195009891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140</w:t>
            </w:r>
            <w:r w:rsidRPr="008C3902">
              <w:rPr>
                <w:rFonts w:hint="eastAsia"/>
                <w:noProof/>
                <w:webHidden/>
              </w:rPr>
              <w:fldChar w:fldCharType="end"/>
            </w:r>
          </w:hyperlink>
        </w:p>
        <w:p w14:paraId="0B25A243" w14:textId="26FF1F72"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92" w:history="1">
            <w:r w:rsidRPr="008C3902">
              <w:rPr>
                <w:rStyle w:val="afe"/>
                <w:rFonts w:cs="Times New Roman" w:hint="eastAsia"/>
                <w:noProof/>
                <w:kern w:val="21"/>
              </w:rPr>
              <w:t xml:space="preserve">6.2.7 </w:t>
            </w:r>
            <w:r w:rsidRPr="008C3902">
              <w:rPr>
                <w:rStyle w:val="afe"/>
                <w:rFonts w:cs="Times New Roman" w:hint="eastAsia"/>
                <w:noProof/>
                <w:kern w:val="21"/>
              </w:rPr>
              <w:t>社会经济环境影响分析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_Toc195009892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143</w:t>
            </w:r>
            <w:r w:rsidRPr="008C3902">
              <w:rPr>
                <w:rFonts w:hint="eastAsia"/>
                <w:noProof/>
                <w:webHidden/>
              </w:rPr>
              <w:fldChar w:fldCharType="end"/>
            </w:r>
          </w:hyperlink>
        </w:p>
        <w:p w14:paraId="3DCE8C80" w14:textId="7F243EF9" w:rsidR="008C3902" w:rsidRPr="008C3902" w:rsidRDefault="008C3902" w:rsidP="000B6388">
          <w:pPr>
            <w:pStyle w:val="TOC1"/>
            <w:tabs>
              <w:tab w:val="right" w:leader="dot" w:pos="8834"/>
            </w:tabs>
            <w:adjustRightInd w:val="0"/>
            <w:snapToGrid w:val="0"/>
            <w:spacing w:after="0"/>
            <w:rPr>
              <w:rFonts w:asciiTheme="minorHAnsi" w:eastAsiaTheme="minorEastAsia" w:hAnsiTheme="minorHAnsi" w:hint="eastAsia"/>
              <w:noProof/>
              <w:sz w:val="22"/>
              <w:szCs w:val="24"/>
              <w14:ligatures w14:val="standardContextual"/>
            </w:rPr>
          </w:pPr>
          <w:hyperlink w:anchor="_Toc195009893" w:history="1">
            <w:r w:rsidRPr="008C3902">
              <w:rPr>
                <w:rStyle w:val="afe"/>
                <w:rFonts w:cs="Times New Roman" w:hint="eastAsia"/>
                <w:noProof/>
                <w:kern w:val="21"/>
              </w:rPr>
              <w:t xml:space="preserve">7 </w:t>
            </w:r>
            <w:r w:rsidRPr="008C3902">
              <w:rPr>
                <w:rStyle w:val="afe"/>
                <w:rFonts w:cs="Times New Roman" w:hint="eastAsia"/>
                <w:noProof/>
                <w:kern w:val="21"/>
              </w:rPr>
              <w:t>环境风险分析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_Toc195009893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144</w:t>
            </w:r>
            <w:r w:rsidRPr="008C3902">
              <w:rPr>
                <w:rFonts w:hint="eastAsia"/>
                <w:noProof/>
                <w:webHidden/>
              </w:rPr>
              <w:fldChar w:fldCharType="end"/>
            </w:r>
          </w:hyperlink>
        </w:p>
        <w:p w14:paraId="37F0F220" w14:textId="49E43606"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94" w:history="1">
            <w:r w:rsidRPr="008C3902">
              <w:rPr>
                <w:rStyle w:val="afe"/>
                <w:rFonts w:cs="Times New Roman" w:hint="eastAsia"/>
                <w:noProof/>
                <w:kern w:val="21"/>
              </w:rPr>
              <w:t xml:space="preserve">7.1 </w:t>
            </w:r>
            <w:r w:rsidRPr="008C3902">
              <w:rPr>
                <w:rStyle w:val="afe"/>
                <w:rFonts w:cs="Times New Roman" w:hint="eastAsia"/>
                <w:noProof/>
                <w:kern w:val="21"/>
              </w:rPr>
              <w:t>环境风险评价目的</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_Toc195009894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144</w:t>
            </w:r>
            <w:r w:rsidRPr="008C3902">
              <w:rPr>
                <w:rFonts w:hint="eastAsia"/>
                <w:noProof/>
                <w:webHidden/>
              </w:rPr>
              <w:fldChar w:fldCharType="end"/>
            </w:r>
          </w:hyperlink>
        </w:p>
        <w:p w14:paraId="3185977C" w14:textId="42C12130"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95" w:history="1">
            <w:r w:rsidRPr="008C3902">
              <w:rPr>
                <w:rStyle w:val="afe"/>
                <w:rFonts w:cs="Times New Roman" w:hint="eastAsia"/>
                <w:noProof/>
                <w:kern w:val="21"/>
              </w:rPr>
              <w:t xml:space="preserve">7.2 </w:t>
            </w:r>
            <w:r w:rsidRPr="008C3902">
              <w:rPr>
                <w:rStyle w:val="afe"/>
                <w:rFonts w:cs="Times New Roman" w:hint="eastAsia"/>
                <w:noProof/>
                <w:kern w:val="21"/>
              </w:rPr>
              <w:t>环境风险评价依据</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_Toc195009895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144</w:t>
            </w:r>
            <w:r w:rsidRPr="008C3902">
              <w:rPr>
                <w:rFonts w:hint="eastAsia"/>
                <w:noProof/>
                <w:webHidden/>
              </w:rPr>
              <w:fldChar w:fldCharType="end"/>
            </w:r>
          </w:hyperlink>
        </w:p>
        <w:p w14:paraId="6D112C10" w14:textId="09437A7E"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96" w:history="1">
            <w:r w:rsidRPr="008C3902">
              <w:rPr>
                <w:rStyle w:val="afe"/>
                <w:rFonts w:cs="Times New Roman" w:hint="eastAsia"/>
                <w:noProof/>
                <w:kern w:val="21"/>
              </w:rPr>
              <w:t xml:space="preserve">7.2.1 </w:t>
            </w:r>
            <w:r w:rsidRPr="008C3902">
              <w:rPr>
                <w:rStyle w:val="afe"/>
                <w:rFonts w:cs="Times New Roman" w:hint="eastAsia"/>
                <w:noProof/>
                <w:kern w:val="21"/>
              </w:rPr>
              <w:t>风险物质识别</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_Toc195009896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144</w:t>
            </w:r>
            <w:r w:rsidRPr="008C3902">
              <w:rPr>
                <w:rFonts w:hint="eastAsia"/>
                <w:noProof/>
                <w:webHidden/>
              </w:rPr>
              <w:fldChar w:fldCharType="end"/>
            </w:r>
          </w:hyperlink>
        </w:p>
        <w:p w14:paraId="46D44E9C" w14:textId="45B411A7"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97" w:history="1">
            <w:r w:rsidRPr="008C3902">
              <w:rPr>
                <w:rStyle w:val="afe"/>
                <w:rFonts w:cs="Times New Roman" w:hint="eastAsia"/>
                <w:noProof/>
                <w:kern w:val="21"/>
              </w:rPr>
              <w:t xml:space="preserve">7.2.2 </w:t>
            </w:r>
            <w:r w:rsidRPr="008C3902">
              <w:rPr>
                <w:rStyle w:val="afe"/>
                <w:rFonts w:cs="Times New Roman" w:hint="eastAsia"/>
                <w:noProof/>
                <w:kern w:val="21"/>
              </w:rPr>
              <w:t>风险潜势初判</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_Toc195009897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145</w:t>
            </w:r>
            <w:r w:rsidRPr="008C3902">
              <w:rPr>
                <w:rFonts w:hint="eastAsia"/>
                <w:noProof/>
                <w:webHidden/>
              </w:rPr>
              <w:fldChar w:fldCharType="end"/>
            </w:r>
          </w:hyperlink>
        </w:p>
        <w:p w14:paraId="59D8869E" w14:textId="6E53A574"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98" w:history="1">
            <w:r w:rsidRPr="008C3902">
              <w:rPr>
                <w:rStyle w:val="afe"/>
                <w:rFonts w:cs="Times New Roman" w:hint="eastAsia"/>
                <w:noProof/>
                <w:kern w:val="21"/>
              </w:rPr>
              <w:t xml:space="preserve">7.3 </w:t>
            </w:r>
            <w:r w:rsidRPr="008C3902">
              <w:rPr>
                <w:rStyle w:val="afe"/>
                <w:rFonts w:cs="Times New Roman" w:hint="eastAsia"/>
                <w:noProof/>
                <w:kern w:val="21"/>
              </w:rPr>
              <w:t>环境敏感目标概况</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_Toc195009898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145</w:t>
            </w:r>
            <w:r w:rsidRPr="008C3902">
              <w:rPr>
                <w:rFonts w:hint="eastAsia"/>
                <w:noProof/>
                <w:webHidden/>
              </w:rPr>
              <w:fldChar w:fldCharType="end"/>
            </w:r>
          </w:hyperlink>
        </w:p>
        <w:p w14:paraId="62B15455" w14:textId="6E929DBD"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899" w:history="1">
            <w:r w:rsidRPr="008C3902">
              <w:rPr>
                <w:rStyle w:val="afe"/>
                <w:rFonts w:cs="Times New Roman" w:hint="eastAsia"/>
                <w:noProof/>
                <w:kern w:val="21"/>
              </w:rPr>
              <w:t xml:space="preserve">7.4 </w:t>
            </w:r>
            <w:r w:rsidRPr="008C3902">
              <w:rPr>
                <w:rStyle w:val="afe"/>
                <w:rFonts w:cs="Times New Roman" w:hint="eastAsia"/>
                <w:noProof/>
                <w:kern w:val="21"/>
              </w:rPr>
              <w:t>环境风险识别</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_Toc195009899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145</w:t>
            </w:r>
            <w:r w:rsidRPr="008C3902">
              <w:rPr>
                <w:rFonts w:hint="eastAsia"/>
                <w:noProof/>
                <w:webHidden/>
              </w:rPr>
              <w:fldChar w:fldCharType="end"/>
            </w:r>
          </w:hyperlink>
        </w:p>
        <w:p w14:paraId="47FD2129" w14:textId="48DC9313"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00" w:history="1">
            <w:r w:rsidRPr="008C3902">
              <w:rPr>
                <w:rStyle w:val="afe"/>
                <w:rFonts w:cs="Times New Roman" w:hint="eastAsia"/>
                <w:noProof/>
                <w:kern w:val="21"/>
              </w:rPr>
              <w:t xml:space="preserve">7.4.1 </w:t>
            </w:r>
            <w:r w:rsidRPr="008C3902">
              <w:rPr>
                <w:rStyle w:val="afe"/>
                <w:rFonts w:cs="Times New Roman" w:hint="eastAsia"/>
                <w:noProof/>
                <w:kern w:val="21"/>
              </w:rPr>
              <w:t>物质风险性识别</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_Toc195009900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145</w:t>
            </w:r>
            <w:r w:rsidRPr="008C3902">
              <w:rPr>
                <w:rFonts w:hint="eastAsia"/>
                <w:noProof/>
                <w:webHidden/>
              </w:rPr>
              <w:fldChar w:fldCharType="end"/>
            </w:r>
          </w:hyperlink>
        </w:p>
        <w:p w14:paraId="54EE0B65" w14:textId="009A6D35"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01" w:history="1">
            <w:r w:rsidRPr="008C3902">
              <w:rPr>
                <w:rStyle w:val="afe"/>
                <w:rFonts w:cs="Times New Roman" w:hint="eastAsia"/>
                <w:noProof/>
                <w:kern w:val="21"/>
              </w:rPr>
              <w:t>7.4.2</w:t>
            </w:r>
            <w:r w:rsidRPr="008C3902">
              <w:rPr>
                <w:rStyle w:val="afe"/>
                <w:rFonts w:hint="eastAsia"/>
                <w:noProof/>
                <w:kern w:val="21"/>
              </w:rPr>
              <w:t xml:space="preserve"> </w:t>
            </w:r>
            <w:r w:rsidRPr="008C3902">
              <w:rPr>
                <w:rStyle w:val="afe"/>
                <w:rFonts w:hint="eastAsia"/>
                <w:noProof/>
                <w:kern w:val="21"/>
              </w:rPr>
              <w:t>生产系统危险性识别</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_Toc195009901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145</w:t>
            </w:r>
            <w:r w:rsidRPr="008C3902">
              <w:rPr>
                <w:rFonts w:hint="eastAsia"/>
                <w:noProof/>
                <w:webHidden/>
              </w:rPr>
              <w:fldChar w:fldCharType="end"/>
            </w:r>
          </w:hyperlink>
        </w:p>
        <w:p w14:paraId="4B37F1F0" w14:textId="4E93F94F"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02" w:history="1">
            <w:r w:rsidRPr="008C3902">
              <w:rPr>
                <w:rStyle w:val="afe"/>
                <w:rFonts w:cs="Times New Roman" w:hint="eastAsia"/>
                <w:noProof/>
                <w:kern w:val="21"/>
              </w:rPr>
              <w:t xml:space="preserve">7.4.3 </w:t>
            </w:r>
            <w:r w:rsidRPr="008C3902">
              <w:rPr>
                <w:rStyle w:val="afe"/>
                <w:rFonts w:cs="Times New Roman" w:hint="eastAsia"/>
                <w:noProof/>
                <w:kern w:val="21"/>
              </w:rPr>
              <w:t>可能影响环境的途径</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_Toc195009902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145</w:t>
            </w:r>
            <w:r w:rsidRPr="008C3902">
              <w:rPr>
                <w:rFonts w:hint="eastAsia"/>
                <w:noProof/>
                <w:webHidden/>
              </w:rPr>
              <w:fldChar w:fldCharType="end"/>
            </w:r>
          </w:hyperlink>
        </w:p>
        <w:p w14:paraId="3C4972A2" w14:textId="541D7DBD"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03" w:history="1">
            <w:r w:rsidRPr="008C3902">
              <w:rPr>
                <w:rStyle w:val="afe"/>
                <w:rFonts w:cs="Times New Roman" w:hint="eastAsia"/>
                <w:noProof/>
                <w:kern w:val="21"/>
              </w:rPr>
              <w:t xml:space="preserve">7.5 </w:t>
            </w:r>
            <w:r w:rsidRPr="008C3902">
              <w:rPr>
                <w:rStyle w:val="afe"/>
                <w:rFonts w:cs="Times New Roman" w:hint="eastAsia"/>
                <w:noProof/>
                <w:kern w:val="21"/>
              </w:rPr>
              <w:t>环境风险分析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_Toc195009903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146</w:t>
            </w:r>
            <w:r w:rsidRPr="008C3902">
              <w:rPr>
                <w:rFonts w:hint="eastAsia"/>
                <w:noProof/>
                <w:webHidden/>
              </w:rPr>
              <w:fldChar w:fldCharType="end"/>
            </w:r>
          </w:hyperlink>
        </w:p>
        <w:p w14:paraId="68BF80A6" w14:textId="27807305"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04" w:history="1">
            <w:r w:rsidRPr="008C3902">
              <w:rPr>
                <w:rStyle w:val="afe"/>
                <w:rFonts w:cs="Times New Roman" w:hint="eastAsia"/>
                <w:noProof/>
                <w:kern w:val="21"/>
              </w:rPr>
              <w:t xml:space="preserve">7.5.1 </w:t>
            </w:r>
            <w:r w:rsidRPr="008C3902">
              <w:rPr>
                <w:rStyle w:val="afe"/>
                <w:rFonts w:cs="Times New Roman" w:hint="eastAsia"/>
                <w:noProof/>
                <w:kern w:val="21"/>
              </w:rPr>
              <w:t>大气环境风险分析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_Toc195009904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146</w:t>
            </w:r>
            <w:r w:rsidRPr="008C3902">
              <w:rPr>
                <w:rFonts w:hint="eastAsia"/>
                <w:noProof/>
                <w:webHidden/>
              </w:rPr>
              <w:fldChar w:fldCharType="end"/>
            </w:r>
          </w:hyperlink>
        </w:p>
        <w:p w14:paraId="15B74B4E" w14:textId="1879EB1F"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05" w:history="1">
            <w:r w:rsidRPr="008C3902">
              <w:rPr>
                <w:rStyle w:val="afe"/>
                <w:rFonts w:cs="Times New Roman" w:hint="eastAsia"/>
                <w:noProof/>
                <w:kern w:val="21"/>
              </w:rPr>
              <w:t xml:space="preserve">7.5.2 </w:t>
            </w:r>
            <w:r w:rsidRPr="008C3902">
              <w:rPr>
                <w:rStyle w:val="afe"/>
                <w:rFonts w:cs="Times New Roman" w:hint="eastAsia"/>
                <w:noProof/>
                <w:kern w:val="21"/>
              </w:rPr>
              <w:t>地表水环境风险分析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_Toc195009905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146</w:t>
            </w:r>
            <w:r w:rsidRPr="008C3902">
              <w:rPr>
                <w:rFonts w:hint="eastAsia"/>
                <w:noProof/>
                <w:webHidden/>
              </w:rPr>
              <w:fldChar w:fldCharType="end"/>
            </w:r>
          </w:hyperlink>
        </w:p>
        <w:p w14:paraId="33D0B180" w14:textId="14794B6B"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06" w:history="1">
            <w:r w:rsidRPr="008C3902">
              <w:rPr>
                <w:rStyle w:val="afe"/>
                <w:rFonts w:cs="Times New Roman" w:hint="eastAsia"/>
                <w:noProof/>
                <w:kern w:val="21"/>
              </w:rPr>
              <w:t xml:space="preserve">7.5.3 </w:t>
            </w:r>
            <w:r w:rsidRPr="008C3902">
              <w:rPr>
                <w:rStyle w:val="afe"/>
                <w:rFonts w:cs="Times New Roman" w:hint="eastAsia"/>
                <w:noProof/>
                <w:kern w:val="21"/>
              </w:rPr>
              <w:t>地下水环境风险分析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_Toc195009906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146</w:t>
            </w:r>
            <w:r w:rsidRPr="008C3902">
              <w:rPr>
                <w:rFonts w:hint="eastAsia"/>
                <w:noProof/>
                <w:webHidden/>
              </w:rPr>
              <w:fldChar w:fldCharType="end"/>
            </w:r>
          </w:hyperlink>
        </w:p>
        <w:p w14:paraId="68363DE2" w14:textId="4F9CB984"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07" w:history="1">
            <w:r w:rsidRPr="008C3902">
              <w:rPr>
                <w:rStyle w:val="afe"/>
                <w:rFonts w:cs="Times New Roman" w:hint="eastAsia"/>
                <w:noProof/>
                <w:kern w:val="21"/>
              </w:rPr>
              <w:t xml:space="preserve">7.5.4 </w:t>
            </w:r>
            <w:r w:rsidRPr="008C3902">
              <w:rPr>
                <w:rStyle w:val="afe"/>
                <w:rFonts w:cs="Times New Roman" w:hint="eastAsia"/>
                <w:noProof/>
                <w:kern w:val="21"/>
              </w:rPr>
              <w:t>卫生防疫事故风险分析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_Toc195009907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146</w:t>
            </w:r>
            <w:r w:rsidRPr="008C3902">
              <w:rPr>
                <w:rFonts w:hint="eastAsia"/>
                <w:noProof/>
                <w:webHidden/>
              </w:rPr>
              <w:fldChar w:fldCharType="end"/>
            </w:r>
          </w:hyperlink>
        </w:p>
        <w:p w14:paraId="03F104C3" w14:textId="0E681A93"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08" w:history="1">
            <w:r w:rsidRPr="008C3902">
              <w:rPr>
                <w:rStyle w:val="afe"/>
                <w:rFonts w:cs="Times New Roman" w:hint="eastAsia"/>
                <w:noProof/>
                <w:kern w:val="21"/>
              </w:rPr>
              <w:t xml:space="preserve">7.5.5 </w:t>
            </w:r>
            <w:r w:rsidRPr="008C3902">
              <w:rPr>
                <w:rStyle w:val="afe"/>
                <w:rFonts w:cs="Times New Roman" w:hint="eastAsia"/>
                <w:noProof/>
                <w:kern w:val="21"/>
              </w:rPr>
              <w:t>火灾、爆炸事故次生环境影响分析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_Toc195009908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147</w:t>
            </w:r>
            <w:r w:rsidRPr="008C3902">
              <w:rPr>
                <w:rFonts w:hint="eastAsia"/>
                <w:noProof/>
                <w:webHidden/>
              </w:rPr>
              <w:fldChar w:fldCharType="end"/>
            </w:r>
          </w:hyperlink>
        </w:p>
        <w:p w14:paraId="50505167" w14:textId="2DA19912"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09" w:history="1">
            <w:r w:rsidRPr="008C3902">
              <w:rPr>
                <w:rStyle w:val="afe"/>
                <w:rFonts w:cs="Times New Roman" w:hint="eastAsia"/>
                <w:noProof/>
                <w:kern w:val="21"/>
              </w:rPr>
              <w:t xml:space="preserve">7.6 </w:t>
            </w:r>
            <w:r w:rsidRPr="008C3902">
              <w:rPr>
                <w:rStyle w:val="afe"/>
                <w:rFonts w:cs="Times New Roman" w:hint="eastAsia"/>
                <w:noProof/>
                <w:kern w:val="21"/>
              </w:rPr>
              <w:t>环境风险防范措施及应急要求</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_Toc195009909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147</w:t>
            </w:r>
            <w:r w:rsidRPr="008C3902">
              <w:rPr>
                <w:rFonts w:hint="eastAsia"/>
                <w:noProof/>
                <w:webHidden/>
              </w:rPr>
              <w:fldChar w:fldCharType="end"/>
            </w:r>
          </w:hyperlink>
        </w:p>
        <w:p w14:paraId="344FCED6" w14:textId="0371452E"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10" w:history="1">
            <w:r w:rsidRPr="008C3902">
              <w:rPr>
                <w:rStyle w:val="afe"/>
                <w:rFonts w:cs="Times New Roman" w:hint="eastAsia"/>
                <w:noProof/>
                <w:kern w:val="21"/>
              </w:rPr>
              <w:t xml:space="preserve">7.6.1 </w:t>
            </w:r>
            <w:r w:rsidRPr="008C3902">
              <w:rPr>
                <w:rStyle w:val="afe"/>
                <w:rFonts w:cs="Times New Roman" w:hint="eastAsia"/>
                <w:noProof/>
                <w:kern w:val="21"/>
              </w:rPr>
              <w:t>环境风险防范措施</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_Toc195009910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147</w:t>
            </w:r>
            <w:r w:rsidRPr="008C3902">
              <w:rPr>
                <w:rFonts w:hint="eastAsia"/>
                <w:noProof/>
                <w:webHidden/>
              </w:rPr>
              <w:fldChar w:fldCharType="end"/>
            </w:r>
          </w:hyperlink>
        </w:p>
        <w:p w14:paraId="74BEA93A" w14:textId="26410387"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11" w:history="1">
            <w:r w:rsidRPr="008C3902">
              <w:rPr>
                <w:rStyle w:val="afe"/>
                <w:rFonts w:cs="Times New Roman" w:hint="eastAsia"/>
                <w:noProof/>
                <w:kern w:val="21"/>
              </w:rPr>
              <w:t xml:space="preserve">7.6.2 </w:t>
            </w:r>
            <w:r w:rsidRPr="008C3902">
              <w:rPr>
                <w:rStyle w:val="afe"/>
                <w:rFonts w:cs="Times New Roman" w:hint="eastAsia"/>
                <w:noProof/>
                <w:kern w:val="21"/>
              </w:rPr>
              <w:t>风险事故应急预案</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_Toc195009911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153</w:t>
            </w:r>
            <w:r w:rsidRPr="008C3902">
              <w:rPr>
                <w:rFonts w:hint="eastAsia"/>
                <w:noProof/>
                <w:webHidden/>
              </w:rPr>
              <w:fldChar w:fldCharType="end"/>
            </w:r>
          </w:hyperlink>
        </w:p>
        <w:p w14:paraId="516F0CD5" w14:textId="230E9E8E"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12" w:history="1">
            <w:r w:rsidRPr="008C3902">
              <w:rPr>
                <w:rStyle w:val="afe"/>
                <w:rFonts w:cs="Times New Roman" w:hint="eastAsia"/>
                <w:noProof/>
                <w:kern w:val="21"/>
              </w:rPr>
              <w:t xml:space="preserve">7.7 </w:t>
            </w:r>
            <w:r w:rsidRPr="008C3902">
              <w:rPr>
                <w:rStyle w:val="afe"/>
                <w:rFonts w:cs="Times New Roman" w:hint="eastAsia"/>
                <w:noProof/>
                <w:kern w:val="21"/>
              </w:rPr>
              <w:t>风险分析结论</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_Toc195009912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158</w:t>
            </w:r>
            <w:r w:rsidRPr="008C3902">
              <w:rPr>
                <w:rFonts w:hint="eastAsia"/>
                <w:noProof/>
                <w:webHidden/>
              </w:rPr>
              <w:fldChar w:fldCharType="end"/>
            </w:r>
          </w:hyperlink>
        </w:p>
        <w:p w14:paraId="2C4C1D79" w14:textId="35536E47" w:rsidR="008C3902" w:rsidRPr="008C3902" w:rsidRDefault="008C3902" w:rsidP="000B6388">
          <w:pPr>
            <w:pStyle w:val="TOC1"/>
            <w:tabs>
              <w:tab w:val="right" w:leader="dot" w:pos="8834"/>
            </w:tabs>
            <w:adjustRightInd w:val="0"/>
            <w:snapToGrid w:val="0"/>
            <w:spacing w:after="0"/>
            <w:rPr>
              <w:rFonts w:asciiTheme="minorHAnsi" w:eastAsiaTheme="minorEastAsia" w:hAnsiTheme="minorHAnsi" w:hint="eastAsia"/>
              <w:noProof/>
              <w:sz w:val="22"/>
              <w:szCs w:val="24"/>
              <w14:ligatures w14:val="standardContextual"/>
            </w:rPr>
          </w:pPr>
          <w:hyperlink w:anchor="_Toc195009913" w:history="1">
            <w:r w:rsidRPr="008C3902">
              <w:rPr>
                <w:rStyle w:val="afe"/>
                <w:rFonts w:cs="Times New Roman" w:hint="eastAsia"/>
                <w:noProof/>
                <w:kern w:val="21"/>
              </w:rPr>
              <w:t xml:space="preserve">8 </w:t>
            </w:r>
            <w:r w:rsidRPr="008C3902">
              <w:rPr>
                <w:rStyle w:val="afe"/>
                <w:rFonts w:cs="Times New Roman" w:hint="eastAsia"/>
                <w:noProof/>
                <w:kern w:val="21"/>
              </w:rPr>
              <w:t>污染防治措施及其可行性论证</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_Toc195009913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160</w:t>
            </w:r>
            <w:r w:rsidRPr="008C3902">
              <w:rPr>
                <w:rFonts w:hint="eastAsia"/>
                <w:noProof/>
                <w:webHidden/>
              </w:rPr>
              <w:fldChar w:fldCharType="end"/>
            </w:r>
          </w:hyperlink>
        </w:p>
        <w:p w14:paraId="7F13797A" w14:textId="76FBC1A5"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14" w:history="1">
            <w:r w:rsidRPr="008C3902">
              <w:rPr>
                <w:rStyle w:val="afe"/>
                <w:rFonts w:cs="Times New Roman" w:hint="eastAsia"/>
                <w:noProof/>
                <w:kern w:val="21"/>
              </w:rPr>
              <w:t xml:space="preserve">8.1 </w:t>
            </w:r>
            <w:r w:rsidRPr="008C3902">
              <w:rPr>
                <w:rStyle w:val="afe"/>
                <w:rFonts w:cs="Times New Roman" w:hint="eastAsia"/>
                <w:noProof/>
                <w:kern w:val="21"/>
              </w:rPr>
              <w:t>施工期环境保护措施及可行性分析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_Toc195009914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160</w:t>
            </w:r>
            <w:r w:rsidRPr="008C3902">
              <w:rPr>
                <w:rFonts w:hint="eastAsia"/>
                <w:noProof/>
                <w:webHidden/>
              </w:rPr>
              <w:fldChar w:fldCharType="end"/>
            </w:r>
          </w:hyperlink>
        </w:p>
        <w:p w14:paraId="29284B50" w14:textId="597C18E9"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15" w:history="1">
            <w:r w:rsidRPr="008C3902">
              <w:rPr>
                <w:rStyle w:val="afe"/>
                <w:rFonts w:cs="Times New Roman" w:hint="eastAsia"/>
                <w:noProof/>
                <w:kern w:val="21"/>
              </w:rPr>
              <w:t xml:space="preserve">8.1.1 </w:t>
            </w:r>
            <w:r w:rsidRPr="008C3902">
              <w:rPr>
                <w:rStyle w:val="afe"/>
                <w:rFonts w:cs="Times New Roman" w:hint="eastAsia"/>
                <w:noProof/>
                <w:kern w:val="21"/>
              </w:rPr>
              <w:t>废水治理措施分析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_Toc195009915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160</w:t>
            </w:r>
            <w:r w:rsidRPr="008C3902">
              <w:rPr>
                <w:rFonts w:hint="eastAsia"/>
                <w:noProof/>
                <w:webHidden/>
              </w:rPr>
              <w:fldChar w:fldCharType="end"/>
            </w:r>
          </w:hyperlink>
        </w:p>
        <w:p w14:paraId="09DDF7A2" w14:textId="5A149A17"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16" w:history="1">
            <w:r w:rsidRPr="008C3902">
              <w:rPr>
                <w:rStyle w:val="afe"/>
                <w:rFonts w:cs="Times New Roman" w:hint="eastAsia"/>
                <w:noProof/>
                <w:kern w:val="21"/>
              </w:rPr>
              <w:t xml:space="preserve">8.1.2 </w:t>
            </w:r>
            <w:r w:rsidRPr="008C3902">
              <w:rPr>
                <w:rStyle w:val="afe"/>
                <w:rFonts w:cs="Times New Roman" w:hint="eastAsia"/>
                <w:noProof/>
                <w:kern w:val="21"/>
              </w:rPr>
              <w:t>废气治理措施分析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_Toc195009916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160</w:t>
            </w:r>
            <w:r w:rsidRPr="008C3902">
              <w:rPr>
                <w:rFonts w:hint="eastAsia"/>
                <w:noProof/>
                <w:webHidden/>
              </w:rPr>
              <w:fldChar w:fldCharType="end"/>
            </w:r>
          </w:hyperlink>
        </w:p>
        <w:p w14:paraId="2371C4D7" w14:textId="31CAAE77"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17" w:history="1">
            <w:r w:rsidRPr="008C3902">
              <w:rPr>
                <w:rStyle w:val="afe"/>
                <w:rFonts w:cs="Times New Roman" w:hint="eastAsia"/>
                <w:noProof/>
                <w:kern w:val="21"/>
              </w:rPr>
              <w:t xml:space="preserve">8.1.3 </w:t>
            </w:r>
            <w:r w:rsidRPr="008C3902">
              <w:rPr>
                <w:rStyle w:val="afe"/>
                <w:rFonts w:cs="Times New Roman" w:hint="eastAsia"/>
                <w:noProof/>
                <w:kern w:val="21"/>
              </w:rPr>
              <w:t>噪声治理措施分析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_Toc195009917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161</w:t>
            </w:r>
            <w:r w:rsidRPr="008C3902">
              <w:rPr>
                <w:rFonts w:hint="eastAsia"/>
                <w:noProof/>
                <w:webHidden/>
              </w:rPr>
              <w:fldChar w:fldCharType="end"/>
            </w:r>
          </w:hyperlink>
        </w:p>
        <w:p w14:paraId="5E992E6A" w14:textId="0F015E23"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18" w:history="1">
            <w:r w:rsidRPr="008C3902">
              <w:rPr>
                <w:rStyle w:val="afe"/>
                <w:rFonts w:cs="Times New Roman" w:hint="eastAsia"/>
                <w:noProof/>
                <w:kern w:val="21"/>
              </w:rPr>
              <w:t xml:space="preserve">8.1.4 </w:t>
            </w:r>
            <w:r w:rsidRPr="008C3902">
              <w:rPr>
                <w:rStyle w:val="afe"/>
                <w:rFonts w:cs="Times New Roman" w:hint="eastAsia"/>
                <w:noProof/>
                <w:kern w:val="21"/>
              </w:rPr>
              <w:t>固体废物治理措施分析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_Toc195009918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162</w:t>
            </w:r>
            <w:r w:rsidRPr="008C3902">
              <w:rPr>
                <w:rFonts w:hint="eastAsia"/>
                <w:noProof/>
                <w:webHidden/>
              </w:rPr>
              <w:fldChar w:fldCharType="end"/>
            </w:r>
          </w:hyperlink>
        </w:p>
        <w:p w14:paraId="35968F32" w14:textId="094B26F7"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19" w:history="1">
            <w:r w:rsidRPr="008C3902">
              <w:rPr>
                <w:rStyle w:val="afe"/>
                <w:rFonts w:cs="Times New Roman" w:hint="eastAsia"/>
                <w:noProof/>
                <w:kern w:val="21"/>
              </w:rPr>
              <w:t xml:space="preserve">8.1.5 </w:t>
            </w:r>
            <w:r w:rsidRPr="008C3902">
              <w:rPr>
                <w:rStyle w:val="afe"/>
                <w:rFonts w:cs="Times New Roman" w:hint="eastAsia"/>
                <w:noProof/>
                <w:kern w:val="21"/>
              </w:rPr>
              <w:t>生态防护措施分析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_Toc195009919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162</w:t>
            </w:r>
            <w:r w:rsidRPr="008C3902">
              <w:rPr>
                <w:rFonts w:hint="eastAsia"/>
                <w:noProof/>
                <w:webHidden/>
              </w:rPr>
              <w:fldChar w:fldCharType="end"/>
            </w:r>
          </w:hyperlink>
        </w:p>
        <w:p w14:paraId="6C004036" w14:textId="7E2C361F"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20" w:history="1">
            <w:r w:rsidRPr="008C3902">
              <w:rPr>
                <w:rStyle w:val="afe"/>
                <w:rFonts w:cs="Times New Roman" w:hint="eastAsia"/>
                <w:noProof/>
                <w:kern w:val="21"/>
              </w:rPr>
              <w:t xml:space="preserve">8.2 </w:t>
            </w:r>
            <w:r w:rsidRPr="008C3902">
              <w:rPr>
                <w:rStyle w:val="afe"/>
                <w:rFonts w:cs="Times New Roman" w:hint="eastAsia"/>
                <w:noProof/>
                <w:kern w:val="21"/>
              </w:rPr>
              <w:t>运营期污染防治措施及可行性分析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_Toc195009920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163</w:t>
            </w:r>
            <w:r w:rsidRPr="008C3902">
              <w:rPr>
                <w:rFonts w:hint="eastAsia"/>
                <w:noProof/>
                <w:webHidden/>
              </w:rPr>
              <w:fldChar w:fldCharType="end"/>
            </w:r>
          </w:hyperlink>
        </w:p>
        <w:p w14:paraId="60AC49A8" w14:textId="0C88EA31"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21" w:history="1">
            <w:r w:rsidRPr="008C3902">
              <w:rPr>
                <w:rStyle w:val="afe"/>
                <w:rFonts w:cs="Times New Roman" w:hint="eastAsia"/>
                <w:noProof/>
                <w:kern w:val="21"/>
              </w:rPr>
              <w:t xml:space="preserve">8.2.1 </w:t>
            </w:r>
            <w:r w:rsidRPr="008C3902">
              <w:rPr>
                <w:rStyle w:val="afe"/>
                <w:rFonts w:cs="Times New Roman" w:hint="eastAsia"/>
                <w:noProof/>
                <w:kern w:val="21"/>
              </w:rPr>
              <w:t>大气污染防治措施及可行性分析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_Toc195009921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163</w:t>
            </w:r>
            <w:r w:rsidRPr="008C3902">
              <w:rPr>
                <w:rFonts w:hint="eastAsia"/>
                <w:noProof/>
                <w:webHidden/>
              </w:rPr>
              <w:fldChar w:fldCharType="end"/>
            </w:r>
          </w:hyperlink>
        </w:p>
        <w:p w14:paraId="4C929D8E" w14:textId="6E5FCD29"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22" w:history="1">
            <w:r w:rsidRPr="008C3902">
              <w:rPr>
                <w:rStyle w:val="afe"/>
                <w:rFonts w:cs="Times New Roman" w:hint="eastAsia"/>
                <w:noProof/>
                <w:kern w:val="21"/>
              </w:rPr>
              <w:t xml:space="preserve">8.2.2 </w:t>
            </w:r>
            <w:r w:rsidRPr="008C3902">
              <w:rPr>
                <w:rStyle w:val="afe"/>
                <w:rFonts w:cs="Times New Roman" w:hint="eastAsia"/>
                <w:noProof/>
                <w:kern w:val="21"/>
              </w:rPr>
              <w:t>水污染防治措施及可行性分析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_Toc195009922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166</w:t>
            </w:r>
            <w:r w:rsidRPr="008C3902">
              <w:rPr>
                <w:rFonts w:hint="eastAsia"/>
                <w:noProof/>
                <w:webHidden/>
              </w:rPr>
              <w:fldChar w:fldCharType="end"/>
            </w:r>
          </w:hyperlink>
        </w:p>
        <w:p w14:paraId="2FB31D2A" w14:textId="1D92C829"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23" w:history="1">
            <w:r w:rsidRPr="008C3902">
              <w:rPr>
                <w:rStyle w:val="afe"/>
                <w:rFonts w:cs="Times New Roman" w:hint="eastAsia"/>
                <w:noProof/>
                <w:kern w:val="21"/>
              </w:rPr>
              <w:t xml:space="preserve">8.2.3 </w:t>
            </w:r>
            <w:r w:rsidRPr="008C3902">
              <w:rPr>
                <w:rStyle w:val="afe"/>
                <w:rFonts w:cs="Times New Roman" w:hint="eastAsia"/>
                <w:noProof/>
                <w:kern w:val="21"/>
              </w:rPr>
              <w:t>噪声污染防治措施及可行性分析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_Toc195009923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168</w:t>
            </w:r>
            <w:r w:rsidRPr="008C3902">
              <w:rPr>
                <w:rFonts w:hint="eastAsia"/>
                <w:noProof/>
                <w:webHidden/>
              </w:rPr>
              <w:fldChar w:fldCharType="end"/>
            </w:r>
          </w:hyperlink>
        </w:p>
        <w:p w14:paraId="0572A02A" w14:textId="0E2C28AF"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24" w:history="1">
            <w:r w:rsidRPr="008C3902">
              <w:rPr>
                <w:rStyle w:val="afe"/>
                <w:rFonts w:cs="Times New Roman" w:hint="eastAsia"/>
                <w:noProof/>
                <w:kern w:val="21"/>
              </w:rPr>
              <w:t>8.2.4</w:t>
            </w:r>
            <w:r w:rsidRPr="008C3902">
              <w:rPr>
                <w:rStyle w:val="afe"/>
                <w:rFonts w:hint="eastAsia"/>
                <w:noProof/>
                <w:kern w:val="21"/>
              </w:rPr>
              <w:t xml:space="preserve"> </w:t>
            </w:r>
            <w:r w:rsidRPr="008C3902">
              <w:rPr>
                <w:rStyle w:val="afe"/>
                <w:rFonts w:hint="eastAsia"/>
                <w:noProof/>
                <w:kern w:val="21"/>
              </w:rPr>
              <w:t>固体废物处置措施及可行性分析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_Toc195009924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169</w:t>
            </w:r>
            <w:r w:rsidRPr="008C3902">
              <w:rPr>
                <w:rFonts w:hint="eastAsia"/>
                <w:noProof/>
                <w:webHidden/>
              </w:rPr>
              <w:fldChar w:fldCharType="end"/>
            </w:r>
          </w:hyperlink>
        </w:p>
        <w:p w14:paraId="19771ED0" w14:textId="50A2D042"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25" w:history="1">
            <w:r w:rsidRPr="008C3902">
              <w:rPr>
                <w:rStyle w:val="afe"/>
                <w:rFonts w:cs="Times New Roman" w:hint="eastAsia"/>
                <w:noProof/>
                <w:kern w:val="21"/>
              </w:rPr>
              <w:t xml:space="preserve">8.2.5 </w:t>
            </w:r>
            <w:r w:rsidRPr="008C3902">
              <w:rPr>
                <w:rStyle w:val="afe"/>
                <w:rFonts w:cs="Times New Roman" w:hint="eastAsia"/>
                <w:noProof/>
                <w:kern w:val="21"/>
              </w:rPr>
              <w:t>地下水污染防治措施及可行性分析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_Toc195009925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171</w:t>
            </w:r>
            <w:r w:rsidRPr="008C3902">
              <w:rPr>
                <w:rFonts w:hint="eastAsia"/>
                <w:noProof/>
                <w:webHidden/>
              </w:rPr>
              <w:fldChar w:fldCharType="end"/>
            </w:r>
          </w:hyperlink>
        </w:p>
        <w:p w14:paraId="09E5C3D8" w14:textId="05F35BD3"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26" w:history="1">
            <w:r w:rsidRPr="008C3902">
              <w:rPr>
                <w:rStyle w:val="afe"/>
                <w:rFonts w:cs="Times New Roman" w:hint="eastAsia"/>
                <w:noProof/>
                <w:kern w:val="21"/>
              </w:rPr>
              <w:t xml:space="preserve">8.2.6 </w:t>
            </w:r>
            <w:r w:rsidRPr="008C3902">
              <w:rPr>
                <w:rStyle w:val="afe"/>
                <w:rFonts w:cs="Times New Roman" w:hint="eastAsia"/>
                <w:noProof/>
                <w:kern w:val="21"/>
              </w:rPr>
              <w:t>生态环境保护措施论证</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_Toc195009926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173</w:t>
            </w:r>
            <w:r w:rsidRPr="008C3902">
              <w:rPr>
                <w:rFonts w:hint="eastAsia"/>
                <w:noProof/>
                <w:webHidden/>
              </w:rPr>
              <w:fldChar w:fldCharType="end"/>
            </w:r>
          </w:hyperlink>
        </w:p>
        <w:p w14:paraId="4E96E460" w14:textId="4B92E9E6"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27" w:history="1">
            <w:r w:rsidRPr="008C3902">
              <w:rPr>
                <w:rStyle w:val="afe"/>
                <w:rFonts w:cs="Times New Roman" w:hint="eastAsia"/>
                <w:noProof/>
                <w:kern w:val="21"/>
              </w:rPr>
              <w:t xml:space="preserve">8.3 </w:t>
            </w:r>
            <w:r w:rsidRPr="008C3902">
              <w:rPr>
                <w:rStyle w:val="afe"/>
                <w:rFonts w:cs="Times New Roman" w:hint="eastAsia"/>
                <w:noProof/>
                <w:kern w:val="21"/>
              </w:rPr>
              <w:t>环保投资</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_Toc195009927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174</w:t>
            </w:r>
            <w:r w:rsidRPr="008C3902">
              <w:rPr>
                <w:rFonts w:hint="eastAsia"/>
                <w:noProof/>
                <w:webHidden/>
              </w:rPr>
              <w:fldChar w:fldCharType="end"/>
            </w:r>
          </w:hyperlink>
        </w:p>
        <w:p w14:paraId="0DC4057A" w14:textId="25290CEF"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28" w:history="1">
            <w:r w:rsidRPr="008C3902">
              <w:rPr>
                <w:rStyle w:val="afe"/>
                <w:rFonts w:cs="Times New Roman" w:hint="eastAsia"/>
                <w:noProof/>
                <w:kern w:val="21"/>
              </w:rPr>
              <w:t>8.4</w:t>
            </w:r>
            <w:r w:rsidRPr="008C3902">
              <w:rPr>
                <w:rStyle w:val="afe"/>
                <w:rFonts w:hint="eastAsia"/>
                <w:noProof/>
                <w:kern w:val="21"/>
              </w:rPr>
              <w:t xml:space="preserve"> </w:t>
            </w:r>
            <w:r w:rsidRPr="008C3902">
              <w:rPr>
                <w:rStyle w:val="afe"/>
                <w:rFonts w:hint="eastAsia"/>
                <w:noProof/>
                <w:kern w:val="21"/>
              </w:rPr>
              <w:t>环保治理措施技术、经济评述结论</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_Toc195009928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174</w:t>
            </w:r>
            <w:r w:rsidRPr="008C3902">
              <w:rPr>
                <w:rFonts w:hint="eastAsia"/>
                <w:noProof/>
                <w:webHidden/>
              </w:rPr>
              <w:fldChar w:fldCharType="end"/>
            </w:r>
          </w:hyperlink>
        </w:p>
        <w:p w14:paraId="3412E18D" w14:textId="21241C17" w:rsidR="008C3902" w:rsidRPr="008C3902" w:rsidRDefault="008C3902" w:rsidP="000B6388">
          <w:pPr>
            <w:pStyle w:val="TOC1"/>
            <w:tabs>
              <w:tab w:val="right" w:leader="dot" w:pos="8834"/>
            </w:tabs>
            <w:adjustRightInd w:val="0"/>
            <w:snapToGrid w:val="0"/>
            <w:spacing w:after="0"/>
            <w:rPr>
              <w:rFonts w:asciiTheme="minorHAnsi" w:eastAsiaTheme="minorEastAsia" w:hAnsiTheme="minorHAnsi" w:hint="eastAsia"/>
              <w:noProof/>
              <w:sz w:val="22"/>
              <w:szCs w:val="24"/>
              <w14:ligatures w14:val="standardContextual"/>
            </w:rPr>
          </w:pPr>
          <w:hyperlink w:anchor="_Toc195009929" w:history="1">
            <w:r w:rsidRPr="008C3902">
              <w:rPr>
                <w:rStyle w:val="afe"/>
                <w:rFonts w:cs="Times New Roman" w:hint="eastAsia"/>
                <w:noProof/>
                <w:kern w:val="21"/>
              </w:rPr>
              <w:t xml:space="preserve">9 </w:t>
            </w:r>
            <w:r w:rsidRPr="008C3902">
              <w:rPr>
                <w:rStyle w:val="afe"/>
                <w:rFonts w:cs="Times New Roman" w:hint="eastAsia"/>
                <w:noProof/>
                <w:kern w:val="21"/>
              </w:rPr>
              <w:t>环境影响经济损益分析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_Toc195009929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175</w:t>
            </w:r>
            <w:r w:rsidRPr="008C3902">
              <w:rPr>
                <w:rFonts w:hint="eastAsia"/>
                <w:noProof/>
                <w:webHidden/>
              </w:rPr>
              <w:fldChar w:fldCharType="end"/>
            </w:r>
          </w:hyperlink>
        </w:p>
        <w:p w14:paraId="5363BBF5" w14:textId="6C063694"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30" w:history="1">
            <w:r w:rsidRPr="008C3902">
              <w:rPr>
                <w:rStyle w:val="afe"/>
                <w:rFonts w:cs="Times New Roman" w:hint="eastAsia"/>
                <w:noProof/>
                <w:kern w:val="21"/>
              </w:rPr>
              <w:t xml:space="preserve">9.1 </w:t>
            </w:r>
            <w:r w:rsidRPr="008C3902">
              <w:rPr>
                <w:rStyle w:val="afe"/>
                <w:rFonts w:cs="Times New Roman" w:hint="eastAsia"/>
                <w:noProof/>
                <w:kern w:val="21"/>
              </w:rPr>
              <w:t>环境影响经济损益分析方法</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_Toc195009930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175</w:t>
            </w:r>
            <w:r w:rsidRPr="008C3902">
              <w:rPr>
                <w:rFonts w:hint="eastAsia"/>
                <w:noProof/>
                <w:webHidden/>
              </w:rPr>
              <w:fldChar w:fldCharType="end"/>
            </w:r>
          </w:hyperlink>
        </w:p>
        <w:p w14:paraId="342E88C3" w14:textId="5BFEF913"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31" w:history="1">
            <w:r w:rsidRPr="008C3902">
              <w:rPr>
                <w:rStyle w:val="afe"/>
                <w:rFonts w:cs="Times New Roman" w:hint="eastAsia"/>
                <w:noProof/>
                <w:kern w:val="21"/>
              </w:rPr>
              <w:t xml:space="preserve">9.2 </w:t>
            </w:r>
            <w:r w:rsidRPr="008C3902">
              <w:rPr>
                <w:rStyle w:val="afe"/>
                <w:rFonts w:cs="Times New Roman" w:hint="eastAsia"/>
                <w:noProof/>
                <w:kern w:val="21"/>
              </w:rPr>
              <w:t>环境效益分析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_Toc195009931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176</w:t>
            </w:r>
            <w:r w:rsidRPr="008C3902">
              <w:rPr>
                <w:rFonts w:hint="eastAsia"/>
                <w:noProof/>
                <w:webHidden/>
              </w:rPr>
              <w:fldChar w:fldCharType="end"/>
            </w:r>
          </w:hyperlink>
        </w:p>
        <w:p w14:paraId="784163BF" w14:textId="05C24504"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32" w:history="1">
            <w:r w:rsidRPr="008C3902">
              <w:rPr>
                <w:rStyle w:val="afe"/>
                <w:rFonts w:cs="Times New Roman" w:hint="eastAsia"/>
                <w:noProof/>
                <w:kern w:val="21"/>
              </w:rPr>
              <w:t xml:space="preserve">9.3 </w:t>
            </w:r>
            <w:r w:rsidRPr="008C3902">
              <w:rPr>
                <w:rStyle w:val="afe"/>
                <w:rFonts w:cs="Times New Roman" w:hint="eastAsia"/>
                <w:noProof/>
                <w:kern w:val="21"/>
              </w:rPr>
              <w:t>经济效益分析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_Toc195009932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177</w:t>
            </w:r>
            <w:r w:rsidRPr="008C3902">
              <w:rPr>
                <w:rFonts w:hint="eastAsia"/>
                <w:noProof/>
                <w:webHidden/>
              </w:rPr>
              <w:fldChar w:fldCharType="end"/>
            </w:r>
          </w:hyperlink>
        </w:p>
        <w:p w14:paraId="7F9C9E74" w14:textId="5686DC78"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33" w:history="1">
            <w:r w:rsidRPr="008C3902">
              <w:rPr>
                <w:rStyle w:val="afe"/>
                <w:rFonts w:cs="Times New Roman" w:hint="eastAsia"/>
                <w:noProof/>
                <w:kern w:val="21"/>
              </w:rPr>
              <w:t xml:space="preserve">9.4 </w:t>
            </w:r>
            <w:r w:rsidRPr="008C3902">
              <w:rPr>
                <w:rStyle w:val="afe"/>
                <w:rFonts w:cs="Times New Roman" w:hint="eastAsia"/>
                <w:noProof/>
                <w:kern w:val="21"/>
              </w:rPr>
              <w:t>社会效益分析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_Toc195009933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177</w:t>
            </w:r>
            <w:r w:rsidRPr="008C3902">
              <w:rPr>
                <w:rFonts w:hint="eastAsia"/>
                <w:noProof/>
                <w:webHidden/>
              </w:rPr>
              <w:fldChar w:fldCharType="end"/>
            </w:r>
          </w:hyperlink>
        </w:p>
        <w:p w14:paraId="3677C2F3" w14:textId="2C09FED6" w:rsidR="008C3902" w:rsidRPr="008C3902" w:rsidRDefault="008C3902" w:rsidP="000B6388">
          <w:pPr>
            <w:pStyle w:val="TOC1"/>
            <w:tabs>
              <w:tab w:val="right" w:leader="dot" w:pos="8834"/>
            </w:tabs>
            <w:adjustRightInd w:val="0"/>
            <w:snapToGrid w:val="0"/>
            <w:spacing w:after="0"/>
            <w:rPr>
              <w:rFonts w:asciiTheme="minorHAnsi" w:eastAsiaTheme="minorEastAsia" w:hAnsiTheme="minorHAnsi" w:hint="eastAsia"/>
              <w:noProof/>
              <w:sz w:val="22"/>
              <w:szCs w:val="24"/>
              <w14:ligatures w14:val="standardContextual"/>
            </w:rPr>
          </w:pPr>
          <w:hyperlink w:anchor="_Toc195009934" w:history="1">
            <w:r w:rsidRPr="008C3902">
              <w:rPr>
                <w:rStyle w:val="afe"/>
                <w:rFonts w:cs="Times New Roman" w:hint="eastAsia"/>
                <w:noProof/>
                <w:kern w:val="21"/>
              </w:rPr>
              <w:t xml:space="preserve">10 </w:t>
            </w:r>
            <w:r w:rsidRPr="008C3902">
              <w:rPr>
                <w:rStyle w:val="afe"/>
                <w:rFonts w:cs="Times New Roman" w:hint="eastAsia"/>
                <w:noProof/>
                <w:kern w:val="21"/>
              </w:rPr>
              <w:t>环境管理与环境监测计划</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_Toc195009934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179</w:t>
            </w:r>
            <w:r w:rsidRPr="008C3902">
              <w:rPr>
                <w:rFonts w:hint="eastAsia"/>
                <w:noProof/>
                <w:webHidden/>
              </w:rPr>
              <w:fldChar w:fldCharType="end"/>
            </w:r>
          </w:hyperlink>
        </w:p>
        <w:p w14:paraId="2B7EB307" w14:textId="18BB3513"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35" w:history="1">
            <w:r w:rsidRPr="008C3902">
              <w:rPr>
                <w:rStyle w:val="afe"/>
                <w:rFonts w:cs="Times New Roman" w:hint="eastAsia"/>
                <w:noProof/>
                <w:kern w:val="21"/>
              </w:rPr>
              <w:t xml:space="preserve">10.1 </w:t>
            </w:r>
            <w:r w:rsidRPr="008C3902">
              <w:rPr>
                <w:rStyle w:val="afe"/>
                <w:rFonts w:cs="Times New Roman" w:hint="eastAsia"/>
                <w:noProof/>
                <w:kern w:val="21"/>
              </w:rPr>
              <w:t>环境管理的目的和意义</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_Toc195009935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179</w:t>
            </w:r>
            <w:r w:rsidRPr="008C3902">
              <w:rPr>
                <w:rFonts w:hint="eastAsia"/>
                <w:noProof/>
                <w:webHidden/>
              </w:rPr>
              <w:fldChar w:fldCharType="end"/>
            </w:r>
          </w:hyperlink>
        </w:p>
        <w:p w14:paraId="36A6E9B6" w14:textId="6D4495C6"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36" w:history="1">
            <w:r w:rsidRPr="008C3902">
              <w:rPr>
                <w:rStyle w:val="afe"/>
                <w:rFonts w:cs="Times New Roman" w:hint="eastAsia"/>
                <w:noProof/>
                <w:kern w:val="21"/>
              </w:rPr>
              <w:t xml:space="preserve">10.2 </w:t>
            </w:r>
            <w:r w:rsidRPr="008C3902">
              <w:rPr>
                <w:rStyle w:val="afe"/>
                <w:rFonts w:cs="Times New Roman" w:hint="eastAsia"/>
                <w:noProof/>
                <w:kern w:val="21"/>
              </w:rPr>
              <w:t>环境管理机构及职责</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_Toc195009936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179</w:t>
            </w:r>
            <w:r w:rsidRPr="008C3902">
              <w:rPr>
                <w:rFonts w:hint="eastAsia"/>
                <w:noProof/>
                <w:webHidden/>
              </w:rPr>
              <w:fldChar w:fldCharType="end"/>
            </w:r>
          </w:hyperlink>
        </w:p>
        <w:p w14:paraId="3C60C09C" w14:textId="66B805E3"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37" w:history="1">
            <w:r w:rsidRPr="008C3902">
              <w:rPr>
                <w:rStyle w:val="afe"/>
                <w:rFonts w:cs="Times New Roman" w:hint="eastAsia"/>
                <w:noProof/>
                <w:kern w:val="21"/>
              </w:rPr>
              <w:t xml:space="preserve">10.2.1 </w:t>
            </w:r>
            <w:r w:rsidRPr="008C3902">
              <w:rPr>
                <w:rStyle w:val="afe"/>
                <w:rFonts w:cs="Times New Roman" w:hint="eastAsia"/>
                <w:noProof/>
                <w:kern w:val="21"/>
              </w:rPr>
              <w:t>环境管理机构</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_Toc195009937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179</w:t>
            </w:r>
            <w:r w:rsidRPr="008C3902">
              <w:rPr>
                <w:rFonts w:hint="eastAsia"/>
                <w:noProof/>
                <w:webHidden/>
              </w:rPr>
              <w:fldChar w:fldCharType="end"/>
            </w:r>
          </w:hyperlink>
        </w:p>
        <w:p w14:paraId="66CA042D" w14:textId="30C0ECA9"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38" w:history="1">
            <w:r w:rsidRPr="008C3902">
              <w:rPr>
                <w:rStyle w:val="afe"/>
                <w:rFonts w:cs="Times New Roman" w:hint="eastAsia"/>
                <w:noProof/>
                <w:kern w:val="21"/>
              </w:rPr>
              <w:t xml:space="preserve">10.2.2 </w:t>
            </w:r>
            <w:r w:rsidRPr="008C3902">
              <w:rPr>
                <w:rStyle w:val="afe"/>
                <w:rFonts w:cs="Times New Roman" w:hint="eastAsia"/>
                <w:noProof/>
                <w:kern w:val="21"/>
              </w:rPr>
              <w:t>管理机构职责</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_Toc195009938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179</w:t>
            </w:r>
            <w:r w:rsidRPr="008C3902">
              <w:rPr>
                <w:rFonts w:hint="eastAsia"/>
                <w:noProof/>
                <w:webHidden/>
              </w:rPr>
              <w:fldChar w:fldCharType="end"/>
            </w:r>
          </w:hyperlink>
        </w:p>
        <w:p w14:paraId="6F0F1493" w14:textId="694F5762"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39" w:history="1">
            <w:r w:rsidRPr="008C3902">
              <w:rPr>
                <w:rStyle w:val="afe"/>
                <w:rFonts w:cs="Times New Roman" w:hint="eastAsia"/>
                <w:noProof/>
                <w:kern w:val="21"/>
              </w:rPr>
              <w:t xml:space="preserve">10.2.3 </w:t>
            </w:r>
            <w:r w:rsidRPr="008C3902">
              <w:rPr>
                <w:rStyle w:val="afe"/>
                <w:rFonts w:cs="Times New Roman" w:hint="eastAsia"/>
                <w:noProof/>
                <w:kern w:val="21"/>
              </w:rPr>
              <w:t>执行机构工作内容</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_Toc195009939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180</w:t>
            </w:r>
            <w:r w:rsidRPr="008C3902">
              <w:rPr>
                <w:rFonts w:hint="eastAsia"/>
                <w:noProof/>
                <w:webHidden/>
              </w:rPr>
              <w:fldChar w:fldCharType="end"/>
            </w:r>
          </w:hyperlink>
        </w:p>
        <w:p w14:paraId="309550A0" w14:textId="3BAF1307"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40" w:history="1">
            <w:r w:rsidRPr="008C3902">
              <w:rPr>
                <w:rStyle w:val="afe"/>
                <w:rFonts w:cs="Times New Roman" w:hint="eastAsia"/>
                <w:noProof/>
                <w:kern w:val="21"/>
              </w:rPr>
              <w:t xml:space="preserve">10.3 </w:t>
            </w:r>
            <w:r w:rsidRPr="008C3902">
              <w:rPr>
                <w:rStyle w:val="afe"/>
                <w:rFonts w:cs="Times New Roman" w:hint="eastAsia"/>
                <w:noProof/>
                <w:kern w:val="21"/>
              </w:rPr>
              <w:t>环境管理</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_Toc195009940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180</w:t>
            </w:r>
            <w:r w:rsidRPr="008C3902">
              <w:rPr>
                <w:rFonts w:hint="eastAsia"/>
                <w:noProof/>
                <w:webHidden/>
              </w:rPr>
              <w:fldChar w:fldCharType="end"/>
            </w:r>
          </w:hyperlink>
        </w:p>
        <w:p w14:paraId="6B42E277" w14:textId="467060D0"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41" w:history="1">
            <w:r w:rsidRPr="008C3902">
              <w:rPr>
                <w:rStyle w:val="afe"/>
                <w:rFonts w:cs="Times New Roman" w:hint="eastAsia"/>
                <w:noProof/>
                <w:kern w:val="21"/>
              </w:rPr>
              <w:t xml:space="preserve">10.3.1 </w:t>
            </w:r>
            <w:r w:rsidRPr="008C3902">
              <w:rPr>
                <w:rStyle w:val="afe"/>
                <w:rFonts w:cs="Times New Roman" w:hint="eastAsia"/>
                <w:noProof/>
                <w:kern w:val="21"/>
              </w:rPr>
              <w:t>环境管理总体规划</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_Toc195009941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180</w:t>
            </w:r>
            <w:r w:rsidRPr="008C3902">
              <w:rPr>
                <w:rFonts w:hint="eastAsia"/>
                <w:noProof/>
                <w:webHidden/>
              </w:rPr>
              <w:fldChar w:fldCharType="end"/>
            </w:r>
          </w:hyperlink>
        </w:p>
        <w:p w14:paraId="7FF6CEFC" w14:textId="67F37216"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42" w:history="1">
            <w:r w:rsidRPr="008C3902">
              <w:rPr>
                <w:rStyle w:val="afe"/>
                <w:rFonts w:cs="Times New Roman" w:hint="eastAsia"/>
                <w:noProof/>
                <w:kern w:val="21"/>
              </w:rPr>
              <w:t xml:space="preserve">10.3.2 </w:t>
            </w:r>
            <w:r w:rsidRPr="008C3902">
              <w:rPr>
                <w:rStyle w:val="afe"/>
                <w:rFonts w:cs="Times New Roman" w:hint="eastAsia"/>
                <w:noProof/>
                <w:kern w:val="21"/>
              </w:rPr>
              <w:t>环境管理指标体系</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_Toc195009942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180</w:t>
            </w:r>
            <w:r w:rsidRPr="008C3902">
              <w:rPr>
                <w:rFonts w:hint="eastAsia"/>
                <w:noProof/>
                <w:webHidden/>
              </w:rPr>
              <w:fldChar w:fldCharType="end"/>
            </w:r>
          </w:hyperlink>
        </w:p>
        <w:p w14:paraId="3A6F9F25" w14:textId="42852E9D"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43" w:history="1">
            <w:r w:rsidRPr="008C3902">
              <w:rPr>
                <w:rStyle w:val="afe"/>
                <w:rFonts w:cs="Times New Roman" w:hint="eastAsia"/>
                <w:noProof/>
                <w:kern w:val="21"/>
              </w:rPr>
              <w:t xml:space="preserve">10.3.3 </w:t>
            </w:r>
            <w:r w:rsidRPr="008C3902">
              <w:rPr>
                <w:rStyle w:val="afe"/>
                <w:rFonts w:cs="Times New Roman" w:hint="eastAsia"/>
                <w:noProof/>
                <w:kern w:val="21"/>
              </w:rPr>
              <w:t>环境管理计划</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_Toc195009943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181</w:t>
            </w:r>
            <w:r w:rsidRPr="008C3902">
              <w:rPr>
                <w:rFonts w:hint="eastAsia"/>
                <w:noProof/>
                <w:webHidden/>
              </w:rPr>
              <w:fldChar w:fldCharType="end"/>
            </w:r>
          </w:hyperlink>
        </w:p>
        <w:p w14:paraId="6739232F" w14:textId="3B1004D3"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44" w:history="1">
            <w:r w:rsidRPr="008C3902">
              <w:rPr>
                <w:rStyle w:val="afe"/>
                <w:rFonts w:cs="Times New Roman" w:hint="eastAsia"/>
                <w:noProof/>
                <w:kern w:val="21"/>
              </w:rPr>
              <w:t xml:space="preserve">10.4 </w:t>
            </w:r>
            <w:r w:rsidRPr="008C3902">
              <w:rPr>
                <w:rStyle w:val="afe"/>
                <w:rFonts w:cs="Times New Roman" w:hint="eastAsia"/>
                <w:noProof/>
                <w:kern w:val="21"/>
              </w:rPr>
              <w:t>环境监测计划</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_Toc195009944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182</w:t>
            </w:r>
            <w:r w:rsidRPr="008C3902">
              <w:rPr>
                <w:rFonts w:hint="eastAsia"/>
                <w:noProof/>
                <w:webHidden/>
              </w:rPr>
              <w:fldChar w:fldCharType="end"/>
            </w:r>
          </w:hyperlink>
        </w:p>
        <w:p w14:paraId="1607ACA0" w14:textId="42791120"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45" w:history="1">
            <w:r w:rsidRPr="008C3902">
              <w:rPr>
                <w:rStyle w:val="afe"/>
                <w:rFonts w:cs="Times New Roman" w:hint="eastAsia"/>
                <w:noProof/>
                <w:kern w:val="21"/>
              </w:rPr>
              <w:t xml:space="preserve">10.4.1 </w:t>
            </w:r>
            <w:r w:rsidRPr="008C3902">
              <w:rPr>
                <w:rStyle w:val="afe"/>
                <w:rFonts w:cs="Times New Roman" w:hint="eastAsia"/>
                <w:noProof/>
                <w:kern w:val="21"/>
              </w:rPr>
              <w:t>监测建立技术资料档案保管制度</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_Toc195009945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183</w:t>
            </w:r>
            <w:r w:rsidRPr="008C3902">
              <w:rPr>
                <w:rFonts w:hint="eastAsia"/>
                <w:noProof/>
                <w:webHidden/>
              </w:rPr>
              <w:fldChar w:fldCharType="end"/>
            </w:r>
          </w:hyperlink>
        </w:p>
        <w:p w14:paraId="3F7634D7" w14:textId="52DA174C"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46" w:history="1">
            <w:r w:rsidRPr="008C3902">
              <w:rPr>
                <w:rStyle w:val="afe"/>
                <w:rFonts w:cs="Times New Roman" w:hint="eastAsia"/>
                <w:noProof/>
                <w:kern w:val="21"/>
              </w:rPr>
              <w:t xml:space="preserve">10.4.2 </w:t>
            </w:r>
            <w:r w:rsidRPr="008C3902">
              <w:rPr>
                <w:rStyle w:val="afe"/>
                <w:rFonts w:cs="Times New Roman" w:hint="eastAsia"/>
                <w:noProof/>
                <w:kern w:val="21"/>
              </w:rPr>
              <w:t>环境监测计划</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_Toc195009946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183</w:t>
            </w:r>
            <w:r w:rsidRPr="008C3902">
              <w:rPr>
                <w:rFonts w:hint="eastAsia"/>
                <w:noProof/>
                <w:webHidden/>
              </w:rPr>
              <w:fldChar w:fldCharType="end"/>
            </w:r>
          </w:hyperlink>
        </w:p>
        <w:p w14:paraId="34D5F738" w14:textId="43935812"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47" w:history="1">
            <w:r w:rsidRPr="008C3902">
              <w:rPr>
                <w:rStyle w:val="afe"/>
                <w:rFonts w:cs="Times New Roman" w:hint="eastAsia"/>
                <w:noProof/>
                <w:kern w:val="21"/>
              </w:rPr>
              <w:t xml:space="preserve">10.5 </w:t>
            </w:r>
            <w:r w:rsidRPr="008C3902">
              <w:rPr>
                <w:rStyle w:val="afe"/>
                <w:rFonts w:cs="Times New Roman" w:hint="eastAsia"/>
                <w:noProof/>
                <w:kern w:val="21"/>
              </w:rPr>
              <w:t>环保设施竣工验收管理</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_Toc195009947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184</w:t>
            </w:r>
            <w:r w:rsidRPr="008C3902">
              <w:rPr>
                <w:rFonts w:hint="eastAsia"/>
                <w:noProof/>
                <w:webHidden/>
              </w:rPr>
              <w:fldChar w:fldCharType="end"/>
            </w:r>
          </w:hyperlink>
        </w:p>
        <w:p w14:paraId="0F79F464" w14:textId="3FD1F0A6"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48" w:history="1">
            <w:r w:rsidRPr="008C3902">
              <w:rPr>
                <w:rStyle w:val="afe"/>
                <w:rFonts w:cs="Times New Roman" w:hint="eastAsia"/>
                <w:noProof/>
                <w:kern w:val="21"/>
              </w:rPr>
              <w:t xml:space="preserve">10.5.1 </w:t>
            </w:r>
            <w:r w:rsidRPr="008C3902">
              <w:rPr>
                <w:rStyle w:val="afe"/>
                <w:rFonts w:cs="Times New Roman" w:hint="eastAsia"/>
                <w:noProof/>
                <w:kern w:val="21"/>
              </w:rPr>
              <w:t>环保工程设计要求</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_Toc195009948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184</w:t>
            </w:r>
            <w:r w:rsidRPr="008C3902">
              <w:rPr>
                <w:rFonts w:hint="eastAsia"/>
                <w:noProof/>
                <w:webHidden/>
              </w:rPr>
              <w:fldChar w:fldCharType="end"/>
            </w:r>
          </w:hyperlink>
        </w:p>
        <w:p w14:paraId="54A15A06" w14:textId="3A8DE8F1"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49" w:history="1">
            <w:r w:rsidRPr="008C3902">
              <w:rPr>
                <w:rStyle w:val="afe"/>
                <w:rFonts w:cs="Times New Roman" w:hint="eastAsia"/>
                <w:noProof/>
                <w:kern w:val="21"/>
              </w:rPr>
              <w:t xml:space="preserve">10.5.2 </w:t>
            </w:r>
            <w:r w:rsidRPr="008C3902">
              <w:rPr>
                <w:rStyle w:val="afe"/>
                <w:rFonts w:cs="Times New Roman" w:hint="eastAsia"/>
                <w:noProof/>
                <w:kern w:val="21"/>
              </w:rPr>
              <w:t>环保设施验收建议</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_Toc195009949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184</w:t>
            </w:r>
            <w:r w:rsidRPr="008C3902">
              <w:rPr>
                <w:rFonts w:hint="eastAsia"/>
                <w:noProof/>
                <w:webHidden/>
              </w:rPr>
              <w:fldChar w:fldCharType="end"/>
            </w:r>
          </w:hyperlink>
        </w:p>
        <w:p w14:paraId="4D076CC6" w14:textId="1728A6A8" w:rsidR="008C3902" w:rsidRPr="008C3902" w:rsidRDefault="008C3902" w:rsidP="000B6388">
          <w:pPr>
            <w:pStyle w:val="TOC1"/>
            <w:tabs>
              <w:tab w:val="right" w:leader="dot" w:pos="8834"/>
            </w:tabs>
            <w:adjustRightInd w:val="0"/>
            <w:snapToGrid w:val="0"/>
            <w:spacing w:after="0"/>
            <w:rPr>
              <w:rFonts w:asciiTheme="minorHAnsi" w:eastAsiaTheme="minorEastAsia" w:hAnsiTheme="minorHAnsi" w:hint="eastAsia"/>
              <w:noProof/>
              <w:sz w:val="22"/>
              <w:szCs w:val="24"/>
              <w14:ligatures w14:val="standardContextual"/>
            </w:rPr>
          </w:pPr>
          <w:hyperlink w:anchor="_Toc195009950" w:history="1">
            <w:r w:rsidRPr="008C3902">
              <w:rPr>
                <w:rStyle w:val="afe"/>
                <w:rFonts w:cs="Times New Roman" w:hint="eastAsia"/>
                <w:noProof/>
                <w:kern w:val="21"/>
              </w:rPr>
              <w:t xml:space="preserve">11 </w:t>
            </w:r>
            <w:r w:rsidRPr="008C3902">
              <w:rPr>
                <w:rStyle w:val="afe"/>
                <w:rFonts w:cs="Times New Roman" w:hint="eastAsia"/>
                <w:noProof/>
                <w:kern w:val="21"/>
              </w:rPr>
              <w:t>结论与建议</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_Toc195009950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187</w:t>
            </w:r>
            <w:r w:rsidRPr="008C3902">
              <w:rPr>
                <w:rFonts w:hint="eastAsia"/>
                <w:noProof/>
                <w:webHidden/>
              </w:rPr>
              <w:fldChar w:fldCharType="end"/>
            </w:r>
          </w:hyperlink>
        </w:p>
        <w:p w14:paraId="30E4C48B" w14:textId="24E56885"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51" w:history="1">
            <w:r w:rsidRPr="008C3902">
              <w:rPr>
                <w:rStyle w:val="afe"/>
                <w:rFonts w:cs="Times New Roman" w:hint="eastAsia"/>
                <w:noProof/>
                <w:kern w:val="21"/>
              </w:rPr>
              <w:t xml:space="preserve">11.1 </w:t>
            </w:r>
            <w:r w:rsidRPr="008C3902">
              <w:rPr>
                <w:rStyle w:val="afe"/>
                <w:rFonts w:cs="Times New Roman" w:hint="eastAsia"/>
                <w:noProof/>
                <w:kern w:val="21"/>
              </w:rPr>
              <w:t>结论</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_Toc195009951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187</w:t>
            </w:r>
            <w:r w:rsidRPr="008C3902">
              <w:rPr>
                <w:rFonts w:hint="eastAsia"/>
                <w:noProof/>
                <w:webHidden/>
              </w:rPr>
              <w:fldChar w:fldCharType="end"/>
            </w:r>
          </w:hyperlink>
        </w:p>
        <w:p w14:paraId="5354CF74" w14:textId="3C3F9D81"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52" w:history="1">
            <w:r w:rsidRPr="008C3902">
              <w:rPr>
                <w:rStyle w:val="afe"/>
                <w:rFonts w:cs="Times New Roman" w:hint="eastAsia"/>
                <w:noProof/>
                <w:kern w:val="21"/>
              </w:rPr>
              <w:t xml:space="preserve">11.1.1 </w:t>
            </w:r>
            <w:r w:rsidRPr="008C3902">
              <w:rPr>
                <w:rStyle w:val="afe"/>
                <w:rFonts w:cs="Times New Roman" w:hint="eastAsia"/>
                <w:noProof/>
                <w:kern w:val="21"/>
              </w:rPr>
              <w:t>项目概况</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_Toc195009952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187</w:t>
            </w:r>
            <w:r w:rsidRPr="008C3902">
              <w:rPr>
                <w:rFonts w:hint="eastAsia"/>
                <w:noProof/>
                <w:webHidden/>
              </w:rPr>
              <w:fldChar w:fldCharType="end"/>
            </w:r>
          </w:hyperlink>
        </w:p>
        <w:p w14:paraId="77A76F80" w14:textId="23FDCC46"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53" w:history="1">
            <w:r w:rsidRPr="008C3902">
              <w:rPr>
                <w:rStyle w:val="afe"/>
                <w:rFonts w:cs="Times New Roman" w:hint="eastAsia"/>
                <w:noProof/>
                <w:kern w:val="21"/>
              </w:rPr>
              <w:t xml:space="preserve">11.1.2 </w:t>
            </w:r>
            <w:r w:rsidRPr="008C3902">
              <w:rPr>
                <w:rStyle w:val="afe"/>
                <w:rFonts w:cs="Times New Roman" w:hint="eastAsia"/>
                <w:noProof/>
                <w:kern w:val="21"/>
              </w:rPr>
              <w:t>产业政策符合性</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_Toc195009953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187</w:t>
            </w:r>
            <w:r w:rsidRPr="008C3902">
              <w:rPr>
                <w:rFonts w:hint="eastAsia"/>
                <w:noProof/>
                <w:webHidden/>
              </w:rPr>
              <w:fldChar w:fldCharType="end"/>
            </w:r>
          </w:hyperlink>
        </w:p>
        <w:p w14:paraId="6D6D83F3" w14:textId="3A77A820"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54" w:history="1">
            <w:r w:rsidRPr="008C3902">
              <w:rPr>
                <w:rStyle w:val="afe"/>
                <w:rFonts w:cs="Times New Roman" w:hint="eastAsia"/>
                <w:noProof/>
                <w:kern w:val="21"/>
              </w:rPr>
              <w:t xml:space="preserve">11.1.3 </w:t>
            </w:r>
            <w:r w:rsidRPr="008C3902">
              <w:rPr>
                <w:rStyle w:val="afe"/>
                <w:rFonts w:cs="Times New Roman" w:hint="eastAsia"/>
                <w:noProof/>
                <w:kern w:val="21"/>
              </w:rPr>
              <w:t>“三线一单”符合性分析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_Toc195009954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187</w:t>
            </w:r>
            <w:r w:rsidRPr="008C3902">
              <w:rPr>
                <w:rFonts w:hint="eastAsia"/>
                <w:noProof/>
                <w:webHidden/>
              </w:rPr>
              <w:fldChar w:fldCharType="end"/>
            </w:r>
          </w:hyperlink>
        </w:p>
        <w:p w14:paraId="1D6BE443" w14:textId="24FDCB8B"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55" w:history="1">
            <w:r w:rsidRPr="008C3902">
              <w:rPr>
                <w:rStyle w:val="afe"/>
                <w:rFonts w:cs="Times New Roman" w:hint="eastAsia"/>
                <w:noProof/>
                <w:kern w:val="21"/>
              </w:rPr>
              <w:t xml:space="preserve">11.1.4 </w:t>
            </w:r>
            <w:r w:rsidRPr="008C3902">
              <w:rPr>
                <w:rStyle w:val="afe"/>
                <w:rFonts w:cs="Times New Roman" w:hint="eastAsia"/>
                <w:noProof/>
                <w:kern w:val="21"/>
              </w:rPr>
              <w:t>选址合理性</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_Toc195009955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187</w:t>
            </w:r>
            <w:r w:rsidRPr="008C3902">
              <w:rPr>
                <w:rFonts w:hint="eastAsia"/>
                <w:noProof/>
                <w:webHidden/>
              </w:rPr>
              <w:fldChar w:fldCharType="end"/>
            </w:r>
          </w:hyperlink>
        </w:p>
        <w:p w14:paraId="4F208FDE" w14:textId="535364AD"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56" w:history="1">
            <w:r w:rsidRPr="008C3902">
              <w:rPr>
                <w:rStyle w:val="afe"/>
                <w:rFonts w:cs="Times New Roman" w:hint="eastAsia"/>
                <w:noProof/>
                <w:kern w:val="21"/>
              </w:rPr>
              <w:t xml:space="preserve">11.1.5 </w:t>
            </w:r>
            <w:r w:rsidRPr="008C3902">
              <w:rPr>
                <w:rStyle w:val="afe"/>
                <w:rFonts w:cs="Times New Roman" w:hint="eastAsia"/>
                <w:noProof/>
                <w:kern w:val="21"/>
              </w:rPr>
              <w:t>区域环境质量现状评价结论</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_Toc195009956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188</w:t>
            </w:r>
            <w:r w:rsidRPr="008C3902">
              <w:rPr>
                <w:rFonts w:hint="eastAsia"/>
                <w:noProof/>
                <w:webHidden/>
              </w:rPr>
              <w:fldChar w:fldCharType="end"/>
            </w:r>
          </w:hyperlink>
        </w:p>
        <w:p w14:paraId="2F3C13F6" w14:textId="52536A98"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57" w:history="1">
            <w:r w:rsidRPr="008C3902">
              <w:rPr>
                <w:rStyle w:val="afe"/>
                <w:rFonts w:cs="Times New Roman" w:hint="eastAsia"/>
                <w:noProof/>
                <w:kern w:val="21"/>
              </w:rPr>
              <w:t xml:space="preserve">11.1.6 </w:t>
            </w:r>
            <w:r w:rsidRPr="008C3902">
              <w:rPr>
                <w:rStyle w:val="afe"/>
                <w:rFonts w:cs="Times New Roman" w:hint="eastAsia"/>
                <w:noProof/>
                <w:kern w:val="21"/>
              </w:rPr>
              <w:t>主要环境影响评价结论</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_Toc195009957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189</w:t>
            </w:r>
            <w:r w:rsidRPr="008C3902">
              <w:rPr>
                <w:rFonts w:hint="eastAsia"/>
                <w:noProof/>
                <w:webHidden/>
              </w:rPr>
              <w:fldChar w:fldCharType="end"/>
            </w:r>
          </w:hyperlink>
        </w:p>
        <w:p w14:paraId="2ED695D1" w14:textId="0E705617"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58" w:history="1">
            <w:r w:rsidRPr="008C3902">
              <w:rPr>
                <w:rStyle w:val="afe"/>
                <w:rFonts w:cs="Times New Roman" w:hint="eastAsia"/>
                <w:noProof/>
                <w:kern w:val="21"/>
              </w:rPr>
              <w:t>11.1.7</w:t>
            </w:r>
            <w:r w:rsidRPr="008C3902">
              <w:rPr>
                <w:rStyle w:val="afe"/>
                <w:rFonts w:hint="eastAsia"/>
                <w:noProof/>
                <w:kern w:val="21"/>
              </w:rPr>
              <w:t xml:space="preserve"> </w:t>
            </w:r>
            <w:r w:rsidRPr="008C3902">
              <w:rPr>
                <w:rStyle w:val="afe"/>
                <w:rFonts w:hint="eastAsia"/>
                <w:noProof/>
                <w:kern w:val="21"/>
              </w:rPr>
              <w:t>环境影响经济损益分析</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_Toc195009958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191</w:t>
            </w:r>
            <w:r w:rsidRPr="008C3902">
              <w:rPr>
                <w:rFonts w:hint="eastAsia"/>
                <w:noProof/>
                <w:webHidden/>
              </w:rPr>
              <w:fldChar w:fldCharType="end"/>
            </w:r>
          </w:hyperlink>
        </w:p>
        <w:p w14:paraId="793E3768" w14:textId="489DCCFE"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59" w:history="1">
            <w:r w:rsidRPr="008C3902">
              <w:rPr>
                <w:rStyle w:val="afe"/>
                <w:rFonts w:cs="Times New Roman" w:hint="eastAsia"/>
                <w:noProof/>
                <w:kern w:val="21"/>
              </w:rPr>
              <w:t>11.1.8</w:t>
            </w:r>
            <w:r w:rsidRPr="008C3902">
              <w:rPr>
                <w:rStyle w:val="afe"/>
                <w:rFonts w:hint="eastAsia"/>
                <w:noProof/>
                <w:kern w:val="21"/>
              </w:rPr>
              <w:t xml:space="preserve"> </w:t>
            </w:r>
            <w:r w:rsidRPr="008C3902">
              <w:rPr>
                <w:rStyle w:val="afe"/>
                <w:rFonts w:hint="eastAsia"/>
                <w:noProof/>
                <w:kern w:val="21"/>
              </w:rPr>
              <w:t>总结论</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_Toc195009959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191</w:t>
            </w:r>
            <w:r w:rsidRPr="008C3902">
              <w:rPr>
                <w:rFonts w:hint="eastAsia"/>
                <w:noProof/>
                <w:webHidden/>
              </w:rPr>
              <w:fldChar w:fldCharType="end"/>
            </w:r>
          </w:hyperlink>
        </w:p>
        <w:p w14:paraId="62E091BB" w14:textId="45F233FF" w:rsidR="008C3902" w:rsidRPr="008C3902" w:rsidRDefault="008C3902" w:rsidP="000B6388">
          <w:pPr>
            <w:pStyle w:val="TOC2"/>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60" w:history="1">
            <w:r w:rsidRPr="008C3902">
              <w:rPr>
                <w:rStyle w:val="afe"/>
                <w:rFonts w:cs="Times New Roman" w:hint="eastAsia"/>
                <w:noProof/>
                <w:kern w:val="21"/>
              </w:rPr>
              <w:t xml:space="preserve">11.2 </w:t>
            </w:r>
            <w:r w:rsidRPr="008C3902">
              <w:rPr>
                <w:rStyle w:val="afe"/>
                <w:rFonts w:cs="Times New Roman" w:hint="eastAsia"/>
                <w:noProof/>
                <w:kern w:val="21"/>
              </w:rPr>
              <w:t>要求与建议</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_Toc195009960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191</w:t>
            </w:r>
            <w:r w:rsidRPr="008C3902">
              <w:rPr>
                <w:rFonts w:hint="eastAsia"/>
                <w:noProof/>
                <w:webHidden/>
              </w:rPr>
              <w:fldChar w:fldCharType="end"/>
            </w:r>
          </w:hyperlink>
        </w:p>
        <w:p w14:paraId="5C43A400" w14:textId="5858BAF1"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61" w:history="1">
            <w:r w:rsidRPr="008C3902">
              <w:rPr>
                <w:rStyle w:val="afe"/>
                <w:rFonts w:cs="Times New Roman" w:hint="eastAsia"/>
                <w:noProof/>
                <w:kern w:val="21"/>
              </w:rPr>
              <w:t xml:space="preserve">11.2.1 </w:t>
            </w:r>
            <w:r w:rsidRPr="008C3902">
              <w:rPr>
                <w:rStyle w:val="afe"/>
                <w:rFonts w:cs="Times New Roman" w:hint="eastAsia"/>
                <w:noProof/>
                <w:kern w:val="21"/>
              </w:rPr>
              <w:t>要求</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_Toc195009961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191</w:t>
            </w:r>
            <w:r w:rsidRPr="008C3902">
              <w:rPr>
                <w:rFonts w:hint="eastAsia"/>
                <w:noProof/>
                <w:webHidden/>
              </w:rPr>
              <w:fldChar w:fldCharType="end"/>
            </w:r>
          </w:hyperlink>
        </w:p>
        <w:p w14:paraId="29F77183" w14:textId="652417A7" w:rsidR="008C3902" w:rsidRPr="008C3902" w:rsidRDefault="008C3902" w:rsidP="000B6388">
          <w:pPr>
            <w:pStyle w:val="TOC3"/>
            <w:tabs>
              <w:tab w:val="right" w:leader="dot" w:pos="8834"/>
            </w:tabs>
            <w:adjustRightInd w:val="0"/>
            <w:snapToGrid w:val="0"/>
            <w:spacing w:after="0"/>
            <w:ind w:leftChars="0" w:left="0" w:firstLine="480"/>
            <w:rPr>
              <w:rFonts w:asciiTheme="minorHAnsi" w:eastAsiaTheme="minorEastAsia" w:hAnsiTheme="minorHAnsi" w:hint="eastAsia"/>
              <w:noProof/>
              <w:sz w:val="22"/>
              <w:szCs w:val="24"/>
              <w14:ligatures w14:val="standardContextual"/>
            </w:rPr>
          </w:pPr>
          <w:hyperlink w:anchor="_Toc195009962" w:history="1">
            <w:r w:rsidRPr="008C3902">
              <w:rPr>
                <w:rStyle w:val="afe"/>
                <w:rFonts w:cs="Times New Roman" w:hint="eastAsia"/>
                <w:noProof/>
                <w:kern w:val="21"/>
              </w:rPr>
              <w:t xml:space="preserve">11.2.2 </w:t>
            </w:r>
            <w:r w:rsidRPr="008C3902">
              <w:rPr>
                <w:rStyle w:val="afe"/>
                <w:rFonts w:cs="Times New Roman" w:hint="eastAsia"/>
                <w:noProof/>
                <w:kern w:val="21"/>
              </w:rPr>
              <w:t>建议</w:t>
            </w:r>
            <w:r w:rsidRPr="008C3902">
              <w:rPr>
                <w:rFonts w:hint="eastAsia"/>
                <w:noProof/>
                <w:webHidden/>
              </w:rPr>
              <w:tab/>
            </w:r>
            <w:r w:rsidRPr="008C3902">
              <w:rPr>
                <w:rFonts w:hint="eastAsia"/>
                <w:noProof/>
                <w:webHidden/>
              </w:rPr>
              <w:fldChar w:fldCharType="begin"/>
            </w:r>
            <w:r w:rsidRPr="008C3902">
              <w:rPr>
                <w:rFonts w:hint="eastAsia"/>
                <w:noProof/>
                <w:webHidden/>
              </w:rPr>
              <w:instrText xml:space="preserve"> </w:instrText>
            </w:r>
            <w:r w:rsidRPr="008C3902">
              <w:rPr>
                <w:noProof/>
                <w:webHidden/>
              </w:rPr>
              <w:instrText>PAGEREF _Toc195009962 \h</w:instrText>
            </w:r>
            <w:r w:rsidRPr="008C3902">
              <w:rPr>
                <w:rFonts w:hint="eastAsia"/>
                <w:noProof/>
                <w:webHidden/>
              </w:rPr>
              <w:instrText xml:space="preserve"> </w:instrText>
            </w:r>
            <w:r w:rsidRPr="008C3902">
              <w:rPr>
                <w:rFonts w:hint="eastAsia"/>
                <w:noProof/>
                <w:webHidden/>
              </w:rPr>
            </w:r>
            <w:r w:rsidRPr="008C3902">
              <w:rPr>
                <w:rFonts w:hint="eastAsia"/>
                <w:noProof/>
                <w:webHidden/>
              </w:rPr>
              <w:fldChar w:fldCharType="separate"/>
            </w:r>
            <w:r w:rsidR="00E05496">
              <w:rPr>
                <w:noProof/>
                <w:webHidden/>
              </w:rPr>
              <w:t>192</w:t>
            </w:r>
            <w:r w:rsidRPr="008C3902">
              <w:rPr>
                <w:rFonts w:hint="eastAsia"/>
                <w:noProof/>
                <w:webHidden/>
              </w:rPr>
              <w:fldChar w:fldCharType="end"/>
            </w:r>
          </w:hyperlink>
        </w:p>
        <w:p w14:paraId="7FCEF7E1" w14:textId="14CA7C71" w:rsidR="00544649" w:rsidRDefault="00000000" w:rsidP="000B6388">
          <w:pPr>
            <w:adjustRightInd w:val="0"/>
            <w:snapToGrid w:val="0"/>
            <w:spacing w:after="0"/>
            <w:ind w:firstLine="480"/>
          </w:pPr>
          <w:r w:rsidRPr="008C3902">
            <w:rPr>
              <w:lang w:val="zh-CN"/>
            </w:rPr>
            <w:fldChar w:fldCharType="end"/>
          </w:r>
        </w:p>
      </w:sdtContent>
    </w:sdt>
    <w:p w14:paraId="420862C2" w14:textId="77777777" w:rsidR="00544649" w:rsidRDefault="00544649">
      <w:pPr>
        <w:pStyle w:val="1"/>
        <w:numPr>
          <w:ilvl w:val="0"/>
          <w:numId w:val="8"/>
        </w:numPr>
        <w:adjustRightInd w:val="0"/>
        <w:snapToGrid w:val="0"/>
        <w:spacing w:after="0"/>
        <w:ind w:left="0" w:firstLine="723"/>
        <w:rPr>
          <w:kern w:val="21"/>
          <w:sz w:val="36"/>
          <w:szCs w:val="36"/>
        </w:rPr>
        <w:sectPr w:rsidR="00544649">
          <w:headerReference w:type="default" r:id="rId18"/>
          <w:footerReference w:type="default" r:id="rId19"/>
          <w:pgSz w:w="11906" w:h="16838"/>
          <w:pgMar w:top="1134" w:right="1531" w:bottom="1134" w:left="1531" w:header="851" w:footer="794" w:gutter="0"/>
          <w:pgNumType w:fmt="upperRoman" w:start="1"/>
          <w:cols w:space="425"/>
          <w:docGrid w:type="lines" w:linePitch="312"/>
        </w:sectPr>
      </w:pPr>
    </w:p>
    <w:p w14:paraId="56C1753B" w14:textId="77777777" w:rsidR="00544649" w:rsidRDefault="00000000">
      <w:pPr>
        <w:adjustRightInd w:val="0"/>
        <w:snapToGrid w:val="0"/>
        <w:spacing w:after="0"/>
        <w:ind w:firstLineChars="0" w:firstLine="0"/>
        <w:rPr>
          <w:rFonts w:cs="Times New Roman"/>
          <w:b/>
          <w:bCs/>
          <w:kern w:val="21"/>
          <w:szCs w:val="24"/>
        </w:rPr>
      </w:pPr>
      <w:r>
        <w:rPr>
          <w:rFonts w:cs="Times New Roman" w:hint="eastAsia"/>
          <w:b/>
          <w:bCs/>
          <w:kern w:val="21"/>
          <w:szCs w:val="24"/>
        </w:rPr>
        <w:lastRenderedPageBreak/>
        <w:t>附表</w:t>
      </w:r>
    </w:p>
    <w:p w14:paraId="56BB4095"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附表</w:t>
      </w:r>
      <w:r>
        <w:rPr>
          <w:rFonts w:cs="Times New Roman" w:hint="eastAsia"/>
          <w:kern w:val="21"/>
          <w:szCs w:val="24"/>
        </w:rPr>
        <w:t>1</w:t>
      </w:r>
      <w:r>
        <w:rPr>
          <w:rFonts w:cs="Times New Roman" w:hint="eastAsia"/>
          <w:kern w:val="21"/>
          <w:szCs w:val="24"/>
        </w:rPr>
        <w:t>建设项目环境影响报告书审批基础信息表</w:t>
      </w:r>
    </w:p>
    <w:p w14:paraId="68A98066"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附表</w:t>
      </w:r>
      <w:r>
        <w:rPr>
          <w:rFonts w:cs="Times New Roman" w:hint="eastAsia"/>
          <w:kern w:val="21"/>
          <w:szCs w:val="24"/>
        </w:rPr>
        <w:t>2</w:t>
      </w:r>
      <w:r>
        <w:rPr>
          <w:rFonts w:cs="Times New Roman" w:hint="eastAsia"/>
          <w:kern w:val="21"/>
          <w:szCs w:val="24"/>
        </w:rPr>
        <w:t>自查表</w:t>
      </w:r>
    </w:p>
    <w:p w14:paraId="49AFB4F3" w14:textId="77777777" w:rsidR="00544649" w:rsidRDefault="00544649">
      <w:pPr>
        <w:adjustRightInd w:val="0"/>
        <w:snapToGrid w:val="0"/>
        <w:spacing w:after="0"/>
        <w:ind w:firstLine="482"/>
        <w:rPr>
          <w:rFonts w:cs="Times New Roman"/>
          <w:b/>
          <w:bCs/>
          <w:kern w:val="21"/>
          <w:szCs w:val="21"/>
          <w:lang w:bidi="zh-TW"/>
        </w:rPr>
      </w:pPr>
    </w:p>
    <w:p w14:paraId="74BDBDB1" w14:textId="77777777" w:rsidR="00544649" w:rsidRDefault="00000000">
      <w:pPr>
        <w:adjustRightInd w:val="0"/>
        <w:snapToGrid w:val="0"/>
        <w:spacing w:after="0"/>
        <w:ind w:firstLineChars="0" w:firstLine="0"/>
        <w:rPr>
          <w:rFonts w:cs="Times New Roman"/>
          <w:b/>
          <w:bCs/>
          <w:kern w:val="21"/>
          <w:szCs w:val="21"/>
          <w:lang w:bidi="zh-TW"/>
        </w:rPr>
      </w:pPr>
      <w:r>
        <w:rPr>
          <w:rFonts w:cs="Times New Roman" w:hint="eastAsia"/>
          <w:b/>
          <w:bCs/>
          <w:kern w:val="21"/>
          <w:szCs w:val="21"/>
          <w:lang w:bidi="zh-TW"/>
        </w:rPr>
        <w:t>附图</w:t>
      </w:r>
    </w:p>
    <w:p w14:paraId="2E233353"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附图</w:t>
      </w:r>
      <w:r>
        <w:rPr>
          <w:rFonts w:cs="Times New Roman" w:hint="eastAsia"/>
          <w:kern w:val="21"/>
          <w:szCs w:val="21"/>
          <w:lang w:bidi="zh-TW"/>
        </w:rPr>
        <w:t>1</w:t>
      </w:r>
      <w:r>
        <w:rPr>
          <w:rFonts w:cs="Times New Roman" w:hint="eastAsia"/>
          <w:kern w:val="21"/>
          <w:szCs w:val="21"/>
          <w:lang w:bidi="zh-TW"/>
        </w:rPr>
        <w:t>项目地理位置图</w:t>
      </w:r>
    </w:p>
    <w:p w14:paraId="1774D318"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附图</w:t>
      </w:r>
      <w:r>
        <w:rPr>
          <w:rFonts w:cs="Times New Roman" w:hint="eastAsia"/>
          <w:kern w:val="21"/>
          <w:szCs w:val="21"/>
          <w:lang w:bidi="zh-TW"/>
        </w:rPr>
        <w:t>2</w:t>
      </w:r>
      <w:r>
        <w:rPr>
          <w:rFonts w:cs="Times New Roman" w:hint="eastAsia"/>
          <w:kern w:val="21"/>
          <w:szCs w:val="21"/>
          <w:lang w:bidi="zh-TW"/>
        </w:rPr>
        <w:t>本项目外环境关系及大气评价范围图</w:t>
      </w:r>
    </w:p>
    <w:p w14:paraId="77D2EE52"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附图</w:t>
      </w:r>
      <w:r>
        <w:rPr>
          <w:rFonts w:cs="Times New Roman" w:hint="eastAsia"/>
          <w:kern w:val="21"/>
          <w:szCs w:val="21"/>
          <w:lang w:bidi="zh-TW"/>
        </w:rPr>
        <w:t>3-1</w:t>
      </w:r>
      <w:r>
        <w:rPr>
          <w:rFonts w:cs="Times New Roman" w:hint="eastAsia"/>
          <w:kern w:val="21"/>
          <w:szCs w:val="21"/>
          <w:lang w:bidi="zh-TW"/>
        </w:rPr>
        <w:t>本项目蛋鸡场近距离外环境关系及卫生防护距离图</w:t>
      </w:r>
    </w:p>
    <w:p w14:paraId="720DBF3D"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附图</w:t>
      </w:r>
      <w:r>
        <w:rPr>
          <w:rFonts w:cs="Times New Roman" w:hint="eastAsia"/>
          <w:kern w:val="21"/>
          <w:szCs w:val="21"/>
          <w:lang w:bidi="zh-TW"/>
        </w:rPr>
        <w:t>3-2</w:t>
      </w:r>
      <w:r>
        <w:rPr>
          <w:rFonts w:cs="Times New Roman" w:hint="eastAsia"/>
          <w:kern w:val="21"/>
          <w:szCs w:val="21"/>
          <w:lang w:bidi="zh-TW"/>
        </w:rPr>
        <w:t>本项目</w:t>
      </w:r>
      <w:proofErr w:type="gramStart"/>
      <w:r>
        <w:rPr>
          <w:rFonts w:cs="Times New Roman" w:hint="eastAsia"/>
          <w:kern w:val="21"/>
          <w:szCs w:val="21"/>
          <w:lang w:bidi="zh-TW"/>
        </w:rPr>
        <w:t>育雏场</w:t>
      </w:r>
      <w:proofErr w:type="gramEnd"/>
      <w:r>
        <w:rPr>
          <w:rFonts w:cs="Times New Roman" w:hint="eastAsia"/>
          <w:kern w:val="21"/>
          <w:szCs w:val="21"/>
          <w:lang w:bidi="zh-TW"/>
        </w:rPr>
        <w:t>近距离外环境关系及卫生防护距离图</w:t>
      </w:r>
    </w:p>
    <w:p w14:paraId="146E8651"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附图</w:t>
      </w:r>
      <w:r>
        <w:rPr>
          <w:rFonts w:cs="Times New Roman" w:hint="eastAsia"/>
          <w:kern w:val="21"/>
          <w:szCs w:val="21"/>
          <w:lang w:bidi="zh-TW"/>
        </w:rPr>
        <w:t>4-1</w:t>
      </w:r>
      <w:r>
        <w:rPr>
          <w:rFonts w:cs="Times New Roman" w:hint="eastAsia"/>
          <w:kern w:val="21"/>
          <w:szCs w:val="21"/>
          <w:lang w:bidi="zh-TW"/>
        </w:rPr>
        <w:t>本项目</w:t>
      </w:r>
      <w:proofErr w:type="gramStart"/>
      <w:r>
        <w:rPr>
          <w:rFonts w:cs="Times New Roman" w:hint="eastAsia"/>
          <w:kern w:val="21"/>
          <w:szCs w:val="21"/>
          <w:lang w:bidi="zh-TW"/>
        </w:rPr>
        <w:t>育雏场</w:t>
      </w:r>
      <w:proofErr w:type="gramEnd"/>
      <w:r>
        <w:rPr>
          <w:rFonts w:cs="Times New Roman" w:hint="eastAsia"/>
          <w:kern w:val="21"/>
          <w:szCs w:val="21"/>
          <w:lang w:bidi="zh-TW"/>
        </w:rPr>
        <w:t>平面布置图</w:t>
      </w:r>
    </w:p>
    <w:p w14:paraId="6F238E57" w14:textId="77777777" w:rsidR="00544649" w:rsidRDefault="00000000">
      <w:pPr>
        <w:adjustRightInd w:val="0"/>
        <w:snapToGrid w:val="0"/>
        <w:spacing w:after="0"/>
        <w:ind w:firstLine="480"/>
        <w:rPr>
          <w:kern w:val="21"/>
        </w:rPr>
      </w:pPr>
      <w:r>
        <w:rPr>
          <w:rFonts w:cs="Times New Roman" w:hint="eastAsia"/>
          <w:kern w:val="21"/>
          <w:szCs w:val="21"/>
          <w:lang w:bidi="zh-TW"/>
        </w:rPr>
        <w:t>附图</w:t>
      </w:r>
      <w:r>
        <w:rPr>
          <w:rFonts w:cs="Times New Roman" w:hint="eastAsia"/>
          <w:kern w:val="21"/>
          <w:szCs w:val="21"/>
          <w:lang w:bidi="zh-TW"/>
        </w:rPr>
        <w:t>4-2</w:t>
      </w:r>
      <w:r>
        <w:rPr>
          <w:rFonts w:cs="Times New Roman" w:hint="eastAsia"/>
          <w:kern w:val="21"/>
          <w:szCs w:val="21"/>
          <w:lang w:bidi="zh-TW"/>
        </w:rPr>
        <w:t>本项目蛋鸡场平面布置图</w:t>
      </w:r>
    </w:p>
    <w:p w14:paraId="4218934C"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附图</w:t>
      </w:r>
      <w:r>
        <w:rPr>
          <w:rFonts w:cs="Times New Roman" w:hint="eastAsia"/>
          <w:kern w:val="21"/>
          <w:szCs w:val="21"/>
          <w:lang w:bidi="zh-TW"/>
        </w:rPr>
        <w:t>5-1</w:t>
      </w:r>
      <w:r>
        <w:rPr>
          <w:rFonts w:cs="Times New Roman" w:hint="eastAsia"/>
          <w:kern w:val="21"/>
          <w:szCs w:val="21"/>
          <w:lang w:bidi="zh-TW"/>
        </w:rPr>
        <w:t>本项目</w:t>
      </w:r>
      <w:proofErr w:type="gramStart"/>
      <w:r>
        <w:rPr>
          <w:rFonts w:cs="Times New Roman" w:hint="eastAsia"/>
          <w:kern w:val="21"/>
          <w:szCs w:val="21"/>
          <w:lang w:bidi="zh-TW"/>
        </w:rPr>
        <w:t>育雏场</w:t>
      </w:r>
      <w:proofErr w:type="gramEnd"/>
      <w:r>
        <w:rPr>
          <w:rFonts w:cs="Times New Roman" w:hint="eastAsia"/>
          <w:kern w:val="21"/>
          <w:szCs w:val="21"/>
          <w:lang w:bidi="zh-TW"/>
        </w:rPr>
        <w:t>分区防渗图</w:t>
      </w:r>
    </w:p>
    <w:p w14:paraId="43D78F78"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附图</w:t>
      </w:r>
      <w:r>
        <w:rPr>
          <w:rFonts w:cs="Times New Roman" w:hint="eastAsia"/>
          <w:kern w:val="21"/>
          <w:szCs w:val="21"/>
          <w:lang w:bidi="zh-TW"/>
        </w:rPr>
        <w:t>5-2</w:t>
      </w:r>
      <w:r>
        <w:rPr>
          <w:rFonts w:cs="Times New Roman" w:hint="eastAsia"/>
          <w:kern w:val="21"/>
          <w:szCs w:val="21"/>
          <w:lang w:bidi="zh-TW"/>
        </w:rPr>
        <w:t>本项目蛋鸡场分区防渗图</w:t>
      </w:r>
    </w:p>
    <w:p w14:paraId="3FA7C5A9"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附图</w:t>
      </w:r>
      <w:r>
        <w:rPr>
          <w:rFonts w:cs="Times New Roman" w:hint="eastAsia"/>
          <w:kern w:val="21"/>
          <w:szCs w:val="21"/>
          <w:lang w:bidi="zh-TW"/>
        </w:rPr>
        <w:t>6-1</w:t>
      </w:r>
      <w:r>
        <w:rPr>
          <w:rFonts w:cs="Times New Roman" w:hint="eastAsia"/>
          <w:kern w:val="21"/>
          <w:szCs w:val="21"/>
          <w:lang w:bidi="zh-TW"/>
        </w:rPr>
        <w:t>本项目</w:t>
      </w:r>
      <w:proofErr w:type="gramStart"/>
      <w:r>
        <w:rPr>
          <w:rFonts w:cs="Times New Roman" w:hint="eastAsia"/>
          <w:kern w:val="21"/>
          <w:szCs w:val="21"/>
          <w:lang w:bidi="zh-TW"/>
        </w:rPr>
        <w:t>育雏场</w:t>
      </w:r>
      <w:proofErr w:type="gramEnd"/>
      <w:r>
        <w:rPr>
          <w:rFonts w:cs="Times New Roman" w:hint="eastAsia"/>
          <w:kern w:val="21"/>
          <w:szCs w:val="21"/>
          <w:lang w:bidi="zh-TW"/>
        </w:rPr>
        <w:t>噪声监测布点图</w:t>
      </w:r>
    </w:p>
    <w:p w14:paraId="2256C0C9"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附图</w:t>
      </w:r>
      <w:r>
        <w:rPr>
          <w:rFonts w:cs="Times New Roman" w:hint="eastAsia"/>
          <w:kern w:val="21"/>
          <w:szCs w:val="21"/>
          <w:lang w:bidi="zh-TW"/>
        </w:rPr>
        <w:t>6-2</w:t>
      </w:r>
      <w:r>
        <w:rPr>
          <w:rFonts w:cs="Times New Roman" w:hint="eastAsia"/>
          <w:kern w:val="21"/>
          <w:szCs w:val="21"/>
          <w:lang w:bidi="zh-TW"/>
        </w:rPr>
        <w:t>本项目蛋鸡场噪声监测布点图</w:t>
      </w:r>
    </w:p>
    <w:p w14:paraId="752E9112"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附图</w:t>
      </w:r>
      <w:r>
        <w:rPr>
          <w:rFonts w:cs="Times New Roman" w:hint="eastAsia"/>
          <w:kern w:val="21"/>
          <w:szCs w:val="21"/>
          <w:lang w:bidi="zh-TW"/>
        </w:rPr>
        <w:t>6-3</w:t>
      </w:r>
      <w:r>
        <w:rPr>
          <w:rFonts w:cs="Times New Roman" w:hint="eastAsia"/>
          <w:kern w:val="21"/>
          <w:szCs w:val="21"/>
          <w:lang w:bidi="zh-TW"/>
        </w:rPr>
        <w:t>本项目大气监测布点图</w:t>
      </w:r>
    </w:p>
    <w:p w14:paraId="16804645"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附图</w:t>
      </w:r>
      <w:r>
        <w:rPr>
          <w:rFonts w:cs="Times New Roman" w:hint="eastAsia"/>
          <w:kern w:val="21"/>
          <w:szCs w:val="21"/>
          <w:lang w:bidi="zh-TW"/>
        </w:rPr>
        <w:t>6-4</w:t>
      </w:r>
      <w:r>
        <w:rPr>
          <w:rFonts w:cs="Times New Roman" w:hint="eastAsia"/>
          <w:kern w:val="21"/>
          <w:szCs w:val="21"/>
          <w:lang w:bidi="zh-TW"/>
        </w:rPr>
        <w:t>本项目土壤监测布点图</w:t>
      </w:r>
    </w:p>
    <w:p w14:paraId="521479BD"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附图</w:t>
      </w:r>
      <w:r>
        <w:rPr>
          <w:rFonts w:cs="Times New Roman" w:hint="eastAsia"/>
          <w:kern w:val="21"/>
          <w:szCs w:val="21"/>
          <w:lang w:bidi="zh-TW"/>
        </w:rPr>
        <w:t>6-5</w:t>
      </w:r>
      <w:r>
        <w:rPr>
          <w:rFonts w:cs="Times New Roman" w:hint="eastAsia"/>
          <w:kern w:val="21"/>
          <w:szCs w:val="21"/>
          <w:lang w:bidi="zh-TW"/>
        </w:rPr>
        <w:t>本项目地下水监测布点图</w:t>
      </w:r>
    </w:p>
    <w:p w14:paraId="768F3C19"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附图</w:t>
      </w:r>
      <w:r>
        <w:rPr>
          <w:rFonts w:cs="Times New Roman" w:hint="eastAsia"/>
          <w:kern w:val="21"/>
          <w:szCs w:val="21"/>
          <w:lang w:bidi="zh-TW"/>
        </w:rPr>
        <w:t>7</w:t>
      </w:r>
      <w:r>
        <w:rPr>
          <w:rFonts w:cs="Times New Roman" w:hint="eastAsia"/>
          <w:kern w:val="21"/>
          <w:szCs w:val="21"/>
          <w:lang w:bidi="zh-TW"/>
        </w:rPr>
        <w:t>项目废水消纳灌溉范围及管网布置图</w:t>
      </w:r>
    </w:p>
    <w:p w14:paraId="70016F42" w14:textId="77777777" w:rsidR="00544649" w:rsidRDefault="00544649">
      <w:pPr>
        <w:adjustRightInd w:val="0"/>
        <w:snapToGrid w:val="0"/>
        <w:spacing w:after="0"/>
        <w:ind w:firstLine="480"/>
        <w:rPr>
          <w:rFonts w:cs="Times New Roman"/>
          <w:kern w:val="21"/>
          <w:lang w:bidi="zh-TW"/>
        </w:rPr>
        <w:sectPr w:rsidR="00544649">
          <w:footerReference w:type="default" r:id="rId20"/>
          <w:pgSz w:w="11906" w:h="16838"/>
          <w:pgMar w:top="1134" w:right="1531" w:bottom="1134" w:left="1531" w:header="851" w:footer="992" w:gutter="0"/>
          <w:cols w:space="425"/>
          <w:docGrid w:type="lines" w:linePitch="312"/>
        </w:sectPr>
      </w:pPr>
    </w:p>
    <w:p w14:paraId="021631A3" w14:textId="77777777" w:rsidR="00544649" w:rsidRDefault="00000000">
      <w:pPr>
        <w:adjustRightInd w:val="0"/>
        <w:snapToGrid w:val="0"/>
        <w:spacing w:after="0"/>
        <w:ind w:firstLineChars="0" w:firstLine="0"/>
        <w:rPr>
          <w:rFonts w:cs="Times New Roman"/>
          <w:b/>
          <w:bCs/>
          <w:kern w:val="21"/>
          <w:szCs w:val="21"/>
          <w:lang w:bidi="zh-TW"/>
        </w:rPr>
      </w:pPr>
      <w:r>
        <w:rPr>
          <w:rFonts w:cs="Times New Roman" w:hint="eastAsia"/>
          <w:b/>
          <w:bCs/>
          <w:kern w:val="21"/>
          <w:szCs w:val="21"/>
          <w:lang w:bidi="zh-TW"/>
        </w:rPr>
        <w:lastRenderedPageBreak/>
        <w:t>附件</w:t>
      </w:r>
    </w:p>
    <w:p w14:paraId="287AFB08"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1</w:t>
      </w:r>
      <w:r>
        <w:rPr>
          <w:rFonts w:cs="Times New Roman" w:hint="eastAsia"/>
          <w:kern w:val="21"/>
          <w:szCs w:val="21"/>
          <w:lang w:bidi="zh-TW"/>
        </w:rPr>
        <w:t>委托书；</w:t>
      </w:r>
    </w:p>
    <w:p w14:paraId="10FD19F5"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2</w:t>
      </w:r>
      <w:r>
        <w:rPr>
          <w:rFonts w:cs="Times New Roman" w:hint="eastAsia"/>
          <w:kern w:val="21"/>
          <w:szCs w:val="21"/>
          <w:lang w:bidi="zh-TW"/>
        </w:rPr>
        <w:t>项目备案表；</w:t>
      </w:r>
    </w:p>
    <w:p w14:paraId="58D99163"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3</w:t>
      </w:r>
      <w:r>
        <w:rPr>
          <w:rFonts w:cs="Times New Roman" w:hint="eastAsia"/>
          <w:kern w:val="21"/>
          <w:szCs w:val="21"/>
          <w:lang w:bidi="zh-TW"/>
        </w:rPr>
        <w:t>企业营业执照；</w:t>
      </w:r>
    </w:p>
    <w:p w14:paraId="2DAB6473"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4</w:t>
      </w:r>
      <w:r>
        <w:rPr>
          <w:rFonts w:cs="Times New Roman" w:hint="eastAsia"/>
          <w:kern w:val="21"/>
          <w:szCs w:val="21"/>
          <w:lang w:bidi="zh-TW"/>
        </w:rPr>
        <w:t>土地流转合同；</w:t>
      </w:r>
    </w:p>
    <w:p w14:paraId="23394F52"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5</w:t>
      </w:r>
      <w:r>
        <w:rPr>
          <w:rFonts w:cs="Times New Roman" w:hint="eastAsia"/>
          <w:kern w:val="21"/>
          <w:szCs w:val="21"/>
          <w:lang w:bidi="zh-TW"/>
        </w:rPr>
        <w:t>剑阁县林业局关于《剑阁县铁骑力士非笼养高品质蛋鸡养殖项目拟建用地范围征求意见的函》的复函；</w:t>
      </w:r>
    </w:p>
    <w:p w14:paraId="68A4B176"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6</w:t>
      </w:r>
      <w:r>
        <w:rPr>
          <w:rFonts w:cs="Times New Roman" w:hint="eastAsia"/>
          <w:kern w:val="21"/>
          <w:szCs w:val="21"/>
          <w:lang w:bidi="zh-TW"/>
        </w:rPr>
        <w:t>四川省林业和草原局关于《准予剑阁非笼养蛋鸡产业链项目占用林地的行政许可决定》（</w:t>
      </w:r>
      <w:proofErr w:type="gramStart"/>
      <w:r>
        <w:rPr>
          <w:rFonts w:cs="Times New Roman" w:hint="eastAsia"/>
          <w:kern w:val="21"/>
          <w:szCs w:val="21"/>
          <w:lang w:bidi="zh-TW"/>
        </w:rPr>
        <w:t>川林资许</w:t>
      </w:r>
      <w:proofErr w:type="gramEnd"/>
      <w:r>
        <w:rPr>
          <w:rFonts w:cs="Times New Roman" w:hint="eastAsia"/>
          <w:kern w:val="21"/>
          <w:szCs w:val="21"/>
          <w:lang w:bidi="zh-TW"/>
        </w:rPr>
        <w:t>准（广）</w:t>
      </w:r>
      <w:r>
        <w:rPr>
          <w:rFonts w:cs="Times New Roman"/>
          <w:kern w:val="21"/>
          <w:szCs w:val="24"/>
        </w:rPr>
        <w:t>〔</w:t>
      </w:r>
      <w:r>
        <w:rPr>
          <w:rFonts w:cs="Times New Roman"/>
          <w:kern w:val="21"/>
          <w:szCs w:val="24"/>
        </w:rPr>
        <w:t>20</w:t>
      </w:r>
      <w:r>
        <w:rPr>
          <w:rFonts w:cs="Times New Roman" w:hint="eastAsia"/>
          <w:kern w:val="21"/>
          <w:szCs w:val="24"/>
        </w:rPr>
        <w:t>24</w:t>
      </w:r>
      <w:r>
        <w:rPr>
          <w:rFonts w:cs="Times New Roman"/>
          <w:kern w:val="21"/>
          <w:szCs w:val="24"/>
        </w:rPr>
        <w:t>〕</w:t>
      </w:r>
      <w:r>
        <w:rPr>
          <w:rFonts w:cs="Times New Roman" w:hint="eastAsia"/>
          <w:kern w:val="21"/>
          <w:szCs w:val="24"/>
        </w:rPr>
        <w:t>115</w:t>
      </w:r>
      <w:r>
        <w:rPr>
          <w:rFonts w:cs="Times New Roman" w:hint="eastAsia"/>
          <w:kern w:val="21"/>
          <w:szCs w:val="24"/>
        </w:rPr>
        <w:t>号</w:t>
      </w:r>
      <w:r>
        <w:rPr>
          <w:rFonts w:cs="Times New Roman" w:hint="eastAsia"/>
          <w:kern w:val="21"/>
          <w:szCs w:val="21"/>
          <w:lang w:bidi="zh-TW"/>
        </w:rPr>
        <w:t>）；</w:t>
      </w:r>
    </w:p>
    <w:p w14:paraId="1138F04F"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7</w:t>
      </w:r>
      <w:r>
        <w:rPr>
          <w:rFonts w:cs="Times New Roman" w:hint="eastAsia"/>
          <w:kern w:val="21"/>
          <w:szCs w:val="21"/>
          <w:lang w:bidi="zh-TW"/>
        </w:rPr>
        <w:t>剑阁县林业局关于《剑阁非笼养蛋鸡产业链项目占用林地意见的复函》；</w:t>
      </w:r>
    </w:p>
    <w:p w14:paraId="5067C484"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8</w:t>
      </w:r>
      <w:r>
        <w:rPr>
          <w:rFonts w:cs="Times New Roman" w:hint="eastAsia"/>
          <w:kern w:val="21"/>
          <w:szCs w:val="21"/>
          <w:lang w:bidi="zh-TW"/>
        </w:rPr>
        <w:t>设施农业用地备案表；</w:t>
      </w:r>
    </w:p>
    <w:p w14:paraId="37EAD02C"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9</w:t>
      </w:r>
      <w:r>
        <w:rPr>
          <w:rFonts w:cs="Times New Roman" w:hint="eastAsia"/>
          <w:kern w:val="21"/>
          <w:szCs w:val="21"/>
          <w:lang w:bidi="zh-TW"/>
        </w:rPr>
        <w:t>设施农用地使用协议；</w:t>
      </w:r>
    </w:p>
    <w:p w14:paraId="4641081E"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10</w:t>
      </w:r>
      <w:r>
        <w:rPr>
          <w:rFonts w:cs="Times New Roman" w:hint="eastAsia"/>
          <w:kern w:val="21"/>
          <w:szCs w:val="21"/>
          <w:lang w:bidi="zh-TW"/>
        </w:rPr>
        <w:t>广元市剑阁生态环境局关于《剑阁非笼养蛋鸡产业链项目选址不涉及集中式饮用水水源保护区的说明》；</w:t>
      </w:r>
    </w:p>
    <w:p w14:paraId="47E14276"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11</w:t>
      </w:r>
      <w:r>
        <w:rPr>
          <w:rFonts w:cs="Times New Roman" w:hint="eastAsia"/>
          <w:kern w:val="21"/>
          <w:szCs w:val="21"/>
          <w:lang w:bidi="zh-TW"/>
        </w:rPr>
        <w:t>剑阁县农业农村局出具的本项目不在畜禽养殖禁养区内的证明</w:t>
      </w:r>
    </w:p>
    <w:p w14:paraId="27BF815C"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12</w:t>
      </w:r>
      <w:r>
        <w:rPr>
          <w:rFonts w:cs="Times New Roman" w:hint="eastAsia"/>
          <w:kern w:val="21"/>
          <w:szCs w:val="21"/>
          <w:lang w:bidi="zh-TW"/>
        </w:rPr>
        <w:t>关于“剑阁非笼养蛋鸡产业链项目”天然气管网建设的情况说明函</w:t>
      </w:r>
    </w:p>
    <w:p w14:paraId="78D26DC0"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13</w:t>
      </w:r>
      <w:r>
        <w:rPr>
          <w:rFonts w:cs="Times New Roman" w:hint="eastAsia"/>
          <w:kern w:val="21"/>
          <w:szCs w:val="21"/>
          <w:lang w:bidi="zh-TW"/>
        </w:rPr>
        <w:t>剑阁县自然资源局关于《剑阁非笼养蛋鸡产业链项目用地情况说明》的复函；</w:t>
      </w:r>
    </w:p>
    <w:p w14:paraId="3BC95BF5"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14</w:t>
      </w:r>
      <w:r>
        <w:rPr>
          <w:rFonts w:cs="Times New Roman" w:hint="eastAsia"/>
          <w:kern w:val="21"/>
          <w:szCs w:val="21"/>
          <w:lang w:bidi="zh-TW"/>
        </w:rPr>
        <w:t>鸡粪处理承包合同及处置单位相关环保手续；</w:t>
      </w:r>
    </w:p>
    <w:p w14:paraId="36D98D90"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15</w:t>
      </w:r>
      <w:r>
        <w:rPr>
          <w:rFonts w:cs="Times New Roman" w:hint="eastAsia"/>
          <w:kern w:val="21"/>
          <w:szCs w:val="21"/>
          <w:lang w:bidi="zh-TW"/>
        </w:rPr>
        <w:t>病死畜禽无害化处理委托协议书及处置单位相关环保手续；</w:t>
      </w:r>
    </w:p>
    <w:p w14:paraId="531892B2"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16</w:t>
      </w:r>
      <w:r>
        <w:rPr>
          <w:rFonts w:cs="Times New Roman" w:hint="eastAsia"/>
          <w:kern w:val="21"/>
          <w:szCs w:val="21"/>
          <w:lang w:bidi="zh-TW"/>
        </w:rPr>
        <w:t>畜禽养殖</w:t>
      </w:r>
      <w:proofErr w:type="gramStart"/>
      <w:r>
        <w:rPr>
          <w:rFonts w:cs="Times New Roman" w:hint="eastAsia"/>
          <w:kern w:val="21"/>
          <w:szCs w:val="21"/>
          <w:lang w:bidi="zh-TW"/>
        </w:rPr>
        <w:t>粪污消纳</w:t>
      </w:r>
      <w:proofErr w:type="gramEnd"/>
      <w:r>
        <w:rPr>
          <w:rFonts w:cs="Times New Roman" w:hint="eastAsia"/>
          <w:kern w:val="21"/>
          <w:szCs w:val="21"/>
          <w:lang w:bidi="zh-TW"/>
        </w:rPr>
        <w:t>协议；</w:t>
      </w:r>
    </w:p>
    <w:p w14:paraId="70C09825"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17</w:t>
      </w:r>
      <w:r>
        <w:rPr>
          <w:rFonts w:cs="Times New Roman" w:hint="eastAsia"/>
          <w:kern w:val="21"/>
          <w:szCs w:val="21"/>
          <w:lang w:bidi="zh-TW"/>
        </w:rPr>
        <w:t>项目卫生防护距离内居民房屋租赁合同；</w:t>
      </w:r>
    </w:p>
    <w:p w14:paraId="2799A958"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18</w:t>
      </w:r>
      <w:r>
        <w:rPr>
          <w:rFonts w:cs="Times New Roman" w:hint="eastAsia"/>
          <w:kern w:val="21"/>
          <w:szCs w:val="21"/>
          <w:lang w:bidi="zh-TW"/>
        </w:rPr>
        <w:t>引用环境质量现状监测报告；</w:t>
      </w:r>
    </w:p>
    <w:p w14:paraId="4D027002" w14:textId="77777777" w:rsidR="00544649" w:rsidRDefault="00000000">
      <w:pPr>
        <w:adjustRightInd w:val="0"/>
        <w:snapToGrid w:val="0"/>
        <w:spacing w:after="0"/>
        <w:ind w:firstLine="480"/>
        <w:rPr>
          <w:rFonts w:cs="Times New Roman"/>
          <w:kern w:val="21"/>
          <w:szCs w:val="21"/>
          <w:lang w:bidi="zh-TW"/>
        </w:rPr>
      </w:pPr>
      <w:r>
        <w:rPr>
          <w:rFonts w:cs="Times New Roman" w:hint="eastAsia"/>
          <w:kern w:val="21"/>
          <w:szCs w:val="21"/>
          <w:lang w:bidi="zh-TW"/>
        </w:rPr>
        <w:t>附件</w:t>
      </w:r>
      <w:r>
        <w:rPr>
          <w:rFonts w:cs="Times New Roman" w:hint="eastAsia"/>
          <w:kern w:val="21"/>
          <w:szCs w:val="21"/>
          <w:lang w:bidi="zh-TW"/>
        </w:rPr>
        <w:t>19</w:t>
      </w:r>
      <w:r>
        <w:rPr>
          <w:rFonts w:cs="Times New Roman" w:hint="eastAsia"/>
          <w:kern w:val="21"/>
          <w:szCs w:val="21"/>
          <w:lang w:bidi="zh-TW"/>
        </w:rPr>
        <w:t>《剑阁非笼养蛋鸡产业链项目》环境质量现状监测。</w:t>
      </w:r>
    </w:p>
    <w:p w14:paraId="718FCACD" w14:textId="77777777" w:rsidR="00544649" w:rsidRDefault="00544649">
      <w:pPr>
        <w:adjustRightInd w:val="0"/>
        <w:snapToGrid w:val="0"/>
        <w:spacing w:after="0"/>
        <w:ind w:firstLine="480"/>
        <w:rPr>
          <w:rFonts w:cs="Times New Roman"/>
          <w:kern w:val="21"/>
          <w:szCs w:val="21"/>
          <w:lang w:bidi="zh-TW"/>
        </w:rPr>
      </w:pPr>
    </w:p>
    <w:p w14:paraId="3463FEA7" w14:textId="77777777" w:rsidR="00544649" w:rsidRDefault="00544649">
      <w:pPr>
        <w:adjustRightInd w:val="0"/>
        <w:snapToGrid w:val="0"/>
        <w:spacing w:after="0"/>
        <w:ind w:firstLine="480"/>
        <w:rPr>
          <w:rFonts w:cs="Times New Roman"/>
          <w:kern w:val="21"/>
          <w:szCs w:val="24"/>
        </w:rPr>
      </w:pPr>
    </w:p>
    <w:p w14:paraId="7B2D20F6" w14:textId="77777777" w:rsidR="00544649" w:rsidRDefault="00544649">
      <w:pPr>
        <w:adjustRightInd w:val="0"/>
        <w:snapToGrid w:val="0"/>
        <w:spacing w:after="0"/>
        <w:ind w:firstLine="480"/>
        <w:rPr>
          <w:rFonts w:cs="Times New Roman"/>
          <w:kern w:val="21"/>
          <w:szCs w:val="24"/>
        </w:rPr>
      </w:pPr>
    </w:p>
    <w:p w14:paraId="0D566479" w14:textId="77777777" w:rsidR="00544649" w:rsidRDefault="00544649">
      <w:pPr>
        <w:adjustRightInd w:val="0"/>
        <w:snapToGrid w:val="0"/>
        <w:spacing w:after="0"/>
        <w:ind w:firstLine="480"/>
        <w:rPr>
          <w:rFonts w:cs="Times New Roman"/>
          <w:kern w:val="21"/>
          <w:szCs w:val="24"/>
        </w:rPr>
      </w:pPr>
    </w:p>
    <w:p w14:paraId="46592709" w14:textId="77777777" w:rsidR="00544649" w:rsidRDefault="00544649">
      <w:pPr>
        <w:adjustRightInd w:val="0"/>
        <w:snapToGrid w:val="0"/>
        <w:spacing w:after="0"/>
        <w:ind w:firstLine="480"/>
        <w:rPr>
          <w:rFonts w:cs="Times New Roman"/>
          <w:kern w:val="21"/>
          <w:szCs w:val="24"/>
        </w:rPr>
        <w:sectPr w:rsidR="00544649">
          <w:footerReference w:type="default" r:id="rId21"/>
          <w:pgSz w:w="11906" w:h="16838"/>
          <w:pgMar w:top="1134" w:right="1531" w:bottom="1134" w:left="1531" w:header="851" w:footer="794" w:gutter="0"/>
          <w:pgNumType w:fmt="upperRoman"/>
          <w:cols w:space="425"/>
          <w:docGrid w:type="lines" w:linePitch="312"/>
        </w:sectPr>
      </w:pPr>
    </w:p>
    <w:p w14:paraId="653B5D22" w14:textId="77777777" w:rsidR="00544649" w:rsidRDefault="00000000">
      <w:pPr>
        <w:pStyle w:val="1"/>
        <w:numPr>
          <w:ilvl w:val="0"/>
          <w:numId w:val="9"/>
        </w:numPr>
        <w:adjustRightInd w:val="0"/>
        <w:snapToGrid w:val="0"/>
        <w:spacing w:after="0"/>
        <w:ind w:firstLineChars="0"/>
        <w:rPr>
          <w:kern w:val="21"/>
          <w:sz w:val="36"/>
          <w:szCs w:val="36"/>
        </w:rPr>
      </w:pPr>
      <w:bookmarkStart w:id="63" w:name="_Toc195009784"/>
      <w:r>
        <w:rPr>
          <w:kern w:val="21"/>
          <w:sz w:val="36"/>
          <w:szCs w:val="36"/>
        </w:rPr>
        <w:lastRenderedPageBreak/>
        <w:t>总则</w:t>
      </w:r>
      <w:bookmarkEnd w:id="62"/>
      <w:bookmarkEnd w:id="61"/>
      <w:bookmarkEnd w:id="63"/>
    </w:p>
    <w:p w14:paraId="3170CB87" w14:textId="77777777" w:rsidR="00544649" w:rsidRDefault="00000000">
      <w:pPr>
        <w:pStyle w:val="2"/>
        <w:numPr>
          <w:ilvl w:val="1"/>
          <w:numId w:val="2"/>
        </w:numPr>
        <w:adjustRightInd w:val="0"/>
        <w:snapToGrid w:val="0"/>
        <w:spacing w:after="0"/>
        <w:rPr>
          <w:kern w:val="21"/>
        </w:rPr>
      </w:pPr>
      <w:bookmarkStart w:id="64" w:name="_Toc8986"/>
      <w:bookmarkStart w:id="65" w:name="_Toc13860"/>
      <w:bookmarkStart w:id="66" w:name="_Toc195009785"/>
      <w:r>
        <w:rPr>
          <w:kern w:val="21"/>
        </w:rPr>
        <w:t>编制依据</w:t>
      </w:r>
      <w:bookmarkEnd w:id="64"/>
      <w:bookmarkEnd w:id="65"/>
      <w:bookmarkEnd w:id="66"/>
    </w:p>
    <w:p w14:paraId="4F3CBC47" w14:textId="77777777" w:rsidR="00544649" w:rsidRDefault="00000000">
      <w:pPr>
        <w:pStyle w:val="3"/>
        <w:numPr>
          <w:ilvl w:val="2"/>
          <w:numId w:val="2"/>
        </w:numPr>
        <w:adjustRightInd w:val="0"/>
        <w:snapToGrid w:val="0"/>
        <w:spacing w:after="0"/>
        <w:rPr>
          <w:rFonts w:cs="Times New Roman"/>
          <w:kern w:val="21"/>
        </w:rPr>
      </w:pPr>
      <w:bookmarkStart w:id="67" w:name="_Toc29582"/>
      <w:bookmarkStart w:id="68" w:name="_Toc30694"/>
      <w:bookmarkStart w:id="69" w:name="_Toc195009786"/>
      <w:bookmarkStart w:id="70" w:name="OLE_LINK2"/>
      <w:r>
        <w:rPr>
          <w:rFonts w:cs="Times New Roman"/>
          <w:kern w:val="21"/>
        </w:rPr>
        <w:t>相关</w:t>
      </w:r>
      <w:bookmarkEnd w:id="67"/>
      <w:bookmarkEnd w:id="68"/>
      <w:r>
        <w:rPr>
          <w:rFonts w:cs="Times New Roman"/>
          <w:kern w:val="21"/>
        </w:rPr>
        <w:t>法律法规及政策性文件</w:t>
      </w:r>
      <w:bookmarkEnd w:id="69"/>
    </w:p>
    <w:bookmarkEnd w:id="70"/>
    <w:p w14:paraId="680FDF82"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《中华人民共和国环境保护法》（</w:t>
      </w:r>
      <w:r>
        <w:rPr>
          <w:rFonts w:cs="Times New Roman"/>
          <w:kern w:val="21"/>
          <w:szCs w:val="24"/>
        </w:rPr>
        <w:t>2014</w:t>
      </w:r>
      <w:r>
        <w:rPr>
          <w:rFonts w:cs="Times New Roman"/>
          <w:kern w:val="21"/>
          <w:szCs w:val="24"/>
        </w:rPr>
        <w:t>年</w:t>
      </w:r>
      <w:r>
        <w:rPr>
          <w:rFonts w:cs="Times New Roman"/>
          <w:kern w:val="21"/>
          <w:szCs w:val="24"/>
        </w:rPr>
        <w:t>4</w:t>
      </w:r>
      <w:r>
        <w:rPr>
          <w:rFonts w:cs="Times New Roman"/>
          <w:kern w:val="21"/>
          <w:szCs w:val="24"/>
        </w:rPr>
        <w:t>月</w:t>
      </w:r>
      <w:r>
        <w:rPr>
          <w:rFonts w:cs="Times New Roman"/>
          <w:kern w:val="21"/>
          <w:szCs w:val="24"/>
        </w:rPr>
        <w:t>24</w:t>
      </w:r>
      <w:r>
        <w:rPr>
          <w:rFonts w:cs="Times New Roman"/>
          <w:kern w:val="21"/>
          <w:szCs w:val="24"/>
        </w:rPr>
        <w:t>日修订，</w:t>
      </w:r>
      <w:r>
        <w:rPr>
          <w:rFonts w:cs="Times New Roman"/>
          <w:kern w:val="21"/>
          <w:szCs w:val="24"/>
        </w:rPr>
        <w:t>2015</w:t>
      </w:r>
      <w:r>
        <w:rPr>
          <w:rFonts w:cs="Times New Roman"/>
          <w:kern w:val="21"/>
          <w:szCs w:val="24"/>
        </w:rPr>
        <w:t>年</w:t>
      </w:r>
      <w:r>
        <w:rPr>
          <w:rFonts w:cs="Times New Roman"/>
          <w:kern w:val="21"/>
          <w:szCs w:val="24"/>
        </w:rPr>
        <w:t>1</w:t>
      </w:r>
      <w:r>
        <w:rPr>
          <w:rFonts w:cs="Times New Roman"/>
          <w:kern w:val="21"/>
          <w:szCs w:val="24"/>
        </w:rPr>
        <w:t>月</w:t>
      </w:r>
      <w:r>
        <w:rPr>
          <w:rFonts w:cs="Times New Roman"/>
          <w:kern w:val="21"/>
          <w:szCs w:val="24"/>
        </w:rPr>
        <w:t>1</w:t>
      </w:r>
      <w:r>
        <w:rPr>
          <w:rFonts w:cs="Times New Roman"/>
          <w:kern w:val="21"/>
          <w:szCs w:val="24"/>
        </w:rPr>
        <w:t>日施行）；</w:t>
      </w:r>
    </w:p>
    <w:p w14:paraId="43FE77C3"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《中华人民共和国环境影响评价法》（</w:t>
      </w:r>
      <w:r>
        <w:rPr>
          <w:rFonts w:cs="Times New Roman"/>
          <w:kern w:val="21"/>
          <w:szCs w:val="24"/>
        </w:rPr>
        <w:t>2018</w:t>
      </w:r>
      <w:r>
        <w:rPr>
          <w:rFonts w:cs="Times New Roman"/>
          <w:kern w:val="21"/>
          <w:szCs w:val="24"/>
        </w:rPr>
        <w:t>年</w:t>
      </w:r>
      <w:r>
        <w:rPr>
          <w:rFonts w:cs="Times New Roman"/>
          <w:kern w:val="21"/>
          <w:szCs w:val="24"/>
        </w:rPr>
        <w:t>12</w:t>
      </w:r>
      <w:r>
        <w:rPr>
          <w:rFonts w:cs="Times New Roman"/>
          <w:kern w:val="21"/>
          <w:szCs w:val="24"/>
        </w:rPr>
        <w:t>月</w:t>
      </w:r>
      <w:r>
        <w:rPr>
          <w:rFonts w:cs="Times New Roman"/>
          <w:kern w:val="21"/>
          <w:szCs w:val="24"/>
        </w:rPr>
        <w:t>29</w:t>
      </w:r>
      <w:r>
        <w:rPr>
          <w:rFonts w:cs="Times New Roman"/>
          <w:kern w:val="21"/>
          <w:szCs w:val="24"/>
        </w:rPr>
        <w:t>日修正，</w:t>
      </w:r>
      <w:r>
        <w:rPr>
          <w:rFonts w:cs="Times New Roman"/>
          <w:kern w:val="21"/>
          <w:szCs w:val="24"/>
        </w:rPr>
        <w:t>2019</w:t>
      </w:r>
      <w:r>
        <w:rPr>
          <w:rFonts w:cs="Times New Roman"/>
          <w:kern w:val="21"/>
          <w:szCs w:val="24"/>
        </w:rPr>
        <w:t>年</w:t>
      </w:r>
      <w:r>
        <w:rPr>
          <w:rFonts w:cs="Times New Roman"/>
          <w:kern w:val="21"/>
          <w:szCs w:val="24"/>
        </w:rPr>
        <w:t>1</w:t>
      </w:r>
      <w:r>
        <w:rPr>
          <w:rFonts w:cs="Times New Roman"/>
          <w:kern w:val="21"/>
          <w:szCs w:val="24"/>
        </w:rPr>
        <w:t>月</w:t>
      </w:r>
      <w:r>
        <w:rPr>
          <w:rFonts w:cs="Times New Roman"/>
          <w:kern w:val="21"/>
          <w:szCs w:val="24"/>
        </w:rPr>
        <w:t>1</w:t>
      </w:r>
      <w:r>
        <w:rPr>
          <w:rFonts w:cs="Times New Roman"/>
          <w:kern w:val="21"/>
          <w:szCs w:val="24"/>
        </w:rPr>
        <w:t>日起施行）；</w:t>
      </w:r>
    </w:p>
    <w:p w14:paraId="14453F25"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《中华人民共和国大气污染防治法》（</w:t>
      </w:r>
      <w:r>
        <w:rPr>
          <w:rFonts w:cs="Times New Roman"/>
          <w:kern w:val="21"/>
          <w:szCs w:val="24"/>
        </w:rPr>
        <w:t>2018</w:t>
      </w:r>
      <w:r>
        <w:rPr>
          <w:rFonts w:cs="Times New Roman"/>
          <w:kern w:val="21"/>
          <w:szCs w:val="24"/>
        </w:rPr>
        <w:t>年</w:t>
      </w:r>
      <w:r>
        <w:rPr>
          <w:rFonts w:cs="Times New Roman"/>
          <w:kern w:val="21"/>
          <w:szCs w:val="24"/>
        </w:rPr>
        <w:t>10</w:t>
      </w:r>
      <w:r>
        <w:rPr>
          <w:rFonts w:cs="Times New Roman"/>
          <w:kern w:val="21"/>
          <w:szCs w:val="24"/>
        </w:rPr>
        <w:t>月</w:t>
      </w:r>
      <w:r>
        <w:rPr>
          <w:rFonts w:cs="Times New Roman"/>
          <w:kern w:val="21"/>
          <w:szCs w:val="24"/>
        </w:rPr>
        <w:t>26</w:t>
      </w:r>
      <w:r>
        <w:rPr>
          <w:rFonts w:cs="Times New Roman"/>
          <w:kern w:val="21"/>
          <w:szCs w:val="24"/>
        </w:rPr>
        <w:t>日修正）；</w:t>
      </w:r>
    </w:p>
    <w:p w14:paraId="3F9436F9"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《中华人民共和国水污染防治法》（</w:t>
      </w:r>
      <w:r>
        <w:rPr>
          <w:rFonts w:cs="Times New Roman"/>
          <w:kern w:val="21"/>
          <w:szCs w:val="24"/>
        </w:rPr>
        <w:t>2017</w:t>
      </w:r>
      <w:r>
        <w:rPr>
          <w:rFonts w:cs="Times New Roman"/>
          <w:kern w:val="21"/>
          <w:szCs w:val="24"/>
        </w:rPr>
        <w:t>年</w:t>
      </w:r>
      <w:r>
        <w:rPr>
          <w:rFonts w:cs="Times New Roman"/>
          <w:kern w:val="21"/>
          <w:szCs w:val="24"/>
        </w:rPr>
        <w:t>6</w:t>
      </w:r>
      <w:r>
        <w:rPr>
          <w:rFonts w:cs="Times New Roman"/>
          <w:kern w:val="21"/>
          <w:szCs w:val="24"/>
        </w:rPr>
        <w:t>月</w:t>
      </w:r>
      <w:r>
        <w:rPr>
          <w:rFonts w:cs="Times New Roman"/>
          <w:kern w:val="21"/>
          <w:szCs w:val="24"/>
        </w:rPr>
        <w:t>27</w:t>
      </w:r>
      <w:r>
        <w:rPr>
          <w:rFonts w:cs="Times New Roman"/>
          <w:kern w:val="21"/>
          <w:szCs w:val="24"/>
        </w:rPr>
        <w:t>日第二次修订，</w:t>
      </w:r>
      <w:r>
        <w:rPr>
          <w:rFonts w:cs="Times New Roman"/>
          <w:kern w:val="21"/>
          <w:szCs w:val="24"/>
        </w:rPr>
        <w:t>2018</w:t>
      </w:r>
      <w:r>
        <w:rPr>
          <w:rFonts w:cs="Times New Roman"/>
          <w:kern w:val="21"/>
          <w:szCs w:val="24"/>
        </w:rPr>
        <w:t>年</w:t>
      </w:r>
      <w:r>
        <w:rPr>
          <w:rFonts w:cs="Times New Roman"/>
          <w:kern w:val="21"/>
          <w:szCs w:val="24"/>
        </w:rPr>
        <w:t>1</w:t>
      </w:r>
      <w:r>
        <w:rPr>
          <w:rFonts w:cs="Times New Roman"/>
          <w:kern w:val="21"/>
          <w:szCs w:val="24"/>
        </w:rPr>
        <w:t>月</w:t>
      </w:r>
      <w:r>
        <w:rPr>
          <w:rFonts w:cs="Times New Roman"/>
          <w:kern w:val="21"/>
          <w:szCs w:val="24"/>
        </w:rPr>
        <w:t>1</w:t>
      </w:r>
      <w:r>
        <w:rPr>
          <w:rFonts w:cs="Times New Roman"/>
          <w:kern w:val="21"/>
          <w:szCs w:val="24"/>
        </w:rPr>
        <w:t>日起施行）；</w:t>
      </w:r>
    </w:p>
    <w:p w14:paraId="340DC1B4"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《中华人民共和国噪声污染防治法》（</w:t>
      </w:r>
      <w:r>
        <w:rPr>
          <w:rFonts w:cs="Times New Roman"/>
          <w:kern w:val="21"/>
          <w:szCs w:val="24"/>
        </w:rPr>
        <w:t>2021</w:t>
      </w:r>
      <w:r>
        <w:rPr>
          <w:rFonts w:cs="Times New Roman"/>
          <w:kern w:val="21"/>
          <w:szCs w:val="24"/>
        </w:rPr>
        <w:t>年</w:t>
      </w:r>
      <w:r>
        <w:rPr>
          <w:rFonts w:cs="Times New Roman"/>
          <w:kern w:val="21"/>
          <w:szCs w:val="24"/>
        </w:rPr>
        <w:t>12</w:t>
      </w:r>
      <w:r>
        <w:rPr>
          <w:rFonts w:cs="Times New Roman"/>
          <w:kern w:val="21"/>
          <w:szCs w:val="24"/>
        </w:rPr>
        <w:t>月</w:t>
      </w:r>
      <w:r>
        <w:rPr>
          <w:rFonts w:cs="Times New Roman"/>
          <w:kern w:val="21"/>
          <w:szCs w:val="24"/>
        </w:rPr>
        <w:t>24</w:t>
      </w:r>
      <w:r>
        <w:rPr>
          <w:rFonts w:cs="Times New Roman"/>
          <w:kern w:val="21"/>
          <w:szCs w:val="24"/>
        </w:rPr>
        <w:t>日通过，</w:t>
      </w:r>
      <w:r>
        <w:rPr>
          <w:rFonts w:cs="Times New Roman"/>
          <w:kern w:val="21"/>
          <w:szCs w:val="24"/>
        </w:rPr>
        <w:t>20</w:t>
      </w:r>
      <w:r>
        <w:rPr>
          <w:rFonts w:cs="Times New Roman" w:hint="eastAsia"/>
          <w:kern w:val="21"/>
          <w:szCs w:val="24"/>
        </w:rPr>
        <w:t>21</w:t>
      </w:r>
      <w:r>
        <w:rPr>
          <w:rFonts w:cs="Times New Roman"/>
          <w:kern w:val="21"/>
          <w:szCs w:val="24"/>
        </w:rPr>
        <w:t>年</w:t>
      </w:r>
      <w:r>
        <w:rPr>
          <w:rFonts w:cs="Times New Roman"/>
          <w:kern w:val="21"/>
          <w:szCs w:val="24"/>
        </w:rPr>
        <w:t>1</w:t>
      </w:r>
      <w:r>
        <w:rPr>
          <w:rFonts w:cs="Times New Roman" w:hint="eastAsia"/>
          <w:kern w:val="21"/>
          <w:szCs w:val="24"/>
        </w:rPr>
        <w:t>2</w:t>
      </w:r>
      <w:r>
        <w:rPr>
          <w:rFonts w:cs="Times New Roman"/>
          <w:kern w:val="21"/>
          <w:szCs w:val="24"/>
        </w:rPr>
        <w:t>月</w:t>
      </w:r>
      <w:r>
        <w:rPr>
          <w:rFonts w:cs="Times New Roman" w:hint="eastAsia"/>
          <w:kern w:val="21"/>
          <w:szCs w:val="24"/>
        </w:rPr>
        <w:t>24</w:t>
      </w:r>
      <w:r>
        <w:rPr>
          <w:rFonts w:cs="Times New Roman"/>
          <w:kern w:val="21"/>
          <w:szCs w:val="24"/>
        </w:rPr>
        <w:t>日起施行）；</w:t>
      </w:r>
    </w:p>
    <w:p w14:paraId="0ECCE8AA"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《中华人民共和国固体废物污染环境防治法》（</w:t>
      </w:r>
      <w:r>
        <w:rPr>
          <w:rFonts w:cs="Times New Roman"/>
          <w:kern w:val="21"/>
          <w:szCs w:val="24"/>
        </w:rPr>
        <w:t>2020</w:t>
      </w:r>
      <w:r>
        <w:rPr>
          <w:rFonts w:cs="Times New Roman"/>
          <w:kern w:val="21"/>
          <w:szCs w:val="24"/>
        </w:rPr>
        <w:t>年</w:t>
      </w:r>
      <w:r>
        <w:rPr>
          <w:rFonts w:cs="Times New Roman"/>
          <w:kern w:val="21"/>
          <w:szCs w:val="24"/>
        </w:rPr>
        <w:t>4</w:t>
      </w:r>
      <w:r>
        <w:rPr>
          <w:rFonts w:cs="Times New Roman"/>
          <w:kern w:val="21"/>
          <w:szCs w:val="24"/>
        </w:rPr>
        <w:t>月</w:t>
      </w:r>
      <w:r>
        <w:rPr>
          <w:rFonts w:cs="Times New Roman"/>
          <w:kern w:val="21"/>
          <w:szCs w:val="24"/>
        </w:rPr>
        <w:t>29</w:t>
      </w:r>
      <w:r>
        <w:rPr>
          <w:rFonts w:cs="Times New Roman"/>
          <w:kern w:val="21"/>
          <w:szCs w:val="24"/>
        </w:rPr>
        <w:t>日修订，</w:t>
      </w:r>
      <w:r>
        <w:rPr>
          <w:rFonts w:cs="Times New Roman"/>
          <w:kern w:val="21"/>
          <w:szCs w:val="24"/>
        </w:rPr>
        <w:t>2020</w:t>
      </w:r>
      <w:r>
        <w:rPr>
          <w:rFonts w:cs="Times New Roman"/>
          <w:kern w:val="21"/>
          <w:szCs w:val="24"/>
        </w:rPr>
        <w:t>年</w:t>
      </w:r>
      <w:r>
        <w:rPr>
          <w:rFonts w:cs="Times New Roman"/>
          <w:kern w:val="21"/>
          <w:szCs w:val="24"/>
        </w:rPr>
        <w:t>9</w:t>
      </w:r>
      <w:r>
        <w:rPr>
          <w:rFonts w:cs="Times New Roman"/>
          <w:kern w:val="21"/>
          <w:szCs w:val="24"/>
        </w:rPr>
        <w:t>月</w:t>
      </w:r>
      <w:r>
        <w:rPr>
          <w:rFonts w:cs="Times New Roman"/>
          <w:kern w:val="21"/>
          <w:szCs w:val="24"/>
        </w:rPr>
        <w:t>1</w:t>
      </w:r>
      <w:r>
        <w:rPr>
          <w:rFonts w:cs="Times New Roman"/>
          <w:kern w:val="21"/>
          <w:szCs w:val="24"/>
        </w:rPr>
        <w:t>日起施行）；</w:t>
      </w:r>
    </w:p>
    <w:p w14:paraId="6606862A"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《中华人民共和国清洁生产促进法》（</w:t>
      </w:r>
      <w:r>
        <w:rPr>
          <w:rFonts w:cs="Times New Roman"/>
          <w:kern w:val="21"/>
          <w:szCs w:val="24"/>
        </w:rPr>
        <w:t>2012</w:t>
      </w:r>
      <w:r>
        <w:rPr>
          <w:rFonts w:cs="Times New Roman"/>
          <w:kern w:val="21"/>
          <w:szCs w:val="24"/>
        </w:rPr>
        <w:t>年</w:t>
      </w:r>
      <w:r>
        <w:rPr>
          <w:rFonts w:cs="Times New Roman"/>
          <w:kern w:val="21"/>
          <w:szCs w:val="24"/>
        </w:rPr>
        <w:t>2</w:t>
      </w:r>
      <w:r>
        <w:rPr>
          <w:rFonts w:cs="Times New Roman"/>
          <w:kern w:val="21"/>
          <w:szCs w:val="24"/>
        </w:rPr>
        <w:t>月</w:t>
      </w:r>
      <w:r>
        <w:rPr>
          <w:rFonts w:cs="Times New Roman"/>
          <w:kern w:val="21"/>
          <w:szCs w:val="24"/>
        </w:rPr>
        <w:t>29</w:t>
      </w:r>
      <w:r>
        <w:rPr>
          <w:rFonts w:cs="Times New Roman"/>
          <w:kern w:val="21"/>
          <w:szCs w:val="24"/>
        </w:rPr>
        <w:t>日修正，</w:t>
      </w:r>
      <w:r>
        <w:rPr>
          <w:rFonts w:cs="Times New Roman"/>
          <w:kern w:val="21"/>
          <w:szCs w:val="24"/>
        </w:rPr>
        <w:t>2012</w:t>
      </w:r>
      <w:r>
        <w:rPr>
          <w:rFonts w:cs="Times New Roman"/>
          <w:kern w:val="21"/>
          <w:szCs w:val="24"/>
        </w:rPr>
        <w:t>年</w:t>
      </w:r>
      <w:r>
        <w:rPr>
          <w:rFonts w:cs="Times New Roman"/>
          <w:kern w:val="21"/>
          <w:szCs w:val="24"/>
        </w:rPr>
        <w:t>7</w:t>
      </w:r>
      <w:r>
        <w:rPr>
          <w:rFonts w:cs="Times New Roman"/>
          <w:kern w:val="21"/>
          <w:szCs w:val="24"/>
        </w:rPr>
        <w:t>月</w:t>
      </w:r>
      <w:r>
        <w:rPr>
          <w:rFonts w:cs="Times New Roman"/>
          <w:kern w:val="21"/>
          <w:szCs w:val="24"/>
        </w:rPr>
        <w:t>1</w:t>
      </w:r>
      <w:r>
        <w:rPr>
          <w:rFonts w:cs="Times New Roman"/>
          <w:kern w:val="21"/>
          <w:szCs w:val="24"/>
        </w:rPr>
        <w:t>日起施行）；</w:t>
      </w:r>
    </w:p>
    <w:p w14:paraId="2355F33E"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《中华人民共和国水法》（</w:t>
      </w:r>
      <w:r>
        <w:rPr>
          <w:rFonts w:cs="Times New Roman"/>
          <w:kern w:val="21"/>
          <w:szCs w:val="24"/>
        </w:rPr>
        <w:t>2016</w:t>
      </w:r>
      <w:r>
        <w:rPr>
          <w:rFonts w:cs="Times New Roman"/>
          <w:kern w:val="21"/>
          <w:szCs w:val="24"/>
        </w:rPr>
        <w:t>年</w:t>
      </w:r>
      <w:r>
        <w:rPr>
          <w:rFonts w:cs="Times New Roman"/>
          <w:kern w:val="21"/>
          <w:szCs w:val="24"/>
        </w:rPr>
        <w:t>7</w:t>
      </w:r>
      <w:r>
        <w:rPr>
          <w:rFonts w:cs="Times New Roman"/>
          <w:kern w:val="21"/>
          <w:szCs w:val="24"/>
        </w:rPr>
        <w:t>月</w:t>
      </w:r>
      <w:r>
        <w:rPr>
          <w:rFonts w:cs="Times New Roman"/>
          <w:kern w:val="21"/>
          <w:szCs w:val="24"/>
        </w:rPr>
        <w:t>2</w:t>
      </w:r>
      <w:r>
        <w:rPr>
          <w:rFonts w:cs="Times New Roman"/>
          <w:kern w:val="21"/>
          <w:szCs w:val="24"/>
        </w:rPr>
        <w:t>日第二次修正）；</w:t>
      </w:r>
    </w:p>
    <w:p w14:paraId="33616046"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《中华人民共和国土地管理法》（</w:t>
      </w:r>
      <w:r>
        <w:rPr>
          <w:rFonts w:cs="Times New Roman"/>
          <w:kern w:val="21"/>
          <w:szCs w:val="24"/>
        </w:rPr>
        <w:t>2019</w:t>
      </w:r>
      <w:r>
        <w:rPr>
          <w:rFonts w:cs="Times New Roman"/>
          <w:kern w:val="21"/>
          <w:szCs w:val="24"/>
        </w:rPr>
        <w:t>年</w:t>
      </w:r>
      <w:r>
        <w:rPr>
          <w:rFonts w:cs="Times New Roman"/>
          <w:kern w:val="21"/>
          <w:szCs w:val="24"/>
        </w:rPr>
        <w:t>8</w:t>
      </w:r>
      <w:r>
        <w:rPr>
          <w:rFonts w:cs="Times New Roman"/>
          <w:kern w:val="21"/>
          <w:szCs w:val="24"/>
        </w:rPr>
        <w:t>月</w:t>
      </w:r>
      <w:r>
        <w:rPr>
          <w:rFonts w:cs="Times New Roman"/>
          <w:kern w:val="21"/>
          <w:szCs w:val="24"/>
        </w:rPr>
        <w:t>26</w:t>
      </w:r>
      <w:r>
        <w:rPr>
          <w:rFonts w:cs="Times New Roman"/>
          <w:kern w:val="21"/>
          <w:szCs w:val="24"/>
        </w:rPr>
        <w:t>日第三次修正，</w:t>
      </w:r>
      <w:r>
        <w:rPr>
          <w:rFonts w:cs="Times New Roman"/>
          <w:kern w:val="21"/>
          <w:szCs w:val="24"/>
        </w:rPr>
        <w:t>2020</w:t>
      </w:r>
      <w:r>
        <w:rPr>
          <w:rFonts w:cs="Times New Roman"/>
          <w:kern w:val="21"/>
          <w:szCs w:val="24"/>
        </w:rPr>
        <w:t>年</w:t>
      </w:r>
      <w:r>
        <w:rPr>
          <w:rFonts w:cs="Times New Roman"/>
          <w:kern w:val="21"/>
          <w:szCs w:val="24"/>
        </w:rPr>
        <w:t>1</w:t>
      </w:r>
      <w:r>
        <w:rPr>
          <w:rFonts w:cs="Times New Roman"/>
          <w:kern w:val="21"/>
          <w:szCs w:val="24"/>
        </w:rPr>
        <w:t>月</w:t>
      </w:r>
      <w:r>
        <w:rPr>
          <w:rFonts w:cs="Times New Roman"/>
          <w:kern w:val="21"/>
          <w:szCs w:val="24"/>
        </w:rPr>
        <w:t>1</w:t>
      </w:r>
      <w:r>
        <w:rPr>
          <w:rFonts w:cs="Times New Roman"/>
          <w:kern w:val="21"/>
          <w:szCs w:val="24"/>
        </w:rPr>
        <w:t>日起施行）；</w:t>
      </w:r>
    </w:p>
    <w:p w14:paraId="39B73399"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《中华人民共和国水土保持法》（</w:t>
      </w:r>
      <w:r>
        <w:rPr>
          <w:rFonts w:cs="Times New Roman"/>
          <w:kern w:val="21"/>
          <w:szCs w:val="24"/>
        </w:rPr>
        <w:t>2010</w:t>
      </w:r>
      <w:r>
        <w:rPr>
          <w:rFonts w:cs="Times New Roman"/>
          <w:kern w:val="21"/>
          <w:szCs w:val="24"/>
        </w:rPr>
        <w:t>年</w:t>
      </w:r>
      <w:r>
        <w:rPr>
          <w:rFonts w:cs="Times New Roman"/>
          <w:kern w:val="21"/>
          <w:szCs w:val="24"/>
        </w:rPr>
        <w:t>12</w:t>
      </w:r>
      <w:r>
        <w:rPr>
          <w:rFonts w:cs="Times New Roman"/>
          <w:kern w:val="21"/>
          <w:szCs w:val="24"/>
        </w:rPr>
        <w:t>月</w:t>
      </w:r>
      <w:r>
        <w:rPr>
          <w:rFonts w:cs="Times New Roman"/>
          <w:kern w:val="21"/>
          <w:szCs w:val="24"/>
        </w:rPr>
        <w:t>25</w:t>
      </w:r>
      <w:r>
        <w:rPr>
          <w:rFonts w:cs="Times New Roman"/>
          <w:kern w:val="21"/>
          <w:szCs w:val="24"/>
        </w:rPr>
        <w:t>日修订，</w:t>
      </w:r>
      <w:r>
        <w:rPr>
          <w:rFonts w:cs="Times New Roman"/>
          <w:kern w:val="21"/>
          <w:szCs w:val="24"/>
        </w:rPr>
        <w:t>2011</w:t>
      </w:r>
      <w:r>
        <w:rPr>
          <w:rFonts w:cs="Times New Roman"/>
          <w:kern w:val="21"/>
          <w:szCs w:val="24"/>
        </w:rPr>
        <w:t>年</w:t>
      </w:r>
      <w:r>
        <w:rPr>
          <w:rFonts w:cs="Times New Roman"/>
          <w:kern w:val="21"/>
          <w:szCs w:val="24"/>
        </w:rPr>
        <w:t>3</w:t>
      </w:r>
      <w:r>
        <w:rPr>
          <w:rFonts w:cs="Times New Roman"/>
          <w:kern w:val="21"/>
          <w:szCs w:val="24"/>
        </w:rPr>
        <w:t>月</w:t>
      </w:r>
      <w:r>
        <w:rPr>
          <w:rFonts w:cs="Times New Roman"/>
          <w:kern w:val="21"/>
          <w:szCs w:val="24"/>
        </w:rPr>
        <w:t>1</w:t>
      </w:r>
      <w:r>
        <w:rPr>
          <w:rFonts w:cs="Times New Roman"/>
          <w:kern w:val="21"/>
          <w:szCs w:val="24"/>
        </w:rPr>
        <w:t>日起施行）；</w:t>
      </w:r>
    </w:p>
    <w:p w14:paraId="44434A13"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《中华人民共和国节约能源法》（</w:t>
      </w:r>
      <w:r>
        <w:rPr>
          <w:rFonts w:cs="Times New Roman"/>
          <w:kern w:val="21"/>
          <w:szCs w:val="24"/>
        </w:rPr>
        <w:t>2018</w:t>
      </w:r>
      <w:r>
        <w:rPr>
          <w:rFonts w:cs="Times New Roman"/>
          <w:kern w:val="21"/>
          <w:szCs w:val="24"/>
        </w:rPr>
        <w:t>年</w:t>
      </w:r>
      <w:r>
        <w:rPr>
          <w:rFonts w:cs="Times New Roman"/>
          <w:kern w:val="21"/>
          <w:szCs w:val="24"/>
        </w:rPr>
        <w:t>10</w:t>
      </w:r>
      <w:r>
        <w:rPr>
          <w:rFonts w:cs="Times New Roman"/>
          <w:kern w:val="21"/>
          <w:szCs w:val="24"/>
        </w:rPr>
        <w:t>月</w:t>
      </w:r>
      <w:r>
        <w:rPr>
          <w:rFonts w:cs="Times New Roman"/>
          <w:kern w:val="21"/>
          <w:szCs w:val="24"/>
        </w:rPr>
        <w:t>26</w:t>
      </w:r>
      <w:r>
        <w:rPr>
          <w:rFonts w:cs="Times New Roman"/>
          <w:kern w:val="21"/>
          <w:szCs w:val="24"/>
        </w:rPr>
        <w:t>日第二次修正）；</w:t>
      </w:r>
    </w:p>
    <w:p w14:paraId="647D9E68"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《中华人民共和国循环经济促进法》（</w:t>
      </w:r>
      <w:r>
        <w:rPr>
          <w:rFonts w:cs="Times New Roman"/>
          <w:kern w:val="21"/>
          <w:szCs w:val="24"/>
        </w:rPr>
        <w:t>2018</w:t>
      </w:r>
      <w:r>
        <w:rPr>
          <w:rFonts w:cs="Times New Roman"/>
          <w:kern w:val="21"/>
          <w:szCs w:val="24"/>
        </w:rPr>
        <w:t>年</w:t>
      </w:r>
      <w:r>
        <w:rPr>
          <w:rFonts w:cs="Times New Roman"/>
          <w:kern w:val="21"/>
          <w:szCs w:val="24"/>
        </w:rPr>
        <w:t>10</w:t>
      </w:r>
      <w:r>
        <w:rPr>
          <w:rFonts w:cs="Times New Roman"/>
          <w:kern w:val="21"/>
          <w:szCs w:val="24"/>
        </w:rPr>
        <w:t>月</w:t>
      </w:r>
      <w:r>
        <w:rPr>
          <w:rFonts w:cs="Times New Roman"/>
          <w:kern w:val="21"/>
          <w:szCs w:val="24"/>
        </w:rPr>
        <w:t>26</w:t>
      </w:r>
      <w:r>
        <w:rPr>
          <w:rFonts w:cs="Times New Roman"/>
          <w:kern w:val="21"/>
          <w:szCs w:val="24"/>
        </w:rPr>
        <w:t>日修正）</w:t>
      </w:r>
      <w:r>
        <w:rPr>
          <w:rFonts w:cs="Times New Roman" w:hint="eastAsia"/>
          <w:kern w:val="21"/>
          <w:szCs w:val="24"/>
        </w:rPr>
        <w:t>；</w:t>
      </w:r>
    </w:p>
    <w:p w14:paraId="4232DE03" w14:textId="77777777" w:rsidR="00544649" w:rsidRDefault="00000000">
      <w:pPr>
        <w:numPr>
          <w:ilvl w:val="0"/>
          <w:numId w:val="10"/>
        </w:numPr>
        <w:adjustRightInd w:val="0"/>
        <w:snapToGrid w:val="0"/>
        <w:spacing w:after="0"/>
        <w:ind w:firstLine="480"/>
        <w:rPr>
          <w:rFonts w:cs="Times New Roman"/>
          <w:kern w:val="21"/>
          <w:szCs w:val="24"/>
        </w:rPr>
      </w:pPr>
      <w:r>
        <w:rPr>
          <w:rFonts w:ascii="宋体" w:hAnsi="宋体" w:cs="宋体" w:hint="eastAsia"/>
          <w:kern w:val="21"/>
          <w:szCs w:val="24"/>
        </w:rPr>
        <w:t>《</w:t>
      </w:r>
      <w:r>
        <w:rPr>
          <w:rStyle w:val="afd"/>
          <w:rFonts w:ascii="宋体" w:hAnsi="宋体" w:cs="宋体" w:hint="eastAsia"/>
          <w:b w:val="0"/>
          <w:kern w:val="21"/>
          <w:szCs w:val="24"/>
          <w:shd w:val="clear" w:color="auto" w:fill="FFFFFF"/>
        </w:rPr>
        <w:t>动物防疫条件审查办法</w:t>
      </w:r>
      <w:r>
        <w:rPr>
          <w:rFonts w:ascii="宋体" w:hAnsi="宋体" w:cs="宋体" w:hint="eastAsia"/>
          <w:kern w:val="21"/>
          <w:szCs w:val="24"/>
        </w:rPr>
        <w:t>》</w:t>
      </w:r>
      <w:r>
        <w:rPr>
          <w:rFonts w:cs="Times New Roman" w:hint="eastAsia"/>
          <w:kern w:val="21"/>
          <w:szCs w:val="24"/>
        </w:rPr>
        <w:t>（</w:t>
      </w:r>
      <w:r>
        <w:rPr>
          <w:rFonts w:cs="Times New Roman"/>
          <w:kern w:val="21"/>
          <w:szCs w:val="24"/>
        </w:rPr>
        <w:t>2022</w:t>
      </w:r>
      <w:r>
        <w:rPr>
          <w:rFonts w:cs="Times New Roman"/>
          <w:kern w:val="21"/>
          <w:szCs w:val="24"/>
        </w:rPr>
        <w:t>年</w:t>
      </w:r>
      <w:r>
        <w:rPr>
          <w:rFonts w:cs="Times New Roman"/>
          <w:kern w:val="21"/>
          <w:szCs w:val="24"/>
        </w:rPr>
        <w:t>9</w:t>
      </w:r>
      <w:r>
        <w:rPr>
          <w:rFonts w:cs="Times New Roman"/>
          <w:kern w:val="21"/>
          <w:szCs w:val="24"/>
        </w:rPr>
        <w:t>月</w:t>
      </w:r>
      <w:r>
        <w:rPr>
          <w:rFonts w:cs="Times New Roman"/>
          <w:kern w:val="21"/>
          <w:szCs w:val="24"/>
        </w:rPr>
        <w:t>7</w:t>
      </w:r>
      <w:r>
        <w:rPr>
          <w:rFonts w:cs="Times New Roman"/>
          <w:kern w:val="21"/>
          <w:szCs w:val="24"/>
        </w:rPr>
        <w:t>日农业农村部第</w:t>
      </w:r>
      <w:r>
        <w:rPr>
          <w:rFonts w:cs="Times New Roman"/>
          <w:kern w:val="21"/>
          <w:szCs w:val="24"/>
        </w:rPr>
        <w:t>8</w:t>
      </w:r>
      <w:r>
        <w:rPr>
          <w:rFonts w:cs="Times New Roman"/>
          <w:kern w:val="21"/>
          <w:szCs w:val="24"/>
        </w:rPr>
        <w:t>号令</w:t>
      </w:r>
      <w:r>
        <w:rPr>
          <w:rFonts w:cs="Times New Roman" w:hint="eastAsia"/>
          <w:kern w:val="21"/>
          <w:szCs w:val="24"/>
        </w:rPr>
        <w:t>）</w:t>
      </w:r>
      <w:r>
        <w:rPr>
          <w:rFonts w:cs="Times New Roman"/>
          <w:kern w:val="21"/>
          <w:szCs w:val="24"/>
        </w:rPr>
        <w:t>；</w:t>
      </w:r>
    </w:p>
    <w:p w14:paraId="347BF7F3"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《建设项目环境保护管理条例》（</w:t>
      </w:r>
      <w:r>
        <w:rPr>
          <w:rFonts w:cs="Times New Roman"/>
          <w:kern w:val="21"/>
          <w:szCs w:val="24"/>
        </w:rPr>
        <w:t>2017</w:t>
      </w:r>
      <w:r>
        <w:rPr>
          <w:rFonts w:cs="Times New Roman"/>
          <w:kern w:val="21"/>
          <w:szCs w:val="24"/>
        </w:rPr>
        <w:t>年</w:t>
      </w:r>
      <w:r>
        <w:rPr>
          <w:rFonts w:cs="Times New Roman"/>
          <w:kern w:val="21"/>
          <w:szCs w:val="24"/>
        </w:rPr>
        <w:t>7</w:t>
      </w:r>
      <w:r>
        <w:rPr>
          <w:rFonts w:cs="Times New Roman"/>
          <w:kern w:val="21"/>
          <w:szCs w:val="24"/>
        </w:rPr>
        <w:t>月</w:t>
      </w:r>
      <w:r>
        <w:rPr>
          <w:rFonts w:cs="Times New Roman"/>
          <w:kern w:val="21"/>
          <w:szCs w:val="24"/>
        </w:rPr>
        <w:t>16</w:t>
      </w:r>
      <w:r>
        <w:rPr>
          <w:rFonts w:cs="Times New Roman"/>
          <w:kern w:val="21"/>
          <w:szCs w:val="24"/>
        </w:rPr>
        <w:t>日修订</w:t>
      </w:r>
      <w:r>
        <w:rPr>
          <w:rFonts w:cs="Times New Roman" w:hint="eastAsia"/>
          <w:kern w:val="21"/>
          <w:szCs w:val="24"/>
        </w:rPr>
        <w:t>，</w:t>
      </w:r>
      <w:r>
        <w:rPr>
          <w:rFonts w:cs="Times New Roman"/>
          <w:kern w:val="21"/>
          <w:szCs w:val="24"/>
        </w:rPr>
        <w:t>201</w:t>
      </w:r>
      <w:r>
        <w:rPr>
          <w:rFonts w:cs="Times New Roman" w:hint="eastAsia"/>
          <w:kern w:val="21"/>
          <w:szCs w:val="24"/>
        </w:rPr>
        <w:t>7</w:t>
      </w:r>
      <w:r>
        <w:rPr>
          <w:rFonts w:cs="Times New Roman"/>
          <w:kern w:val="21"/>
          <w:szCs w:val="24"/>
        </w:rPr>
        <w:t>年</w:t>
      </w:r>
      <w:r>
        <w:rPr>
          <w:rFonts w:cs="Times New Roman" w:hint="eastAsia"/>
          <w:kern w:val="21"/>
          <w:szCs w:val="24"/>
        </w:rPr>
        <w:t>10</w:t>
      </w:r>
      <w:r>
        <w:rPr>
          <w:rFonts w:cs="Times New Roman"/>
          <w:kern w:val="21"/>
          <w:szCs w:val="24"/>
        </w:rPr>
        <w:t>月</w:t>
      </w:r>
      <w:r>
        <w:rPr>
          <w:rFonts w:cs="Times New Roman"/>
          <w:kern w:val="21"/>
          <w:szCs w:val="24"/>
        </w:rPr>
        <w:t>1</w:t>
      </w:r>
      <w:r>
        <w:rPr>
          <w:rFonts w:cs="Times New Roman"/>
          <w:kern w:val="21"/>
          <w:szCs w:val="24"/>
        </w:rPr>
        <w:t>日起施行）；</w:t>
      </w:r>
    </w:p>
    <w:p w14:paraId="12E3FD79"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《危险化学品安全管理条例》（</w:t>
      </w:r>
      <w:r>
        <w:rPr>
          <w:rFonts w:cs="Times New Roman"/>
          <w:kern w:val="21"/>
          <w:szCs w:val="24"/>
        </w:rPr>
        <w:t>2013</w:t>
      </w:r>
      <w:r>
        <w:rPr>
          <w:rFonts w:cs="Times New Roman"/>
          <w:kern w:val="21"/>
          <w:szCs w:val="24"/>
        </w:rPr>
        <w:t>年</w:t>
      </w:r>
      <w:r>
        <w:rPr>
          <w:rFonts w:cs="Times New Roman"/>
          <w:kern w:val="21"/>
          <w:szCs w:val="24"/>
        </w:rPr>
        <w:t>12</w:t>
      </w:r>
      <w:r>
        <w:rPr>
          <w:rFonts w:cs="Times New Roman"/>
          <w:kern w:val="21"/>
          <w:szCs w:val="24"/>
        </w:rPr>
        <w:t>月</w:t>
      </w:r>
      <w:r>
        <w:rPr>
          <w:rFonts w:cs="Times New Roman"/>
          <w:kern w:val="21"/>
          <w:szCs w:val="24"/>
        </w:rPr>
        <w:t>7</w:t>
      </w:r>
      <w:r>
        <w:rPr>
          <w:rFonts w:cs="Times New Roman"/>
          <w:kern w:val="21"/>
          <w:szCs w:val="24"/>
        </w:rPr>
        <w:t>日修订）；</w:t>
      </w:r>
    </w:p>
    <w:p w14:paraId="4F7FB66A"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《国务院关于落实科学发展观加强环境保护的决定》（国发〔</w:t>
      </w:r>
      <w:r>
        <w:rPr>
          <w:rFonts w:cs="Times New Roman"/>
          <w:kern w:val="21"/>
          <w:szCs w:val="24"/>
        </w:rPr>
        <w:t>2005</w:t>
      </w:r>
      <w:r>
        <w:rPr>
          <w:rFonts w:cs="Times New Roman"/>
          <w:kern w:val="21"/>
          <w:szCs w:val="24"/>
        </w:rPr>
        <w:t>〕</w:t>
      </w:r>
      <w:r>
        <w:rPr>
          <w:rFonts w:cs="Times New Roman"/>
          <w:kern w:val="21"/>
          <w:szCs w:val="24"/>
        </w:rPr>
        <w:t>39</w:t>
      </w:r>
      <w:r>
        <w:rPr>
          <w:rFonts w:cs="Times New Roman"/>
          <w:kern w:val="21"/>
          <w:szCs w:val="24"/>
        </w:rPr>
        <w:t>号）；</w:t>
      </w:r>
    </w:p>
    <w:p w14:paraId="7185E7D5"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《国务院关于加强环境保护重点工作的意见》（国发〔</w:t>
      </w:r>
      <w:r>
        <w:rPr>
          <w:rFonts w:cs="Times New Roman"/>
          <w:kern w:val="21"/>
          <w:szCs w:val="24"/>
        </w:rPr>
        <w:t>2011</w:t>
      </w:r>
      <w:r>
        <w:rPr>
          <w:rFonts w:cs="Times New Roman"/>
          <w:kern w:val="21"/>
          <w:szCs w:val="24"/>
        </w:rPr>
        <w:t>〕</w:t>
      </w:r>
      <w:r>
        <w:rPr>
          <w:rFonts w:cs="Times New Roman"/>
          <w:kern w:val="21"/>
          <w:szCs w:val="24"/>
        </w:rPr>
        <w:t>35</w:t>
      </w:r>
      <w:r>
        <w:rPr>
          <w:rFonts w:cs="Times New Roman"/>
          <w:kern w:val="21"/>
          <w:szCs w:val="24"/>
        </w:rPr>
        <w:t>号）；</w:t>
      </w:r>
    </w:p>
    <w:p w14:paraId="391BC2BA"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《大气污染防治行动计划》（国发〔</w:t>
      </w:r>
      <w:r>
        <w:rPr>
          <w:rFonts w:cs="Times New Roman"/>
          <w:kern w:val="21"/>
          <w:szCs w:val="24"/>
        </w:rPr>
        <w:t>2013</w:t>
      </w:r>
      <w:r>
        <w:rPr>
          <w:rFonts w:cs="Times New Roman"/>
          <w:kern w:val="21"/>
          <w:szCs w:val="24"/>
        </w:rPr>
        <w:t>〕</w:t>
      </w:r>
      <w:r>
        <w:rPr>
          <w:rFonts w:cs="Times New Roman"/>
          <w:kern w:val="21"/>
          <w:szCs w:val="24"/>
        </w:rPr>
        <w:t>37</w:t>
      </w:r>
      <w:r>
        <w:rPr>
          <w:rFonts w:cs="Times New Roman"/>
          <w:kern w:val="21"/>
          <w:szCs w:val="24"/>
        </w:rPr>
        <w:t>号）；</w:t>
      </w:r>
    </w:p>
    <w:p w14:paraId="790A2638"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lastRenderedPageBreak/>
        <w:t>《国务院关于印发水污染防治行动计划的通知》（国发〔</w:t>
      </w:r>
      <w:r>
        <w:rPr>
          <w:rFonts w:cs="Times New Roman"/>
          <w:kern w:val="21"/>
          <w:szCs w:val="24"/>
        </w:rPr>
        <w:t>2015</w:t>
      </w:r>
      <w:r>
        <w:rPr>
          <w:rFonts w:cs="Times New Roman"/>
          <w:kern w:val="21"/>
          <w:szCs w:val="24"/>
        </w:rPr>
        <w:t>〕</w:t>
      </w:r>
      <w:r>
        <w:rPr>
          <w:rFonts w:cs="Times New Roman"/>
          <w:kern w:val="21"/>
          <w:szCs w:val="24"/>
        </w:rPr>
        <w:t>17</w:t>
      </w:r>
      <w:r>
        <w:rPr>
          <w:rFonts w:cs="Times New Roman"/>
          <w:kern w:val="21"/>
          <w:szCs w:val="24"/>
        </w:rPr>
        <w:t>号）；</w:t>
      </w:r>
    </w:p>
    <w:p w14:paraId="15692B95"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《国务院关于印发土壤污染防治行动计划的通知》（国发〔</w:t>
      </w:r>
      <w:r>
        <w:rPr>
          <w:rFonts w:cs="Times New Roman"/>
          <w:kern w:val="21"/>
          <w:szCs w:val="24"/>
        </w:rPr>
        <w:t>2016</w:t>
      </w:r>
      <w:r>
        <w:rPr>
          <w:rFonts w:cs="Times New Roman"/>
          <w:kern w:val="21"/>
          <w:szCs w:val="24"/>
        </w:rPr>
        <w:t>〕</w:t>
      </w:r>
      <w:r>
        <w:rPr>
          <w:rFonts w:cs="Times New Roman"/>
          <w:kern w:val="21"/>
          <w:szCs w:val="24"/>
        </w:rPr>
        <w:t>31</w:t>
      </w:r>
      <w:r>
        <w:rPr>
          <w:rFonts w:cs="Times New Roman"/>
          <w:kern w:val="21"/>
          <w:szCs w:val="24"/>
        </w:rPr>
        <w:t>号）；</w:t>
      </w:r>
    </w:p>
    <w:p w14:paraId="7EB9A2B4"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《关于印发〈建设项目主要污染物排放总量指标审核及管理暂行办法〉的通知》（环发〔</w:t>
      </w:r>
      <w:r>
        <w:rPr>
          <w:rFonts w:cs="Times New Roman"/>
          <w:kern w:val="21"/>
          <w:szCs w:val="24"/>
        </w:rPr>
        <w:t>2014</w:t>
      </w:r>
      <w:r>
        <w:rPr>
          <w:rFonts w:cs="Times New Roman"/>
          <w:kern w:val="21"/>
          <w:szCs w:val="24"/>
        </w:rPr>
        <w:t>〕</w:t>
      </w:r>
      <w:r>
        <w:rPr>
          <w:rFonts w:cs="Times New Roman"/>
          <w:kern w:val="21"/>
          <w:szCs w:val="24"/>
        </w:rPr>
        <w:t>197</w:t>
      </w:r>
      <w:r>
        <w:rPr>
          <w:rFonts w:cs="Times New Roman"/>
          <w:kern w:val="21"/>
          <w:szCs w:val="24"/>
        </w:rPr>
        <w:t>号）；</w:t>
      </w:r>
    </w:p>
    <w:p w14:paraId="32A3E0B5"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《关于全面加强生态环境保护坚决打好污染防治攻坚战的意见》（中共中央</w:t>
      </w:r>
      <w:r>
        <w:rPr>
          <w:rFonts w:cs="Times New Roman" w:hint="eastAsia"/>
          <w:kern w:val="21"/>
          <w:szCs w:val="24"/>
        </w:rPr>
        <w:t xml:space="preserve"> </w:t>
      </w:r>
      <w:r>
        <w:rPr>
          <w:rFonts w:cs="Times New Roman"/>
          <w:kern w:val="21"/>
          <w:szCs w:val="24"/>
        </w:rPr>
        <w:t>国务院</w:t>
      </w:r>
      <w:r>
        <w:rPr>
          <w:rFonts w:cs="Times New Roman"/>
          <w:kern w:val="21"/>
          <w:szCs w:val="24"/>
        </w:rPr>
        <w:t>2018</w:t>
      </w:r>
      <w:r>
        <w:rPr>
          <w:rFonts w:cs="Times New Roman"/>
          <w:kern w:val="21"/>
          <w:szCs w:val="24"/>
        </w:rPr>
        <w:t>年</w:t>
      </w:r>
      <w:r>
        <w:rPr>
          <w:rFonts w:cs="Times New Roman"/>
          <w:kern w:val="21"/>
          <w:szCs w:val="24"/>
        </w:rPr>
        <w:t>6</w:t>
      </w:r>
      <w:r>
        <w:rPr>
          <w:rFonts w:cs="Times New Roman"/>
          <w:kern w:val="21"/>
          <w:szCs w:val="24"/>
        </w:rPr>
        <w:t>月</w:t>
      </w:r>
      <w:r>
        <w:rPr>
          <w:rFonts w:cs="Times New Roman"/>
          <w:kern w:val="21"/>
          <w:szCs w:val="24"/>
        </w:rPr>
        <w:t>16</w:t>
      </w:r>
      <w:r>
        <w:rPr>
          <w:rFonts w:cs="Times New Roman"/>
          <w:kern w:val="21"/>
          <w:szCs w:val="24"/>
        </w:rPr>
        <w:t>日）；</w:t>
      </w:r>
    </w:p>
    <w:p w14:paraId="53F04968"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《中共中央</w:t>
      </w:r>
      <w:r>
        <w:rPr>
          <w:rFonts w:cs="Times New Roman" w:hint="eastAsia"/>
          <w:kern w:val="21"/>
          <w:szCs w:val="24"/>
        </w:rPr>
        <w:t xml:space="preserve"> </w:t>
      </w:r>
      <w:r>
        <w:rPr>
          <w:rFonts w:cs="Times New Roman"/>
          <w:kern w:val="21"/>
          <w:szCs w:val="24"/>
        </w:rPr>
        <w:t>国务院关于深入打好污染防治攻坚战的意见》（中共中央</w:t>
      </w:r>
      <w:r>
        <w:rPr>
          <w:rFonts w:cs="Times New Roman" w:hint="eastAsia"/>
          <w:kern w:val="21"/>
          <w:szCs w:val="24"/>
        </w:rPr>
        <w:t xml:space="preserve"> </w:t>
      </w:r>
      <w:r>
        <w:rPr>
          <w:rFonts w:cs="Times New Roman"/>
          <w:kern w:val="21"/>
          <w:szCs w:val="24"/>
        </w:rPr>
        <w:t>国务院</w:t>
      </w:r>
      <w:r>
        <w:rPr>
          <w:rFonts w:cs="Times New Roman"/>
          <w:kern w:val="21"/>
          <w:szCs w:val="24"/>
        </w:rPr>
        <w:t>2021</w:t>
      </w:r>
      <w:r>
        <w:rPr>
          <w:rFonts w:cs="Times New Roman"/>
          <w:kern w:val="21"/>
          <w:szCs w:val="24"/>
        </w:rPr>
        <w:t>年</w:t>
      </w:r>
      <w:r>
        <w:rPr>
          <w:rFonts w:cs="Times New Roman"/>
          <w:kern w:val="21"/>
          <w:szCs w:val="24"/>
        </w:rPr>
        <w:t>11</w:t>
      </w:r>
      <w:r>
        <w:rPr>
          <w:rFonts w:cs="Times New Roman"/>
          <w:kern w:val="21"/>
          <w:szCs w:val="24"/>
        </w:rPr>
        <w:t>月</w:t>
      </w:r>
      <w:r>
        <w:rPr>
          <w:rFonts w:cs="Times New Roman" w:hint="eastAsia"/>
          <w:kern w:val="21"/>
          <w:szCs w:val="24"/>
        </w:rPr>
        <w:t>2</w:t>
      </w:r>
      <w:r>
        <w:rPr>
          <w:rFonts w:cs="Times New Roman"/>
          <w:kern w:val="21"/>
          <w:szCs w:val="24"/>
        </w:rPr>
        <w:t>日）；</w:t>
      </w:r>
    </w:p>
    <w:p w14:paraId="443D09D3"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《环境影响评价公众参与办法》（</w:t>
      </w:r>
      <w:r>
        <w:rPr>
          <w:rFonts w:cs="Times New Roman"/>
          <w:kern w:val="21"/>
          <w:szCs w:val="24"/>
        </w:rPr>
        <w:t>2018</w:t>
      </w:r>
      <w:r>
        <w:rPr>
          <w:rFonts w:cs="Times New Roman"/>
          <w:kern w:val="21"/>
          <w:szCs w:val="24"/>
        </w:rPr>
        <w:t>年</w:t>
      </w:r>
      <w:r>
        <w:rPr>
          <w:rFonts w:cs="Times New Roman"/>
          <w:kern w:val="21"/>
          <w:szCs w:val="24"/>
        </w:rPr>
        <w:t>4</w:t>
      </w:r>
      <w:r>
        <w:rPr>
          <w:rFonts w:cs="Times New Roman"/>
          <w:kern w:val="21"/>
          <w:szCs w:val="24"/>
        </w:rPr>
        <w:t>月</w:t>
      </w:r>
      <w:r>
        <w:rPr>
          <w:rFonts w:cs="Times New Roman"/>
          <w:kern w:val="21"/>
          <w:szCs w:val="24"/>
        </w:rPr>
        <w:t>16</w:t>
      </w:r>
      <w:r>
        <w:rPr>
          <w:rFonts w:cs="Times New Roman"/>
          <w:kern w:val="21"/>
          <w:szCs w:val="24"/>
        </w:rPr>
        <w:t>日审议通过，</w:t>
      </w:r>
      <w:r>
        <w:rPr>
          <w:rFonts w:cs="Times New Roman"/>
          <w:kern w:val="21"/>
          <w:szCs w:val="24"/>
        </w:rPr>
        <w:t>2019</w:t>
      </w:r>
      <w:r>
        <w:rPr>
          <w:rFonts w:cs="Times New Roman"/>
          <w:kern w:val="21"/>
          <w:szCs w:val="24"/>
        </w:rPr>
        <w:t>年</w:t>
      </w:r>
      <w:r>
        <w:rPr>
          <w:rFonts w:cs="Times New Roman"/>
          <w:kern w:val="21"/>
          <w:szCs w:val="24"/>
        </w:rPr>
        <w:t>1</w:t>
      </w:r>
      <w:r>
        <w:rPr>
          <w:rFonts w:cs="Times New Roman"/>
          <w:kern w:val="21"/>
          <w:szCs w:val="24"/>
        </w:rPr>
        <w:t>月</w:t>
      </w:r>
      <w:r>
        <w:rPr>
          <w:rFonts w:cs="Times New Roman"/>
          <w:kern w:val="21"/>
          <w:szCs w:val="24"/>
        </w:rPr>
        <w:t>1</w:t>
      </w:r>
      <w:r>
        <w:rPr>
          <w:rFonts w:cs="Times New Roman"/>
          <w:kern w:val="21"/>
          <w:szCs w:val="24"/>
        </w:rPr>
        <w:t>日起施行）；</w:t>
      </w:r>
    </w:p>
    <w:p w14:paraId="74AEC4D5"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w:t>
      </w:r>
      <w:r>
        <w:rPr>
          <w:rFonts w:cs="Times New Roman" w:hint="eastAsia"/>
          <w:kern w:val="21"/>
          <w:szCs w:val="24"/>
        </w:rPr>
        <w:t>四川省生态环境厅</w:t>
      </w:r>
      <w:r>
        <w:rPr>
          <w:rFonts w:cs="Times New Roman"/>
          <w:kern w:val="21"/>
          <w:szCs w:val="24"/>
        </w:rPr>
        <w:t>关于</w:t>
      </w:r>
      <w:r>
        <w:rPr>
          <w:rFonts w:cs="Times New Roman" w:hint="eastAsia"/>
          <w:kern w:val="21"/>
          <w:szCs w:val="24"/>
        </w:rPr>
        <w:t>优化</w:t>
      </w:r>
      <w:r>
        <w:rPr>
          <w:rFonts w:cs="Times New Roman"/>
          <w:kern w:val="21"/>
          <w:szCs w:val="24"/>
        </w:rPr>
        <w:t>调整建设项目环境影响评价文件审批权限的公告》（</w:t>
      </w:r>
      <w:r>
        <w:rPr>
          <w:rFonts w:cs="Times New Roman"/>
          <w:kern w:val="21"/>
          <w:szCs w:val="24"/>
        </w:rPr>
        <w:t>20</w:t>
      </w:r>
      <w:r>
        <w:rPr>
          <w:rFonts w:cs="Times New Roman" w:hint="eastAsia"/>
          <w:kern w:val="21"/>
          <w:szCs w:val="24"/>
        </w:rPr>
        <w:t>23</w:t>
      </w:r>
      <w:r>
        <w:rPr>
          <w:rFonts w:cs="Times New Roman"/>
          <w:kern w:val="21"/>
          <w:szCs w:val="24"/>
        </w:rPr>
        <w:t>年</w:t>
      </w:r>
      <w:r>
        <w:rPr>
          <w:rFonts w:cs="Times New Roman" w:hint="eastAsia"/>
          <w:kern w:val="21"/>
          <w:szCs w:val="24"/>
        </w:rPr>
        <w:t>3</w:t>
      </w:r>
      <w:r>
        <w:rPr>
          <w:rFonts w:cs="Times New Roman" w:hint="eastAsia"/>
          <w:kern w:val="21"/>
          <w:szCs w:val="24"/>
        </w:rPr>
        <w:t>月</w:t>
      </w:r>
      <w:r>
        <w:rPr>
          <w:rFonts w:cs="Times New Roman" w:hint="eastAsia"/>
          <w:kern w:val="21"/>
          <w:szCs w:val="24"/>
        </w:rPr>
        <w:t>28</w:t>
      </w:r>
      <w:r>
        <w:rPr>
          <w:rFonts w:cs="Times New Roman" w:hint="eastAsia"/>
          <w:kern w:val="21"/>
          <w:szCs w:val="24"/>
        </w:rPr>
        <w:t>日</w:t>
      </w:r>
      <w:r>
        <w:rPr>
          <w:rFonts w:cs="Times New Roman"/>
          <w:kern w:val="21"/>
          <w:szCs w:val="24"/>
        </w:rPr>
        <w:t>）；</w:t>
      </w:r>
    </w:p>
    <w:p w14:paraId="6FC20FC5"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《关于进一步加强环境影响评价管理防范环境风险的通知》（环发〔</w:t>
      </w:r>
      <w:r>
        <w:rPr>
          <w:rFonts w:cs="Times New Roman"/>
          <w:kern w:val="21"/>
          <w:szCs w:val="24"/>
        </w:rPr>
        <w:t>2012</w:t>
      </w:r>
      <w:r>
        <w:rPr>
          <w:rFonts w:cs="Times New Roman"/>
          <w:kern w:val="21"/>
          <w:szCs w:val="24"/>
        </w:rPr>
        <w:t>〕</w:t>
      </w:r>
      <w:r>
        <w:rPr>
          <w:rFonts w:cs="Times New Roman"/>
          <w:kern w:val="21"/>
          <w:szCs w:val="24"/>
        </w:rPr>
        <w:t>77</w:t>
      </w:r>
      <w:r>
        <w:rPr>
          <w:rFonts w:cs="Times New Roman"/>
          <w:kern w:val="21"/>
          <w:szCs w:val="24"/>
        </w:rPr>
        <w:t>号）；</w:t>
      </w:r>
    </w:p>
    <w:p w14:paraId="02E3E418"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《关于切实加强环境影响评价监督管理工作的通知》（</w:t>
      </w:r>
      <w:proofErr w:type="gramStart"/>
      <w:r>
        <w:rPr>
          <w:rFonts w:cs="Times New Roman"/>
          <w:kern w:val="21"/>
          <w:szCs w:val="24"/>
        </w:rPr>
        <w:t>环办〔</w:t>
      </w:r>
      <w:r>
        <w:rPr>
          <w:rFonts w:cs="Times New Roman"/>
          <w:kern w:val="21"/>
          <w:szCs w:val="24"/>
        </w:rPr>
        <w:t>2013</w:t>
      </w:r>
      <w:r>
        <w:rPr>
          <w:rFonts w:cs="Times New Roman"/>
          <w:kern w:val="21"/>
          <w:szCs w:val="24"/>
        </w:rPr>
        <w:t>〕</w:t>
      </w:r>
      <w:proofErr w:type="gramEnd"/>
      <w:r>
        <w:rPr>
          <w:rFonts w:cs="Times New Roman"/>
          <w:kern w:val="21"/>
          <w:szCs w:val="24"/>
        </w:rPr>
        <w:t>104</w:t>
      </w:r>
      <w:r>
        <w:rPr>
          <w:rFonts w:cs="Times New Roman"/>
          <w:kern w:val="21"/>
          <w:szCs w:val="24"/>
        </w:rPr>
        <w:t>号）；</w:t>
      </w:r>
    </w:p>
    <w:p w14:paraId="7BB21301"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《关于落实大气污染防治行动计划严格环境影响评价准入的通知》（环发〔</w:t>
      </w:r>
      <w:r>
        <w:rPr>
          <w:rFonts w:cs="Times New Roman"/>
          <w:kern w:val="21"/>
          <w:szCs w:val="24"/>
        </w:rPr>
        <w:t>2014</w:t>
      </w:r>
      <w:r>
        <w:rPr>
          <w:rFonts w:cs="Times New Roman"/>
          <w:kern w:val="21"/>
          <w:szCs w:val="24"/>
        </w:rPr>
        <w:t>〕</w:t>
      </w:r>
      <w:r>
        <w:rPr>
          <w:rFonts w:cs="Times New Roman"/>
          <w:kern w:val="21"/>
          <w:szCs w:val="24"/>
        </w:rPr>
        <w:t>30</w:t>
      </w:r>
      <w:r>
        <w:rPr>
          <w:rFonts w:cs="Times New Roman"/>
          <w:kern w:val="21"/>
          <w:szCs w:val="24"/>
        </w:rPr>
        <w:t>号）；</w:t>
      </w:r>
    </w:p>
    <w:p w14:paraId="79900699"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关于印发《建设项目环境影响评价政府信息公开指南（试行）》的通知（</w:t>
      </w:r>
      <w:proofErr w:type="gramStart"/>
      <w:r>
        <w:rPr>
          <w:rFonts w:cs="Times New Roman"/>
          <w:kern w:val="21"/>
          <w:szCs w:val="24"/>
        </w:rPr>
        <w:t>环办〔</w:t>
      </w:r>
      <w:r>
        <w:rPr>
          <w:rFonts w:cs="Times New Roman"/>
          <w:kern w:val="21"/>
          <w:szCs w:val="24"/>
        </w:rPr>
        <w:t>2013</w:t>
      </w:r>
      <w:r>
        <w:rPr>
          <w:rFonts w:cs="Times New Roman"/>
          <w:kern w:val="21"/>
          <w:szCs w:val="24"/>
        </w:rPr>
        <w:t>〕</w:t>
      </w:r>
      <w:proofErr w:type="gramEnd"/>
      <w:r>
        <w:rPr>
          <w:rFonts w:cs="Times New Roman"/>
          <w:kern w:val="21"/>
          <w:szCs w:val="24"/>
        </w:rPr>
        <w:t>103</w:t>
      </w:r>
      <w:r>
        <w:rPr>
          <w:rFonts w:cs="Times New Roman"/>
          <w:kern w:val="21"/>
          <w:szCs w:val="24"/>
        </w:rPr>
        <w:t>号）；</w:t>
      </w:r>
    </w:p>
    <w:p w14:paraId="255A0874"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《危险化学品</w:t>
      </w:r>
      <w:r>
        <w:rPr>
          <w:rFonts w:cs="Times New Roman" w:hint="eastAsia"/>
          <w:kern w:val="21"/>
          <w:szCs w:val="24"/>
        </w:rPr>
        <w:t>目录</w:t>
      </w:r>
      <w:r>
        <w:rPr>
          <w:rFonts w:cs="Times New Roman"/>
          <w:kern w:val="21"/>
          <w:szCs w:val="24"/>
        </w:rPr>
        <w:t>》（</w:t>
      </w:r>
      <w:r>
        <w:rPr>
          <w:rFonts w:cs="Times New Roman"/>
          <w:kern w:val="21"/>
          <w:szCs w:val="24"/>
        </w:rPr>
        <w:t>202</w:t>
      </w:r>
      <w:r>
        <w:rPr>
          <w:rFonts w:cs="Times New Roman" w:hint="eastAsia"/>
          <w:kern w:val="21"/>
          <w:szCs w:val="24"/>
        </w:rPr>
        <w:t>2</w:t>
      </w:r>
      <w:r>
        <w:rPr>
          <w:rFonts w:cs="Times New Roman" w:hint="eastAsia"/>
          <w:kern w:val="21"/>
          <w:szCs w:val="24"/>
        </w:rPr>
        <w:t>调整</w:t>
      </w:r>
      <w:r>
        <w:rPr>
          <w:rFonts w:cs="Times New Roman"/>
          <w:kern w:val="21"/>
          <w:szCs w:val="24"/>
        </w:rPr>
        <w:t>）；</w:t>
      </w:r>
    </w:p>
    <w:p w14:paraId="0A032123"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《国家危险废物名录（</w:t>
      </w:r>
      <w:r>
        <w:rPr>
          <w:rFonts w:cs="Times New Roman"/>
          <w:kern w:val="21"/>
          <w:szCs w:val="24"/>
        </w:rPr>
        <w:t>202</w:t>
      </w:r>
      <w:r>
        <w:rPr>
          <w:rFonts w:cs="Times New Roman" w:hint="eastAsia"/>
          <w:kern w:val="21"/>
          <w:szCs w:val="24"/>
        </w:rPr>
        <w:t>5</w:t>
      </w:r>
      <w:r>
        <w:rPr>
          <w:rFonts w:cs="Times New Roman"/>
          <w:kern w:val="21"/>
          <w:szCs w:val="24"/>
        </w:rPr>
        <w:t>年版）》；</w:t>
      </w:r>
    </w:p>
    <w:p w14:paraId="351AEAC5"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《四川省环境保护条例》（</w:t>
      </w:r>
      <w:r>
        <w:rPr>
          <w:rFonts w:cs="Times New Roman"/>
          <w:kern w:val="21"/>
          <w:szCs w:val="24"/>
        </w:rPr>
        <w:t>2017</w:t>
      </w:r>
      <w:r>
        <w:rPr>
          <w:rFonts w:cs="Times New Roman"/>
          <w:kern w:val="21"/>
          <w:szCs w:val="24"/>
        </w:rPr>
        <w:t>年</w:t>
      </w:r>
      <w:r>
        <w:rPr>
          <w:rFonts w:cs="Times New Roman"/>
          <w:kern w:val="21"/>
          <w:szCs w:val="24"/>
        </w:rPr>
        <w:t>9</w:t>
      </w:r>
      <w:r>
        <w:rPr>
          <w:rFonts w:cs="Times New Roman"/>
          <w:kern w:val="21"/>
          <w:szCs w:val="24"/>
        </w:rPr>
        <w:t>月</w:t>
      </w:r>
      <w:r>
        <w:rPr>
          <w:rFonts w:cs="Times New Roman"/>
          <w:kern w:val="21"/>
          <w:szCs w:val="24"/>
        </w:rPr>
        <w:t>22</w:t>
      </w:r>
      <w:r>
        <w:rPr>
          <w:rFonts w:cs="Times New Roman"/>
          <w:kern w:val="21"/>
          <w:szCs w:val="24"/>
        </w:rPr>
        <w:t>日修订，</w:t>
      </w:r>
      <w:r>
        <w:rPr>
          <w:rFonts w:cs="Times New Roman"/>
          <w:kern w:val="21"/>
          <w:szCs w:val="24"/>
        </w:rPr>
        <w:t>2018</w:t>
      </w:r>
      <w:r>
        <w:rPr>
          <w:rFonts w:cs="Times New Roman"/>
          <w:kern w:val="21"/>
          <w:szCs w:val="24"/>
        </w:rPr>
        <w:t>年</w:t>
      </w:r>
      <w:r>
        <w:rPr>
          <w:rFonts w:cs="Times New Roman"/>
          <w:kern w:val="21"/>
          <w:szCs w:val="24"/>
        </w:rPr>
        <w:t>1</w:t>
      </w:r>
      <w:r>
        <w:rPr>
          <w:rFonts w:cs="Times New Roman"/>
          <w:kern w:val="21"/>
          <w:szCs w:val="24"/>
        </w:rPr>
        <w:t>月</w:t>
      </w:r>
      <w:r>
        <w:rPr>
          <w:rFonts w:cs="Times New Roman"/>
          <w:kern w:val="21"/>
          <w:szCs w:val="24"/>
        </w:rPr>
        <w:t>1</w:t>
      </w:r>
      <w:r>
        <w:rPr>
          <w:rFonts w:cs="Times New Roman"/>
          <w:kern w:val="21"/>
          <w:szCs w:val="24"/>
        </w:rPr>
        <w:t>日施行）；</w:t>
      </w:r>
    </w:p>
    <w:p w14:paraId="64AD641A"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《四川省畜禽养殖污染防治技术指南（试行）》（</w:t>
      </w:r>
      <w:proofErr w:type="gramStart"/>
      <w:r>
        <w:rPr>
          <w:rFonts w:cs="Times New Roman"/>
          <w:kern w:val="21"/>
          <w:szCs w:val="24"/>
        </w:rPr>
        <w:t>川</w:t>
      </w:r>
      <w:r>
        <w:rPr>
          <w:rFonts w:cs="Times New Roman" w:hint="eastAsia"/>
          <w:kern w:val="21"/>
          <w:szCs w:val="24"/>
        </w:rPr>
        <w:t>农业</w:t>
      </w:r>
      <w:r>
        <w:rPr>
          <w:rFonts w:cs="Times New Roman"/>
          <w:kern w:val="21"/>
          <w:szCs w:val="24"/>
        </w:rPr>
        <w:t>函</w:t>
      </w:r>
      <w:proofErr w:type="gramEnd"/>
      <w:r>
        <w:rPr>
          <w:rFonts w:cs="Times New Roman"/>
          <w:kern w:val="21"/>
          <w:szCs w:val="24"/>
        </w:rPr>
        <w:t>〔</w:t>
      </w:r>
      <w:r>
        <w:rPr>
          <w:rFonts w:cs="Times New Roman"/>
          <w:kern w:val="21"/>
          <w:szCs w:val="24"/>
        </w:rPr>
        <w:t>2017</w:t>
      </w:r>
      <w:r>
        <w:rPr>
          <w:rFonts w:cs="Times New Roman"/>
          <w:kern w:val="21"/>
          <w:szCs w:val="24"/>
        </w:rPr>
        <w:t>〕</w:t>
      </w:r>
      <w:r>
        <w:rPr>
          <w:rFonts w:cs="Times New Roman"/>
          <w:kern w:val="21"/>
          <w:szCs w:val="24"/>
        </w:rPr>
        <w:t>647</w:t>
      </w:r>
      <w:r>
        <w:rPr>
          <w:rFonts w:cs="Times New Roman"/>
          <w:kern w:val="21"/>
          <w:szCs w:val="24"/>
        </w:rPr>
        <w:t>号）；</w:t>
      </w:r>
    </w:p>
    <w:p w14:paraId="6AE61FCC"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《四川省饮用水水源保护区管理规定（试行）》（川府发〔</w:t>
      </w:r>
      <w:r>
        <w:rPr>
          <w:rFonts w:cs="Times New Roman"/>
          <w:kern w:val="21"/>
          <w:szCs w:val="24"/>
        </w:rPr>
        <w:t>2023</w:t>
      </w:r>
      <w:r>
        <w:rPr>
          <w:rFonts w:cs="Times New Roman"/>
          <w:kern w:val="21"/>
          <w:szCs w:val="24"/>
        </w:rPr>
        <w:t>〕</w:t>
      </w:r>
      <w:r>
        <w:rPr>
          <w:rFonts w:cs="Times New Roman"/>
          <w:kern w:val="21"/>
          <w:szCs w:val="24"/>
        </w:rPr>
        <w:t>26</w:t>
      </w:r>
      <w:r>
        <w:rPr>
          <w:rFonts w:cs="Times New Roman"/>
          <w:kern w:val="21"/>
          <w:szCs w:val="24"/>
        </w:rPr>
        <w:t>号）</w:t>
      </w:r>
      <w:r>
        <w:rPr>
          <w:rFonts w:cs="Times New Roman" w:hint="eastAsia"/>
          <w:kern w:val="21"/>
          <w:szCs w:val="24"/>
        </w:rPr>
        <w:t>；</w:t>
      </w:r>
    </w:p>
    <w:p w14:paraId="195EB399"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《国务院办公厅关于加快推进畜禽养殖废弃物资源化利用的意见》（国办发﹝</w:t>
      </w:r>
      <w:r>
        <w:rPr>
          <w:rFonts w:cs="Times New Roman"/>
          <w:kern w:val="21"/>
          <w:szCs w:val="24"/>
        </w:rPr>
        <w:t>2017</w:t>
      </w:r>
      <w:r>
        <w:rPr>
          <w:rFonts w:cs="Times New Roman"/>
          <w:kern w:val="21"/>
          <w:szCs w:val="24"/>
        </w:rPr>
        <w:t>﹞</w:t>
      </w:r>
      <w:r>
        <w:rPr>
          <w:rFonts w:cs="Times New Roman"/>
          <w:kern w:val="21"/>
          <w:szCs w:val="24"/>
        </w:rPr>
        <w:t>48</w:t>
      </w:r>
      <w:r>
        <w:rPr>
          <w:rFonts w:cs="Times New Roman"/>
          <w:kern w:val="21"/>
          <w:szCs w:val="24"/>
        </w:rPr>
        <w:t>号）</w:t>
      </w:r>
    </w:p>
    <w:p w14:paraId="611CAA01" w14:textId="77777777" w:rsidR="00544649" w:rsidRDefault="00000000">
      <w:pPr>
        <w:numPr>
          <w:ilvl w:val="0"/>
          <w:numId w:val="10"/>
        </w:numPr>
        <w:adjustRightInd w:val="0"/>
        <w:snapToGrid w:val="0"/>
        <w:spacing w:after="0"/>
        <w:ind w:firstLine="480"/>
        <w:rPr>
          <w:rFonts w:cs="Times New Roman"/>
          <w:kern w:val="21"/>
          <w:szCs w:val="24"/>
        </w:rPr>
      </w:pPr>
      <w:r>
        <w:rPr>
          <w:rFonts w:cs="Times New Roman"/>
          <w:kern w:val="21"/>
          <w:szCs w:val="24"/>
        </w:rPr>
        <w:t>《关于做好畜禽规模养殖项目环境影响评价管理工作的通知》（</w:t>
      </w:r>
      <w:proofErr w:type="gramStart"/>
      <w:r>
        <w:rPr>
          <w:rFonts w:cs="Times New Roman"/>
          <w:kern w:val="21"/>
          <w:szCs w:val="24"/>
        </w:rPr>
        <w:t>环办环</w:t>
      </w:r>
      <w:proofErr w:type="gramEnd"/>
      <w:r>
        <w:rPr>
          <w:rFonts w:cs="Times New Roman"/>
          <w:kern w:val="21"/>
          <w:szCs w:val="24"/>
        </w:rPr>
        <w:t>评〔</w:t>
      </w:r>
      <w:r>
        <w:rPr>
          <w:rFonts w:cs="Times New Roman"/>
          <w:kern w:val="21"/>
          <w:szCs w:val="24"/>
        </w:rPr>
        <w:t>20</w:t>
      </w:r>
      <w:r>
        <w:rPr>
          <w:rFonts w:cs="Times New Roman" w:hint="eastAsia"/>
          <w:kern w:val="21"/>
          <w:szCs w:val="24"/>
        </w:rPr>
        <w:t>18</w:t>
      </w:r>
      <w:r>
        <w:rPr>
          <w:rFonts w:cs="Times New Roman"/>
          <w:kern w:val="21"/>
          <w:szCs w:val="24"/>
        </w:rPr>
        <w:t>〕</w:t>
      </w:r>
      <w:r>
        <w:rPr>
          <w:rFonts w:cs="Times New Roman"/>
          <w:kern w:val="21"/>
          <w:szCs w:val="24"/>
        </w:rPr>
        <w:t>31</w:t>
      </w:r>
      <w:r>
        <w:rPr>
          <w:rFonts w:cs="Times New Roman"/>
          <w:kern w:val="21"/>
          <w:szCs w:val="24"/>
        </w:rPr>
        <w:t>号）</w:t>
      </w:r>
    </w:p>
    <w:p w14:paraId="23B2D5C3" w14:textId="77777777" w:rsidR="00544649" w:rsidRDefault="00000000">
      <w:pPr>
        <w:numPr>
          <w:ilvl w:val="0"/>
          <w:numId w:val="10"/>
        </w:numPr>
        <w:adjustRightInd w:val="0"/>
        <w:snapToGrid w:val="0"/>
        <w:spacing w:after="0"/>
        <w:ind w:firstLine="480"/>
        <w:rPr>
          <w:kern w:val="21"/>
        </w:rPr>
      </w:pPr>
      <w:r>
        <w:rPr>
          <w:rFonts w:cs="Times New Roman"/>
          <w:kern w:val="21"/>
          <w:szCs w:val="24"/>
        </w:rPr>
        <w:t>《关于进一步明确畜禽粪污还田利用要求强化养殖污染监管的通知》（农办牧﹝</w:t>
      </w:r>
      <w:r>
        <w:rPr>
          <w:rFonts w:cs="Times New Roman"/>
          <w:kern w:val="21"/>
          <w:szCs w:val="24"/>
        </w:rPr>
        <w:t>2020</w:t>
      </w:r>
      <w:r>
        <w:rPr>
          <w:rFonts w:cs="Times New Roman"/>
          <w:kern w:val="21"/>
          <w:szCs w:val="24"/>
        </w:rPr>
        <w:t>﹞</w:t>
      </w:r>
      <w:r>
        <w:rPr>
          <w:rFonts w:cs="Times New Roman"/>
          <w:kern w:val="21"/>
          <w:szCs w:val="24"/>
        </w:rPr>
        <w:t>23</w:t>
      </w:r>
      <w:r>
        <w:rPr>
          <w:rFonts w:cs="Times New Roman"/>
          <w:kern w:val="21"/>
          <w:szCs w:val="24"/>
        </w:rPr>
        <w:t>号）</w:t>
      </w:r>
      <w:r>
        <w:rPr>
          <w:rFonts w:cs="Times New Roman" w:hint="eastAsia"/>
          <w:kern w:val="21"/>
          <w:szCs w:val="24"/>
        </w:rPr>
        <w:t>；</w:t>
      </w:r>
    </w:p>
    <w:p w14:paraId="1EBF54D0" w14:textId="77777777" w:rsidR="00544649" w:rsidRDefault="00000000">
      <w:pPr>
        <w:numPr>
          <w:ilvl w:val="0"/>
          <w:numId w:val="10"/>
        </w:numPr>
        <w:adjustRightInd w:val="0"/>
        <w:snapToGrid w:val="0"/>
        <w:spacing w:after="0"/>
        <w:ind w:firstLine="480"/>
        <w:rPr>
          <w:kern w:val="21"/>
        </w:rPr>
      </w:pPr>
      <w:r>
        <w:rPr>
          <w:kern w:val="21"/>
        </w:rPr>
        <w:lastRenderedPageBreak/>
        <w:t>《畜禽养殖场（户）粪污处理设施建设技术指南》（农办牧﹝</w:t>
      </w:r>
      <w:r>
        <w:rPr>
          <w:kern w:val="21"/>
        </w:rPr>
        <w:t>2022</w:t>
      </w:r>
      <w:r>
        <w:rPr>
          <w:kern w:val="21"/>
        </w:rPr>
        <w:t>﹞</w:t>
      </w:r>
      <w:r>
        <w:rPr>
          <w:kern w:val="21"/>
        </w:rPr>
        <w:t>19</w:t>
      </w:r>
      <w:r>
        <w:rPr>
          <w:kern w:val="21"/>
        </w:rPr>
        <w:t>号）</w:t>
      </w:r>
      <w:r>
        <w:rPr>
          <w:rFonts w:hint="eastAsia"/>
          <w:kern w:val="21"/>
        </w:rPr>
        <w:t>；</w:t>
      </w:r>
    </w:p>
    <w:p w14:paraId="2D25612B" w14:textId="77777777" w:rsidR="00544649" w:rsidRDefault="00000000">
      <w:pPr>
        <w:numPr>
          <w:ilvl w:val="0"/>
          <w:numId w:val="10"/>
        </w:numPr>
        <w:adjustRightInd w:val="0"/>
        <w:snapToGrid w:val="0"/>
        <w:spacing w:after="0"/>
        <w:ind w:firstLine="480"/>
        <w:rPr>
          <w:kern w:val="21"/>
        </w:rPr>
      </w:pPr>
      <w:r>
        <w:rPr>
          <w:rFonts w:hint="eastAsia"/>
          <w:kern w:val="21"/>
        </w:rPr>
        <w:t>《畜禽规模养殖污染防治条例》（中华人民共和国国务院令第</w:t>
      </w:r>
      <w:r>
        <w:rPr>
          <w:rFonts w:hint="eastAsia"/>
          <w:kern w:val="21"/>
        </w:rPr>
        <w:t>643</w:t>
      </w:r>
      <w:r>
        <w:rPr>
          <w:rFonts w:hint="eastAsia"/>
          <w:kern w:val="21"/>
        </w:rPr>
        <w:t>号）；</w:t>
      </w:r>
    </w:p>
    <w:p w14:paraId="0E0D6B8B" w14:textId="77777777" w:rsidR="00544649" w:rsidRDefault="00000000">
      <w:pPr>
        <w:numPr>
          <w:ilvl w:val="0"/>
          <w:numId w:val="10"/>
        </w:numPr>
        <w:adjustRightInd w:val="0"/>
        <w:snapToGrid w:val="0"/>
        <w:spacing w:after="0"/>
        <w:ind w:firstLine="480"/>
        <w:rPr>
          <w:rFonts w:cs="Times New Roman"/>
          <w:kern w:val="21"/>
          <w:szCs w:val="24"/>
        </w:rPr>
      </w:pPr>
      <w:r>
        <w:rPr>
          <w:kern w:val="21"/>
        </w:rPr>
        <w:t>《四川省打赢碧水保卫战实施方案》（川府发〔</w:t>
      </w:r>
      <w:r>
        <w:rPr>
          <w:kern w:val="21"/>
        </w:rPr>
        <w:t>2019</w:t>
      </w:r>
      <w:r>
        <w:rPr>
          <w:kern w:val="21"/>
        </w:rPr>
        <w:t>〕</w:t>
      </w:r>
      <w:r>
        <w:rPr>
          <w:kern w:val="21"/>
        </w:rPr>
        <w:t>4</w:t>
      </w:r>
      <w:r>
        <w:rPr>
          <w:kern w:val="21"/>
        </w:rPr>
        <w:t>号）</w:t>
      </w:r>
      <w:r>
        <w:rPr>
          <w:rFonts w:cs="Times New Roman"/>
          <w:kern w:val="21"/>
          <w:szCs w:val="24"/>
        </w:rPr>
        <w:t>。</w:t>
      </w:r>
    </w:p>
    <w:p w14:paraId="33E35A76" w14:textId="77777777" w:rsidR="00544649" w:rsidRDefault="00000000">
      <w:pPr>
        <w:pStyle w:val="3"/>
        <w:numPr>
          <w:ilvl w:val="2"/>
          <w:numId w:val="2"/>
        </w:numPr>
        <w:adjustRightInd w:val="0"/>
        <w:snapToGrid w:val="0"/>
        <w:spacing w:after="0"/>
        <w:rPr>
          <w:rFonts w:cs="Times New Roman"/>
          <w:kern w:val="21"/>
        </w:rPr>
      </w:pPr>
      <w:bookmarkStart w:id="71" w:name="_Toc6401"/>
      <w:bookmarkStart w:id="72" w:name="_Toc22746"/>
      <w:bookmarkStart w:id="73" w:name="_Toc195009787"/>
      <w:r>
        <w:rPr>
          <w:rFonts w:cs="Times New Roman"/>
          <w:kern w:val="21"/>
        </w:rPr>
        <w:t>环境影响评价技术</w:t>
      </w:r>
      <w:bookmarkEnd w:id="71"/>
      <w:bookmarkEnd w:id="72"/>
      <w:r>
        <w:rPr>
          <w:rFonts w:cs="Times New Roman"/>
          <w:kern w:val="21"/>
        </w:rPr>
        <w:t>导则及相关技术规范</w:t>
      </w:r>
      <w:bookmarkEnd w:id="73"/>
    </w:p>
    <w:p w14:paraId="341225BA"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《建设项目环境影响评价技术导则总纲》（</w:t>
      </w:r>
      <w:r>
        <w:rPr>
          <w:rFonts w:cs="Times New Roman"/>
          <w:kern w:val="21"/>
          <w:szCs w:val="24"/>
        </w:rPr>
        <w:t>HJ2.1-2016</w:t>
      </w:r>
      <w:r>
        <w:rPr>
          <w:rFonts w:cs="Times New Roman"/>
          <w:kern w:val="21"/>
          <w:szCs w:val="24"/>
        </w:rPr>
        <w:t>）；</w:t>
      </w:r>
    </w:p>
    <w:p w14:paraId="373E27A3"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《环境影响评价技术导则</w:t>
      </w:r>
      <w:r>
        <w:rPr>
          <w:rFonts w:cs="Times New Roman" w:hint="eastAsia"/>
          <w:kern w:val="21"/>
          <w:szCs w:val="24"/>
        </w:rPr>
        <w:t xml:space="preserve"> </w:t>
      </w:r>
      <w:r>
        <w:rPr>
          <w:rFonts w:cs="Times New Roman"/>
          <w:kern w:val="21"/>
          <w:szCs w:val="24"/>
        </w:rPr>
        <w:t>大气环境》（</w:t>
      </w:r>
      <w:r>
        <w:rPr>
          <w:rFonts w:cs="Times New Roman"/>
          <w:kern w:val="21"/>
          <w:szCs w:val="24"/>
        </w:rPr>
        <w:t>HJ2.2-2018</w:t>
      </w:r>
      <w:r>
        <w:rPr>
          <w:rFonts w:cs="Times New Roman"/>
          <w:kern w:val="21"/>
          <w:szCs w:val="24"/>
        </w:rPr>
        <w:t>）；</w:t>
      </w:r>
    </w:p>
    <w:p w14:paraId="66837499"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《环境影响评价技术导则</w:t>
      </w:r>
      <w:r>
        <w:rPr>
          <w:rFonts w:cs="Times New Roman" w:hint="eastAsia"/>
          <w:kern w:val="21"/>
          <w:szCs w:val="24"/>
        </w:rPr>
        <w:t xml:space="preserve"> </w:t>
      </w:r>
      <w:r>
        <w:rPr>
          <w:rFonts w:cs="Times New Roman"/>
          <w:kern w:val="21"/>
          <w:szCs w:val="24"/>
        </w:rPr>
        <w:t>地表水环境》（</w:t>
      </w:r>
      <w:r>
        <w:rPr>
          <w:rFonts w:cs="Times New Roman"/>
          <w:kern w:val="21"/>
          <w:szCs w:val="24"/>
        </w:rPr>
        <w:t>HJ2.3-2018</w:t>
      </w:r>
      <w:r>
        <w:rPr>
          <w:rFonts w:cs="Times New Roman"/>
          <w:kern w:val="21"/>
          <w:szCs w:val="24"/>
        </w:rPr>
        <w:t>）；</w:t>
      </w:r>
    </w:p>
    <w:p w14:paraId="5C1D105C"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《环境影响评价技术导则</w:t>
      </w:r>
      <w:r>
        <w:rPr>
          <w:rFonts w:cs="Times New Roman" w:hint="eastAsia"/>
          <w:kern w:val="21"/>
          <w:szCs w:val="24"/>
        </w:rPr>
        <w:t xml:space="preserve"> </w:t>
      </w:r>
      <w:r>
        <w:rPr>
          <w:rFonts w:cs="Times New Roman"/>
          <w:kern w:val="21"/>
          <w:szCs w:val="24"/>
        </w:rPr>
        <w:t>地下水环境》（</w:t>
      </w:r>
      <w:r>
        <w:rPr>
          <w:rFonts w:cs="Times New Roman"/>
          <w:kern w:val="21"/>
          <w:szCs w:val="24"/>
        </w:rPr>
        <w:t>HJ610-2016</w:t>
      </w:r>
      <w:r>
        <w:rPr>
          <w:rFonts w:cs="Times New Roman"/>
          <w:kern w:val="21"/>
          <w:szCs w:val="24"/>
        </w:rPr>
        <w:t>）；</w:t>
      </w:r>
    </w:p>
    <w:p w14:paraId="62098026"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《环境影响评价技术导则</w:t>
      </w:r>
      <w:r>
        <w:rPr>
          <w:rFonts w:cs="Times New Roman" w:hint="eastAsia"/>
          <w:kern w:val="21"/>
          <w:szCs w:val="24"/>
        </w:rPr>
        <w:t xml:space="preserve"> </w:t>
      </w:r>
      <w:r>
        <w:rPr>
          <w:rFonts w:cs="Times New Roman"/>
          <w:kern w:val="21"/>
          <w:szCs w:val="24"/>
        </w:rPr>
        <w:t>声环境》（</w:t>
      </w:r>
      <w:r>
        <w:rPr>
          <w:rFonts w:cs="Times New Roman"/>
          <w:kern w:val="21"/>
          <w:szCs w:val="24"/>
        </w:rPr>
        <w:t>HJ2.4-2021</w:t>
      </w:r>
      <w:r>
        <w:rPr>
          <w:rFonts w:cs="Times New Roman"/>
          <w:kern w:val="21"/>
          <w:szCs w:val="24"/>
        </w:rPr>
        <w:t>）；</w:t>
      </w:r>
    </w:p>
    <w:p w14:paraId="21860CC5"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《环境影响评价技术导则</w:t>
      </w:r>
      <w:r>
        <w:rPr>
          <w:rFonts w:cs="Times New Roman" w:hint="eastAsia"/>
          <w:kern w:val="21"/>
          <w:szCs w:val="24"/>
        </w:rPr>
        <w:t xml:space="preserve"> </w:t>
      </w:r>
      <w:r>
        <w:rPr>
          <w:rFonts w:cs="Times New Roman"/>
          <w:kern w:val="21"/>
          <w:szCs w:val="24"/>
        </w:rPr>
        <w:t>生态影响》（</w:t>
      </w:r>
      <w:r>
        <w:rPr>
          <w:rFonts w:cs="Times New Roman"/>
          <w:kern w:val="21"/>
          <w:szCs w:val="24"/>
        </w:rPr>
        <w:t>HJ19-2022</w:t>
      </w:r>
      <w:r>
        <w:rPr>
          <w:rFonts w:cs="Times New Roman"/>
          <w:kern w:val="21"/>
          <w:szCs w:val="24"/>
        </w:rPr>
        <w:t>）；</w:t>
      </w:r>
    </w:p>
    <w:p w14:paraId="2EA4A8AD"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《环境影响评价技术导则</w:t>
      </w:r>
      <w:r>
        <w:rPr>
          <w:rFonts w:cs="Times New Roman" w:hint="eastAsia"/>
          <w:kern w:val="21"/>
          <w:szCs w:val="24"/>
        </w:rPr>
        <w:t xml:space="preserve"> </w:t>
      </w:r>
      <w:r>
        <w:rPr>
          <w:rFonts w:cs="Times New Roman"/>
          <w:kern w:val="21"/>
          <w:szCs w:val="24"/>
        </w:rPr>
        <w:t>土壤环境（试行）》（</w:t>
      </w:r>
      <w:r>
        <w:rPr>
          <w:rFonts w:cs="Times New Roman"/>
          <w:kern w:val="21"/>
          <w:szCs w:val="24"/>
        </w:rPr>
        <w:t>HJ964-2018</w:t>
      </w:r>
      <w:r>
        <w:rPr>
          <w:rFonts w:cs="Times New Roman"/>
          <w:kern w:val="21"/>
          <w:szCs w:val="24"/>
        </w:rPr>
        <w:t>）；</w:t>
      </w:r>
    </w:p>
    <w:p w14:paraId="7DE7B6C8"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《建设项目环境风险评价技术导则》（</w:t>
      </w:r>
      <w:r>
        <w:rPr>
          <w:rFonts w:cs="Times New Roman"/>
          <w:kern w:val="21"/>
          <w:szCs w:val="24"/>
        </w:rPr>
        <w:t>HJ169-2018</w:t>
      </w:r>
      <w:r>
        <w:rPr>
          <w:rFonts w:cs="Times New Roman"/>
          <w:kern w:val="21"/>
          <w:szCs w:val="24"/>
        </w:rPr>
        <w:t>）；</w:t>
      </w:r>
    </w:p>
    <w:p w14:paraId="3D5C10DD"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《建筑设计防火规范（</w:t>
      </w:r>
      <w:r>
        <w:rPr>
          <w:rFonts w:cs="Times New Roman"/>
          <w:kern w:val="21"/>
          <w:szCs w:val="24"/>
        </w:rPr>
        <w:t>2018</w:t>
      </w:r>
      <w:r>
        <w:rPr>
          <w:rFonts w:cs="Times New Roman"/>
          <w:kern w:val="21"/>
          <w:szCs w:val="24"/>
        </w:rPr>
        <w:t>年版）》（</w:t>
      </w:r>
      <w:r>
        <w:rPr>
          <w:rFonts w:cs="Times New Roman"/>
          <w:kern w:val="21"/>
          <w:szCs w:val="24"/>
        </w:rPr>
        <w:t>GB50016-2014</w:t>
      </w:r>
      <w:r>
        <w:rPr>
          <w:rFonts w:cs="Times New Roman"/>
          <w:kern w:val="21"/>
          <w:szCs w:val="24"/>
        </w:rPr>
        <w:t>）；</w:t>
      </w:r>
    </w:p>
    <w:p w14:paraId="0FFFD205"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《突发环境事件应急监测技术规范》（</w:t>
      </w:r>
      <w:r>
        <w:rPr>
          <w:rFonts w:cs="Times New Roman"/>
          <w:kern w:val="21"/>
          <w:szCs w:val="24"/>
        </w:rPr>
        <w:t>HJ589-20</w:t>
      </w:r>
      <w:r>
        <w:rPr>
          <w:rFonts w:cs="Times New Roman" w:hint="eastAsia"/>
          <w:kern w:val="21"/>
          <w:szCs w:val="24"/>
        </w:rPr>
        <w:t>21</w:t>
      </w:r>
      <w:r>
        <w:rPr>
          <w:rFonts w:cs="Times New Roman"/>
          <w:kern w:val="21"/>
          <w:szCs w:val="24"/>
        </w:rPr>
        <w:t>）；</w:t>
      </w:r>
    </w:p>
    <w:p w14:paraId="6428B439"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《畜禽养殖业污染防治技术规范》（</w:t>
      </w:r>
      <w:r>
        <w:rPr>
          <w:rFonts w:cs="Times New Roman"/>
          <w:kern w:val="21"/>
          <w:szCs w:val="24"/>
        </w:rPr>
        <w:t>HJ/T81-2001</w:t>
      </w:r>
      <w:r>
        <w:rPr>
          <w:rFonts w:cs="Times New Roman"/>
          <w:kern w:val="21"/>
          <w:szCs w:val="24"/>
        </w:rPr>
        <w:t>）；</w:t>
      </w:r>
    </w:p>
    <w:p w14:paraId="0896E792"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《畜禽养殖业污染治理工程技术规范》（</w:t>
      </w:r>
      <w:r>
        <w:rPr>
          <w:rFonts w:cs="Times New Roman"/>
          <w:kern w:val="21"/>
          <w:szCs w:val="24"/>
        </w:rPr>
        <w:t>HJ497-2009</w:t>
      </w:r>
      <w:r>
        <w:rPr>
          <w:rFonts w:cs="Times New Roman"/>
          <w:kern w:val="21"/>
          <w:szCs w:val="24"/>
        </w:rPr>
        <w:t>）；</w:t>
      </w:r>
    </w:p>
    <w:p w14:paraId="203E7EFE"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《畜禽养殖业污染物排放标准》（</w:t>
      </w:r>
      <w:r>
        <w:rPr>
          <w:rFonts w:cs="Times New Roman"/>
          <w:kern w:val="21"/>
          <w:szCs w:val="24"/>
        </w:rPr>
        <w:t>GB18596-2001</w:t>
      </w:r>
      <w:r>
        <w:rPr>
          <w:rFonts w:cs="Times New Roman"/>
          <w:kern w:val="21"/>
          <w:szCs w:val="24"/>
        </w:rPr>
        <w:t>）。</w:t>
      </w:r>
    </w:p>
    <w:p w14:paraId="189A9D88"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《四川省用水定额》（川府函〔</w:t>
      </w:r>
      <w:r>
        <w:rPr>
          <w:rFonts w:cs="Times New Roman"/>
          <w:kern w:val="21"/>
          <w:szCs w:val="24"/>
        </w:rPr>
        <w:t>2021</w:t>
      </w:r>
      <w:r>
        <w:rPr>
          <w:rFonts w:cs="Times New Roman"/>
          <w:kern w:val="21"/>
          <w:szCs w:val="24"/>
        </w:rPr>
        <w:t>〕</w:t>
      </w:r>
      <w:r>
        <w:rPr>
          <w:rFonts w:cs="Times New Roman"/>
          <w:kern w:val="21"/>
          <w:szCs w:val="24"/>
        </w:rPr>
        <w:t>8</w:t>
      </w:r>
      <w:r>
        <w:rPr>
          <w:rFonts w:cs="Times New Roman"/>
          <w:kern w:val="21"/>
          <w:szCs w:val="24"/>
        </w:rPr>
        <w:t>号）；</w:t>
      </w:r>
    </w:p>
    <w:p w14:paraId="7E9A3A47"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《排污单位自行监测技术指南畜禽养殖行业》</w:t>
      </w:r>
      <w:hyperlink r:id="rId22" w:history="1">
        <w:r w:rsidR="00544649">
          <w:rPr>
            <w:rFonts w:cs="Times New Roman"/>
            <w:kern w:val="21"/>
            <w:szCs w:val="24"/>
          </w:rPr>
          <w:t>（</w:t>
        </w:r>
        <w:r w:rsidR="00544649">
          <w:rPr>
            <w:rFonts w:cs="Times New Roman"/>
            <w:kern w:val="21"/>
            <w:szCs w:val="24"/>
          </w:rPr>
          <w:t>HJ1252-2022</w:t>
        </w:r>
        <w:r w:rsidR="00544649">
          <w:rPr>
            <w:rFonts w:cs="Times New Roman"/>
            <w:kern w:val="21"/>
            <w:szCs w:val="24"/>
          </w:rPr>
          <w:t>）</w:t>
        </w:r>
      </w:hyperlink>
      <w:r>
        <w:rPr>
          <w:rFonts w:cs="Times New Roman"/>
          <w:kern w:val="21"/>
          <w:szCs w:val="24"/>
        </w:rPr>
        <w:t>；</w:t>
      </w:r>
    </w:p>
    <w:p w14:paraId="7DBAA7C1" w14:textId="77777777" w:rsidR="00544649" w:rsidRDefault="00000000">
      <w:pPr>
        <w:numPr>
          <w:ilvl w:val="0"/>
          <w:numId w:val="11"/>
        </w:numPr>
        <w:adjustRightInd w:val="0"/>
        <w:snapToGrid w:val="0"/>
        <w:spacing w:after="0"/>
        <w:ind w:firstLine="480"/>
        <w:rPr>
          <w:rFonts w:cs="Times New Roman"/>
          <w:kern w:val="21"/>
          <w:szCs w:val="24"/>
        </w:rPr>
      </w:pPr>
      <w:r>
        <w:rPr>
          <w:rFonts w:cs="Times New Roman"/>
          <w:kern w:val="21"/>
          <w:szCs w:val="24"/>
        </w:rPr>
        <w:t>《</w:t>
      </w:r>
      <w:hyperlink r:id="rId23" w:history="1">
        <w:r w:rsidR="00544649">
          <w:rPr>
            <w:rFonts w:cs="Times New Roman"/>
            <w:kern w:val="21"/>
            <w:szCs w:val="24"/>
          </w:rPr>
          <w:t>排污许可证申请与核发技术规范</w:t>
        </w:r>
      </w:hyperlink>
      <w:r>
        <w:rPr>
          <w:rFonts w:cs="Times New Roman"/>
          <w:kern w:val="21"/>
          <w:szCs w:val="24"/>
        </w:rPr>
        <w:t>畜禽养殖行业》（</w:t>
      </w:r>
      <w:r>
        <w:rPr>
          <w:rFonts w:cs="Times New Roman"/>
          <w:kern w:val="21"/>
          <w:szCs w:val="24"/>
        </w:rPr>
        <w:t>HJ1029-2019</w:t>
      </w:r>
      <w:r>
        <w:rPr>
          <w:rFonts w:cs="Times New Roman"/>
          <w:kern w:val="21"/>
          <w:szCs w:val="24"/>
        </w:rPr>
        <w:t>）</w:t>
      </w:r>
    </w:p>
    <w:p w14:paraId="7CC2A1F4" w14:textId="77777777" w:rsidR="00544649" w:rsidRDefault="00000000">
      <w:pPr>
        <w:numPr>
          <w:ilvl w:val="0"/>
          <w:numId w:val="11"/>
        </w:numPr>
        <w:adjustRightInd w:val="0"/>
        <w:snapToGrid w:val="0"/>
        <w:spacing w:after="0"/>
        <w:ind w:firstLine="480"/>
        <w:rPr>
          <w:rFonts w:cs="Times New Roman"/>
          <w:kern w:val="21"/>
        </w:rPr>
      </w:pPr>
      <w:r>
        <w:rPr>
          <w:rFonts w:cs="Times New Roman"/>
          <w:kern w:val="21"/>
        </w:rPr>
        <w:t>《病死及病害动物无害化处理技术规范》（农医发〔</w:t>
      </w:r>
      <w:r>
        <w:rPr>
          <w:rFonts w:cs="Times New Roman"/>
          <w:kern w:val="21"/>
        </w:rPr>
        <w:t>2017</w:t>
      </w:r>
      <w:r>
        <w:rPr>
          <w:rFonts w:cs="Times New Roman"/>
          <w:kern w:val="21"/>
        </w:rPr>
        <w:t>〕</w:t>
      </w:r>
      <w:r>
        <w:rPr>
          <w:rFonts w:cs="Times New Roman"/>
          <w:kern w:val="21"/>
        </w:rPr>
        <w:t>25</w:t>
      </w:r>
      <w:r>
        <w:rPr>
          <w:rFonts w:cs="Times New Roman"/>
          <w:kern w:val="21"/>
        </w:rPr>
        <w:t>号）</w:t>
      </w:r>
    </w:p>
    <w:p w14:paraId="51CBFDCF" w14:textId="77777777" w:rsidR="00544649" w:rsidRDefault="00000000">
      <w:pPr>
        <w:numPr>
          <w:ilvl w:val="0"/>
          <w:numId w:val="11"/>
        </w:numPr>
        <w:adjustRightInd w:val="0"/>
        <w:snapToGrid w:val="0"/>
        <w:spacing w:after="0"/>
        <w:ind w:firstLine="480"/>
        <w:rPr>
          <w:rFonts w:cs="Times New Roman"/>
          <w:kern w:val="21"/>
        </w:rPr>
      </w:pPr>
      <w:r>
        <w:rPr>
          <w:rFonts w:cs="Times New Roman"/>
          <w:kern w:val="21"/>
          <w:szCs w:val="24"/>
        </w:rPr>
        <w:t>《土壤环境质量农用地土壤污染风险管控标准（试行）》（</w:t>
      </w:r>
      <w:r>
        <w:rPr>
          <w:rFonts w:cs="Times New Roman"/>
          <w:kern w:val="21"/>
          <w:szCs w:val="24"/>
        </w:rPr>
        <w:t>GB15618-2018</w:t>
      </w:r>
      <w:r>
        <w:rPr>
          <w:rFonts w:cs="Times New Roman"/>
          <w:kern w:val="21"/>
          <w:szCs w:val="24"/>
        </w:rPr>
        <w:t>）；</w:t>
      </w:r>
    </w:p>
    <w:p w14:paraId="19D4C4E5" w14:textId="77777777" w:rsidR="00544649" w:rsidRDefault="00000000">
      <w:pPr>
        <w:numPr>
          <w:ilvl w:val="0"/>
          <w:numId w:val="11"/>
        </w:numPr>
        <w:adjustRightInd w:val="0"/>
        <w:snapToGrid w:val="0"/>
        <w:spacing w:after="0"/>
        <w:ind w:firstLine="480"/>
        <w:rPr>
          <w:rFonts w:cs="Times New Roman"/>
          <w:kern w:val="21"/>
        </w:rPr>
      </w:pPr>
      <w:r>
        <w:rPr>
          <w:rFonts w:cs="Times New Roman"/>
          <w:kern w:val="21"/>
        </w:rPr>
        <w:t>《医疗废物专用包装物、容器和警示标志标准》（</w:t>
      </w:r>
      <w:r>
        <w:rPr>
          <w:rFonts w:cs="Times New Roman"/>
          <w:kern w:val="21"/>
        </w:rPr>
        <w:t>HJ421-2008</w:t>
      </w:r>
      <w:r>
        <w:rPr>
          <w:rFonts w:cs="Times New Roman"/>
          <w:kern w:val="21"/>
        </w:rPr>
        <w:t>）；</w:t>
      </w:r>
    </w:p>
    <w:p w14:paraId="12923EBD" w14:textId="77777777" w:rsidR="00544649" w:rsidRDefault="00000000">
      <w:pPr>
        <w:numPr>
          <w:ilvl w:val="0"/>
          <w:numId w:val="11"/>
        </w:numPr>
        <w:adjustRightInd w:val="0"/>
        <w:snapToGrid w:val="0"/>
        <w:spacing w:after="0"/>
        <w:ind w:firstLine="480"/>
        <w:rPr>
          <w:rFonts w:cs="Times New Roman"/>
          <w:kern w:val="21"/>
        </w:rPr>
      </w:pPr>
      <w:r>
        <w:rPr>
          <w:rFonts w:cs="Times New Roman"/>
          <w:kern w:val="21"/>
        </w:rPr>
        <w:t>《一般工业固体废物贮存和填埋污染控制标准》（</w:t>
      </w:r>
      <w:r>
        <w:rPr>
          <w:rFonts w:cs="Times New Roman"/>
          <w:kern w:val="21"/>
        </w:rPr>
        <w:t>GB18599-2020</w:t>
      </w:r>
      <w:r>
        <w:rPr>
          <w:rFonts w:cs="Times New Roman"/>
          <w:kern w:val="21"/>
        </w:rPr>
        <w:t>）；</w:t>
      </w:r>
    </w:p>
    <w:p w14:paraId="0F7D9F52" w14:textId="77777777" w:rsidR="00544649" w:rsidRDefault="00000000">
      <w:pPr>
        <w:numPr>
          <w:ilvl w:val="0"/>
          <w:numId w:val="11"/>
        </w:numPr>
        <w:adjustRightInd w:val="0"/>
        <w:snapToGrid w:val="0"/>
        <w:spacing w:after="0"/>
        <w:ind w:firstLine="480"/>
        <w:rPr>
          <w:rFonts w:cs="Times New Roman"/>
          <w:kern w:val="21"/>
        </w:rPr>
      </w:pPr>
      <w:r>
        <w:rPr>
          <w:rFonts w:cs="Times New Roman"/>
          <w:kern w:val="21"/>
        </w:rPr>
        <w:t>《饮用水水源保护区划分技术规范》（</w:t>
      </w:r>
      <w:r>
        <w:rPr>
          <w:rFonts w:cs="Times New Roman"/>
          <w:kern w:val="21"/>
        </w:rPr>
        <w:t>HJ/T338-2018</w:t>
      </w:r>
      <w:r>
        <w:rPr>
          <w:rFonts w:cs="Times New Roman"/>
          <w:kern w:val="21"/>
        </w:rPr>
        <w:t>）；</w:t>
      </w:r>
    </w:p>
    <w:p w14:paraId="6155CB47" w14:textId="77777777" w:rsidR="00544649" w:rsidRDefault="00000000">
      <w:pPr>
        <w:numPr>
          <w:ilvl w:val="0"/>
          <w:numId w:val="11"/>
        </w:numPr>
        <w:adjustRightInd w:val="0"/>
        <w:snapToGrid w:val="0"/>
        <w:spacing w:after="0"/>
        <w:ind w:firstLine="480"/>
        <w:rPr>
          <w:rFonts w:cs="Times New Roman"/>
          <w:kern w:val="21"/>
        </w:rPr>
      </w:pPr>
      <w:r>
        <w:rPr>
          <w:rFonts w:cs="Times New Roman"/>
          <w:kern w:val="21"/>
        </w:rPr>
        <w:t>《村镇规划卫生防护规范》（</w:t>
      </w:r>
      <w:r>
        <w:rPr>
          <w:rFonts w:cs="Times New Roman"/>
          <w:kern w:val="21"/>
        </w:rPr>
        <w:t>GB18055-2012</w:t>
      </w:r>
      <w:r>
        <w:rPr>
          <w:rFonts w:cs="Times New Roman"/>
          <w:kern w:val="21"/>
        </w:rPr>
        <w:t>）</w:t>
      </w:r>
      <w:r>
        <w:rPr>
          <w:rFonts w:cs="Times New Roman" w:hint="eastAsia"/>
          <w:kern w:val="21"/>
        </w:rPr>
        <w:t>；</w:t>
      </w:r>
    </w:p>
    <w:p w14:paraId="33644F5D" w14:textId="77777777" w:rsidR="00544649" w:rsidRDefault="00000000">
      <w:pPr>
        <w:numPr>
          <w:ilvl w:val="0"/>
          <w:numId w:val="11"/>
        </w:numPr>
        <w:adjustRightInd w:val="0"/>
        <w:snapToGrid w:val="0"/>
        <w:spacing w:after="0"/>
        <w:ind w:firstLine="480"/>
        <w:rPr>
          <w:rFonts w:cs="Times New Roman"/>
          <w:kern w:val="21"/>
        </w:rPr>
      </w:pPr>
      <w:r>
        <w:rPr>
          <w:rFonts w:ascii="宋体" w:hAnsi="宋体" w:cs="宋体" w:hint="eastAsia"/>
          <w:kern w:val="21"/>
          <w:szCs w:val="24"/>
          <w:lang w:bidi="ar"/>
        </w:rPr>
        <w:t>《畜禽粪便无害化处理技术规范》（</w:t>
      </w:r>
      <w:r>
        <w:rPr>
          <w:rFonts w:cs="Times New Roman"/>
          <w:kern w:val="21"/>
          <w:szCs w:val="24"/>
          <w:lang w:bidi="ar"/>
        </w:rPr>
        <w:t>GB/T36195-2018</w:t>
      </w:r>
      <w:r>
        <w:rPr>
          <w:rFonts w:ascii="宋体" w:hAnsi="宋体" w:cs="宋体" w:hint="eastAsia"/>
          <w:kern w:val="21"/>
          <w:szCs w:val="24"/>
          <w:lang w:bidi="ar"/>
        </w:rPr>
        <w:t>）</w:t>
      </w:r>
      <w:r>
        <w:rPr>
          <w:rFonts w:cs="Times New Roman"/>
          <w:kern w:val="21"/>
        </w:rPr>
        <w:t>。</w:t>
      </w:r>
    </w:p>
    <w:p w14:paraId="2A458432" w14:textId="77777777" w:rsidR="00544649" w:rsidRDefault="00000000">
      <w:pPr>
        <w:pStyle w:val="3"/>
        <w:numPr>
          <w:ilvl w:val="2"/>
          <w:numId w:val="2"/>
        </w:numPr>
        <w:adjustRightInd w:val="0"/>
        <w:snapToGrid w:val="0"/>
        <w:spacing w:after="0"/>
        <w:rPr>
          <w:rFonts w:cs="Times New Roman"/>
          <w:kern w:val="21"/>
        </w:rPr>
      </w:pPr>
      <w:bookmarkStart w:id="74" w:name="_Toc24448"/>
      <w:bookmarkStart w:id="75" w:name="_Toc28067"/>
      <w:bookmarkStart w:id="76" w:name="_Toc195009788"/>
      <w:r>
        <w:rPr>
          <w:rFonts w:cs="Times New Roman"/>
          <w:kern w:val="21"/>
        </w:rPr>
        <w:t>相关规划</w:t>
      </w:r>
      <w:bookmarkEnd w:id="74"/>
      <w:bookmarkEnd w:id="75"/>
      <w:bookmarkEnd w:id="76"/>
    </w:p>
    <w:p w14:paraId="47ED2ABC"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1</w:t>
      </w:r>
      <w:r>
        <w:rPr>
          <w:rFonts w:cs="Times New Roman"/>
          <w:kern w:val="21"/>
        </w:rPr>
        <w:t>）《</w:t>
      </w:r>
      <w:r>
        <w:rPr>
          <w:rFonts w:cs="Times New Roman" w:hint="eastAsia"/>
          <w:kern w:val="21"/>
        </w:rPr>
        <w:t>“</w:t>
      </w:r>
      <w:r>
        <w:rPr>
          <w:rFonts w:cs="Times New Roman"/>
          <w:kern w:val="21"/>
        </w:rPr>
        <w:t>十四五</w:t>
      </w:r>
      <w:r>
        <w:rPr>
          <w:rFonts w:cs="Times New Roman" w:hint="eastAsia"/>
          <w:kern w:val="21"/>
        </w:rPr>
        <w:t>”</w:t>
      </w:r>
      <w:r>
        <w:rPr>
          <w:rFonts w:cs="Times New Roman"/>
          <w:kern w:val="21"/>
        </w:rPr>
        <w:t>全国畜牧兽医行业发展规划》（农牧发〔</w:t>
      </w:r>
      <w:r>
        <w:rPr>
          <w:rFonts w:cs="Times New Roman"/>
          <w:kern w:val="21"/>
        </w:rPr>
        <w:t>2021</w:t>
      </w:r>
      <w:r>
        <w:rPr>
          <w:rFonts w:cs="Times New Roman"/>
          <w:kern w:val="21"/>
        </w:rPr>
        <w:t>〕</w:t>
      </w:r>
      <w:r>
        <w:rPr>
          <w:rFonts w:cs="Times New Roman"/>
          <w:kern w:val="21"/>
        </w:rPr>
        <w:t>37</w:t>
      </w:r>
      <w:r>
        <w:rPr>
          <w:rFonts w:cs="Times New Roman"/>
          <w:kern w:val="21"/>
        </w:rPr>
        <w:t>号）；</w:t>
      </w:r>
    </w:p>
    <w:p w14:paraId="708D4D74"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2</w:t>
      </w:r>
      <w:r>
        <w:rPr>
          <w:rFonts w:cs="Times New Roman"/>
          <w:kern w:val="21"/>
        </w:rPr>
        <w:t>）《</w:t>
      </w:r>
      <w:r>
        <w:rPr>
          <w:rFonts w:cs="Times New Roman" w:hint="eastAsia"/>
          <w:kern w:val="21"/>
        </w:rPr>
        <w:t>四川省畜禽养殖污染防治规划</w:t>
      </w:r>
      <w:r>
        <w:rPr>
          <w:rFonts w:cs="Times New Roman"/>
          <w:kern w:val="21"/>
        </w:rPr>
        <w:t>》</w:t>
      </w:r>
      <w:r>
        <w:rPr>
          <w:rFonts w:cs="Times New Roman" w:hint="eastAsia"/>
          <w:kern w:val="21"/>
        </w:rPr>
        <w:t>（</w:t>
      </w:r>
      <w:proofErr w:type="gramStart"/>
      <w:r>
        <w:rPr>
          <w:rFonts w:cs="Times New Roman" w:hint="eastAsia"/>
          <w:kern w:val="21"/>
        </w:rPr>
        <w:t>川环发</w:t>
      </w:r>
      <w:proofErr w:type="gramEnd"/>
      <w:r>
        <w:rPr>
          <w:rFonts w:cs="Times New Roman" w:hint="eastAsia"/>
          <w:kern w:val="21"/>
        </w:rPr>
        <w:t>〔</w:t>
      </w:r>
      <w:r>
        <w:rPr>
          <w:rFonts w:cs="Times New Roman" w:hint="eastAsia"/>
          <w:kern w:val="21"/>
        </w:rPr>
        <w:t>2022</w:t>
      </w:r>
      <w:r>
        <w:rPr>
          <w:rFonts w:cs="Times New Roman" w:hint="eastAsia"/>
          <w:kern w:val="21"/>
        </w:rPr>
        <w:t>〕</w:t>
      </w:r>
      <w:r>
        <w:rPr>
          <w:rFonts w:cs="Times New Roman" w:hint="eastAsia"/>
          <w:kern w:val="21"/>
        </w:rPr>
        <w:t>18</w:t>
      </w:r>
      <w:r>
        <w:rPr>
          <w:rFonts w:cs="Times New Roman" w:hint="eastAsia"/>
          <w:kern w:val="21"/>
        </w:rPr>
        <w:t>号）</w:t>
      </w:r>
      <w:r>
        <w:rPr>
          <w:rFonts w:cs="Times New Roman"/>
          <w:kern w:val="21"/>
        </w:rPr>
        <w:t>；</w:t>
      </w:r>
    </w:p>
    <w:p w14:paraId="77E14F34" w14:textId="77777777" w:rsidR="00544649" w:rsidRDefault="00000000">
      <w:pPr>
        <w:adjustRightInd w:val="0"/>
        <w:snapToGrid w:val="0"/>
        <w:spacing w:after="0"/>
        <w:ind w:firstLine="480"/>
        <w:rPr>
          <w:rFonts w:cs="Times New Roman"/>
          <w:kern w:val="21"/>
          <w:szCs w:val="24"/>
        </w:rPr>
      </w:pPr>
      <w:r>
        <w:rPr>
          <w:rFonts w:cs="Times New Roman"/>
          <w:kern w:val="21"/>
        </w:rPr>
        <w:lastRenderedPageBreak/>
        <w:t>（</w:t>
      </w:r>
      <w:r>
        <w:rPr>
          <w:rFonts w:cs="Times New Roman" w:hint="eastAsia"/>
          <w:kern w:val="21"/>
        </w:rPr>
        <w:t>3</w:t>
      </w:r>
      <w:r>
        <w:rPr>
          <w:rFonts w:cs="Times New Roman"/>
          <w:kern w:val="21"/>
        </w:rPr>
        <w:t>）</w:t>
      </w:r>
      <w:r>
        <w:rPr>
          <w:rFonts w:cs="Times New Roman" w:hint="eastAsia"/>
          <w:kern w:val="21"/>
          <w:szCs w:val="24"/>
        </w:rPr>
        <w:t>《广元市“十四五”畜牧业发展规划》</w:t>
      </w:r>
      <w:r>
        <w:rPr>
          <w:rFonts w:cs="Times New Roman"/>
          <w:kern w:val="21"/>
          <w:szCs w:val="24"/>
        </w:rPr>
        <w:t>（</w:t>
      </w:r>
      <w:proofErr w:type="gramStart"/>
      <w:r>
        <w:rPr>
          <w:rFonts w:cs="Times New Roman" w:hint="eastAsia"/>
          <w:kern w:val="21"/>
          <w:szCs w:val="24"/>
        </w:rPr>
        <w:t>广农〔</w:t>
      </w:r>
      <w:r>
        <w:rPr>
          <w:rFonts w:cs="Times New Roman" w:hint="eastAsia"/>
          <w:kern w:val="21"/>
          <w:szCs w:val="24"/>
        </w:rPr>
        <w:t>2023</w:t>
      </w:r>
      <w:r>
        <w:rPr>
          <w:rFonts w:cs="Times New Roman" w:hint="eastAsia"/>
          <w:kern w:val="21"/>
          <w:szCs w:val="24"/>
        </w:rPr>
        <w:t>〕</w:t>
      </w:r>
      <w:proofErr w:type="gramEnd"/>
      <w:r>
        <w:rPr>
          <w:rFonts w:cs="Times New Roman" w:hint="eastAsia"/>
          <w:kern w:val="21"/>
          <w:szCs w:val="24"/>
        </w:rPr>
        <w:t>36</w:t>
      </w:r>
      <w:r>
        <w:rPr>
          <w:rFonts w:cs="Times New Roman" w:hint="eastAsia"/>
          <w:kern w:val="21"/>
          <w:szCs w:val="24"/>
        </w:rPr>
        <w:t>号</w:t>
      </w:r>
      <w:r>
        <w:rPr>
          <w:rFonts w:cs="Times New Roman"/>
          <w:kern w:val="21"/>
          <w:szCs w:val="24"/>
        </w:rPr>
        <w:t>）；</w:t>
      </w:r>
    </w:p>
    <w:p w14:paraId="19A865AB" w14:textId="77777777" w:rsidR="00544649" w:rsidRDefault="00000000">
      <w:pPr>
        <w:adjustRightInd w:val="0"/>
        <w:snapToGrid w:val="0"/>
        <w:spacing w:after="0"/>
        <w:ind w:firstLine="480"/>
        <w:rPr>
          <w:rFonts w:cs="Times New Roman"/>
          <w:kern w:val="21"/>
        </w:rPr>
      </w:pPr>
      <w:r>
        <w:rPr>
          <w:rFonts w:cs="Times New Roman" w:hint="eastAsia"/>
          <w:kern w:val="21"/>
        </w:rPr>
        <w:t>（</w:t>
      </w:r>
      <w:r>
        <w:rPr>
          <w:rFonts w:cs="Times New Roman" w:hint="eastAsia"/>
          <w:kern w:val="21"/>
        </w:rPr>
        <w:t>4</w:t>
      </w:r>
      <w:r>
        <w:rPr>
          <w:rFonts w:cs="Times New Roman" w:hint="eastAsia"/>
          <w:kern w:val="21"/>
        </w:rPr>
        <w:t>）《广元市“十四五”推进农业农村现代化规划》</w:t>
      </w:r>
      <w:r>
        <w:rPr>
          <w:rFonts w:cs="Times New Roman"/>
          <w:kern w:val="21"/>
        </w:rPr>
        <w:t>（</w:t>
      </w:r>
      <w:r>
        <w:rPr>
          <w:rFonts w:cs="Times New Roman" w:hint="eastAsia"/>
          <w:kern w:val="21"/>
        </w:rPr>
        <w:t>广府发〔</w:t>
      </w:r>
      <w:r>
        <w:rPr>
          <w:rFonts w:cs="Times New Roman" w:hint="eastAsia"/>
          <w:kern w:val="21"/>
        </w:rPr>
        <w:t>2022</w:t>
      </w:r>
      <w:r>
        <w:rPr>
          <w:rFonts w:cs="Times New Roman" w:hint="eastAsia"/>
          <w:kern w:val="21"/>
        </w:rPr>
        <w:t>〕</w:t>
      </w:r>
      <w:r>
        <w:rPr>
          <w:rFonts w:cs="Times New Roman" w:hint="eastAsia"/>
          <w:kern w:val="21"/>
        </w:rPr>
        <w:t>12</w:t>
      </w:r>
      <w:r>
        <w:rPr>
          <w:rFonts w:cs="Times New Roman" w:hint="eastAsia"/>
          <w:kern w:val="21"/>
        </w:rPr>
        <w:t>号</w:t>
      </w:r>
      <w:r>
        <w:rPr>
          <w:rFonts w:cs="Times New Roman"/>
          <w:kern w:val="21"/>
        </w:rPr>
        <w:t>）</w:t>
      </w:r>
      <w:r>
        <w:rPr>
          <w:rFonts w:cs="Times New Roman" w:hint="eastAsia"/>
          <w:kern w:val="21"/>
        </w:rPr>
        <w:t>；</w:t>
      </w:r>
    </w:p>
    <w:p w14:paraId="6C511AA0" w14:textId="77777777" w:rsidR="00544649" w:rsidRDefault="00000000">
      <w:pPr>
        <w:adjustRightInd w:val="0"/>
        <w:snapToGrid w:val="0"/>
        <w:spacing w:after="0"/>
        <w:ind w:firstLine="480"/>
        <w:rPr>
          <w:rFonts w:cs="Times New Roman"/>
          <w:kern w:val="21"/>
        </w:rPr>
      </w:pPr>
      <w:r>
        <w:rPr>
          <w:rFonts w:cs="Times New Roman" w:hint="eastAsia"/>
          <w:kern w:val="21"/>
        </w:rPr>
        <w:t>（</w:t>
      </w:r>
      <w:r>
        <w:rPr>
          <w:rFonts w:cs="Times New Roman" w:hint="eastAsia"/>
          <w:kern w:val="21"/>
        </w:rPr>
        <w:t>5</w:t>
      </w:r>
      <w:r>
        <w:rPr>
          <w:rFonts w:cs="Times New Roman" w:hint="eastAsia"/>
          <w:kern w:val="21"/>
        </w:rPr>
        <w:t>）剑阁县人民政府办公室关于印发《剑阁县畜禽养殖禁养区限养区适养区划定方案及</w:t>
      </w:r>
      <w:r>
        <w:rPr>
          <w:rFonts w:cs="Times New Roman" w:hint="eastAsia"/>
          <w:kern w:val="21"/>
        </w:rPr>
        <w:t>1</w:t>
      </w:r>
      <w:r>
        <w:rPr>
          <w:rFonts w:cs="Times New Roman" w:hint="eastAsia"/>
          <w:kern w:val="21"/>
        </w:rPr>
        <w:t>：</w:t>
      </w:r>
      <w:r>
        <w:rPr>
          <w:rFonts w:cs="Times New Roman" w:hint="eastAsia"/>
          <w:kern w:val="21"/>
        </w:rPr>
        <w:t>50000</w:t>
      </w:r>
      <w:r>
        <w:rPr>
          <w:rFonts w:cs="Times New Roman" w:hint="eastAsia"/>
          <w:kern w:val="21"/>
        </w:rPr>
        <w:t>电子分布地图》的通知（</w:t>
      </w:r>
      <w:proofErr w:type="gramStart"/>
      <w:r>
        <w:rPr>
          <w:rFonts w:cs="Times New Roman" w:hint="eastAsia"/>
          <w:kern w:val="21"/>
        </w:rPr>
        <w:t>剑府办</w:t>
      </w:r>
      <w:proofErr w:type="gramEnd"/>
      <w:r>
        <w:rPr>
          <w:rFonts w:cs="Times New Roman" w:hint="eastAsia"/>
          <w:kern w:val="21"/>
        </w:rPr>
        <w:t>发〔</w:t>
      </w:r>
      <w:r>
        <w:rPr>
          <w:rFonts w:cs="Times New Roman" w:hint="eastAsia"/>
          <w:kern w:val="21"/>
        </w:rPr>
        <w:t>2018</w:t>
      </w:r>
      <w:r>
        <w:rPr>
          <w:rFonts w:cs="Times New Roman" w:hint="eastAsia"/>
          <w:kern w:val="21"/>
        </w:rPr>
        <w:t>〕</w:t>
      </w:r>
      <w:r>
        <w:rPr>
          <w:rFonts w:cs="Times New Roman" w:hint="eastAsia"/>
          <w:kern w:val="21"/>
        </w:rPr>
        <w:t>71</w:t>
      </w:r>
      <w:r>
        <w:rPr>
          <w:rFonts w:cs="Times New Roman" w:hint="eastAsia"/>
          <w:kern w:val="21"/>
        </w:rPr>
        <w:t>号）；</w:t>
      </w:r>
    </w:p>
    <w:p w14:paraId="7E774D3B" w14:textId="77777777" w:rsidR="00544649" w:rsidRDefault="00000000">
      <w:pPr>
        <w:pStyle w:val="3"/>
        <w:numPr>
          <w:ilvl w:val="2"/>
          <w:numId w:val="2"/>
        </w:numPr>
        <w:adjustRightInd w:val="0"/>
        <w:snapToGrid w:val="0"/>
        <w:spacing w:after="0"/>
        <w:jc w:val="both"/>
        <w:rPr>
          <w:rFonts w:cs="Times New Roman"/>
          <w:kern w:val="21"/>
        </w:rPr>
      </w:pPr>
      <w:bookmarkStart w:id="77" w:name="_Toc14255"/>
      <w:bookmarkStart w:id="78" w:name="_Toc18254"/>
      <w:bookmarkStart w:id="79" w:name="_Toc195009789"/>
      <w:bookmarkStart w:id="80" w:name="OLE_LINK4"/>
      <w:r>
        <w:rPr>
          <w:rFonts w:cs="Times New Roman"/>
          <w:kern w:val="21"/>
        </w:rPr>
        <w:t>相关技术及工作文件</w:t>
      </w:r>
      <w:bookmarkEnd w:id="77"/>
      <w:bookmarkEnd w:id="78"/>
      <w:bookmarkEnd w:id="79"/>
    </w:p>
    <w:bookmarkEnd w:id="80"/>
    <w:p w14:paraId="41DAB9DC" w14:textId="77777777" w:rsidR="00544649" w:rsidRDefault="00000000">
      <w:pPr>
        <w:numPr>
          <w:ilvl w:val="0"/>
          <w:numId w:val="12"/>
        </w:numPr>
        <w:adjustRightInd w:val="0"/>
        <w:snapToGrid w:val="0"/>
        <w:spacing w:after="0"/>
        <w:ind w:left="0" w:firstLine="480"/>
        <w:rPr>
          <w:rFonts w:cs="Times New Roman"/>
          <w:kern w:val="21"/>
          <w:szCs w:val="24"/>
        </w:rPr>
      </w:pPr>
      <w:r>
        <w:rPr>
          <w:rFonts w:cs="Times New Roman" w:hint="eastAsia"/>
          <w:kern w:val="21"/>
          <w:szCs w:val="24"/>
        </w:rPr>
        <w:t>剑阁非笼养蛋鸡产业</w:t>
      </w:r>
      <w:proofErr w:type="gramStart"/>
      <w:r>
        <w:rPr>
          <w:rFonts w:cs="Times New Roman" w:hint="eastAsia"/>
          <w:kern w:val="21"/>
          <w:szCs w:val="24"/>
        </w:rPr>
        <w:t>链项目</w:t>
      </w:r>
      <w:proofErr w:type="gramEnd"/>
      <w:r>
        <w:rPr>
          <w:rFonts w:cs="Times New Roman"/>
          <w:kern w:val="21"/>
          <w:szCs w:val="24"/>
        </w:rPr>
        <w:t>环境影响评价委托书；</w:t>
      </w:r>
    </w:p>
    <w:p w14:paraId="7F18F646" w14:textId="77777777" w:rsidR="00544649" w:rsidRDefault="00000000">
      <w:pPr>
        <w:numPr>
          <w:ilvl w:val="0"/>
          <w:numId w:val="12"/>
        </w:numPr>
        <w:adjustRightInd w:val="0"/>
        <w:snapToGrid w:val="0"/>
        <w:spacing w:after="0"/>
        <w:ind w:left="0" w:firstLine="480"/>
        <w:rPr>
          <w:rFonts w:cs="Times New Roman"/>
          <w:kern w:val="21"/>
          <w:szCs w:val="24"/>
        </w:rPr>
      </w:pPr>
      <w:r>
        <w:rPr>
          <w:rFonts w:cs="Times New Roman" w:hint="eastAsia"/>
          <w:kern w:val="21"/>
          <w:szCs w:val="24"/>
        </w:rPr>
        <w:t>项目</w:t>
      </w:r>
      <w:r>
        <w:rPr>
          <w:rFonts w:cs="Times New Roman"/>
          <w:kern w:val="21"/>
          <w:szCs w:val="24"/>
        </w:rPr>
        <w:t>备案表（</w:t>
      </w:r>
      <w:r>
        <w:rPr>
          <w:rFonts w:cs="Times New Roman" w:hint="eastAsia"/>
          <w:kern w:val="21"/>
          <w:szCs w:val="24"/>
        </w:rPr>
        <w:t>备案号：川投资备【</w:t>
      </w:r>
      <w:r>
        <w:rPr>
          <w:rFonts w:cs="Times New Roman" w:hint="eastAsia"/>
          <w:kern w:val="21"/>
          <w:szCs w:val="24"/>
        </w:rPr>
        <w:t>2410-510823-04-01-461039</w:t>
      </w:r>
      <w:r>
        <w:rPr>
          <w:rFonts w:cs="Times New Roman" w:hint="eastAsia"/>
          <w:kern w:val="21"/>
          <w:szCs w:val="24"/>
        </w:rPr>
        <w:t>】</w:t>
      </w:r>
      <w:r>
        <w:rPr>
          <w:rFonts w:cs="Times New Roman" w:hint="eastAsia"/>
          <w:kern w:val="21"/>
          <w:szCs w:val="24"/>
        </w:rPr>
        <w:t>FGQB-0196</w:t>
      </w:r>
      <w:r>
        <w:rPr>
          <w:rFonts w:cs="Times New Roman"/>
          <w:kern w:val="21"/>
          <w:szCs w:val="24"/>
        </w:rPr>
        <w:t>号）；</w:t>
      </w:r>
    </w:p>
    <w:p w14:paraId="7BACD4F6" w14:textId="77777777" w:rsidR="00544649" w:rsidRDefault="00000000">
      <w:pPr>
        <w:numPr>
          <w:ilvl w:val="0"/>
          <w:numId w:val="12"/>
        </w:numPr>
        <w:adjustRightInd w:val="0"/>
        <w:snapToGrid w:val="0"/>
        <w:spacing w:after="0"/>
        <w:ind w:left="0" w:firstLineChars="0"/>
        <w:rPr>
          <w:rFonts w:cs="Times New Roman"/>
          <w:kern w:val="21"/>
          <w:szCs w:val="24"/>
        </w:rPr>
      </w:pPr>
      <w:r>
        <w:rPr>
          <w:rFonts w:cs="Times New Roman" w:hint="eastAsia"/>
          <w:kern w:val="21"/>
          <w:szCs w:val="24"/>
        </w:rPr>
        <w:t>剑阁县林业局关于《剑阁县铁骑力士非笼养高品质蛋鸡养殖项目拟建用地范围征求意见的函》的复函；</w:t>
      </w:r>
    </w:p>
    <w:p w14:paraId="3072D32F" w14:textId="77777777" w:rsidR="00544649" w:rsidRDefault="00000000">
      <w:pPr>
        <w:numPr>
          <w:ilvl w:val="0"/>
          <w:numId w:val="12"/>
        </w:numPr>
        <w:adjustRightInd w:val="0"/>
        <w:snapToGrid w:val="0"/>
        <w:spacing w:after="0"/>
        <w:ind w:left="0" w:firstLineChars="0"/>
        <w:rPr>
          <w:rFonts w:cs="Times New Roman"/>
          <w:kern w:val="21"/>
          <w:szCs w:val="24"/>
        </w:rPr>
      </w:pPr>
      <w:r>
        <w:rPr>
          <w:rFonts w:cs="Times New Roman" w:hint="eastAsia"/>
          <w:kern w:val="21"/>
          <w:szCs w:val="24"/>
        </w:rPr>
        <w:t>四川省林业和草原局关于《准予剑阁非笼养蛋鸡产业链项目占用林地的行政许可决定》（</w:t>
      </w:r>
      <w:proofErr w:type="gramStart"/>
      <w:r>
        <w:rPr>
          <w:rFonts w:cs="Times New Roman" w:hint="eastAsia"/>
          <w:kern w:val="21"/>
          <w:szCs w:val="24"/>
        </w:rPr>
        <w:t>川林资许</w:t>
      </w:r>
      <w:proofErr w:type="gramEnd"/>
      <w:r>
        <w:rPr>
          <w:rFonts w:cs="Times New Roman" w:hint="eastAsia"/>
          <w:kern w:val="21"/>
          <w:szCs w:val="24"/>
        </w:rPr>
        <w:t>准（广）〔</w:t>
      </w:r>
      <w:r>
        <w:rPr>
          <w:rFonts w:cs="Times New Roman" w:hint="eastAsia"/>
          <w:kern w:val="21"/>
          <w:szCs w:val="24"/>
        </w:rPr>
        <w:t>2024</w:t>
      </w:r>
      <w:r>
        <w:rPr>
          <w:rFonts w:cs="Times New Roman" w:hint="eastAsia"/>
          <w:kern w:val="21"/>
          <w:szCs w:val="24"/>
        </w:rPr>
        <w:t>〕</w:t>
      </w:r>
      <w:r>
        <w:rPr>
          <w:rFonts w:cs="Times New Roman" w:hint="eastAsia"/>
          <w:kern w:val="21"/>
          <w:szCs w:val="24"/>
        </w:rPr>
        <w:t>115</w:t>
      </w:r>
      <w:r>
        <w:rPr>
          <w:rFonts w:cs="Times New Roman" w:hint="eastAsia"/>
          <w:kern w:val="21"/>
          <w:szCs w:val="24"/>
        </w:rPr>
        <w:t>号）；</w:t>
      </w:r>
    </w:p>
    <w:p w14:paraId="401C889E" w14:textId="77777777" w:rsidR="00544649" w:rsidRDefault="00000000">
      <w:pPr>
        <w:numPr>
          <w:ilvl w:val="0"/>
          <w:numId w:val="12"/>
        </w:numPr>
        <w:adjustRightInd w:val="0"/>
        <w:snapToGrid w:val="0"/>
        <w:spacing w:after="0"/>
        <w:ind w:left="0" w:firstLineChars="0"/>
        <w:rPr>
          <w:rFonts w:cs="Times New Roman"/>
          <w:kern w:val="21"/>
          <w:szCs w:val="24"/>
        </w:rPr>
      </w:pPr>
      <w:r>
        <w:rPr>
          <w:rFonts w:cs="Times New Roman" w:hint="eastAsia"/>
          <w:kern w:val="21"/>
          <w:szCs w:val="24"/>
        </w:rPr>
        <w:t>剑阁县林业局关于《剑阁非笼养蛋鸡产业链项目占用林地意见的复函》；</w:t>
      </w:r>
    </w:p>
    <w:p w14:paraId="21B1E75F" w14:textId="77777777" w:rsidR="00544649" w:rsidRDefault="00000000">
      <w:pPr>
        <w:numPr>
          <w:ilvl w:val="0"/>
          <w:numId w:val="12"/>
        </w:numPr>
        <w:adjustRightInd w:val="0"/>
        <w:snapToGrid w:val="0"/>
        <w:spacing w:after="0"/>
        <w:ind w:left="0" w:firstLineChars="0"/>
        <w:rPr>
          <w:rFonts w:cs="Times New Roman"/>
          <w:kern w:val="21"/>
          <w:szCs w:val="24"/>
        </w:rPr>
      </w:pPr>
      <w:r>
        <w:rPr>
          <w:rFonts w:cs="Times New Roman" w:hint="eastAsia"/>
          <w:kern w:val="21"/>
          <w:szCs w:val="24"/>
        </w:rPr>
        <w:t>设施农业用地备案表；</w:t>
      </w:r>
    </w:p>
    <w:p w14:paraId="4105F669" w14:textId="77777777" w:rsidR="00544649" w:rsidRDefault="00000000">
      <w:pPr>
        <w:numPr>
          <w:ilvl w:val="0"/>
          <w:numId w:val="12"/>
        </w:numPr>
        <w:adjustRightInd w:val="0"/>
        <w:snapToGrid w:val="0"/>
        <w:spacing w:after="0"/>
        <w:ind w:left="0" w:firstLineChars="0"/>
        <w:rPr>
          <w:rFonts w:cs="Times New Roman"/>
          <w:kern w:val="21"/>
          <w:szCs w:val="24"/>
        </w:rPr>
      </w:pPr>
      <w:r>
        <w:rPr>
          <w:rFonts w:cs="Times New Roman" w:hint="eastAsia"/>
          <w:kern w:val="21"/>
          <w:szCs w:val="24"/>
        </w:rPr>
        <w:t>设施农用地使用协议；</w:t>
      </w:r>
    </w:p>
    <w:p w14:paraId="1CCAFE40" w14:textId="77777777" w:rsidR="00544649" w:rsidRDefault="00000000">
      <w:pPr>
        <w:numPr>
          <w:ilvl w:val="0"/>
          <w:numId w:val="12"/>
        </w:numPr>
        <w:adjustRightInd w:val="0"/>
        <w:snapToGrid w:val="0"/>
        <w:spacing w:after="0"/>
        <w:ind w:left="0" w:firstLine="480"/>
        <w:rPr>
          <w:rFonts w:cs="Times New Roman"/>
          <w:kern w:val="21"/>
          <w:szCs w:val="24"/>
        </w:rPr>
      </w:pPr>
      <w:r>
        <w:rPr>
          <w:rFonts w:cs="Times New Roman" w:hint="eastAsia"/>
          <w:kern w:val="21"/>
          <w:szCs w:val="24"/>
        </w:rPr>
        <w:t>广元市剑阁生态环境局关于《剑阁非笼养蛋鸡产业链项目选址不涉及集中式饮用水水源保护区的说明》；</w:t>
      </w:r>
    </w:p>
    <w:p w14:paraId="3288AA81" w14:textId="77777777" w:rsidR="00544649" w:rsidRDefault="00000000">
      <w:pPr>
        <w:numPr>
          <w:ilvl w:val="0"/>
          <w:numId w:val="12"/>
        </w:numPr>
        <w:adjustRightInd w:val="0"/>
        <w:snapToGrid w:val="0"/>
        <w:spacing w:after="0"/>
        <w:ind w:left="0" w:firstLine="480"/>
        <w:rPr>
          <w:rFonts w:cs="Times New Roman"/>
          <w:kern w:val="21"/>
          <w:szCs w:val="24"/>
        </w:rPr>
      </w:pPr>
      <w:r>
        <w:rPr>
          <w:rFonts w:cs="Times New Roman" w:hint="eastAsia"/>
          <w:kern w:val="21"/>
          <w:szCs w:val="24"/>
        </w:rPr>
        <w:t>剑阁县农业农村局出具的本项目不在畜禽养殖禁养区内的证明；</w:t>
      </w:r>
    </w:p>
    <w:p w14:paraId="4001D4C1" w14:textId="77777777" w:rsidR="00544649" w:rsidRDefault="00000000">
      <w:pPr>
        <w:numPr>
          <w:ilvl w:val="0"/>
          <w:numId w:val="12"/>
        </w:numPr>
        <w:adjustRightInd w:val="0"/>
        <w:snapToGrid w:val="0"/>
        <w:spacing w:after="0"/>
        <w:ind w:left="0" w:firstLine="480"/>
        <w:rPr>
          <w:rFonts w:cs="Times New Roman"/>
          <w:kern w:val="21"/>
          <w:szCs w:val="24"/>
        </w:rPr>
      </w:pPr>
      <w:r>
        <w:rPr>
          <w:rFonts w:cs="Times New Roman" w:hint="eastAsia"/>
          <w:kern w:val="21"/>
          <w:szCs w:val="24"/>
        </w:rPr>
        <w:t>关于“剑阁非笼养蛋鸡产业链项目”天然气管网建设的情况说明函；</w:t>
      </w:r>
    </w:p>
    <w:p w14:paraId="214BCB4E" w14:textId="77777777" w:rsidR="00544649" w:rsidRDefault="00000000">
      <w:pPr>
        <w:numPr>
          <w:ilvl w:val="0"/>
          <w:numId w:val="12"/>
        </w:numPr>
        <w:adjustRightInd w:val="0"/>
        <w:snapToGrid w:val="0"/>
        <w:spacing w:after="0"/>
        <w:ind w:left="0" w:firstLine="480"/>
        <w:rPr>
          <w:rFonts w:cs="Times New Roman"/>
          <w:kern w:val="21"/>
        </w:rPr>
      </w:pPr>
      <w:r>
        <w:rPr>
          <w:rFonts w:cs="Times New Roman" w:hint="eastAsia"/>
          <w:kern w:val="21"/>
          <w:szCs w:val="24"/>
        </w:rPr>
        <w:t>剑阁县自然资源局关于《剑阁非笼养蛋鸡产业链项目用地情况说明》的复函；</w:t>
      </w:r>
    </w:p>
    <w:p w14:paraId="73C324FB" w14:textId="77777777" w:rsidR="00544649" w:rsidRDefault="00000000">
      <w:pPr>
        <w:numPr>
          <w:ilvl w:val="0"/>
          <w:numId w:val="12"/>
        </w:numPr>
        <w:adjustRightInd w:val="0"/>
        <w:snapToGrid w:val="0"/>
        <w:spacing w:after="0"/>
        <w:ind w:left="0" w:firstLine="480"/>
        <w:rPr>
          <w:rFonts w:cs="Times New Roman"/>
          <w:kern w:val="21"/>
          <w:szCs w:val="24"/>
        </w:rPr>
      </w:pPr>
      <w:r>
        <w:rPr>
          <w:rFonts w:cs="Times New Roman"/>
          <w:kern w:val="21"/>
          <w:szCs w:val="24"/>
        </w:rPr>
        <w:t>建设单位提供的其他资料和文件。</w:t>
      </w:r>
    </w:p>
    <w:p w14:paraId="206EB37C" w14:textId="77777777" w:rsidR="00544649" w:rsidRDefault="00000000">
      <w:pPr>
        <w:pStyle w:val="2"/>
        <w:numPr>
          <w:ilvl w:val="1"/>
          <w:numId w:val="2"/>
        </w:numPr>
        <w:adjustRightInd w:val="0"/>
        <w:snapToGrid w:val="0"/>
        <w:spacing w:after="0"/>
        <w:jc w:val="both"/>
        <w:rPr>
          <w:rFonts w:cs="Times New Roman"/>
          <w:kern w:val="21"/>
        </w:rPr>
      </w:pPr>
      <w:bookmarkStart w:id="81" w:name="_Toc30056"/>
      <w:bookmarkStart w:id="82" w:name="_Toc31627"/>
      <w:bookmarkStart w:id="83" w:name="_Toc195009790"/>
      <w:r>
        <w:rPr>
          <w:rFonts w:cs="Times New Roman"/>
          <w:kern w:val="21"/>
        </w:rPr>
        <w:t>产业政策、规划符合性</w:t>
      </w:r>
      <w:bookmarkEnd w:id="81"/>
      <w:bookmarkEnd w:id="82"/>
      <w:bookmarkEnd w:id="83"/>
    </w:p>
    <w:p w14:paraId="51E87117" w14:textId="77777777" w:rsidR="00544649" w:rsidRDefault="00000000">
      <w:pPr>
        <w:pStyle w:val="3"/>
        <w:numPr>
          <w:ilvl w:val="2"/>
          <w:numId w:val="2"/>
        </w:numPr>
        <w:adjustRightInd w:val="0"/>
        <w:snapToGrid w:val="0"/>
        <w:spacing w:after="0"/>
        <w:jc w:val="both"/>
        <w:rPr>
          <w:rFonts w:cs="Times New Roman"/>
          <w:kern w:val="21"/>
        </w:rPr>
      </w:pPr>
      <w:bookmarkStart w:id="84" w:name="_Toc7276"/>
      <w:bookmarkStart w:id="85" w:name="_Toc28729"/>
      <w:bookmarkStart w:id="86" w:name="_Toc195009791"/>
      <w:r>
        <w:rPr>
          <w:rFonts w:cs="Times New Roman"/>
          <w:kern w:val="21"/>
        </w:rPr>
        <w:t>与国家产业政策符合性分析</w:t>
      </w:r>
      <w:bookmarkEnd w:id="84"/>
      <w:bookmarkEnd w:id="85"/>
      <w:bookmarkEnd w:id="86"/>
    </w:p>
    <w:p w14:paraId="5D475F69" w14:textId="77777777" w:rsidR="00544649" w:rsidRDefault="00000000">
      <w:pPr>
        <w:adjustRightInd w:val="0"/>
        <w:snapToGrid w:val="0"/>
        <w:spacing w:after="0"/>
        <w:ind w:firstLine="480"/>
        <w:rPr>
          <w:rFonts w:cs="Times New Roman"/>
          <w:kern w:val="21"/>
          <w:szCs w:val="24"/>
        </w:rPr>
      </w:pPr>
      <w:r>
        <w:rPr>
          <w:rFonts w:cs="Times New Roman"/>
          <w:kern w:val="21"/>
        </w:rPr>
        <w:t>本项目为蛋鸡养殖</w:t>
      </w:r>
      <w:r>
        <w:rPr>
          <w:rFonts w:cs="Times New Roman" w:hint="eastAsia"/>
          <w:kern w:val="21"/>
        </w:rPr>
        <w:t>项目</w:t>
      </w:r>
      <w:r>
        <w:rPr>
          <w:rFonts w:cs="Times New Roman"/>
          <w:kern w:val="21"/>
        </w:rPr>
        <w:t>，根据《国民经济行业分类》（</w:t>
      </w:r>
      <w:r>
        <w:rPr>
          <w:rFonts w:cs="Times New Roman"/>
          <w:kern w:val="21"/>
        </w:rPr>
        <w:t>GB/T4754-2017</w:t>
      </w:r>
      <w:r>
        <w:rPr>
          <w:rFonts w:cs="Times New Roman"/>
          <w:kern w:val="21"/>
        </w:rPr>
        <w:t>），本项目为</w:t>
      </w:r>
      <w:r>
        <w:rPr>
          <w:rFonts w:cs="Times New Roman"/>
          <w:b/>
          <w:bCs/>
          <w:kern w:val="21"/>
        </w:rPr>
        <w:t>A0321</w:t>
      </w:r>
      <w:r>
        <w:rPr>
          <w:rFonts w:cs="Times New Roman"/>
          <w:b/>
          <w:bCs/>
          <w:kern w:val="21"/>
        </w:rPr>
        <w:t>鸡的饲养</w:t>
      </w:r>
      <w:r>
        <w:rPr>
          <w:rFonts w:cs="Times New Roman"/>
          <w:kern w:val="21"/>
        </w:rPr>
        <w:t>。</w:t>
      </w:r>
      <w:r>
        <w:rPr>
          <w:rFonts w:cs="Times New Roman"/>
          <w:kern w:val="21"/>
          <w:szCs w:val="24"/>
        </w:rPr>
        <w:t>根据国家发展和改革委员会</w:t>
      </w:r>
      <w:r>
        <w:rPr>
          <w:rFonts w:cs="Times New Roman"/>
          <w:kern w:val="21"/>
          <w:szCs w:val="24"/>
        </w:rPr>
        <w:t>2023</w:t>
      </w:r>
      <w:r>
        <w:rPr>
          <w:rFonts w:cs="Times New Roman"/>
          <w:kern w:val="21"/>
          <w:szCs w:val="24"/>
        </w:rPr>
        <w:t>年第</w:t>
      </w:r>
      <w:r>
        <w:rPr>
          <w:rFonts w:cs="Times New Roman"/>
          <w:kern w:val="21"/>
          <w:szCs w:val="24"/>
        </w:rPr>
        <w:t>7</w:t>
      </w:r>
      <w:r>
        <w:rPr>
          <w:rFonts w:cs="Times New Roman"/>
          <w:kern w:val="21"/>
          <w:szCs w:val="24"/>
        </w:rPr>
        <w:t>号令《产业结构调整指导目录（</w:t>
      </w:r>
      <w:r>
        <w:rPr>
          <w:rFonts w:cs="Times New Roman"/>
          <w:kern w:val="21"/>
          <w:szCs w:val="24"/>
        </w:rPr>
        <w:t>2024</w:t>
      </w:r>
      <w:r>
        <w:rPr>
          <w:rFonts w:cs="Times New Roman"/>
          <w:kern w:val="21"/>
          <w:szCs w:val="24"/>
        </w:rPr>
        <w:t>年本）》，本项目属于</w:t>
      </w:r>
      <w:r>
        <w:rPr>
          <w:rFonts w:cs="Times New Roman"/>
          <w:kern w:val="21"/>
        </w:rPr>
        <w:t>其中的</w:t>
      </w:r>
      <w:r>
        <w:rPr>
          <w:rFonts w:cs="Times New Roman" w:hint="eastAsia"/>
          <w:kern w:val="21"/>
          <w:szCs w:val="24"/>
        </w:rPr>
        <w:t>“</w:t>
      </w:r>
      <w:r>
        <w:rPr>
          <w:rFonts w:cs="Times New Roman"/>
          <w:kern w:val="21"/>
          <w:szCs w:val="24"/>
        </w:rPr>
        <w:t>鼓励类</w:t>
      </w:r>
      <w:r>
        <w:rPr>
          <w:rFonts w:cs="Times New Roman" w:hint="eastAsia"/>
          <w:kern w:val="21"/>
          <w:szCs w:val="24"/>
        </w:rPr>
        <w:t>”</w:t>
      </w:r>
      <w:r>
        <w:rPr>
          <w:rFonts w:cs="Times New Roman"/>
          <w:kern w:val="21"/>
          <w:szCs w:val="24"/>
        </w:rPr>
        <w:t>第一条</w:t>
      </w:r>
      <w:r>
        <w:rPr>
          <w:rFonts w:cs="Times New Roman" w:hint="eastAsia"/>
          <w:kern w:val="21"/>
          <w:szCs w:val="24"/>
        </w:rPr>
        <w:t>“</w:t>
      </w:r>
      <w:r>
        <w:rPr>
          <w:rFonts w:cs="Times New Roman"/>
          <w:kern w:val="21"/>
          <w:szCs w:val="24"/>
        </w:rPr>
        <w:t>农林牧渔业</w:t>
      </w:r>
      <w:r>
        <w:rPr>
          <w:rFonts w:cs="Times New Roman" w:hint="eastAsia"/>
          <w:kern w:val="21"/>
          <w:szCs w:val="24"/>
        </w:rPr>
        <w:t>”</w:t>
      </w:r>
      <w:r>
        <w:rPr>
          <w:rFonts w:cs="Times New Roman"/>
          <w:kern w:val="21"/>
          <w:szCs w:val="24"/>
        </w:rPr>
        <w:t>中第</w:t>
      </w:r>
      <w:r>
        <w:rPr>
          <w:rFonts w:cs="Times New Roman"/>
          <w:kern w:val="21"/>
          <w:szCs w:val="24"/>
        </w:rPr>
        <w:t>14</w:t>
      </w:r>
      <w:r>
        <w:rPr>
          <w:rFonts w:cs="Times New Roman"/>
          <w:kern w:val="21"/>
          <w:szCs w:val="24"/>
        </w:rPr>
        <w:t>款</w:t>
      </w:r>
      <w:r>
        <w:rPr>
          <w:rFonts w:cs="Times New Roman" w:hint="eastAsia"/>
          <w:kern w:val="21"/>
          <w:szCs w:val="24"/>
        </w:rPr>
        <w:t>“</w:t>
      </w:r>
      <w:r>
        <w:rPr>
          <w:rFonts w:cs="Times New Roman"/>
          <w:kern w:val="21"/>
          <w:szCs w:val="24"/>
        </w:rPr>
        <w:t>畜禽标准化规模养殖技术开发与应用</w:t>
      </w:r>
      <w:r>
        <w:rPr>
          <w:rFonts w:cs="Times New Roman" w:hint="eastAsia"/>
          <w:kern w:val="21"/>
          <w:szCs w:val="24"/>
        </w:rPr>
        <w:t>”</w:t>
      </w:r>
      <w:r>
        <w:rPr>
          <w:rFonts w:cs="Times New Roman"/>
          <w:kern w:val="21"/>
          <w:szCs w:val="24"/>
        </w:rPr>
        <w:t>。</w:t>
      </w:r>
    </w:p>
    <w:p w14:paraId="16243A1B" w14:textId="77777777" w:rsidR="00544649" w:rsidRDefault="00000000">
      <w:pPr>
        <w:adjustRightInd w:val="0"/>
        <w:snapToGrid w:val="0"/>
        <w:spacing w:after="0"/>
        <w:ind w:firstLine="480"/>
        <w:rPr>
          <w:rFonts w:cs="Times New Roman"/>
          <w:kern w:val="21"/>
        </w:rPr>
      </w:pPr>
      <w:r>
        <w:rPr>
          <w:rFonts w:cs="Times New Roman"/>
          <w:kern w:val="21"/>
        </w:rPr>
        <w:t>202</w:t>
      </w:r>
      <w:r>
        <w:rPr>
          <w:rFonts w:cs="Times New Roman" w:hint="eastAsia"/>
          <w:kern w:val="21"/>
        </w:rPr>
        <w:t>4</w:t>
      </w:r>
      <w:r>
        <w:rPr>
          <w:rFonts w:cs="Times New Roman"/>
          <w:kern w:val="21"/>
        </w:rPr>
        <w:t>年</w:t>
      </w:r>
      <w:r>
        <w:rPr>
          <w:rFonts w:cs="Times New Roman" w:hint="eastAsia"/>
          <w:kern w:val="21"/>
        </w:rPr>
        <w:t>10</w:t>
      </w:r>
      <w:r>
        <w:rPr>
          <w:rFonts w:cs="Times New Roman"/>
          <w:kern w:val="21"/>
        </w:rPr>
        <w:t>月</w:t>
      </w:r>
      <w:r>
        <w:rPr>
          <w:rFonts w:cs="Times New Roman" w:hint="eastAsia"/>
          <w:kern w:val="21"/>
        </w:rPr>
        <w:t>24</w:t>
      </w:r>
      <w:r>
        <w:rPr>
          <w:rFonts w:cs="Times New Roman"/>
          <w:kern w:val="21"/>
        </w:rPr>
        <w:t>日，</w:t>
      </w:r>
      <w:r>
        <w:rPr>
          <w:rFonts w:cs="Times New Roman" w:hint="eastAsia"/>
          <w:kern w:val="21"/>
        </w:rPr>
        <w:t>剑阁县发展和</w:t>
      </w:r>
      <w:proofErr w:type="gramStart"/>
      <w:r>
        <w:rPr>
          <w:rFonts w:cs="Times New Roman" w:hint="eastAsia"/>
          <w:kern w:val="21"/>
        </w:rPr>
        <w:t>改革局</w:t>
      </w:r>
      <w:proofErr w:type="gramEnd"/>
      <w:r>
        <w:rPr>
          <w:rFonts w:cs="Times New Roman"/>
          <w:kern w:val="21"/>
        </w:rPr>
        <w:t>对本项目进行了备案（</w:t>
      </w:r>
      <w:r>
        <w:rPr>
          <w:rFonts w:cs="Times New Roman" w:hint="eastAsia"/>
          <w:kern w:val="21"/>
        </w:rPr>
        <w:t>川投资备【</w:t>
      </w:r>
      <w:r>
        <w:rPr>
          <w:rFonts w:cs="Times New Roman" w:hint="eastAsia"/>
          <w:kern w:val="21"/>
        </w:rPr>
        <w:t>2410-510823-04-01-461039</w:t>
      </w:r>
      <w:r>
        <w:rPr>
          <w:rFonts w:cs="Times New Roman" w:hint="eastAsia"/>
          <w:kern w:val="21"/>
        </w:rPr>
        <w:t>】</w:t>
      </w:r>
      <w:r>
        <w:rPr>
          <w:rFonts w:cs="Times New Roman" w:hint="eastAsia"/>
          <w:kern w:val="21"/>
        </w:rPr>
        <w:t>FGQB-0196</w:t>
      </w:r>
      <w:r>
        <w:rPr>
          <w:rFonts w:cs="Times New Roman" w:hint="eastAsia"/>
          <w:kern w:val="21"/>
        </w:rPr>
        <w:t>号</w:t>
      </w:r>
      <w:r>
        <w:rPr>
          <w:rFonts w:cs="Times New Roman"/>
          <w:kern w:val="21"/>
        </w:rPr>
        <w:t>），原则上同意本项目建设。</w:t>
      </w:r>
    </w:p>
    <w:p w14:paraId="06D5D40F" w14:textId="77777777" w:rsidR="00544649" w:rsidRDefault="00000000">
      <w:pPr>
        <w:adjustRightInd w:val="0"/>
        <w:snapToGrid w:val="0"/>
        <w:spacing w:after="0"/>
        <w:ind w:firstLine="480"/>
        <w:rPr>
          <w:rFonts w:cs="Times New Roman"/>
          <w:kern w:val="21"/>
        </w:rPr>
      </w:pPr>
      <w:r>
        <w:rPr>
          <w:rFonts w:cs="Times New Roman"/>
          <w:kern w:val="21"/>
        </w:rPr>
        <w:lastRenderedPageBreak/>
        <w:t>因此，本项目的建设符合国家</w:t>
      </w:r>
      <w:proofErr w:type="gramStart"/>
      <w:r>
        <w:rPr>
          <w:rFonts w:cs="Times New Roman"/>
          <w:kern w:val="21"/>
        </w:rPr>
        <w:t>现行产业</w:t>
      </w:r>
      <w:proofErr w:type="gramEnd"/>
      <w:r>
        <w:rPr>
          <w:rFonts w:cs="Times New Roman"/>
          <w:kern w:val="21"/>
        </w:rPr>
        <w:t>政策。</w:t>
      </w:r>
    </w:p>
    <w:p w14:paraId="54350A68" w14:textId="77777777" w:rsidR="00544649" w:rsidRDefault="00000000">
      <w:pPr>
        <w:pStyle w:val="3"/>
        <w:numPr>
          <w:ilvl w:val="2"/>
          <w:numId w:val="2"/>
        </w:numPr>
        <w:adjustRightInd w:val="0"/>
        <w:snapToGrid w:val="0"/>
        <w:spacing w:after="0"/>
        <w:jc w:val="both"/>
        <w:rPr>
          <w:rFonts w:cs="Times New Roman"/>
          <w:kern w:val="21"/>
        </w:rPr>
      </w:pPr>
      <w:bookmarkStart w:id="87" w:name="_Toc195009792"/>
      <w:r>
        <w:rPr>
          <w:rFonts w:cs="Times New Roman"/>
          <w:kern w:val="21"/>
        </w:rPr>
        <w:t>与</w:t>
      </w:r>
      <w:r>
        <w:rPr>
          <w:rFonts w:cs="Times New Roman" w:hint="eastAsia"/>
          <w:kern w:val="21"/>
        </w:rPr>
        <w:t>畜禽养殖行业</w:t>
      </w:r>
      <w:r>
        <w:rPr>
          <w:rFonts w:cs="Times New Roman"/>
          <w:kern w:val="21"/>
        </w:rPr>
        <w:t>规划</w:t>
      </w:r>
      <w:r>
        <w:rPr>
          <w:rFonts w:cs="Times New Roman" w:hint="eastAsia"/>
          <w:kern w:val="21"/>
        </w:rPr>
        <w:t>及相关文件</w:t>
      </w:r>
      <w:r>
        <w:rPr>
          <w:rFonts w:cs="Times New Roman"/>
          <w:kern w:val="21"/>
        </w:rPr>
        <w:t>符合性分析</w:t>
      </w:r>
      <w:bookmarkEnd w:id="87"/>
    </w:p>
    <w:p w14:paraId="11DD1226" w14:textId="77777777" w:rsidR="00544649" w:rsidRDefault="00000000">
      <w:pPr>
        <w:pStyle w:val="4"/>
        <w:adjustRightInd w:val="0"/>
        <w:snapToGrid w:val="0"/>
        <w:spacing w:after="0"/>
      </w:pPr>
      <w:r>
        <w:t>与《</w:t>
      </w:r>
      <w:r>
        <w:t>“</w:t>
      </w:r>
      <w:r>
        <w:t>十四五</w:t>
      </w:r>
      <w:r>
        <w:t>”</w:t>
      </w:r>
      <w:r>
        <w:t>全国畜牧兽医行业发展规划》（农牧发〔</w:t>
      </w:r>
      <w:r>
        <w:t>2021</w:t>
      </w:r>
      <w:r>
        <w:t>〕</w:t>
      </w:r>
      <w:r>
        <w:t>37</w:t>
      </w:r>
      <w:r>
        <w:t>号）的符合性分析</w:t>
      </w:r>
    </w:p>
    <w:p w14:paraId="690DF187" w14:textId="77777777" w:rsidR="00544649" w:rsidRDefault="00000000">
      <w:pPr>
        <w:adjustRightInd w:val="0"/>
        <w:snapToGrid w:val="0"/>
        <w:spacing w:after="0"/>
        <w:ind w:firstLine="480"/>
        <w:rPr>
          <w:rFonts w:cs="Times New Roman"/>
          <w:kern w:val="21"/>
        </w:rPr>
      </w:pPr>
      <w:r>
        <w:rPr>
          <w:rFonts w:cs="Times New Roman"/>
          <w:kern w:val="21"/>
        </w:rPr>
        <w:t>本项目与《</w:t>
      </w:r>
      <w:r>
        <w:rPr>
          <w:rFonts w:cs="Times New Roman" w:hint="eastAsia"/>
          <w:kern w:val="21"/>
        </w:rPr>
        <w:t>“</w:t>
      </w:r>
      <w:r>
        <w:rPr>
          <w:rFonts w:cs="Times New Roman"/>
          <w:kern w:val="21"/>
        </w:rPr>
        <w:t>十四五</w:t>
      </w:r>
      <w:r>
        <w:rPr>
          <w:rFonts w:cs="Times New Roman" w:hint="eastAsia"/>
          <w:kern w:val="21"/>
        </w:rPr>
        <w:t>”</w:t>
      </w:r>
      <w:r>
        <w:rPr>
          <w:rFonts w:cs="Times New Roman"/>
          <w:kern w:val="21"/>
        </w:rPr>
        <w:t>全国畜牧兽医行业发展规划》（农牧发〔</w:t>
      </w:r>
      <w:r>
        <w:rPr>
          <w:rFonts w:cs="Times New Roman"/>
          <w:kern w:val="21"/>
        </w:rPr>
        <w:t>2021</w:t>
      </w:r>
      <w:r>
        <w:rPr>
          <w:rFonts w:cs="Times New Roman"/>
          <w:kern w:val="21"/>
        </w:rPr>
        <w:t>〕</w:t>
      </w:r>
      <w:r>
        <w:rPr>
          <w:rFonts w:cs="Times New Roman"/>
          <w:kern w:val="21"/>
        </w:rPr>
        <w:t>37</w:t>
      </w:r>
      <w:r>
        <w:rPr>
          <w:rFonts w:cs="Times New Roman"/>
          <w:kern w:val="21"/>
        </w:rPr>
        <w:t>号）的符合性分析</w:t>
      </w:r>
      <w:r>
        <w:rPr>
          <w:rFonts w:cs="Times New Roman" w:hint="eastAsia"/>
          <w:kern w:val="21"/>
        </w:rPr>
        <w:t>见下表。</w:t>
      </w:r>
    </w:p>
    <w:p w14:paraId="56F7AAF2" w14:textId="77777777" w:rsidR="00544649" w:rsidRDefault="00000000">
      <w:pPr>
        <w:pStyle w:val="affb"/>
        <w:widowControl/>
        <w:numPr>
          <w:ilvl w:val="0"/>
          <w:numId w:val="13"/>
        </w:numPr>
        <w:adjustRightInd w:val="0"/>
        <w:snapToGrid w:val="0"/>
        <w:spacing w:beforeLines="20" w:before="65" w:afterLines="20" w:after="65"/>
        <w:rPr>
          <w:rFonts w:cs="Times New Roman"/>
          <w:color w:val="auto"/>
          <w:kern w:val="21"/>
        </w:rPr>
      </w:pPr>
      <w:r>
        <w:rPr>
          <w:rFonts w:cs="Times New Roman"/>
          <w:color w:val="auto"/>
          <w:kern w:val="21"/>
        </w:rPr>
        <w:t>本项目与《</w:t>
      </w:r>
      <w:r>
        <w:rPr>
          <w:rFonts w:cs="Times New Roman"/>
          <w:color w:val="auto"/>
          <w:kern w:val="21"/>
        </w:rPr>
        <w:t>“</w:t>
      </w:r>
      <w:r>
        <w:rPr>
          <w:rFonts w:cs="Times New Roman"/>
          <w:color w:val="auto"/>
          <w:kern w:val="21"/>
        </w:rPr>
        <w:t>十四五</w:t>
      </w:r>
      <w:r>
        <w:rPr>
          <w:rFonts w:cs="Times New Roman"/>
          <w:color w:val="auto"/>
          <w:kern w:val="21"/>
        </w:rPr>
        <w:t>”</w:t>
      </w:r>
      <w:r>
        <w:rPr>
          <w:rFonts w:cs="Times New Roman"/>
          <w:color w:val="auto"/>
          <w:kern w:val="21"/>
        </w:rPr>
        <w:t>全国畜牧兽医行业发展规划》的符合性分析</w:t>
      </w:r>
    </w:p>
    <w:tbl>
      <w:tblPr>
        <w:tblStyle w:val="afc"/>
        <w:tblW w:w="9056" w:type="dxa"/>
        <w:jc w:val="center"/>
        <w:tblLayout w:type="fixed"/>
        <w:tblLook w:val="04A0" w:firstRow="1" w:lastRow="0" w:firstColumn="1" w:lastColumn="0" w:noHBand="0" w:noVBand="1"/>
      </w:tblPr>
      <w:tblGrid>
        <w:gridCol w:w="4100"/>
        <w:gridCol w:w="3934"/>
        <w:gridCol w:w="1022"/>
      </w:tblGrid>
      <w:tr w:rsidR="00544649" w14:paraId="41ECF198" w14:textId="77777777">
        <w:trPr>
          <w:tblHeader/>
          <w:jc w:val="center"/>
        </w:trPr>
        <w:tc>
          <w:tcPr>
            <w:tcW w:w="4100" w:type="dxa"/>
            <w:vAlign w:val="center"/>
          </w:tcPr>
          <w:p w14:paraId="7665FD1F" w14:textId="77777777" w:rsidR="00544649" w:rsidRDefault="00000000">
            <w:pPr>
              <w:pStyle w:val="aff3"/>
              <w:spacing w:before="65" w:after="65"/>
              <w:rPr>
                <w:rFonts w:cs="Times New Roman"/>
                <w:b/>
                <w:bCs w:val="0"/>
                <w:kern w:val="21"/>
                <w:szCs w:val="21"/>
              </w:rPr>
            </w:pPr>
            <w:r>
              <w:rPr>
                <w:rFonts w:cs="Times New Roman"/>
                <w:b/>
                <w:kern w:val="21"/>
                <w:szCs w:val="21"/>
              </w:rPr>
              <w:t>规划内容</w:t>
            </w:r>
          </w:p>
        </w:tc>
        <w:tc>
          <w:tcPr>
            <w:tcW w:w="3934" w:type="dxa"/>
            <w:vAlign w:val="center"/>
          </w:tcPr>
          <w:p w14:paraId="41AC8E17" w14:textId="77777777" w:rsidR="00544649" w:rsidRDefault="00000000">
            <w:pPr>
              <w:pStyle w:val="aff3"/>
              <w:spacing w:before="65" w:after="65"/>
              <w:rPr>
                <w:rFonts w:cs="Times New Roman"/>
                <w:b/>
                <w:bCs w:val="0"/>
                <w:kern w:val="21"/>
                <w:szCs w:val="21"/>
              </w:rPr>
            </w:pPr>
            <w:r>
              <w:rPr>
                <w:rFonts w:cs="Times New Roman"/>
                <w:b/>
                <w:bCs w:val="0"/>
                <w:kern w:val="21"/>
                <w:szCs w:val="21"/>
              </w:rPr>
              <w:t>本项目情况</w:t>
            </w:r>
          </w:p>
        </w:tc>
        <w:tc>
          <w:tcPr>
            <w:tcW w:w="1022" w:type="dxa"/>
            <w:vAlign w:val="center"/>
          </w:tcPr>
          <w:p w14:paraId="13D3DDB4" w14:textId="77777777" w:rsidR="00544649" w:rsidRDefault="00000000">
            <w:pPr>
              <w:pStyle w:val="aff3"/>
              <w:spacing w:before="65" w:after="65"/>
              <w:rPr>
                <w:rFonts w:cs="Times New Roman"/>
                <w:b/>
                <w:bCs w:val="0"/>
                <w:kern w:val="21"/>
                <w:szCs w:val="21"/>
              </w:rPr>
            </w:pPr>
            <w:r>
              <w:rPr>
                <w:rFonts w:cs="Times New Roman"/>
                <w:b/>
                <w:bCs w:val="0"/>
                <w:kern w:val="21"/>
                <w:szCs w:val="21"/>
              </w:rPr>
              <w:t>符合性</w:t>
            </w:r>
          </w:p>
        </w:tc>
      </w:tr>
      <w:tr w:rsidR="00544649" w14:paraId="4AA566E8" w14:textId="77777777">
        <w:trPr>
          <w:trHeight w:val="90"/>
          <w:jc w:val="center"/>
        </w:trPr>
        <w:tc>
          <w:tcPr>
            <w:tcW w:w="4100" w:type="dxa"/>
            <w:vAlign w:val="center"/>
          </w:tcPr>
          <w:p w14:paraId="39FD3EB1" w14:textId="77777777" w:rsidR="00544649" w:rsidRDefault="00000000">
            <w:pPr>
              <w:pStyle w:val="aff3"/>
              <w:spacing w:before="65" w:after="65"/>
              <w:jc w:val="both"/>
              <w:rPr>
                <w:rFonts w:cs="Times New Roman"/>
                <w:kern w:val="21"/>
                <w:szCs w:val="21"/>
              </w:rPr>
            </w:pPr>
            <w:r>
              <w:rPr>
                <w:rFonts w:cs="Times New Roman"/>
                <w:kern w:val="21"/>
                <w:szCs w:val="21"/>
              </w:rPr>
              <w:t>明确提出到</w:t>
            </w:r>
            <w:r>
              <w:rPr>
                <w:rFonts w:cs="Times New Roman"/>
                <w:kern w:val="21"/>
                <w:szCs w:val="21"/>
              </w:rPr>
              <w:t>2025</w:t>
            </w:r>
            <w:r>
              <w:rPr>
                <w:rFonts w:cs="Times New Roman"/>
                <w:kern w:val="21"/>
                <w:szCs w:val="21"/>
              </w:rPr>
              <w:t>年，全国畜牧业现代化建设取得重大进展，奶牛、生猪、家禽养殖率先基本实现现代化。</w:t>
            </w:r>
          </w:p>
        </w:tc>
        <w:tc>
          <w:tcPr>
            <w:tcW w:w="3934" w:type="dxa"/>
            <w:vAlign w:val="center"/>
          </w:tcPr>
          <w:p w14:paraId="435AEA69" w14:textId="77777777" w:rsidR="00544649" w:rsidRDefault="00000000">
            <w:pPr>
              <w:pStyle w:val="aff3"/>
              <w:spacing w:before="65" w:after="65"/>
              <w:jc w:val="both"/>
              <w:rPr>
                <w:rFonts w:cs="Times New Roman"/>
                <w:kern w:val="21"/>
                <w:szCs w:val="21"/>
              </w:rPr>
            </w:pPr>
            <w:r>
              <w:rPr>
                <w:rFonts w:cs="Times New Roman"/>
                <w:kern w:val="21"/>
                <w:szCs w:val="21"/>
              </w:rPr>
              <w:t>本项目以现代化、标准化、无公害的养殖管理模式建设规模化蛋鸡养殖场，</w:t>
            </w:r>
            <w:r>
              <w:rPr>
                <w:rFonts w:cs="Times New Roman" w:hint="eastAsia"/>
                <w:kern w:val="21"/>
                <w:szCs w:val="21"/>
              </w:rPr>
              <w:t>能够</w:t>
            </w:r>
            <w:r>
              <w:rPr>
                <w:rFonts w:cs="Times New Roman"/>
                <w:kern w:val="21"/>
                <w:szCs w:val="21"/>
              </w:rPr>
              <w:t>实现家禽养殖现代化。</w:t>
            </w:r>
          </w:p>
        </w:tc>
        <w:tc>
          <w:tcPr>
            <w:tcW w:w="1022" w:type="dxa"/>
            <w:vAlign w:val="center"/>
          </w:tcPr>
          <w:p w14:paraId="11DF9D62" w14:textId="77777777" w:rsidR="00544649" w:rsidRDefault="00000000">
            <w:pPr>
              <w:pStyle w:val="aff3"/>
              <w:spacing w:before="65" w:after="65"/>
              <w:rPr>
                <w:rFonts w:cs="Times New Roman"/>
                <w:kern w:val="21"/>
                <w:szCs w:val="21"/>
              </w:rPr>
            </w:pPr>
            <w:r>
              <w:rPr>
                <w:rFonts w:cs="Times New Roman"/>
                <w:kern w:val="21"/>
                <w:szCs w:val="21"/>
              </w:rPr>
              <w:t>符合</w:t>
            </w:r>
          </w:p>
        </w:tc>
      </w:tr>
      <w:tr w:rsidR="00544649" w14:paraId="43038A91" w14:textId="77777777">
        <w:trPr>
          <w:trHeight w:val="90"/>
          <w:jc w:val="center"/>
        </w:trPr>
        <w:tc>
          <w:tcPr>
            <w:tcW w:w="4100" w:type="dxa"/>
            <w:vAlign w:val="center"/>
          </w:tcPr>
          <w:p w14:paraId="4669B5DC" w14:textId="77777777" w:rsidR="00544649" w:rsidRDefault="00000000">
            <w:pPr>
              <w:pStyle w:val="aff3"/>
              <w:spacing w:before="65" w:after="65"/>
              <w:jc w:val="both"/>
              <w:rPr>
                <w:rFonts w:cs="Times New Roman"/>
                <w:kern w:val="21"/>
                <w:szCs w:val="21"/>
              </w:rPr>
            </w:pPr>
            <w:r>
              <w:rPr>
                <w:rFonts w:cs="Times New Roman"/>
                <w:kern w:val="21"/>
                <w:szCs w:val="21"/>
              </w:rPr>
              <w:t>高生产发展与资源环境承载力匹配度，持续推进畜禽养殖废弃物资源化利用，畜禽粪污综合利用率达到</w:t>
            </w:r>
            <w:r>
              <w:rPr>
                <w:rFonts w:cs="Times New Roman"/>
                <w:kern w:val="21"/>
                <w:szCs w:val="21"/>
              </w:rPr>
              <w:t>80%</w:t>
            </w:r>
            <w:r>
              <w:rPr>
                <w:rFonts w:cs="Times New Roman"/>
                <w:kern w:val="21"/>
                <w:szCs w:val="21"/>
              </w:rPr>
              <w:t>以上，形成种养结合、农牧循环的绿色循环发展新方式。</w:t>
            </w:r>
          </w:p>
        </w:tc>
        <w:tc>
          <w:tcPr>
            <w:tcW w:w="3934" w:type="dxa"/>
            <w:vAlign w:val="center"/>
          </w:tcPr>
          <w:p w14:paraId="6072A21F" w14:textId="77777777" w:rsidR="00544649" w:rsidRDefault="00000000">
            <w:pPr>
              <w:pStyle w:val="aff3"/>
              <w:spacing w:before="65" w:after="65"/>
              <w:jc w:val="both"/>
              <w:rPr>
                <w:rFonts w:cs="Times New Roman"/>
                <w:kern w:val="21"/>
                <w:szCs w:val="21"/>
              </w:rPr>
            </w:pPr>
            <w:r>
              <w:rPr>
                <w:rFonts w:cs="Times New Roman" w:hint="eastAsia"/>
                <w:kern w:val="21"/>
                <w:szCs w:val="21"/>
              </w:rPr>
              <w:t>本项目餐厨废水、生活污水、鸡舍冲洗废水及蛋品清洗废水经统一收集处理达标后用于周边林地灌溉。</w:t>
            </w:r>
            <w:r>
              <w:rPr>
                <w:rFonts w:cs="Times New Roman"/>
                <w:kern w:val="21"/>
                <w:szCs w:val="21"/>
              </w:rPr>
              <w:t>本项目鸡粪日产日清，</w:t>
            </w:r>
            <w:r>
              <w:rPr>
                <w:rFonts w:cs="Times New Roman" w:hint="eastAsia"/>
                <w:kern w:val="21"/>
                <w:szCs w:val="21"/>
              </w:rPr>
              <w:t>每日清运至四川省田宝生物科技有限公司</w:t>
            </w:r>
            <w:r>
              <w:rPr>
                <w:rFonts w:cs="Times New Roman"/>
                <w:kern w:val="21"/>
                <w:szCs w:val="21"/>
              </w:rPr>
              <w:t>进行有机肥生产。</w:t>
            </w:r>
          </w:p>
        </w:tc>
        <w:tc>
          <w:tcPr>
            <w:tcW w:w="1022" w:type="dxa"/>
            <w:vAlign w:val="center"/>
          </w:tcPr>
          <w:p w14:paraId="28C25A00" w14:textId="77777777" w:rsidR="00544649" w:rsidRDefault="00000000">
            <w:pPr>
              <w:pStyle w:val="aff3"/>
              <w:spacing w:before="65" w:after="65"/>
              <w:rPr>
                <w:rFonts w:cs="Times New Roman"/>
                <w:kern w:val="21"/>
                <w:szCs w:val="21"/>
              </w:rPr>
            </w:pPr>
            <w:r>
              <w:rPr>
                <w:rFonts w:cs="Times New Roman"/>
                <w:kern w:val="21"/>
                <w:szCs w:val="21"/>
              </w:rPr>
              <w:t>符合</w:t>
            </w:r>
          </w:p>
        </w:tc>
      </w:tr>
      <w:tr w:rsidR="00544649" w14:paraId="612EACF3" w14:textId="77777777">
        <w:trPr>
          <w:jc w:val="center"/>
        </w:trPr>
        <w:tc>
          <w:tcPr>
            <w:tcW w:w="4100" w:type="dxa"/>
            <w:vAlign w:val="center"/>
          </w:tcPr>
          <w:p w14:paraId="79E7AAF9" w14:textId="77777777" w:rsidR="00544649" w:rsidRDefault="00000000">
            <w:pPr>
              <w:pStyle w:val="aff3"/>
              <w:spacing w:before="65" w:after="65"/>
              <w:jc w:val="both"/>
              <w:rPr>
                <w:rFonts w:cs="Times New Roman"/>
                <w:kern w:val="21"/>
                <w:szCs w:val="21"/>
              </w:rPr>
            </w:pPr>
            <w:r>
              <w:rPr>
                <w:rFonts w:cs="Times New Roman"/>
                <w:kern w:val="21"/>
                <w:szCs w:val="21"/>
              </w:rPr>
              <w:t>加快推进畜禽粪污资源化利用和病死畜禽无害化处理</w:t>
            </w:r>
            <w:r>
              <w:rPr>
                <w:rFonts w:cs="Times New Roman" w:hint="eastAsia"/>
                <w:kern w:val="21"/>
                <w:szCs w:val="21"/>
              </w:rPr>
              <w:t>，</w:t>
            </w:r>
            <w:r>
              <w:rPr>
                <w:rFonts w:cs="Times New Roman"/>
                <w:kern w:val="21"/>
                <w:szCs w:val="21"/>
              </w:rPr>
              <w:t>着力构建种养结合发展机制</w:t>
            </w:r>
            <w:r>
              <w:rPr>
                <w:rFonts w:cs="Times New Roman" w:hint="eastAsia"/>
                <w:kern w:val="21"/>
                <w:szCs w:val="21"/>
              </w:rPr>
              <w:t>，</w:t>
            </w:r>
            <w:r>
              <w:rPr>
                <w:rFonts w:cs="Times New Roman"/>
                <w:kern w:val="21"/>
                <w:szCs w:val="21"/>
              </w:rPr>
              <w:t>促进畜禽粪肥还田利用</w:t>
            </w:r>
            <w:r>
              <w:rPr>
                <w:rFonts w:cs="Times New Roman" w:hint="eastAsia"/>
                <w:kern w:val="21"/>
                <w:szCs w:val="21"/>
              </w:rPr>
              <w:t>，</w:t>
            </w:r>
            <w:r>
              <w:rPr>
                <w:rFonts w:cs="Times New Roman"/>
                <w:kern w:val="21"/>
                <w:szCs w:val="21"/>
              </w:rPr>
              <w:t>提高畜牧业绿色发展水平。</w:t>
            </w:r>
          </w:p>
        </w:tc>
        <w:tc>
          <w:tcPr>
            <w:tcW w:w="3934" w:type="dxa"/>
            <w:vAlign w:val="center"/>
          </w:tcPr>
          <w:p w14:paraId="47970B8A" w14:textId="77777777" w:rsidR="00544649" w:rsidRDefault="00000000">
            <w:pPr>
              <w:pStyle w:val="aff3"/>
              <w:spacing w:before="65" w:after="65"/>
              <w:jc w:val="both"/>
              <w:rPr>
                <w:rFonts w:cs="Times New Roman"/>
                <w:kern w:val="21"/>
                <w:szCs w:val="21"/>
              </w:rPr>
            </w:pPr>
            <w:r>
              <w:rPr>
                <w:rFonts w:cs="Times New Roman"/>
                <w:kern w:val="21"/>
                <w:szCs w:val="21"/>
              </w:rPr>
              <w:t>本项目鸡粪</w:t>
            </w:r>
            <w:r>
              <w:rPr>
                <w:rFonts w:cs="Times New Roman" w:hint="eastAsia"/>
                <w:kern w:val="21"/>
                <w:szCs w:val="21"/>
              </w:rPr>
              <w:t>处置</w:t>
            </w:r>
            <w:r>
              <w:rPr>
                <w:rFonts w:cs="Times New Roman"/>
                <w:kern w:val="21"/>
                <w:szCs w:val="21"/>
              </w:rPr>
              <w:t>采用干清粪工艺，</w:t>
            </w:r>
            <w:r>
              <w:rPr>
                <w:rFonts w:cs="Times New Roman" w:hint="eastAsia"/>
                <w:kern w:val="21"/>
                <w:szCs w:val="21"/>
              </w:rPr>
              <w:t>每日清运至四川省田宝生物科技有限公司</w:t>
            </w:r>
            <w:r>
              <w:rPr>
                <w:rFonts w:cs="Times New Roman"/>
                <w:kern w:val="21"/>
                <w:szCs w:val="21"/>
              </w:rPr>
              <w:t>进行有机肥生产</w:t>
            </w:r>
            <w:r>
              <w:rPr>
                <w:rFonts w:cs="Times New Roman" w:hint="eastAsia"/>
                <w:kern w:val="21"/>
                <w:szCs w:val="21"/>
              </w:rPr>
              <w:t>；病死</w:t>
            </w:r>
            <w:proofErr w:type="gramStart"/>
            <w:r>
              <w:rPr>
                <w:rFonts w:cs="Times New Roman" w:hint="eastAsia"/>
                <w:kern w:val="21"/>
                <w:szCs w:val="21"/>
              </w:rPr>
              <w:t>鸡委托</w:t>
            </w:r>
            <w:proofErr w:type="gramEnd"/>
            <w:r>
              <w:rPr>
                <w:rFonts w:cs="Times New Roman" w:hint="eastAsia"/>
                <w:kern w:val="21"/>
                <w:szCs w:val="21"/>
              </w:rPr>
              <w:t>广元</w:t>
            </w:r>
            <w:proofErr w:type="gramStart"/>
            <w:r>
              <w:rPr>
                <w:rFonts w:cs="Times New Roman" w:hint="eastAsia"/>
                <w:kern w:val="21"/>
                <w:szCs w:val="21"/>
              </w:rPr>
              <w:t>市朗坤环保</w:t>
            </w:r>
            <w:proofErr w:type="gramEnd"/>
            <w:r>
              <w:rPr>
                <w:rFonts w:cs="Times New Roman" w:hint="eastAsia"/>
                <w:kern w:val="21"/>
                <w:szCs w:val="21"/>
              </w:rPr>
              <w:t>有限公司清运后进行无害化处理</w:t>
            </w:r>
            <w:r>
              <w:rPr>
                <w:rFonts w:cs="Times New Roman"/>
                <w:kern w:val="21"/>
                <w:szCs w:val="21"/>
              </w:rPr>
              <w:t>。</w:t>
            </w:r>
          </w:p>
        </w:tc>
        <w:tc>
          <w:tcPr>
            <w:tcW w:w="1022" w:type="dxa"/>
            <w:vAlign w:val="center"/>
          </w:tcPr>
          <w:p w14:paraId="08A29B5B" w14:textId="77777777" w:rsidR="00544649" w:rsidRDefault="00000000">
            <w:pPr>
              <w:pStyle w:val="aff3"/>
              <w:spacing w:before="65" w:after="65"/>
              <w:rPr>
                <w:rFonts w:cs="Times New Roman"/>
                <w:kern w:val="21"/>
                <w:szCs w:val="21"/>
              </w:rPr>
            </w:pPr>
            <w:r>
              <w:rPr>
                <w:rFonts w:cs="Times New Roman"/>
                <w:kern w:val="21"/>
                <w:szCs w:val="21"/>
              </w:rPr>
              <w:t>符合</w:t>
            </w:r>
          </w:p>
        </w:tc>
      </w:tr>
    </w:tbl>
    <w:p w14:paraId="56ADDDA3" w14:textId="77777777" w:rsidR="00544649" w:rsidRDefault="00000000">
      <w:pPr>
        <w:adjustRightInd w:val="0"/>
        <w:snapToGrid w:val="0"/>
        <w:spacing w:after="0"/>
        <w:ind w:firstLine="480"/>
        <w:rPr>
          <w:rFonts w:cs="Times New Roman"/>
          <w:kern w:val="21"/>
        </w:rPr>
      </w:pPr>
      <w:r>
        <w:rPr>
          <w:rFonts w:cs="Times New Roman"/>
          <w:kern w:val="21"/>
        </w:rPr>
        <w:t>因此，本项目与《</w:t>
      </w:r>
      <w:r>
        <w:rPr>
          <w:rFonts w:cs="Times New Roman" w:hint="eastAsia"/>
          <w:kern w:val="21"/>
        </w:rPr>
        <w:t>“</w:t>
      </w:r>
      <w:r>
        <w:rPr>
          <w:rFonts w:cs="Times New Roman"/>
          <w:kern w:val="21"/>
        </w:rPr>
        <w:t>十四五</w:t>
      </w:r>
      <w:r>
        <w:rPr>
          <w:rFonts w:cs="Times New Roman" w:hint="eastAsia"/>
          <w:kern w:val="21"/>
        </w:rPr>
        <w:t>”</w:t>
      </w:r>
      <w:r>
        <w:rPr>
          <w:rFonts w:cs="Times New Roman"/>
          <w:kern w:val="21"/>
        </w:rPr>
        <w:t>全国畜牧兽医行业发展规划》（农牧发〔</w:t>
      </w:r>
      <w:r>
        <w:rPr>
          <w:rFonts w:cs="Times New Roman"/>
          <w:kern w:val="21"/>
        </w:rPr>
        <w:t>2021</w:t>
      </w:r>
      <w:r>
        <w:rPr>
          <w:rFonts w:cs="Times New Roman"/>
          <w:kern w:val="21"/>
        </w:rPr>
        <w:t>〕</w:t>
      </w:r>
      <w:r>
        <w:rPr>
          <w:rFonts w:cs="Times New Roman"/>
          <w:kern w:val="21"/>
        </w:rPr>
        <w:t>37</w:t>
      </w:r>
      <w:r>
        <w:rPr>
          <w:rFonts w:cs="Times New Roman"/>
          <w:kern w:val="21"/>
        </w:rPr>
        <w:t>号）要求相符。</w:t>
      </w:r>
    </w:p>
    <w:p w14:paraId="671C9D9D" w14:textId="77777777" w:rsidR="00544649" w:rsidRDefault="00000000">
      <w:pPr>
        <w:pStyle w:val="4"/>
        <w:adjustRightInd w:val="0"/>
        <w:snapToGrid w:val="0"/>
        <w:spacing w:after="0"/>
      </w:pPr>
      <w:r>
        <w:rPr>
          <w:rFonts w:hint="eastAsia"/>
        </w:rPr>
        <w:t>与《关于做好畜禽规模养殖项目环境影响评价管理工作的通知》（</w:t>
      </w:r>
      <w:proofErr w:type="gramStart"/>
      <w:r>
        <w:rPr>
          <w:rFonts w:hint="eastAsia"/>
        </w:rPr>
        <w:t>环办环</w:t>
      </w:r>
      <w:proofErr w:type="gramEnd"/>
      <w:r>
        <w:rPr>
          <w:rFonts w:hint="eastAsia"/>
        </w:rPr>
        <w:t>评</w:t>
      </w:r>
      <w:r>
        <w:rPr>
          <w:rFonts w:hint="eastAsia"/>
        </w:rPr>
        <w:t>[2018]31</w:t>
      </w:r>
      <w:r>
        <w:rPr>
          <w:rFonts w:hint="eastAsia"/>
        </w:rPr>
        <w:t>号）符合性分析</w:t>
      </w:r>
    </w:p>
    <w:p w14:paraId="4FD78359" w14:textId="77777777" w:rsidR="00544649" w:rsidRDefault="00000000">
      <w:pPr>
        <w:adjustRightInd w:val="0"/>
        <w:snapToGrid w:val="0"/>
        <w:spacing w:after="0"/>
        <w:ind w:firstLine="480"/>
        <w:rPr>
          <w:kern w:val="21"/>
        </w:rPr>
      </w:pPr>
      <w:r>
        <w:rPr>
          <w:rFonts w:cs="Times New Roman"/>
          <w:kern w:val="21"/>
        </w:rPr>
        <w:t>本项</w:t>
      </w:r>
      <w:r>
        <w:rPr>
          <w:rFonts w:cs="Times New Roman"/>
          <w:kern w:val="21"/>
          <w:szCs w:val="24"/>
          <w:lang w:bidi="ar"/>
        </w:rPr>
        <w:t>目与</w:t>
      </w:r>
      <w:r>
        <w:rPr>
          <w:rFonts w:cs="Times New Roman" w:hint="eastAsia"/>
          <w:kern w:val="21"/>
          <w:szCs w:val="24"/>
          <w:lang w:bidi="ar"/>
        </w:rPr>
        <w:t>《关于做好畜禽规模养殖项目环境影响评价管理工作的通知》（</w:t>
      </w:r>
      <w:proofErr w:type="gramStart"/>
      <w:r>
        <w:rPr>
          <w:rFonts w:cs="Times New Roman" w:hint="eastAsia"/>
          <w:kern w:val="21"/>
          <w:szCs w:val="24"/>
          <w:lang w:bidi="ar"/>
        </w:rPr>
        <w:t>环办环</w:t>
      </w:r>
      <w:proofErr w:type="gramEnd"/>
      <w:r>
        <w:rPr>
          <w:rFonts w:cs="Times New Roman" w:hint="eastAsia"/>
          <w:kern w:val="21"/>
          <w:szCs w:val="24"/>
          <w:lang w:bidi="ar"/>
        </w:rPr>
        <w:t>评</w:t>
      </w:r>
      <w:r>
        <w:rPr>
          <w:rFonts w:cs="Times New Roman" w:hint="eastAsia"/>
          <w:kern w:val="21"/>
          <w:szCs w:val="24"/>
          <w:lang w:bidi="ar"/>
        </w:rPr>
        <w:t>[2018]31</w:t>
      </w:r>
      <w:r>
        <w:rPr>
          <w:rFonts w:cs="Times New Roman" w:hint="eastAsia"/>
          <w:kern w:val="21"/>
          <w:szCs w:val="24"/>
          <w:lang w:bidi="ar"/>
        </w:rPr>
        <w:t>号）的符合性分析见</w:t>
      </w:r>
      <w:r>
        <w:rPr>
          <w:rFonts w:hint="eastAsia"/>
          <w:kern w:val="21"/>
        </w:rPr>
        <w:t>下表。</w:t>
      </w:r>
    </w:p>
    <w:p w14:paraId="19D6DC14" w14:textId="77777777" w:rsidR="00544649" w:rsidRDefault="00000000">
      <w:pPr>
        <w:widowControl/>
        <w:numPr>
          <w:ilvl w:val="0"/>
          <w:numId w:val="13"/>
        </w:numPr>
        <w:adjustRightInd w:val="0"/>
        <w:snapToGrid w:val="0"/>
        <w:spacing w:beforeLines="20" w:before="65" w:afterLines="20" w:after="65" w:line="240" w:lineRule="auto"/>
        <w:ind w:firstLineChars="0"/>
        <w:jc w:val="center"/>
        <w:rPr>
          <w:b/>
          <w:bCs/>
          <w:kern w:val="21"/>
          <w:sz w:val="21"/>
          <w:szCs w:val="21"/>
        </w:rPr>
      </w:pPr>
      <w:r>
        <w:rPr>
          <w:rFonts w:hint="eastAsia"/>
          <w:b/>
          <w:bCs/>
          <w:kern w:val="21"/>
          <w:sz w:val="21"/>
          <w:szCs w:val="21"/>
        </w:rPr>
        <w:t>本项目与</w:t>
      </w:r>
      <w:proofErr w:type="gramStart"/>
      <w:r>
        <w:rPr>
          <w:rFonts w:hint="eastAsia"/>
          <w:b/>
          <w:bCs/>
          <w:kern w:val="21"/>
          <w:sz w:val="21"/>
          <w:szCs w:val="21"/>
        </w:rPr>
        <w:t>环办环</w:t>
      </w:r>
      <w:proofErr w:type="gramEnd"/>
      <w:r>
        <w:rPr>
          <w:rFonts w:hint="eastAsia"/>
          <w:b/>
          <w:bCs/>
          <w:kern w:val="21"/>
          <w:sz w:val="21"/>
          <w:szCs w:val="21"/>
        </w:rPr>
        <w:t>评</w:t>
      </w:r>
      <w:r>
        <w:rPr>
          <w:b/>
          <w:bCs/>
          <w:kern w:val="21"/>
          <w:sz w:val="21"/>
          <w:szCs w:val="21"/>
        </w:rPr>
        <w:t>[2018]31</w:t>
      </w:r>
      <w:r>
        <w:rPr>
          <w:rFonts w:hint="eastAsia"/>
          <w:b/>
          <w:bCs/>
          <w:kern w:val="21"/>
          <w:sz w:val="21"/>
          <w:szCs w:val="21"/>
        </w:rPr>
        <w:t>号的符合性分析</w:t>
      </w:r>
    </w:p>
    <w:tbl>
      <w:tblPr>
        <w:tblStyle w:val="afc"/>
        <w:tblW w:w="9055" w:type="dxa"/>
        <w:jc w:val="center"/>
        <w:tblLayout w:type="fixed"/>
        <w:tblLook w:val="04A0" w:firstRow="1" w:lastRow="0" w:firstColumn="1" w:lastColumn="0" w:noHBand="0" w:noVBand="1"/>
      </w:tblPr>
      <w:tblGrid>
        <w:gridCol w:w="4756"/>
        <w:gridCol w:w="3316"/>
        <w:gridCol w:w="983"/>
      </w:tblGrid>
      <w:tr w:rsidR="00544649" w14:paraId="779A5591" w14:textId="77777777">
        <w:trPr>
          <w:tblHeader/>
          <w:jc w:val="center"/>
        </w:trPr>
        <w:tc>
          <w:tcPr>
            <w:tcW w:w="4756" w:type="dxa"/>
            <w:vAlign w:val="center"/>
          </w:tcPr>
          <w:p w14:paraId="62C5B093" w14:textId="77777777" w:rsidR="00544649" w:rsidRDefault="00000000">
            <w:pPr>
              <w:pStyle w:val="aff3"/>
              <w:spacing w:before="65" w:after="65" w:line="240" w:lineRule="auto"/>
              <w:rPr>
                <w:rFonts w:cs="Times New Roman"/>
                <w:b/>
                <w:bCs w:val="0"/>
                <w:kern w:val="21"/>
                <w:szCs w:val="21"/>
              </w:rPr>
            </w:pPr>
            <w:r>
              <w:rPr>
                <w:rFonts w:cs="Times New Roman" w:hint="eastAsia"/>
                <w:b/>
                <w:kern w:val="21"/>
                <w:szCs w:val="21"/>
              </w:rPr>
              <w:t>文件要求</w:t>
            </w:r>
          </w:p>
        </w:tc>
        <w:tc>
          <w:tcPr>
            <w:tcW w:w="3316" w:type="dxa"/>
            <w:vAlign w:val="center"/>
          </w:tcPr>
          <w:p w14:paraId="5513D1EA" w14:textId="77777777" w:rsidR="00544649" w:rsidRDefault="00000000">
            <w:pPr>
              <w:pStyle w:val="aff3"/>
              <w:spacing w:before="65" w:after="65" w:line="240" w:lineRule="auto"/>
              <w:rPr>
                <w:rFonts w:cs="Times New Roman"/>
                <w:b/>
                <w:bCs w:val="0"/>
                <w:kern w:val="21"/>
                <w:szCs w:val="21"/>
              </w:rPr>
            </w:pPr>
            <w:r>
              <w:rPr>
                <w:rFonts w:cs="Times New Roman"/>
                <w:b/>
                <w:bCs w:val="0"/>
                <w:kern w:val="21"/>
                <w:szCs w:val="21"/>
              </w:rPr>
              <w:t>本项目情况</w:t>
            </w:r>
          </w:p>
        </w:tc>
        <w:tc>
          <w:tcPr>
            <w:tcW w:w="983" w:type="dxa"/>
            <w:vAlign w:val="center"/>
          </w:tcPr>
          <w:p w14:paraId="7468E807" w14:textId="77777777" w:rsidR="00544649" w:rsidRDefault="00000000">
            <w:pPr>
              <w:pStyle w:val="aff3"/>
              <w:spacing w:before="65" w:after="65" w:line="240" w:lineRule="auto"/>
              <w:rPr>
                <w:rFonts w:cs="Times New Roman"/>
                <w:b/>
                <w:bCs w:val="0"/>
                <w:kern w:val="21"/>
                <w:szCs w:val="21"/>
              </w:rPr>
            </w:pPr>
            <w:r>
              <w:rPr>
                <w:rFonts w:cs="Times New Roman"/>
                <w:b/>
                <w:bCs w:val="0"/>
                <w:kern w:val="21"/>
                <w:szCs w:val="21"/>
              </w:rPr>
              <w:t>符合性</w:t>
            </w:r>
          </w:p>
        </w:tc>
      </w:tr>
      <w:tr w:rsidR="00544649" w14:paraId="7A9782DB" w14:textId="77777777">
        <w:trPr>
          <w:jc w:val="center"/>
        </w:trPr>
        <w:tc>
          <w:tcPr>
            <w:tcW w:w="4756" w:type="dxa"/>
            <w:vAlign w:val="center"/>
          </w:tcPr>
          <w:p w14:paraId="76D193C8" w14:textId="77777777" w:rsidR="00544649" w:rsidRDefault="00000000">
            <w:pPr>
              <w:pStyle w:val="aff3"/>
              <w:spacing w:before="65" w:after="65" w:line="240" w:lineRule="auto"/>
              <w:jc w:val="both"/>
              <w:rPr>
                <w:rFonts w:cs="Times New Roman"/>
                <w:kern w:val="21"/>
                <w:szCs w:val="21"/>
              </w:rPr>
            </w:pPr>
            <w:proofErr w:type="gramStart"/>
            <w:r>
              <w:rPr>
                <w:rFonts w:cs="Times New Roman"/>
                <w:kern w:val="21"/>
                <w:szCs w:val="21"/>
              </w:rPr>
              <w:t>项目环评应</w:t>
            </w:r>
            <w:proofErr w:type="gramEnd"/>
            <w:r>
              <w:rPr>
                <w:rFonts w:cs="Times New Roman"/>
                <w:kern w:val="21"/>
                <w:szCs w:val="21"/>
              </w:rPr>
              <w:t>充分论证选址的环境合理性，选址应避开当地划定的禁止养殖区域，并与区域主体功能区规划、环境功能区划、土地利用规划、城乡规划、畜牧业发展规划、畜禽养殖污染防治规划等规划相协调</w:t>
            </w:r>
            <w:r>
              <w:rPr>
                <w:rFonts w:cs="Times New Roman" w:hint="eastAsia"/>
                <w:kern w:val="21"/>
                <w:szCs w:val="21"/>
              </w:rPr>
              <w:t>。</w:t>
            </w:r>
          </w:p>
        </w:tc>
        <w:tc>
          <w:tcPr>
            <w:tcW w:w="3316" w:type="dxa"/>
            <w:vAlign w:val="center"/>
          </w:tcPr>
          <w:p w14:paraId="611F6673" w14:textId="77777777" w:rsidR="00544649" w:rsidRDefault="00000000">
            <w:pPr>
              <w:pStyle w:val="aff3"/>
              <w:spacing w:before="65" w:after="65" w:line="240" w:lineRule="auto"/>
              <w:jc w:val="both"/>
              <w:rPr>
                <w:rFonts w:cs="Times New Roman"/>
                <w:kern w:val="21"/>
                <w:szCs w:val="21"/>
              </w:rPr>
            </w:pPr>
            <w:proofErr w:type="gramStart"/>
            <w:r>
              <w:rPr>
                <w:rFonts w:cs="Times New Roman" w:hint="eastAsia"/>
                <w:kern w:val="21"/>
                <w:szCs w:val="21"/>
              </w:rPr>
              <w:t>本环评进行</w:t>
            </w:r>
            <w:proofErr w:type="gramEnd"/>
            <w:r>
              <w:rPr>
                <w:rFonts w:cs="Times New Roman" w:hint="eastAsia"/>
                <w:kern w:val="21"/>
                <w:szCs w:val="21"/>
              </w:rPr>
              <w:t>了选址合理性分析，项目位于广元市剑阁县剑门关镇新龙村六组、双鱼村七组，不属于剑阁县划定的</w:t>
            </w:r>
            <w:r>
              <w:rPr>
                <w:rFonts w:cs="Times New Roman"/>
                <w:kern w:val="21"/>
                <w:szCs w:val="21"/>
              </w:rPr>
              <w:t>禁止养殖区域</w:t>
            </w:r>
            <w:r>
              <w:rPr>
                <w:rFonts w:cs="Times New Roman" w:hint="eastAsia"/>
                <w:kern w:val="21"/>
                <w:szCs w:val="21"/>
              </w:rPr>
              <w:t>，经分析，项目建设与</w:t>
            </w:r>
            <w:r>
              <w:rPr>
                <w:rFonts w:cs="Times New Roman"/>
                <w:kern w:val="21"/>
                <w:szCs w:val="21"/>
              </w:rPr>
              <w:t>区域主体功能区规划、环境功能区划、土地利用规划、城乡规划、畜牧业发展规划、畜禽养殖污染防治规划等规划相协调</w:t>
            </w:r>
            <w:r>
              <w:rPr>
                <w:rFonts w:cs="Times New Roman" w:hint="eastAsia"/>
                <w:kern w:val="21"/>
                <w:szCs w:val="21"/>
              </w:rPr>
              <w:t>。</w:t>
            </w:r>
          </w:p>
        </w:tc>
        <w:tc>
          <w:tcPr>
            <w:tcW w:w="983" w:type="dxa"/>
            <w:vAlign w:val="center"/>
          </w:tcPr>
          <w:p w14:paraId="0CAA414B" w14:textId="77777777" w:rsidR="00544649" w:rsidRDefault="00000000">
            <w:pPr>
              <w:pStyle w:val="aff3"/>
              <w:spacing w:before="65" w:after="65" w:line="240" w:lineRule="auto"/>
              <w:rPr>
                <w:rFonts w:cs="Times New Roman"/>
                <w:kern w:val="21"/>
                <w:szCs w:val="21"/>
              </w:rPr>
            </w:pPr>
            <w:r>
              <w:rPr>
                <w:rFonts w:cs="Times New Roman"/>
                <w:kern w:val="21"/>
                <w:szCs w:val="21"/>
              </w:rPr>
              <w:t>符合</w:t>
            </w:r>
          </w:p>
        </w:tc>
      </w:tr>
      <w:tr w:rsidR="00544649" w14:paraId="48E0DF1E" w14:textId="77777777">
        <w:trPr>
          <w:trHeight w:val="90"/>
          <w:jc w:val="center"/>
        </w:trPr>
        <w:tc>
          <w:tcPr>
            <w:tcW w:w="4756" w:type="dxa"/>
            <w:vAlign w:val="center"/>
          </w:tcPr>
          <w:p w14:paraId="2183F6A2" w14:textId="77777777" w:rsidR="00544649" w:rsidRDefault="00000000">
            <w:pPr>
              <w:pStyle w:val="aff3"/>
              <w:spacing w:before="65" w:after="65" w:line="240" w:lineRule="auto"/>
              <w:jc w:val="both"/>
              <w:rPr>
                <w:rFonts w:cs="Times New Roman"/>
                <w:kern w:val="21"/>
                <w:szCs w:val="21"/>
              </w:rPr>
            </w:pPr>
            <w:proofErr w:type="gramStart"/>
            <w:r>
              <w:rPr>
                <w:rFonts w:cs="Times New Roman"/>
                <w:kern w:val="21"/>
                <w:szCs w:val="21"/>
              </w:rPr>
              <w:lastRenderedPageBreak/>
              <w:t>项目环评应</w:t>
            </w:r>
            <w:proofErr w:type="gramEnd"/>
            <w:r>
              <w:rPr>
                <w:rFonts w:cs="Times New Roman"/>
                <w:kern w:val="21"/>
                <w:szCs w:val="21"/>
              </w:rPr>
              <w:t>结合环境保护要求优化养殖场区内部布置。畜禽养殖区及畜禽粪污贮存、处理和畜禽尸体无害化处理等产生恶臭影响的设施，应位于养殖场区主导风向的下风向位置，并尽量远离周边环境保护目标</w:t>
            </w:r>
            <w:r>
              <w:rPr>
                <w:rFonts w:cs="Times New Roman" w:hint="eastAsia"/>
                <w:kern w:val="21"/>
                <w:szCs w:val="21"/>
              </w:rPr>
              <w:t>。</w:t>
            </w:r>
          </w:p>
        </w:tc>
        <w:tc>
          <w:tcPr>
            <w:tcW w:w="3316" w:type="dxa"/>
            <w:vAlign w:val="center"/>
          </w:tcPr>
          <w:p w14:paraId="5E996E0E" w14:textId="77777777" w:rsidR="00544649" w:rsidRDefault="00000000">
            <w:pPr>
              <w:pStyle w:val="aff3"/>
              <w:spacing w:before="65" w:after="65" w:line="240" w:lineRule="auto"/>
              <w:jc w:val="both"/>
              <w:rPr>
                <w:rFonts w:cs="Times New Roman"/>
                <w:kern w:val="21"/>
                <w:szCs w:val="21"/>
              </w:rPr>
            </w:pPr>
            <w:r>
              <w:rPr>
                <w:rFonts w:cs="Times New Roman"/>
                <w:kern w:val="21"/>
                <w:szCs w:val="21"/>
              </w:rPr>
              <w:t>本项目</w:t>
            </w:r>
            <w:proofErr w:type="gramStart"/>
            <w:r>
              <w:rPr>
                <w:rFonts w:cs="Times New Roman" w:hint="eastAsia"/>
                <w:kern w:val="21"/>
                <w:szCs w:val="21"/>
              </w:rPr>
              <w:t>育雏场</w:t>
            </w:r>
            <w:proofErr w:type="gramEnd"/>
            <w:r>
              <w:rPr>
                <w:rFonts w:cs="Times New Roman" w:hint="eastAsia"/>
                <w:kern w:val="21"/>
                <w:szCs w:val="21"/>
              </w:rPr>
              <w:t>及蛋鸡场污水处理区均位于</w:t>
            </w:r>
            <w:r>
              <w:rPr>
                <w:rFonts w:cs="Times New Roman"/>
                <w:kern w:val="21"/>
                <w:szCs w:val="21"/>
              </w:rPr>
              <w:t>养殖场区主导风向的下风向</w:t>
            </w:r>
            <w:r>
              <w:rPr>
                <w:rFonts w:cs="Times New Roman" w:hint="eastAsia"/>
                <w:kern w:val="21"/>
                <w:szCs w:val="21"/>
              </w:rPr>
              <w:t>位置，且远离周边环境保护目标；项目鸡粪日产日清，不在场内暂存，交由四川省田宝生物科技有限公司进行有机肥生产；项目病死鸡交由广元</w:t>
            </w:r>
            <w:proofErr w:type="gramStart"/>
            <w:r>
              <w:rPr>
                <w:rFonts w:cs="Times New Roman" w:hint="eastAsia"/>
                <w:kern w:val="21"/>
                <w:szCs w:val="21"/>
              </w:rPr>
              <w:t>市朗坤环保</w:t>
            </w:r>
            <w:proofErr w:type="gramEnd"/>
            <w:r>
              <w:rPr>
                <w:rFonts w:cs="Times New Roman" w:hint="eastAsia"/>
                <w:kern w:val="21"/>
                <w:szCs w:val="21"/>
              </w:rPr>
              <w:t>有限公司进行无害化处置，不在场内进行病死鸡无害化处理。</w:t>
            </w:r>
          </w:p>
        </w:tc>
        <w:tc>
          <w:tcPr>
            <w:tcW w:w="983" w:type="dxa"/>
            <w:vAlign w:val="center"/>
          </w:tcPr>
          <w:p w14:paraId="3F1FFAAF" w14:textId="77777777" w:rsidR="00544649" w:rsidRDefault="00000000">
            <w:pPr>
              <w:pStyle w:val="aff3"/>
              <w:spacing w:before="65" w:after="65" w:line="240" w:lineRule="auto"/>
              <w:rPr>
                <w:rFonts w:cs="Times New Roman"/>
                <w:kern w:val="21"/>
                <w:szCs w:val="21"/>
              </w:rPr>
            </w:pPr>
            <w:r>
              <w:rPr>
                <w:rFonts w:cs="Times New Roman"/>
                <w:kern w:val="21"/>
                <w:szCs w:val="21"/>
              </w:rPr>
              <w:t>符合</w:t>
            </w:r>
          </w:p>
        </w:tc>
      </w:tr>
      <w:tr w:rsidR="00544649" w14:paraId="41B9751D" w14:textId="77777777">
        <w:trPr>
          <w:jc w:val="center"/>
        </w:trPr>
        <w:tc>
          <w:tcPr>
            <w:tcW w:w="4756" w:type="dxa"/>
            <w:vAlign w:val="center"/>
          </w:tcPr>
          <w:p w14:paraId="75DC700A" w14:textId="77777777" w:rsidR="00544649" w:rsidRDefault="00000000">
            <w:pPr>
              <w:pStyle w:val="aff3"/>
              <w:spacing w:before="65" w:after="65" w:line="240" w:lineRule="auto"/>
              <w:jc w:val="both"/>
              <w:rPr>
                <w:rFonts w:cs="Times New Roman"/>
                <w:kern w:val="21"/>
                <w:szCs w:val="21"/>
              </w:rPr>
            </w:pPr>
            <w:proofErr w:type="gramStart"/>
            <w:r>
              <w:rPr>
                <w:rFonts w:cs="Times New Roman"/>
                <w:kern w:val="21"/>
                <w:szCs w:val="21"/>
              </w:rPr>
              <w:t>项目环评应</w:t>
            </w:r>
            <w:proofErr w:type="gramEnd"/>
            <w:r>
              <w:rPr>
                <w:rFonts w:cs="Times New Roman"/>
                <w:kern w:val="21"/>
                <w:szCs w:val="21"/>
              </w:rPr>
              <w:t>以农业绿色发展为导向，优化工艺，通过采取优化饲料配方、提高饲养技术等措施，从源头减少粪污的产生量。鼓励采取干清粪方式，采取水泡粪工艺的应最大限度降低用水量。场区应采取雨污分离措施，防止雨水进入粪污收集系统</w:t>
            </w:r>
            <w:r>
              <w:rPr>
                <w:rFonts w:cs="Times New Roman" w:hint="eastAsia"/>
                <w:kern w:val="21"/>
                <w:szCs w:val="21"/>
              </w:rPr>
              <w:t>。</w:t>
            </w:r>
          </w:p>
        </w:tc>
        <w:tc>
          <w:tcPr>
            <w:tcW w:w="3316" w:type="dxa"/>
            <w:vAlign w:val="center"/>
          </w:tcPr>
          <w:p w14:paraId="24C33049" w14:textId="77777777" w:rsidR="00544649" w:rsidRDefault="00000000">
            <w:pPr>
              <w:pStyle w:val="aff3"/>
              <w:spacing w:before="65" w:after="65" w:line="240" w:lineRule="auto"/>
              <w:jc w:val="both"/>
              <w:rPr>
                <w:rFonts w:cs="Times New Roman"/>
                <w:kern w:val="21"/>
                <w:szCs w:val="21"/>
              </w:rPr>
            </w:pPr>
            <w:r>
              <w:rPr>
                <w:rFonts w:cs="Times New Roman" w:hint="eastAsia"/>
                <w:kern w:val="21"/>
                <w:szCs w:val="21"/>
              </w:rPr>
              <w:t>本</w:t>
            </w:r>
            <w:r>
              <w:rPr>
                <w:rFonts w:cs="Times New Roman"/>
                <w:kern w:val="21"/>
                <w:szCs w:val="21"/>
              </w:rPr>
              <w:t>项目采取科学饲养模式，</w:t>
            </w:r>
            <w:r>
              <w:rPr>
                <w:rFonts w:cs="Times New Roman" w:hint="eastAsia"/>
                <w:kern w:val="21"/>
                <w:szCs w:val="21"/>
              </w:rPr>
              <w:t>提高饲养技术等措施，从源头减少粪污的产生量。鸡粪处置</w:t>
            </w:r>
            <w:r>
              <w:rPr>
                <w:rFonts w:cs="Times New Roman"/>
                <w:kern w:val="21"/>
                <w:szCs w:val="21"/>
              </w:rPr>
              <w:t>采取干清粪方式</w:t>
            </w:r>
            <w:r>
              <w:rPr>
                <w:rFonts w:cs="Times New Roman" w:hint="eastAsia"/>
                <w:kern w:val="21"/>
                <w:szCs w:val="21"/>
              </w:rPr>
              <w:t>，日产日清，厂区雨污分流，</w:t>
            </w:r>
            <w:r>
              <w:rPr>
                <w:rFonts w:cs="Times New Roman"/>
                <w:kern w:val="21"/>
                <w:szCs w:val="21"/>
              </w:rPr>
              <w:t>防止雨水进入粪污收集系统。</w:t>
            </w:r>
          </w:p>
        </w:tc>
        <w:tc>
          <w:tcPr>
            <w:tcW w:w="983" w:type="dxa"/>
            <w:vAlign w:val="center"/>
          </w:tcPr>
          <w:p w14:paraId="6F2035B6" w14:textId="77777777" w:rsidR="00544649" w:rsidRDefault="00000000">
            <w:pPr>
              <w:pStyle w:val="aff3"/>
              <w:spacing w:before="65" w:after="65" w:line="240" w:lineRule="auto"/>
              <w:rPr>
                <w:rFonts w:cs="Times New Roman"/>
                <w:kern w:val="21"/>
                <w:szCs w:val="21"/>
              </w:rPr>
            </w:pPr>
            <w:r>
              <w:rPr>
                <w:rFonts w:cs="Times New Roman"/>
                <w:kern w:val="21"/>
                <w:szCs w:val="21"/>
              </w:rPr>
              <w:t>符合</w:t>
            </w:r>
          </w:p>
        </w:tc>
      </w:tr>
      <w:tr w:rsidR="00544649" w14:paraId="66D16EFA" w14:textId="77777777">
        <w:trPr>
          <w:jc w:val="center"/>
        </w:trPr>
        <w:tc>
          <w:tcPr>
            <w:tcW w:w="4756" w:type="dxa"/>
            <w:vAlign w:val="center"/>
          </w:tcPr>
          <w:p w14:paraId="02CEA5E4" w14:textId="77777777" w:rsidR="00544649" w:rsidRDefault="00000000">
            <w:pPr>
              <w:pStyle w:val="aff3"/>
              <w:spacing w:before="65" w:after="65" w:line="240" w:lineRule="auto"/>
              <w:jc w:val="both"/>
              <w:rPr>
                <w:rFonts w:cs="Times New Roman"/>
                <w:kern w:val="21"/>
                <w:szCs w:val="21"/>
              </w:rPr>
            </w:pPr>
            <w:proofErr w:type="gramStart"/>
            <w:r>
              <w:rPr>
                <w:rFonts w:cs="Times New Roman"/>
                <w:kern w:val="21"/>
                <w:szCs w:val="21"/>
              </w:rPr>
              <w:t>项目环评应</w:t>
            </w:r>
            <w:proofErr w:type="gramEnd"/>
            <w:r>
              <w:rPr>
                <w:rFonts w:cs="Times New Roman"/>
                <w:kern w:val="21"/>
                <w:szCs w:val="21"/>
              </w:rPr>
              <w:t>结合地域、畜种、规模等特点以及地方相关部门制定的畜禽粪污综合利用目标等要求，加强畜禽养殖粪污资源化利用，因地制宜选择经济高效适用的处理利用模式，采取</w:t>
            </w:r>
            <w:proofErr w:type="gramStart"/>
            <w:r>
              <w:rPr>
                <w:rFonts w:cs="Times New Roman"/>
                <w:kern w:val="21"/>
                <w:szCs w:val="21"/>
              </w:rPr>
              <w:t>粪污全量</w:t>
            </w:r>
            <w:proofErr w:type="gramEnd"/>
            <w:r>
              <w:rPr>
                <w:rFonts w:cs="Times New Roman"/>
                <w:kern w:val="21"/>
                <w:szCs w:val="21"/>
              </w:rPr>
              <w:t>收集还田利用、污水肥料化利用、粪便垫料回用、异位发酵床、粪污专业化能源利用等模式处理利用畜禽粪污，促进畜禽规模养殖项目</w:t>
            </w:r>
            <w:r>
              <w:rPr>
                <w:rFonts w:cs="Times New Roman"/>
                <w:kern w:val="21"/>
                <w:szCs w:val="21"/>
              </w:rPr>
              <w:t>“</w:t>
            </w:r>
            <w:r>
              <w:rPr>
                <w:rFonts w:cs="Times New Roman"/>
                <w:kern w:val="21"/>
                <w:szCs w:val="21"/>
              </w:rPr>
              <w:t>种养结合</w:t>
            </w:r>
            <w:r>
              <w:rPr>
                <w:rFonts w:cs="Times New Roman"/>
                <w:kern w:val="21"/>
                <w:szCs w:val="21"/>
              </w:rPr>
              <w:t>”</w:t>
            </w:r>
            <w:r>
              <w:rPr>
                <w:rFonts w:cs="Times New Roman"/>
                <w:kern w:val="21"/>
                <w:szCs w:val="21"/>
              </w:rPr>
              <w:t>绿色发展</w:t>
            </w:r>
            <w:r>
              <w:rPr>
                <w:rFonts w:cs="Times New Roman" w:hint="eastAsia"/>
                <w:kern w:val="21"/>
                <w:szCs w:val="21"/>
              </w:rPr>
              <w:t>。</w:t>
            </w:r>
          </w:p>
        </w:tc>
        <w:tc>
          <w:tcPr>
            <w:tcW w:w="3316" w:type="dxa"/>
            <w:vAlign w:val="center"/>
          </w:tcPr>
          <w:p w14:paraId="4CBED2D3" w14:textId="77777777" w:rsidR="00544649" w:rsidRDefault="00000000">
            <w:pPr>
              <w:pStyle w:val="aff3"/>
              <w:spacing w:before="65" w:after="65" w:line="240" w:lineRule="auto"/>
              <w:jc w:val="both"/>
              <w:rPr>
                <w:rFonts w:cs="Times New Roman"/>
                <w:kern w:val="21"/>
                <w:szCs w:val="21"/>
              </w:rPr>
            </w:pPr>
            <w:proofErr w:type="gramStart"/>
            <w:r>
              <w:rPr>
                <w:rFonts w:cs="Times New Roman" w:hint="eastAsia"/>
                <w:kern w:val="21"/>
                <w:szCs w:val="21"/>
              </w:rPr>
              <w:t>本环评</w:t>
            </w:r>
            <w:proofErr w:type="gramEnd"/>
            <w:r>
              <w:rPr>
                <w:rFonts w:cs="Times New Roman" w:hint="eastAsia"/>
                <w:kern w:val="21"/>
                <w:szCs w:val="21"/>
              </w:rPr>
              <w:t>已明确畜禽粪污处理和利用措施。项目生活污水及养殖废水经场内污水处理站处理达标后用于林地灌溉，能满足相关技术规范要求。</w:t>
            </w:r>
            <w:r>
              <w:rPr>
                <w:rFonts w:cs="Times New Roman"/>
                <w:kern w:val="21"/>
                <w:szCs w:val="21"/>
              </w:rPr>
              <w:t>本项目采用干清粪工艺，鸡粪日产日清，交由</w:t>
            </w:r>
            <w:r>
              <w:rPr>
                <w:rFonts w:cs="Times New Roman" w:hint="eastAsia"/>
                <w:kern w:val="21"/>
                <w:szCs w:val="21"/>
              </w:rPr>
              <w:t>四川省田宝生物科技有限公司</w:t>
            </w:r>
            <w:r>
              <w:rPr>
                <w:rFonts w:cs="Times New Roman"/>
                <w:kern w:val="21"/>
                <w:szCs w:val="21"/>
              </w:rPr>
              <w:t>进行有机肥生产，</w:t>
            </w:r>
            <w:r>
              <w:rPr>
                <w:rFonts w:cs="Times New Roman" w:hint="eastAsia"/>
                <w:kern w:val="21"/>
                <w:szCs w:val="21"/>
              </w:rPr>
              <w:t>符合“种养结合”绿色</w:t>
            </w:r>
            <w:r>
              <w:rPr>
                <w:rFonts w:cs="Times New Roman"/>
                <w:kern w:val="21"/>
                <w:szCs w:val="21"/>
              </w:rPr>
              <w:t>发展理念。</w:t>
            </w:r>
          </w:p>
        </w:tc>
        <w:tc>
          <w:tcPr>
            <w:tcW w:w="983" w:type="dxa"/>
            <w:vAlign w:val="center"/>
          </w:tcPr>
          <w:p w14:paraId="4FAACEEE" w14:textId="77777777" w:rsidR="00544649" w:rsidRDefault="00000000">
            <w:pPr>
              <w:pStyle w:val="aff3"/>
              <w:spacing w:before="65" w:after="65" w:line="240" w:lineRule="auto"/>
              <w:rPr>
                <w:rFonts w:cs="Times New Roman"/>
                <w:kern w:val="21"/>
                <w:szCs w:val="21"/>
              </w:rPr>
            </w:pPr>
            <w:r>
              <w:rPr>
                <w:rFonts w:cs="Times New Roman"/>
                <w:kern w:val="21"/>
                <w:szCs w:val="21"/>
              </w:rPr>
              <w:t>符合</w:t>
            </w:r>
          </w:p>
        </w:tc>
      </w:tr>
      <w:tr w:rsidR="00544649" w14:paraId="1A1C3468" w14:textId="77777777">
        <w:trPr>
          <w:jc w:val="center"/>
        </w:trPr>
        <w:tc>
          <w:tcPr>
            <w:tcW w:w="4756" w:type="dxa"/>
            <w:vAlign w:val="center"/>
          </w:tcPr>
          <w:p w14:paraId="0B9B69F4" w14:textId="77777777" w:rsidR="00544649" w:rsidRDefault="00000000">
            <w:pPr>
              <w:pStyle w:val="aff3"/>
              <w:spacing w:before="65" w:after="65" w:line="240" w:lineRule="auto"/>
              <w:jc w:val="both"/>
              <w:rPr>
                <w:rFonts w:cs="Times New Roman"/>
                <w:kern w:val="21"/>
                <w:szCs w:val="21"/>
              </w:rPr>
            </w:pPr>
            <w:proofErr w:type="gramStart"/>
            <w:r>
              <w:rPr>
                <w:rFonts w:cs="Times New Roman"/>
                <w:kern w:val="21"/>
                <w:szCs w:val="21"/>
              </w:rPr>
              <w:t>项目环评应</w:t>
            </w:r>
            <w:proofErr w:type="gramEnd"/>
            <w:r>
              <w:rPr>
                <w:rFonts w:cs="Times New Roman"/>
                <w:kern w:val="21"/>
                <w:szCs w:val="21"/>
              </w:rPr>
              <w:t>强化对粪污的治理措施，加强畜禽养殖粪污资源化利用过程中的污染控制，推进粪</w:t>
            </w:r>
            <w:proofErr w:type="gramStart"/>
            <w:r>
              <w:rPr>
                <w:rFonts w:cs="Times New Roman"/>
                <w:kern w:val="21"/>
                <w:szCs w:val="21"/>
              </w:rPr>
              <w:t>污资源</w:t>
            </w:r>
            <w:proofErr w:type="gramEnd"/>
            <w:r>
              <w:rPr>
                <w:rFonts w:cs="Times New Roman"/>
                <w:kern w:val="21"/>
                <w:szCs w:val="21"/>
              </w:rPr>
              <w:t>的良性利用，应对无法资源化利用的粪</w:t>
            </w:r>
            <w:proofErr w:type="gramStart"/>
            <w:r>
              <w:rPr>
                <w:rFonts w:cs="Times New Roman"/>
                <w:kern w:val="21"/>
                <w:szCs w:val="21"/>
              </w:rPr>
              <w:t>污采取</w:t>
            </w:r>
            <w:proofErr w:type="gramEnd"/>
            <w:r>
              <w:rPr>
                <w:rFonts w:cs="Times New Roman"/>
                <w:kern w:val="21"/>
                <w:szCs w:val="21"/>
              </w:rPr>
              <w:t>治理措施确保达标排放。畜禽规模养殖项目应配套建设与养殖规模相匹配的雨污分离设施，以及粪污贮存、处理和利用设施等，委托满足相关环保要求的第三方代为利用或者处理的，可不自行建设粪污处理或利用设施</w:t>
            </w:r>
            <w:r>
              <w:rPr>
                <w:rFonts w:cs="Times New Roman" w:hint="eastAsia"/>
                <w:kern w:val="21"/>
                <w:szCs w:val="21"/>
              </w:rPr>
              <w:t>。</w:t>
            </w:r>
          </w:p>
        </w:tc>
        <w:tc>
          <w:tcPr>
            <w:tcW w:w="3316" w:type="dxa"/>
            <w:vAlign w:val="center"/>
          </w:tcPr>
          <w:p w14:paraId="643C7627" w14:textId="77777777" w:rsidR="00544649" w:rsidRDefault="00000000">
            <w:pPr>
              <w:pStyle w:val="aff3"/>
              <w:spacing w:before="65" w:after="65" w:line="240" w:lineRule="auto"/>
              <w:jc w:val="both"/>
              <w:rPr>
                <w:rFonts w:cs="Times New Roman"/>
                <w:kern w:val="21"/>
                <w:szCs w:val="21"/>
              </w:rPr>
            </w:pPr>
            <w:r>
              <w:rPr>
                <w:rFonts w:cs="Times New Roman" w:hint="eastAsia"/>
                <w:kern w:val="21"/>
                <w:szCs w:val="21"/>
              </w:rPr>
              <w:t>本项目</w:t>
            </w:r>
            <w:r>
              <w:rPr>
                <w:rFonts w:cs="Times New Roman"/>
                <w:kern w:val="21"/>
                <w:szCs w:val="21"/>
              </w:rPr>
              <w:t>场区实行雨污</w:t>
            </w:r>
            <w:r>
              <w:rPr>
                <w:rFonts w:cs="Times New Roman" w:hint="eastAsia"/>
                <w:kern w:val="21"/>
                <w:szCs w:val="21"/>
              </w:rPr>
              <w:t>分流</w:t>
            </w:r>
            <w:r>
              <w:rPr>
                <w:rFonts w:cs="Times New Roman"/>
                <w:kern w:val="21"/>
                <w:szCs w:val="21"/>
              </w:rPr>
              <w:t>，</w:t>
            </w:r>
            <w:r>
              <w:rPr>
                <w:rFonts w:cs="Times New Roman" w:hint="eastAsia"/>
                <w:kern w:val="21"/>
                <w:szCs w:val="21"/>
              </w:rPr>
              <w:t>生活污水及养殖废水经场内污水处理站处理达标后用于林地灌溉，其废水处理工艺可行。项目</w:t>
            </w:r>
            <w:r>
              <w:rPr>
                <w:rFonts w:cs="Times New Roman"/>
                <w:kern w:val="21"/>
                <w:szCs w:val="21"/>
              </w:rPr>
              <w:t>鸡粪日产日清，</w:t>
            </w:r>
            <w:r>
              <w:rPr>
                <w:rFonts w:cs="Times New Roman" w:hint="eastAsia"/>
                <w:kern w:val="21"/>
                <w:szCs w:val="21"/>
              </w:rPr>
              <w:t>每日清运至四川省田宝生物科技有限公司</w:t>
            </w:r>
            <w:r>
              <w:rPr>
                <w:rFonts w:cs="Times New Roman"/>
                <w:kern w:val="21"/>
                <w:szCs w:val="21"/>
              </w:rPr>
              <w:t>进行有机肥生产，</w:t>
            </w:r>
            <w:r>
              <w:rPr>
                <w:rFonts w:cs="Times New Roman" w:hint="eastAsia"/>
                <w:kern w:val="21"/>
                <w:szCs w:val="21"/>
              </w:rPr>
              <w:t>不在场内贮存。</w:t>
            </w:r>
          </w:p>
        </w:tc>
        <w:tc>
          <w:tcPr>
            <w:tcW w:w="983" w:type="dxa"/>
            <w:vAlign w:val="center"/>
          </w:tcPr>
          <w:p w14:paraId="7E8D9F10" w14:textId="77777777" w:rsidR="00544649" w:rsidRDefault="00000000">
            <w:pPr>
              <w:pStyle w:val="aff3"/>
              <w:spacing w:before="65" w:after="65" w:line="240" w:lineRule="auto"/>
              <w:rPr>
                <w:rFonts w:cs="Times New Roman"/>
                <w:kern w:val="21"/>
                <w:szCs w:val="21"/>
              </w:rPr>
            </w:pPr>
            <w:r>
              <w:rPr>
                <w:rFonts w:cs="Times New Roman"/>
                <w:kern w:val="21"/>
                <w:szCs w:val="21"/>
              </w:rPr>
              <w:t>符合</w:t>
            </w:r>
          </w:p>
        </w:tc>
      </w:tr>
      <w:tr w:rsidR="00544649" w14:paraId="3B1E9741" w14:textId="77777777">
        <w:trPr>
          <w:jc w:val="center"/>
        </w:trPr>
        <w:tc>
          <w:tcPr>
            <w:tcW w:w="4756" w:type="dxa"/>
            <w:vAlign w:val="center"/>
          </w:tcPr>
          <w:p w14:paraId="47133C8B" w14:textId="77777777" w:rsidR="00544649" w:rsidRDefault="00000000">
            <w:pPr>
              <w:pStyle w:val="aff3"/>
              <w:spacing w:before="65" w:after="65" w:line="240" w:lineRule="auto"/>
              <w:jc w:val="both"/>
              <w:rPr>
                <w:rFonts w:cs="Times New Roman"/>
                <w:kern w:val="21"/>
                <w:szCs w:val="21"/>
              </w:rPr>
            </w:pPr>
            <w:proofErr w:type="gramStart"/>
            <w:r>
              <w:rPr>
                <w:rFonts w:cs="Times New Roman"/>
                <w:kern w:val="21"/>
                <w:szCs w:val="21"/>
              </w:rPr>
              <w:t>项目环评应</w:t>
            </w:r>
            <w:proofErr w:type="gramEnd"/>
            <w:r>
              <w:rPr>
                <w:rFonts w:cs="Times New Roman"/>
                <w:kern w:val="21"/>
                <w:szCs w:val="21"/>
              </w:rPr>
              <w:t>明确畜禽粪污贮存、处理和利用措施。贮存池应采取有效的防雨、防渗和防溢流措施，防止畜禽粪</w:t>
            </w:r>
            <w:proofErr w:type="gramStart"/>
            <w:r>
              <w:rPr>
                <w:rFonts w:cs="Times New Roman"/>
                <w:kern w:val="21"/>
                <w:szCs w:val="21"/>
              </w:rPr>
              <w:t>污</w:t>
            </w:r>
            <w:proofErr w:type="gramEnd"/>
            <w:r>
              <w:rPr>
                <w:rFonts w:cs="Times New Roman"/>
                <w:kern w:val="21"/>
                <w:szCs w:val="21"/>
              </w:rPr>
              <w:t>污染地下水。</w:t>
            </w:r>
            <w:proofErr w:type="gramStart"/>
            <w:r>
              <w:rPr>
                <w:rFonts w:cs="Times New Roman"/>
                <w:kern w:val="21"/>
                <w:szCs w:val="21"/>
              </w:rPr>
              <w:t>贮存池总有效容积</w:t>
            </w:r>
            <w:proofErr w:type="gramEnd"/>
            <w:r>
              <w:rPr>
                <w:rFonts w:cs="Times New Roman"/>
                <w:kern w:val="21"/>
                <w:szCs w:val="21"/>
              </w:rPr>
              <w:t>应根据贮存期确定。进行资源化利用的畜禽</w:t>
            </w:r>
            <w:proofErr w:type="gramStart"/>
            <w:r>
              <w:rPr>
                <w:rFonts w:cs="Times New Roman"/>
                <w:kern w:val="21"/>
                <w:szCs w:val="21"/>
              </w:rPr>
              <w:t>粪污须处理</w:t>
            </w:r>
            <w:proofErr w:type="gramEnd"/>
            <w:r>
              <w:rPr>
                <w:rFonts w:cs="Times New Roman"/>
                <w:kern w:val="21"/>
                <w:szCs w:val="21"/>
              </w:rPr>
              <w:t>并达到畜禽粪便还田、无害化处理等技术规范要求。畜禽规模养殖项目配套建设沼气工程的，应充分考虑沼气制备及贮存过程中的环境风险，制定环境风险防范措施及应急预案</w:t>
            </w:r>
            <w:r>
              <w:rPr>
                <w:rFonts w:cs="Times New Roman" w:hint="eastAsia"/>
                <w:kern w:val="21"/>
                <w:szCs w:val="21"/>
              </w:rPr>
              <w:t>。</w:t>
            </w:r>
          </w:p>
        </w:tc>
        <w:tc>
          <w:tcPr>
            <w:tcW w:w="3316" w:type="dxa"/>
            <w:vAlign w:val="center"/>
          </w:tcPr>
          <w:p w14:paraId="48067444" w14:textId="77777777" w:rsidR="00544649" w:rsidRDefault="00000000">
            <w:pPr>
              <w:pStyle w:val="aff3"/>
              <w:spacing w:before="65" w:after="65" w:line="240" w:lineRule="auto"/>
              <w:jc w:val="both"/>
              <w:rPr>
                <w:rFonts w:cs="Times New Roman"/>
                <w:kern w:val="21"/>
                <w:szCs w:val="21"/>
              </w:rPr>
            </w:pPr>
            <w:r>
              <w:rPr>
                <w:rFonts w:cs="Times New Roman" w:hint="eastAsia"/>
                <w:kern w:val="21"/>
                <w:szCs w:val="21"/>
              </w:rPr>
              <w:t>本项目场内配套设置污水处理站及废水贮存池，生活污水及养殖废水经处理达标后用于周边林地灌溉，贮存</w:t>
            </w:r>
            <w:proofErr w:type="gramStart"/>
            <w:r>
              <w:rPr>
                <w:rFonts w:cs="Times New Roman" w:hint="eastAsia"/>
                <w:kern w:val="21"/>
                <w:szCs w:val="21"/>
              </w:rPr>
              <w:t>池采取</w:t>
            </w:r>
            <w:proofErr w:type="gramEnd"/>
            <w:r>
              <w:rPr>
                <w:rFonts w:cs="Times New Roman" w:hint="eastAsia"/>
                <w:kern w:val="21"/>
                <w:szCs w:val="21"/>
              </w:rPr>
              <w:t>有效</w:t>
            </w:r>
            <w:r>
              <w:rPr>
                <w:rFonts w:cs="Times New Roman"/>
                <w:kern w:val="21"/>
                <w:szCs w:val="21"/>
              </w:rPr>
              <w:t>防雨、防渗和防溢流措施</w:t>
            </w:r>
            <w:r>
              <w:rPr>
                <w:rFonts w:cs="Times New Roman" w:hint="eastAsia"/>
                <w:kern w:val="21"/>
                <w:szCs w:val="21"/>
              </w:rPr>
              <w:t>，贮存池容量满足贮存要求。本项目</w:t>
            </w:r>
            <w:r>
              <w:rPr>
                <w:rFonts w:cs="Times New Roman"/>
                <w:kern w:val="21"/>
                <w:szCs w:val="21"/>
              </w:rPr>
              <w:t>鸡粪日产日清，</w:t>
            </w:r>
            <w:r>
              <w:rPr>
                <w:rFonts w:cs="Times New Roman" w:hint="eastAsia"/>
                <w:kern w:val="21"/>
                <w:szCs w:val="21"/>
              </w:rPr>
              <w:t>每日清运至四川省田宝生物科技有限公司</w:t>
            </w:r>
            <w:r>
              <w:rPr>
                <w:rFonts w:cs="Times New Roman"/>
                <w:kern w:val="21"/>
                <w:szCs w:val="21"/>
              </w:rPr>
              <w:t>进行有机肥生产，</w:t>
            </w:r>
            <w:r>
              <w:rPr>
                <w:rFonts w:cs="Times New Roman" w:hint="eastAsia"/>
                <w:kern w:val="21"/>
                <w:szCs w:val="21"/>
              </w:rPr>
              <w:t>不在场内贮存。</w:t>
            </w:r>
          </w:p>
        </w:tc>
        <w:tc>
          <w:tcPr>
            <w:tcW w:w="983" w:type="dxa"/>
            <w:vAlign w:val="center"/>
          </w:tcPr>
          <w:p w14:paraId="3AA73164" w14:textId="77777777" w:rsidR="00544649" w:rsidRDefault="00000000">
            <w:pPr>
              <w:pStyle w:val="aff3"/>
              <w:spacing w:before="65" w:after="65" w:line="240" w:lineRule="auto"/>
              <w:rPr>
                <w:rFonts w:cs="Times New Roman"/>
                <w:kern w:val="21"/>
                <w:szCs w:val="21"/>
              </w:rPr>
            </w:pPr>
            <w:r>
              <w:rPr>
                <w:rFonts w:cs="Times New Roman"/>
                <w:kern w:val="21"/>
                <w:szCs w:val="21"/>
              </w:rPr>
              <w:t>符合</w:t>
            </w:r>
          </w:p>
        </w:tc>
      </w:tr>
      <w:tr w:rsidR="00544649" w14:paraId="1CF80E36" w14:textId="77777777">
        <w:trPr>
          <w:jc w:val="center"/>
        </w:trPr>
        <w:tc>
          <w:tcPr>
            <w:tcW w:w="4756" w:type="dxa"/>
            <w:vAlign w:val="center"/>
          </w:tcPr>
          <w:p w14:paraId="1F9D6EDC" w14:textId="77777777" w:rsidR="00544649" w:rsidRDefault="00000000">
            <w:pPr>
              <w:pStyle w:val="aff3"/>
              <w:spacing w:before="65" w:after="65" w:line="240" w:lineRule="auto"/>
              <w:jc w:val="both"/>
              <w:rPr>
                <w:rFonts w:cs="Times New Roman"/>
                <w:kern w:val="21"/>
                <w:szCs w:val="21"/>
              </w:rPr>
            </w:pPr>
            <w:r>
              <w:rPr>
                <w:rFonts w:cs="Times New Roman"/>
                <w:kern w:val="21"/>
                <w:szCs w:val="21"/>
              </w:rPr>
              <w:t>依据相关法律法规和技术规范，制定明确的病死畜禽处理、处置方案，及时处理病死畜禽。针对畜禽规模养殖项目的恶臭影响，可采取控制饲养密度、改善舍内通风、及时清粪、采用除臭剂、集中收集处理等措施，确保项目恶臭污染物达标排放</w:t>
            </w:r>
            <w:r>
              <w:rPr>
                <w:rFonts w:cs="Times New Roman" w:hint="eastAsia"/>
                <w:kern w:val="21"/>
                <w:szCs w:val="21"/>
              </w:rPr>
              <w:t>。</w:t>
            </w:r>
          </w:p>
        </w:tc>
        <w:tc>
          <w:tcPr>
            <w:tcW w:w="3316" w:type="dxa"/>
            <w:vAlign w:val="center"/>
          </w:tcPr>
          <w:p w14:paraId="75B2A404" w14:textId="77777777" w:rsidR="00544649" w:rsidRDefault="00000000">
            <w:pPr>
              <w:pStyle w:val="aff3"/>
              <w:spacing w:before="65" w:after="65" w:line="240" w:lineRule="auto"/>
              <w:jc w:val="both"/>
              <w:rPr>
                <w:rFonts w:cs="Times New Roman"/>
                <w:kern w:val="21"/>
                <w:szCs w:val="21"/>
              </w:rPr>
            </w:pPr>
            <w:r>
              <w:rPr>
                <w:rFonts w:cs="Times New Roman" w:hint="eastAsia"/>
                <w:kern w:val="21"/>
                <w:szCs w:val="21"/>
              </w:rPr>
              <w:t>本项目病死</w:t>
            </w:r>
            <w:proofErr w:type="gramStart"/>
            <w:r>
              <w:rPr>
                <w:rFonts w:cs="Times New Roman" w:hint="eastAsia"/>
                <w:kern w:val="21"/>
                <w:szCs w:val="21"/>
              </w:rPr>
              <w:t>鸡委托</w:t>
            </w:r>
            <w:proofErr w:type="gramEnd"/>
            <w:r>
              <w:rPr>
                <w:rFonts w:cs="Times New Roman" w:hint="eastAsia"/>
                <w:kern w:val="21"/>
                <w:szCs w:val="21"/>
              </w:rPr>
              <w:t>广元</w:t>
            </w:r>
            <w:proofErr w:type="gramStart"/>
            <w:r>
              <w:rPr>
                <w:rFonts w:cs="Times New Roman" w:hint="eastAsia"/>
                <w:kern w:val="21"/>
                <w:szCs w:val="21"/>
              </w:rPr>
              <w:t>市朗坤环保</w:t>
            </w:r>
            <w:proofErr w:type="gramEnd"/>
            <w:r>
              <w:rPr>
                <w:rFonts w:cs="Times New Roman" w:hint="eastAsia"/>
                <w:kern w:val="21"/>
                <w:szCs w:val="21"/>
              </w:rPr>
              <w:t>有限公司统一清运后进行无害化处理；建设单位采取控制饲养密度、改善舍内通风、及时清粪、采用除臭剂等措施，确保项目恶臭污染物达标排放。</w:t>
            </w:r>
          </w:p>
        </w:tc>
        <w:tc>
          <w:tcPr>
            <w:tcW w:w="983" w:type="dxa"/>
            <w:vAlign w:val="center"/>
          </w:tcPr>
          <w:p w14:paraId="614B3333" w14:textId="77777777" w:rsidR="00544649" w:rsidRDefault="00000000">
            <w:pPr>
              <w:pStyle w:val="aff3"/>
              <w:spacing w:before="65" w:after="65" w:line="240" w:lineRule="auto"/>
              <w:rPr>
                <w:rFonts w:cs="Times New Roman"/>
                <w:kern w:val="21"/>
                <w:szCs w:val="21"/>
              </w:rPr>
            </w:pPr>
            <w:r>
              <w:rPr>
                <w:rFonts w:cs="Times New Roman"/>
                <w:kern w:val="21"/>
                <w:szCs w:val="21"/>
              </w:rPr>
              <w:t>符合</w:t>
            </w:r>
          </w:p>
        </w:tc>
      </w:tr>
    </w:tbl>
    <w:p w14:paraId="7345E98F" w14:textId="77777777" w:rsidR="00544649" w:rsidRDefault="00000000">
      <w:pPr>
        <w:adjustRightInd w:val="0"/>
        <w:snapToGrid w:val="0"/>
        <w:spacing w:after="0"/>
        <w:ind w:firstLine="480"/>
        <w:rPr>
          <w:kern w:val="21"/>
        </w:rPr>
      </w:pPr>
      <w:r>
        <w:rPr>
          <w:kern w:val="21"/>
        </w:rPr>
        <w:t>综上所述，本项目符合《关于做好畜禽规模养殖项目环境影响评价管理工作的通知》（</w:t>
      </w:r>
      <w:proofErr w:type="gramStart"/>
      <w:r>
        <w:rPr>
          <w:kern w:val="21"/>
        </w:rPr>
        <w:t>环办环</w:t>
      </w:r>
      <w:proofErr w:type="gramEnd"/>
      <w:r>
        <w:rPr>
          <w:kern w:val="21"/>
        </w:rPr>
        <w:t>评</w:t>
      </w:r>
      <w:r>
        <w:rPr>
          <w:kern w:val="21"/>
        </w:rPr>
        <w:t>[2018]31</w:t>
      </w:r>
      <w:r>
        <w:rPr>
          <w:kern w:val="21"/>
        </w:rPr>
        <w:t>号）中相关要求。</w:t>
      </w:r>
    </w:p>
    <w:p w14:paraId="5C1DF8C6" w14:textId="77777777" w:rsidR="00544649" w:rsidRDefault="00000000">
      <w:pPr>
        <w:pStyle w:val="4"/>
        <w:adjustRightInd w:val="0"/>
        <w:snapToGrid w:val="0"/>
        <w:spacing w:after="0"/>
      </w:pPr>
      <w:r>
        <w:lastRenderedPageBreak/>
        <w:t>与《国务院办公厅关于加快推进畜禽养殖废弃物资源化利用的意见》（国办发﹝</w:t>
      </w:r>
      <w:r>
        <w:t>2017</w:t>
      </w:r>
      <w:r>
        <w:t>﹞</w:t>
      </w:r>
      <w:r>
        <w:t>48</w:t>
      </w:r>
      <w:r>
        <w:t>号）的符合性分析</w:t>
      </w:r>
    </w:p>
    <w:p w14:paraId="04DDBE71" w14:textId="77777777" w:rsidR="00544649" w:rsidRDefault="00000000">
      <w:pPr>
        <w:adjustRightInd w:val="0"/>
        <w:snapToGrid w:val="0"/>
        <w:spacing w:after="0"/>
        <w:ind w:firstLine="480"/>
        <w:rPr>
          <w:kern w:val="21"/>
        </w:rPr>
      </w:pPr>
      <w:r>
        <w:rPr>
          <w:kern w:val="21"/>
        </w:rPr>
        <w:t>根据《国务院办公厅关于加快推进畜禽养殖废弃物资源化利用的意见》（国办发﹝</w:t>
      </w:r>
      <w:r>
        <w:rPr>
          <w:kern w:val="21"/>
        </w:rPr>
        <w:t>2017</w:t>
      </w:r>
      <w:r>
        <w:rPr>
          <w:kern w:val="21"/>
        </w:rPr>
        <w:t>﹞</w:t>
      </w:r>
      <w:r>
        <w:rPr>
          <w:kern w:val="21"/>
        </w:rPr>
        <w:t>48</w:t>
      </w:r>
      <w:r>
        <w:rPr>
          <w:kern w:val="21"/>
        </w:rPr>
        <w:t>号）中的指导思想</w:t>
      </w:r>
      <w:r>
        <w:rPr>
          <w:rFonts w:hint="eastAsia"/>
          <w:kern w:val="21"/>
        </w:rPr>
        <w:t>“</w:t>
      </w:r>
      <w:r>
        <w:rPr>
          <w:kern w:val="21"/>
        </w:rPr>
        <w:t>全面贯彻党的十八大和十八届三中、四中、五中、六中全会精神全面推进畜禽养殖废弃物资源化利用，加快构建种养结合、农牧循环的可持续发展新格局，为全面建成小康社会提供有力支撑</w:t>
      </w:r>
      <w:r>
        <w:rPr>
          <w:rFonts w:hint="eastAsia"/>
          <w:kern w:val="21"/>
        </w:rPr>
        <w:t>”</w:t>
      </w:r>
      <w:r>
        <w:rPr>
          <w:kern w:val="21"/>
        </w:rPr>
        <w:t>，及严格落实畜禽规模养殖环</w:t>
      </w:r>
      <w:proofErr w:type="gramStart"/>
      <w:r>
        <w:rPr>
          <w:kern w:val="21"/>
        </w:rPr>
        <w:t>评制度</w:t>
      </w:r>
      <w:proofErr w:type="gramEnd"/>
      <w:r>
        <w:rPr>
          <w:kern w:val="21"/>
        </w:rPr>
        <w:t>中内容</w:t>
      </w:r>
      <w:r>
        <w:rPr>
          <w:rFonts w:hint="eastAsia"/>
          <w:kern w:val="21"/>
        </w:rPr>
        <w:t>“</w:t>
      </w:r>
      <w:r>
        <w:rPr>
          <w:kern w:val="21"/>
        </w:rPr>
        <w:t>新建或改扩建畜禽规模养殖场，应突出养分综合利用，配套与养殖规模和处理工艺相适应的粪污消纳用地，配备必要的粪污收集、贮存、处理、利用设施，依法进行环境影响评价</w:t>
      </w:r>
      <w:r>
        <w:rPr>
          <w:rFonts w:hint="eastAsia"/>
          <w:kern w:val="21"/>
        </w:rPr>
        <w:t>”</w:t>
      </w:r>
      <w:r>
        <w:rPr>
          <w:kern w:val="21"/>
        </w:rPr>
        <w:t>。</w:t>
      </w:r>
    </w:p>
    <w:p w14:paraId="49DFA7DA" w14:textId="77777777" w:rsidR="00544649" w:rsidRDefault="00000000">
      <w:pPr>
        <w:adjustRightInd w:val="0"/>
        <w:snapToGrid w:val="0"/>
        <w:spacing w:after="0"/>
        <w:ind w:firstLine="480"/>
        <w:rPr>
          <w:kern w:val="21"/>
        </w:rPr>
      </w:pPr>
      <w:r>
        <w:rPr>
          <w:kern w:val="21"/>
        </w:rPr>
        <w:t>本项目鸡粪日产日清，交由</w:t>
      </w:r>
      <w:r>
        <w:rPr>
          <w:rFonts w:hint="eastAsia"/>
          <w:kern w:val="21"/>
        </w:rPr>
        <w:t>四川省田宝生物科技有限公司处置</w:t>
      </w:r>
      <w:r>
        <w:rPr>
          <w:kern w:val="21"/>
        </w:rPr>
        <w:t>，不在场区内暂存</w:t>
      </w:r>
      <w:r>
        <w:rPr>
          <w:rFonts w:hint="eastAsia"/>
          <w:kern w:val="21"/>
        </w:rPr>
        <w:t>。项目场内配套建设污水处理站及废水贮存池，生活污水、养殖鸡舍清洗废水及蛋品清洗废水等，统一收集至本项目新建污水处理站，经处理达到《农田灌溉水质标准》（</w:t>
      </w:r>
      <w:r>
        <w:rPr>
          <w:rFonts w:hint="eastAsia"/>
          <w:kern w:val="21"/>
        </w:rPr>
        <w:t>GB5084-2021</w:t>
      </w:r>
      <w:r>
        <w:rPr>
          <w:rFonts w:hint="eastAsia"/>
          <w:kern w:val="21"/>
        </w:rPr>
        <w:t>）</w:t>
      </w:r>
      <w:proofErr w:type="gramStart"/>
      <w:r>
        <w:rPr>
          <w:rFonts w:hint="eastAsia"/>
          <w:kern w:val="21"/>
        </w:rPr>
        <w:t>中旱作</w:t>
      </w:r>
      <w:proofErr w:type="gramEnd"/>
      <w:r>
        <w:rPr>
          <w:rFonts w:hint="eastAsia"/>
          <w:kern w:val="21"/>
        </w:rPr>
        <w:t>标准后用于林地灌溉（已签订</w:t>
      </w:r>
      <w:proofErr w:type="gramStart"/>
      <w:r>
        <w:rPr>
          <w:rFonts w:hint="eastAsia"/>
          <w:kern w:val="21"/>
        </w:rPr>
        <w:t>粪污消纳</w:t>
      </w:r>
      <w:proofErr w:type="gramEnd"/>
      <w:r>
        <w:rPr>
          <w:rFonts w:hint="eastAsia"/>
          <w:kern w:val="21"/>
        </w:rPr>
        <w:t>协议），</w:t>
      </w:r>
      <w:r>
        <w:rPr>
          <w:kern w:val="21"/>
        </w:rPr>
        <w:t>不外排。</w:t>
      </w:r>
    </w:p>
    <w:p w14:paraId="243735E1" w14:textId="77777777" w:rsidR="00544649" w:rsidRDefault="00000000">
      <w:pPr>
        <w:adjustRightInd w:val="0"/>
        <w:snapToGrid w:val="0"/>
        <w:spacing w:after="0"/>
        <w:ind w:firstLine="480"/>
        <w:rPr>
          <w:kern w:val="21"/>
        </w:rPr>
      </w:pPr>
      <w:r>
        <w:rPr>
          <w:kern w:val="21"/>
        </w:rPr>
        <w:t>因此，项目符合《国务院办公厅关于加快推进畜禽养殖废弃物资源化利用的意见》（国办发﹝</w:t>
      </w:r>
      <w:r>
        <w:rPr>
          <w:kern w:val="21"/>
        </w:rPr>
        <w:t>2017</w:t>
      </w:r>
      <w:r>
        <w:rPr>
          <w:kern w:val="21"/>
        </w:rPr>
        <w:t>﹞</w:t>
      </w:r>
      <w:r>
        <w:rPr>
          <w:kern w:val="21"/>
        </w:rPr>
        <w:t>48</w:t>
      </w:r>
      <w:r>
        <w:rPr>
          <w:kern w:val="21"/>
        </w:rPr>
        <w:t>号）</w:t>
      </w:r>
      <w:r>
        <w:rPr>
          <w:rFonts w:hint="eastAsia"/>
          <w:kern w:val="21"/>
        </w:rPr>
        <w:t>的</w:t>
      </w:r>
      <w:r>
        <w:rPr>
          <w:kern w:val="21"/>
        </w:rPr>
        <w:t>相关要求。</w:t>
      </w:r>
    </w:p>
    <w:p w14:paraId="751AD0DA" w14:textId="77777777" w:rsidR="00544649" w:rsidRDefault="00000000">
      <w:pPr>
        <w:pStyle w:val="4"/>
        <w:adjustRightInd w:val="0"/>
        <w:snapToGrid w:val="0"/>
        <w:spacing w:after="0"/>
      </w:pPr>
      <w:r>
        <w:t>与《关于进一步明确畜禽粪污还田利用要求强化养殖污染监管的通知》（农办牧﹝</w:t>
      </w:r>
      <w:r>
        <w:t>2020</w:t>
      </w:r>
      <w:r>
        <w:t>﹞</w:t>
      </w:r>
      <w:r>
        <w:t>23</w:t>
      </w:r>
      <w:r>
        <w:t>号）的符合性分析</w:t>
      </w:r>
    </w:p>
    <w:p w14:paraId="20CB2C6A" w14:textId="77777777" w:rsidR="00544649" w:rsidRDefault="00000000">
      <w:pPr>
        <w:pStyle w:val="af5"/>
        <w:widowControl/>
        <w:adjustRightInd w:val="0"/>
        <w:snapToGrid w:val="0"/>
        <w:spacing w:beforeAutospacing="0" w:after="0" w:afterAutospacing="0"/>
        <w:ind w:firstLine="480"/>
        <w:jc w:val="both"/>
        <w:rPr>
          <w:kern w:val="21"/>
          <w:szCs w:val="24"/>
          <w:lang w:bidi="ar"/>
        </w:rPr>
      </w:pPr>
      <w:r>
        <w:rPr>
          <w:rFonts w:hint="eastAsia"/>
          <w:kern w:val="21"/>
          <w:szCs w:val="24"/>
          <w:lang w:bidi="ar"/>
        </w:rPr>
        <w:t>本项目与</w:t>
      </w:r>
      <w:r>
        <w:rPr>
          <w:kern w:val="21"/>
          <w:szCs w:val="24"/>
          <w:lang w:bidi="ar"/>
        </w:rPr>
        <w:t>《关于进一步明确畜禽粪污还田利用要求强化养殖污染监管的通知》（农办牧﹝</w:t>
      </w:r>
      <w:r>
        <w:rPr>
          <w:kern w:val="21"/>
          <w:szCs w:val="24"/>
          <w:lang w:bidi="ar"/>
        </w:rPr>
        <w:t>2020</w:t>
      </w:r>
      <w:r>
        <w:rPr>
          <w:kern w:val="21"/>
          <w:szCs w:val="24"/>
          <w:lang w:bidi="ar"/>
        </w:rPr>
        <w:t>﹞</w:t>
      </w:r>
      <w:r>
        <w:rPr>
          <w:kern w:val="21"/>
          <w:szCs w:val="24"/>
          <w:lang w:bidi="ar"/>
        </w:rPr>
        <w:t>23</w:t>
      </w:r>
      <w:r>
        <w:rPr>
          <w:kern w:val="21"/>
          <w:szCs w:val="24"/>
          <w:lang w:bidi="ar"/>
        </w:rPr>
        <w:t>号）</w:t>
      </w:r>
      <w:r>
        <w:rPr>
          <w:rFonts w:hint="eastAsia"/>
          <w:kern w:val="21"/>
          <w:szCs w:val="24"/>
          <w:lang w:bidi="ar"/>
        </w:rPr>
        <w:t>的</w:t>
      </w:r>
      <w:r>
        <w:rPr>
          <w:kern w:val="21"/>
          <w:szCs w:val="24"/>
          <w:lang w:bidi="ar"/>
        </w:rPr>
        <w:t>符合性分析见下表。</w:t>
      </w:r>
    </w:p>
    <w:p w14:paraId="2D73A3AB" w14:textId="77777777" w:rsidR="00544649" w:rsidRDefault="00000000">
      <w:pPr>
        <w:widowControl/>
        <w:numPr>
          <w:ilvl w:val="0"/>
          <w:numId w:val="13"/>
        </w:numPr>
        <w:adjustRightInd w:val="0"/>
        <w:snapToGrid w:val="0"/>
        <w:spacing w:beforeLines="20" w:before="65" w:afterLines="20" w:after="65" w:line="240" w:lineRule="auto"/>
        <w:ind w:firstLineChars="0"/>
        <w:jc w:val="center"/>
        <w:rPr>
          <w:rFonts w:cs="Times New Roman"/>
          <w:b/>
          <w:bCs/>
          <w:kern w:val="21"/>
          <w:sz w:val="21"/>
          <w:szCs w:val="21"/>
        </w:rPr>
      </w:pPr>
      <w:r>
        <w:rPr>
          <w:rFonts w:cs="Times New Roman"/>
          <w:b/>
          <w:bCs/>
          <w:kern w:val="21"/>
          <w:sz w:val="21"/>
          <w:szCs w:val="21"/>
        </w:rPr>
        <w:t>本项目与农办牧﹝</w:t>
      </w:r>
      <w:r>
        <w:rPr>
          <w:rFonts w:cs="Times New Roman"/>
          <w:b/>
          <w:bCs/>
          <w:kern w:val="21"/>
          <w:sz w:val="21"/>
          <w:szCs w:val="21"/>
        </w:rPr>
        <w:t>2020</w:t>
      </w:r>
      <w:r>
        <w:rPr>
          <w:rFonts w:cs="Times New Roman"/>
          <w:b/>
          <w:bCs/>
          <w:kern w:val="21"/>
          <w:sz w:val="21"/>
          <w:szCs w:val="21"/>
        </w:rPr>
        <w:t>﹞</w:t>
      </w:r>
      <w:r>
        <w:rPr>
          <w:rFonts w:cs="Times New Roman"/>
          <w:b/>
          <w:bCs/>
          <w:kern w:val="21"/>
          <w:sz w:val="21"/>
          <w:szCs w:val="21"/>
        </w:rPr>
        <w:t>23</w:t>
      </w:r>
      <w:r>
        <w:rPr>
          <w:rFonts w:cs="Times New Roman"/>
          <w:b/>
          <w:bCs/>
          <w:kern w:val="21"/>
          <w:sz w:val="21"/>
          <w:szCs w:val="21"/>
        </w:rPr>
        <w:t>号的符合性分析</w:t>
      </w:r>
    </w:p>
    <w:tbl>
      <w:tblPr>
        <w:tblStyle w:val="afc"/>
        <w:tblW w:w="9056" w:type="dxa"/>
        <w:jc w:val="center"/>
        <w:tblLayout w:type="fixed"/>
        <w:tblLook w:val="04A0" w:firstRow="1" w:lastRow="0" w:firstColumn="1" w:lastColumn="0" w:noHBand="0" w:noVBand="1"/>
      </w:tblPr>
      <w:tblGrid>
        <w:gridCol w:w="5084"/>
        <w:gridCol w:w="3012"/>
        <w:gridCol w:w="960"/>
      </w:tblGrid>
      <w:tr w:rsidR="00544649" w14:paraId="35316C84" w14:textId="77777777">
        <w:trPr>
          <w:tblHeader/>
          <w:jc w:val="center"/>
        </w:trPr>
        <w:tc>
          <w:tcPr>
            <w:tcW w:w="5084" w:type="dxa"/>
            <w:vAlign w:val="center"/>
          </w:tcPr>
          <w:p w14:paraId="485AA3B3" w14:textId="77777777" w:rsidR="00544649" w:rsidRDefault="00000000">
            <w:pPr>
              <w:pStyle w:val="aff3"/>
              <w:spacing w:before="65" w:after="65"/>
              <w:rPr>
                <w:rFonts w:cs="Times New Roman"/>
                <w:b/>
                <w:bCs w:val="0"/>
                <w:kern w:val="21"/>
                <w:szCs w:val="21"/>
              </w:rPr>
            </w:pPr>
            <w:r>
              <w:rPr>
                <w:rFonts w:cs="Times New Roman"/>
                <w:b/>
                <w:bCs w:val="0"/>
                <w:kern w:val="21"/>
                <w:szCs w:val="21"/>
              </w:rPr>
              <w:t>文件要求</w:t>
            </w:r>
          </w:p>
        </w:tc>
        <w:tc>
          <w:tcPr>
            <w:tcW w:w="3012" w:type="dxa"/>
            <w:vAlign w:val="center"/>
          </w:tcPr>
          <w:p w14:paraId="5846D5EE" w14:textId="77777777" w:rsidR="00544649" w:rsidRDefault="00000000">
            <w:pPr>
              <w:pStyle w:val="aff3"/>
              <w:spacing w:before="65" w:after="65"/>
              <w:rPr>
                <w:rFonts w:cs="Times New Roman"/>
                <w:b/>
                <w:bCs w:val="0"/>
                <w:kern w:val="21"/>
                <w:szCs w:val="21"/>
              </w:rPr>
            </w:pPr>
            <w:r>
              <w:rPr>
                <w:rFonts w:cs="Times New Roman"/>
                <w:b/>
                <w:bCs w:val="0"/>
                <w:kern w:val="21"/>
                <w:szCs w:val="21"/>
              </w:rPr>
              <w:t>本项目情况</w:t>
            </w:r>
          </w:p>
        </w:tc>
        <w:tc>
          <w:tcPr>
            <w:tcW w:w="960" w:type="dxa"/>
            <w:vAlign w:val="center"/>
          </w:tcPr>
          <w:p w14:paraId="3089E560" w14:textId="77777777" w:rsidR="00544649" w:rsidRDefault="00000000">
            <w:pPr>
              <w:pStyle w:val="aff3"/>
              <w:spacing w:before="65" w:after="65"/>
              <w:rPr>
                <w:rFonts w:cs="Times New Roman"/>
                <w:b/>
                <w:bCs w:val="0"/>
                <w:kern w:val="21"/>
                <w:szCs w:val="21"/>
              </w:rPr>
            </w:pPr>
            <w:r>
              <w:rPr>
                <w:rFonts w:cs="Times New Roman"/>
                <w:b/>
                <w:bCs w:val="0"/>
                <w:kern w:val="21"/>
                <w:szCs w:val="21"/>
              </w:rPr>
              <w:t>符合性</w:t>
            </w:r>
          </w:p>
        </w:tc>
      </w:tr>
      <w:tr w:rsidR="00544649" w14:paraId="41260C32" w14:textId="77777777">
        <w:trPr>
          <w:trHeight w:val="90"/>
          <w:jc w:val="center"/>
        </w:trPr>
        <w:tc>
          <w:tcPr>
            <w:tcW w:w="5084" w:type="dxa"/>
            <w:vAlign w:val="center"/>
          </w:tcPr>
          <w:p w14:paraId="441CD939" w14:textId="77777777" w:rsidR="00544649" w:rsidRDefault="00000000">
            <w:pPr>
              <w:pStyle w:val="aff3"/>
              <w:spacing w:before="65" w:after="65"/>
              <w:rPr>
                <w:rFonts w:cs="Times New Roman"/>
                <w:kern w:val="21"/>
                <w:szCs w:val="21"/>
              </w:rPr>
            </w:pPr>
            <w:r>
              <w:rPr>
                <w:rFonts w:cs="Times New Roman" w:hint="eastAsia"/>
                <w:kern w:val="21"/>
                <w:szCs w:val="21"/>
              </w:rPr>
              <w:t>鼓励畜禽粪污还田利用。国家支持畜禽养殖户建设畜禽粪污无害化处理和资源化利用设施，鼓励采取粪肥还田，制取沼气、生产有机肥等方式进行资源化利用。</w:t>
            </w:r>
          </w:p>
        </w:tc>
        <w:tc>
          <w:tcPr>
            <w:tcW w:w="3012" w:type="dxa"/>
            <w:vMerge w:val="restart"/>
            <w:vAlign w:val="center"/>
          </w:tcPr>
          <w:p w14:paraId="21C62E4F" w14:textId="77777777" w:rsidR="00544649" w:rsidRDefault="00000000">
            <w:pPr>
              <w:pStyle w:val="aff3"/>
              <w:spacing w:before="65" w:after="65"/>
              <w:rPr>
                <w:rFonts w:cs="Times New Roman"/>
                <w:kern w:val="21"/>
                <w:szCs w:val="21"/>
              </w:rPr>
            </w:pPr>
            <w:r>
              <w:rPr>
                <w:rFonts w:cs="Times New Roman"/>
                <w:kern w:val="21"/>
                <w:szCs w:val="21"/>
              </w:rPr>
              <w:t>本项目鸡粪</w:t>
            </w:r>
            <w:r>
              <w:rPr>
                <w:rFonts w:cs="Times New Roman" w:hint="eastAsia"/>
                <w:kern w:val="21"/>
                <w:szCs w:val="21"/>
              </w:rPr>
              <w:t>每日清运至四川省田宝生物科技有限公司</w:t>
            </w:r>
            <w:r>
              <w:rPr>
                <w:rFonts w:cs="Times New Roman"/>
                <w:kern w:val="21"/>
                <w:szCs w:val="21"/>
              </w:rPr>
              <w:t>进行有机肥生产</w:t>
            </w:r>
            <w:r>
              <w:rPr>
                <w:rFonts w:cs="Times New Roman" w:hint="eastAsia"/>
                <w:kern w:val="21"/>
                <w:szCs w:val="21"/>
              </w:rPr>
              <w:t>，鸡粪不在厂内贮存</w:t>
            </w:r>
            <w:r>
              <w:rPr>
                <w:rFonts w:cs="Times New Roman"/>
                <w:kern w:val="21"/>
                <w:szCs w:val="21"/>
              </w:rPr>
              <w:t>。</w:t>
            </w:r>
            <w:r>
              <w:rPr>
                <w:rFonts w:cs="Times New Roman" w:hint="eastAsia"/>
                <w:kern w:val="21"/>
                <w:szCs w:val="21"/>
              </w:rPr>
              <w:t>本项目场内配套建设污水处理站及废水暂存池，</w:t>
            </w:r>
            <w:r>
              <w:rPr>
                <w:rFonts w:hint="eastAsia"/>
                <w:kern w:val="21"/>
              </w:rPr>
              <w:t>生活污水、养殖鸡舍清洗废水及蛋品清洗废水等，统一收集至本项目污水处理站，经处理达到《农田灌溉水质标准》（</w:t>
            </w:r>
            <w:r>
              <w:rPr>
                <w:rFonts w:hint="eastAsia"/>
                <w:kern w:val="21"/>
              </w:rPr>
              <w:t>GB5084-2021</w:t>
            </w:r>
            <w:r>
              <w:rPr>
                <w:rFonts w:hint="eastAsia"/>
                <w:kern w:val="21"/>
              </w:rPr>
              <w:t>）</w:t>
            </w:r>
            <w:proofErr w:type="gramStart"/>
            <w:r>
              <w:rPr>
                <w:rFonts w:hint="eastAsia"/>
                <w:kern w:val="21"/>
              </w:rPr>
              <w:t>中旱作</w:t>
            </w:r>
            <w:proofErr w:type="gramEnd"/>
            <w:r>
              <w:rPr>
                <w:rFonts w:hint="eastAsia"/>
                <w:kern w:val="21"/>
              </w:rPr>
              <w:t>标准后用于林地灌溉，</w:t>
            </w:r>
            <w:r>
              <w:rPr>
                <w:kern w:val="21"/>
              </w:rPr>
              <w:t>不外排</w:t>
            </w:r>
            <w:r>
              <w:rPr>
                <w:rFonts w:hint="eastAsia"/>
                <w:kern w:val="21"/>
              </w:rPr>
              <w:t>。配套土地面积满足要求。</w:t>
            </w:r>
          </w:p>
        </w:tc>
        <w:tc>
          <w:tcPr>
            <w:tcW w:w="960" w:type="dxa"/>
            <w:vAlign w:val="center"/>
          </w:tcPr>
          <w:p w14:paraId="4AEB54EE" w14:textId="77777777" w:rsidR="00544649" w:rsidRDefault="00000000">
            <w:pPr>
              <w:pStyle w:val="aff3"/>
              <w:spacing w:before="65" w:after="65"/>
              <w:rPr>
                <w:rFonts w:cs="Times New Roman"/>
                <w:kern w:val="21"/>
                <w:szCs w:val="21"/>
              </w:rPr>
            </w:pPr>
            <w:r>
              <w:rPr>
                <w:rFonts w:cs="Times New Roman"/>
                <w:kern w:val="21"/>
                <w:szCs w:val="21"/>
              </w:rPr>
              <w:t>符合</w:t>
            </w:r>
          </w:p>
        </w:tc>
      </w:tr>
      <w:tr w:rsidR="00544649" w14:paraId="5E86AF9E" w14:textId="77777777">
        <w:trPr>
          <w:trHeight w:val="90"/>
          <w:jc w:val="center"/>
        </w:trPr>
        <w:tc>
          <w:tcPr>
            <w:tcW w:w="5084" w:type="dxa"/>
            <w:vAlign w:val="center"/>
          </w:tcPr>
          <w:p w14:paraId="6BAEBCEB" w14:textId="77777777" w:rsidR="00544649" w:rsidRDefault="00000000">
            <w:pPr>
              <w:pStyle w:val="aff3"/>
              <w:spacing w:before="65" w:after="65"/>
              <w:rPr>
                <w:rFonts w:cs="Times New Roman"/>
                <w:kern w:val="21"/>
                <w:szCs w:val="21"/>
              </w:rPr>
            </w:pPr>
            <w:r>
              <w:rPr>
                <w:rFonts w:cs="Times New Roman"/>
                <w:kern w:val="21"/>
                <w:szCs w:val="21"/>
              </w:rPr>
              <w:t>落实养殖场户主体责任。养殖场户应当切实履行粪</w:t>
            </w:r>
            <w:proofErr w:type="gramStart"/>
            <w:r>
              <w:rPr>
                <w:rFonts w:cs="Times New Roman"/>
                <w:kern w:val="21"/>
                <w:szCs w:val="21"/>
              </w:rPr>
              <w:t>污利用</w:t>
            </w:r>
            <w:proofErr w:type="gramEnd"/>
            <w:r>
              <w:rPr>
                <w:rFonts w:cs="Times New Roman"/>
                <w:kern w:val="21"/>
                <w:szCs w:val="21"/>
              </w:rPr>
              <w:t>和污染防治主体责任，采取措施，对畜禽粪</w:t>
            </w:r>
            <w:proofErr w:type="gramStart"/>
            <w:r>
              <w:rPr>
                <w:rFonts w:cs="Times New Roman"/>
                <w:kern w:val="21"/>
                <w:szCs w:val="21"/>
              </w:rPr>
              <w:t>污进行</w:t>
            </w:r>
            <w:proofErr w:type="gramEnd"/>
            <w:r>
              <w:rPr>
                <w:rFonts w:cs="Times New Roman"/>
                <w:kern w:val="21"/>
                <w:szCs w:val="21"/>
              </w:rPr>
              <w:t>科学处理和资源化利用，防止污染环境。</w:t>
            </w:r>
          </w:p>
        </w:tc>
        <w:tc>
          <w:tcPr>
            <w:tcW w:w="3012" w:type="dxa"/>
            <w:vMerge/>
            <w:vAlign w:val="center"/>
          </w:tcPr>
          <w:p w14:paraId="29926CA6" w14:textId="77777777" w:rsidR="00544649" w:rsidRDefault="00544649">
            <w:pPr>
              <w:pStyle w:val="aff3"/>
              <w:spacing w:before="65" w:after="65"/>
              <w:rPr>
                <w:rFonts w:cs="Times New Roman"/>
                <w:kern w:val="21"/>
                <w:szCs w:val="21"/>
              </w:rPr>
            </w:pPr>
          </w:p>
        </w:tc>
        <w:tc>
          <w:tcPr>
            <w:tcW w:w="960" w:type="dxa"/>
            <w:vAlign w:val="center"/>
          </w:tcPr>
          <w:p w14:paraId="715ED7B8" w14:textId="77777777" w:rsidR="00544649" w:rsidRDefault="00000000">
            <w:pPr>
              <w:pStyle w:val="aff3"/>
              <w:spacing w:before="65" w:after="65"/>
              <w:rPr>
                <w:rFonts w:cs="Times New Roman"/>
                <w:kern w:val="21"/>
                <w:szCs w:val="21"/>
              </w:rPr>
            </w:pPr>
            <w:r>
              <w:rPr>
                <w:rFonts w:cs="Times New Roman"/>
                <w:kern w:val="21"/>
                <w:szCs w:val="21"/>
              </w:rPr>
              <w:t>符合</w:t>
            </w:r>
          </w:p>
        </w:tc>
      </w:tr>
      <w:tr w:rsidR="00544649" w14:paraId="6F06A4FB" w14:textId="77777777">
        <w:trPr>
          <w:trHeight w:val="90"/>
          <w:jc w:val="center"/>
        </w:trPr>
        <w:tc>
          <w:tcPr>
            <w:tcW w:w="5084" w:type="dxa"/>
            <w:vAlign w:val="center"/>
          </w:tcPr>
          <w:p w14:paraId="700C3150" w14:textId="77777777" w:rsidR="00544649" w:rsidRDefault="00000000">
            <w:pPr>
              <w:pStyle w:val="aff3"/>
              <w:spacing w:before="65" w:after="65"/>
              <w:rPr>
                <w:rFonts w:cs="Times New Roman"/>
                <w:kern w:val="21"/>
                <w:szCs w:val="21"/>
              </w:rPr>
            </w:pPr>
            <w:r>
              <w:rPr>
                <w:rFonts w:cs="Times New Roman"/>
                <w:kern w:val="21"/>
                <w:szCs w:val="21"/>
              </w:rPr>
              <w:t>强化粪污还田利用过程监管。养殖场户应依法配置粪污贮存设施，设施总容积不得低于当地农林作物生产用肥的最大间隔时间内产生粪污的总量，配套土地面积不得小于《指南》要求的最小面积</w:t>
            </w:r>
            <w:r>
              <w:rPr>
                <w:rFonts w:cs="Times New Roman" w:hint="eastAsia"/>
                <w:kern w:val="21"/>
                <w:szCs w:val="21"/>
              </w:rPr>
              <w:t>。</w:t>
            </w:r>
          </w:p>
        </w:tc>
        <w:tc>
          <w:tcPr>
            <w:tcW w:w="3012" w:type="dxa"/>
            <w:vMerge/>
            <w:vAlign w:val="center"/>
          </w:tcPr>
          <w:p w14:paraId="1ECCC001" w14:textId="77777777" w:rsidR="00544649" w:rsidRDefault="00544649">
            <w:pPr>
              <w:pStyle w:val="aff3"/>
              <w:spacing w:before="65" w:after="65"/>
              <w:rPr>
                <w:rFonts w:cs="Times New Roman"/>
                <w:kern w:val="21"/>
                <w:szCs w:val="21"/>
              </w:rPr>
            </w:pPr>
          </w:p>
        </w:tc>
        <w:tc>
          <w:tcPr>
            <w:tcW w:w="960" w:type="dxa"/>
            <w:vAlign w:val="center"/>
          </w:tcPr>
          <w:p w14:paraId="2FEE963E" w14:textId="77777777" w:rsidR="00544649" w:rsidRDefault="00000000">
            <w:pPr>
              <w:pStyle w:val="aff3"/>
              <w:spacing w:before="65" w:after="65"/>
              <w:rPr>
                <w:rFonts w:cs="Times New Roman"/>
                <w:kern w:val="21"/>
                <w:szCs w:val="21"/>
              </w:rPr>
            </w:pPr>
            <w:r>
              <w:rPr>
                <w:rFonts w:cs="Times New Roman"/>
                <w:kern w:val="21"/>
                <w:szCs w:val="21"/>
              </w:rPr>
              <w:t>符合</w:t>
            </w:r>
          </w:p>
        </w:tc>
      </w:tr>
    </w:tbl>
    <w:p w14:paraId="6CF436EE" w14:textId="77777777" w:rsidR="00544649" w:rsidRDefault="00000000">
      <w:pPr>
        <w:adjustRightInd w:val="0"/>
        <w:snapToGrid w:val="0"/>
        <w:spacing w:after="0"/>
        <w:ind w:firstLine="480"/>
        <w:rPr>
          <w:kern w:val="21"/>
        </w:rPr>
      </w:pPr>
      <w:r>
        <w:rPr>
          <w:rFonts w:hint="eastAsia"/>
          <w:kern w:val="21"/>
        </w:rPr>
        <w:t>综上所述</w:t>
      </w:r>
      <w:r>
        <w:rPr>
          <w:kern w:val="21"/>
        </w:rPr>
        <w:t>，</w:t>
      </w:r>
      <w:r>
        <w:rPr>
          <w:rFonts w:hint="eastAsia"/>
          <w:kern w:val="21"/>
        </w:rPr>
        <w:t>本</w:t>
      </w:r>
      <w:r>
        <w:rPr>
          <w:kern w:val="21"/>
        </w:rPr>
        <w:t>项目符合《关于进一步明确畜禽粪污还田利用要求强化养殖污染监</w:t>
      </w:r>
      <w:r>
        <w:rPr>
          <w:kern w:val="21"/>
        </w:rPr>
        <w:lastRenderedPageBreak/>
        <w:t>管的通知》（农办牧﹝</w:t>
      </w:r>
      <w:r>
        <w:rPr>
          <w:kern w:val="21"/>
        </w:rPr>
        <w:t>2020</w:t>
      </w:r>
      <w:r>
        <w:rPr>
          <w:kern w:val="21"/>
        </w:rPr>
        <w:t>﹞</w:t>
      </w:r>
      <w:r>
        <w:rPr>
          <w:kern w:val="21"/>
        </w:rPr>
        <w:t>23</w:t>
      </w:r>
      <w:r>
        <w:rPr>
          <w:kern w:val="21"/>
        </w:rPr>
        <w:t>号）</w:t>
      </w:r>
      <w:r>
        <w:rPr>
          <w:rFonts w:hint="eastAsia"/>
          <w:kern w:val="21"/>
        </w:rPr>
        <w:t>的</w:t>
      </w:r>
      <w:r>
        <w:rPr>
          <w:kern w:val="21"/>
        </w:rPr>
        <w:t>相关要求。</w:t>
      </w:r>
    </w:p>
    <w:p w14:paraId="6FEC2B24" w14:textId="77777777" w:rsidR="00544649" w:rsidRDefault="00000000">
      <w:pPr>
        <w:keepNext/>
        <w:keepLines/>
        <w:numPr>
          <w:ilvl w:val="3"/>
          <w:numId w:val="2"/>
        </w:numPr>
        <w:adjustRightInd w:val="0"/>
        <w:snapToGrid w:val="0"/>
        <w:spacing w:after="0"/>
        <w:ind w:firstLineChars="0"/>
        <w:outlineLvl w:val="3"/>
        <w:rPr>
          <w:rFonts w:ascii="宋体" w:hAnsi="宋体" w:cs="宋体" w:hint="eastAsia"/>
          <w:b/>
          <w:bCs/>
          <w:kern w:val="21"/>
          <w:szCs w:val="24"/>
        </w:rPr>
      </w:pPr>
      <w:r>
        <w:rPr>
          <w:rFonts w:ascii="宋体" w:hAnsi="宋体" w:cs="宋体" w:hint="eastAsia"/>
          <w:b/>
          <w:bCs/>
          <w:kern w:val="21"/>
          <w:szCs w:val="24"/>
        </w:rPr>
        <w:t>与《</w:t>
      </w:r>
      <w:r>
        <w:rPr>
          <w:rStyle w:val="afd"/>
          <w:rFonts w:ascii="宋体" w:hAnsi="宋体" w:cs="宋体" w:hint="eastAsia"/>
          <w:kern w:val="21"/>
          <w:szCs w:val="24"/>
          <w:shd w:val="clear" w:color="auto" w:fill="FFFFFF"/>
        </w:rPr>
        <w:t>动物防疫条件审查办法</w:t>
      </w:r>
      <w:r>
        <w:rPr>
          <w:rFonts w:ascii="宋体" w:hAnsi="宋体" w:cs="宋体" w:hint="eastAsia"/>
          <w:b/>
          <w:bCs/>
          <w:kern w:val="21"/>
          <w:szCs w:val="24"/>
        </w:rPr>
        <w:t>》</w:t>
      </w:r>
      <w:r>
        <w:rPr>
          <w:b/>
          <w:bCs/>
          <w:kern w:val="21"/>
        </w:rPr>
        <w:t>的符合性分析</w:t>
      </w:r>
    </w:p>
    <w:p w14:paraId="523FE675" w14:textId="77777777" w:rsidR="00544649" w:rsidRDefault="00000000">
      <w:pPr>
        <w:adjustRightInd w:val="0"/>
        <w:snapToGrid w:val="0"/>
        <w:spacing w:after="0"/>
        <w:ind w:firstLine="480"/>
        <w:rPr>
          <w:kern w:val="21"/>
        </w:rPr>
      </w:pPr>
      <w:r>
        <w:rPr>
          <w:rFonts w:hint="eastAsia"/>
          <w:kern w:val="21"/>
          <w:szCs w:val="24"/>
          <w:lang w:bidi="ar"/>
        </w:rPr>
        <w:t>本项目与</w:t>
      </w:r>
      <w:r>
        <w:rPr>
          <w:rFonts w:ascii="宋体" w:hAnsi="宋体" w:cs="宋体" w:hint="eastAsia"/>
          <w:kern w:val="21"/>
          <w:szCs w:val="24"/>
        </w:rPr>
        <w:t>《</w:t>
      </w:r>
      <w:r>
        <w:rPr>
          <w:rStyle w:val="afd"/>
          <w:rFonts w:ascii="宋体" w:hAnsi="宋体" w:cs="宋体" w:hint="eastAsia"/>
          <w:b w:val="0"/>
          <w:kern w:val="21"/>
          <w:szCs w:val="24"/>
          <w:shd w:val="clear" w:color="auto" w:fill="FFFFFF"/>
        </w:rPr>
        <w:t>动物防疫条件审查办法</w:t>
      </w:r>
      <w:r>
        <w:rPr>
          <w:rFonts w:ascii="宋体" w:hAnsi="宋体" w:cs="宋体" w:hint="eastAsia"/>
          <w:kern w:val="21"/>
          <w:szCs w:val="24"/>
        </w:rPr>
        <w:t>》</w:t>
      </w:r>
      <w:r>
        <w:rPr>
          <w:rFonts w:hint="eastAsia"/>
          <w:kern w:val="21"/>
          <w:szCs w:val="24"/>
          <w:lang w:bidi="ar"/>
        </w:rPr>
        <w:t>的</w:t>
      </w:r>
      <w:r>
        <w:rPr>
          <w:kern w:val="21"/>
          <w:szCs w:val="24"/>
          <w:lang w:bidi="ar"/>
        </w:rPr>
        <w:t>符合性分析见下表。</w:t>
      </w:r>
    </w:p>
    <w:p w14:paraId="7879035F" w14:textId="77777777" w:rsidR="00544649" w:rsidRDefault="00000000">
      <w:pPr>
        <w:widowControl/>
        <w:numPr>
          <w:ilvl w:val="0"/>
          <w:numId w:val="13"/>
        </w:numPr>
        <w:adjustRightInd w:val="0"/>
        <w:snapToGrid w:val="0"/>
        <w:spacing w:beforeLines="20" w:before="65" w:afterLines="20" w:after="65" w:line="240" w:lineRule="auto"/>
        <w:ind w:firstLineChars="0"/>
        <w:jc w:val="center"/>
        <w:rPr>
          <w:rFonts w:cs="Times New Roman"/>
          <w:b/>
          <w:bCs/>
          <w:kern w:val="21"/>
          <w:sz w:val="21"/>
          <w:szCs w:val="21"/>
        </w:rPr>
      </w:pPr>
      <w:r>
        <w:rPr>
          <w:rFonts w:cs="Times New Roman"/>
          <w:b/>
          <w:bCs/>
          <w:kern w:val="21"/>
          <w:sz w:val="21"/>
          <w:szCs w:val="21"/>
        </w:rPr>
        <w:t>与《</w:t>
      </w:r>
      <w:r>
        <w:rPr>
          <w:rStyle w:val="afd"/>
          <w:rFonts w:cs="Times New Roman"/>
          <w:bCs/>
          <w:kern w:val="21"/>
          <w:sz w:val="21"/>
          <w:szCs w:val="21"/>
          <w:shd w:val="clear" w:color="auto" w:fill="FFFFFF"/>
        </w:rPr>
        <w:t>动物防疫条件审查办法</w:t>
      </w:r>
      <w:r>
        <w:rPr>
          <w:rFonts w:cs="Times New Roman"/>
          <w:b/>
          <w:bCs/>
          <w:kern w:val="21"/>
          <w:sz w:val="21"/>
          <w:szCs w:val="21"/>
        </w:rPr>
        <w:t>》符合性分析</w:t>
      </w:r>
    </w:p>
    <w:tbl>
      <w:tblPr>
        <w:tblStyle w:val="afc"/>
        <w:tblW w:w="9055" w:type="dxa"/>
        <w:jc w:val="center"/>
        <w:tblLayout w:type="fixed"/>
        <w:tblLook w:val="04A0" w:firstRow="1" w:lastRow="0" w:firstColumn="1" w:lastColumn="0" w:noHBand="0" w:noVBand="1"/>
      </w:tblPr>
      <w:tblGrid>
        <w:gridCol w:w="493"/>
        <w:gridCol w:w="4111"/>
        <w:gridCol w:w="3600"/>
        <w:gridCol w:w="851"/>
      </w:tblGrid>
      <w:tr w:rsidR="00544649" w14:paraId="2E599E45" w14:textId="77777777">
        <w:trPr>
          <w:tblHeader/>
          <w:jc w:val="center"/>
        </w:trPr>
        <w:tc>
          <w:tcPr>
            <w:tcW w:w="4604" w:type="dxa"/>
            <w:gridSpan w:val="2"/>
            <w:vAlign w:val="center"/>
          </w:tcPr>
          <w:p w14:paraId="558350CA" w14:textId="77777777" w:rsidR="00544649" w:rsidRDefault="00000000">
            <w:pPr>
              <w:pStyle w:val="aff7"/>
              <w:adjustRightInd w:val="0"/>
              <w:snapToGrid w:val="0"/>
              <w:spacing w:before="65" w:after="65"/>
              <w:rPr>
                <w:rFonts w:cs="Times New Roman"/>
                <w:b/>
                <w:bCs/>
                <w:kern w:val="21"/>
                <w:szCs w:val="21"/>
              </w:rPr>
            </w:pPr>
            <w:r>
              <w:rPr>
                <w:rFonts w:cs="Times New Roman"/>
                <w:b/>
                <w:bCs/>
                <w:kern w:val="21"/>
                <w:szCs w:val="21"/>
              </w:rPr>
              <w:t>相关要求</w:t>
            </w:r>
          </w:p>
        </w:tc>
        <w:tc>
          <w:tcPr>
            <w:tcW w:w="3600" w:type="dxa"/>
            <w:vAlign w:val="center"/>
          </w:tcPr>
          <w:p w14:paraId="29BF4A33" w14:textId="77777777" w:rsidR="00544649" w:rsidRDefault="00000000">
            <w:pPr>
              <w:pStyle w:val="aff7"/>
              <w:adjustRightInd w:val="0"/>
              <w:snapToGrid w:val="0"/>
              <w:spacing w:before="65" w:after="65"/>
              <w:rPr>
                <w:rFonts w:cs="Times New Roman"/>
                <w:b/>
                <w:bCs/>
                <w:kern w:val="21"/>
                <w:szCs w:val="21"/>
              </w:rPr>
            </w:pPr>
            <w:r>
              <w:rPr>
                <w:rFonts w:cs="Times New Roman"/>
                <w:b/>
                <w:bCs/>
                <w:kern w:val="21"/>
                <w:szCs w:val="21"/>
              </w:rPr>
              <w:t>本项目情况</w:t>
            </w:r>
          </w:p>
        </w:tc>
        <w:tc>
          <w:tcPr>
            <w:tcW w:w="851" w:type="dxa"/>
            <w:vAlign w:val="center"/>
          </w:tcPr>
          <w:p w14:paraId="2A8E40D3" w14:textId="77777777" w:rsidR="00544649" w:rsidRDefault="00000000">
            <w:pPr>
              <w:pStyle w:val="aff7"/>
              <w:adjustRightInd w:val="0"/>
              <w:snapToGrid w:val="0"/>
              <w:spacing w:before="65" w:after="65"/>
              <w:rPr>
                <w:rFonts w:cs="Times New Roman"/>
                <w:b/>
                <w:bCs/>
                <w:kern w:val="21"/>
                <w:szCs w:val="21"/>
              </w:rPr>
            </w:pPr>
            <w:r>
              <w:rPr>
                <w:rFonts w:cs="Times New Roman"/>
                <w:b/>
                <w:bCs/>
                <w:kern w:val="21"/>
                <w:szCs w:val="21"/>
              </w:rPr>
              <w:t>符合性</w:t>
            </w:r>
          </w:p>
        </w:tc>
      </w:tr>
      <w:tr w:rsidR="00544649" w14:paraId="11BCD067" w14:textId="77777777">
        <w:trPr>
          <w:trHeight w:val="185"/>
          <w:jc w:val="center"/>
        </w:trPr>
        <w:tc>
          <w:tcPr>
            <w:tcW w:w="493" w:type="dxa"/>
            <w:vMerge w:val="restart"/>
            <w:vAlign w:val="center"/>
          </w:tcPr>
          <w:p w14:paraId="3F1978B6" w14:textId="77777777" w:rsidR="00544649" w:rsidRDefault="00000000">
            <w:pPr>
              <w:pStyle w:val="aff7"/>
              <w:adjustRightInd w:val="0"/>
              <w:snapToGrid w:val="0"/>
              <w:spacing w:before="65" w:after="65"/>
              <w:rPr>
                <w:rFonts w:cs="Times New Roman"/>
                <w:kern w:val="21"/>
                <w:szCs w:val="21"/>
                <w:shd w:val="clear" w:color="auto" w:fill="FFFFFF"/>
              </w:rPr>
            </w:pPr>
            <w:r>
              <w:rPr>
                <w:rFonts w:cs="Times New Roman"/>
                <w:kern w:val="21"/>
                <w:szCs w:val="21"/>
                <w:shd w:val="clear" w:color="auto" w:fill="FFFFFF"/>
              </w:rPr>
              <w:t>动物防疫条件</w:t>
            </w:r>
          </w:p>
        </w:tc>
        <w:tc>
          <w:tcPr>
            <w:tcW w:w="4111" w:type="dxa"/>
            <w:vAlign w:val="center"/>
          </w:tcPr>
          <w:p w14:paraId="4F38A812" w14:textId="77777777" w:rsidR="00544649" w:rsidRDefault="00000000">
            <w:pPr>
              <w:pStyle w:val="aff7"/>
              <w:adjustRightInd w:val="0"/>
              <w:snapToGrid w:val="0"/>
              <w:spacing w:before="65" w:after="65"/>
              <w:jc w:val="both"/>
              <w:rPr>
                <w:rFonts w:cs="Times New Roman"/>
                <w:kern w:val="21"/>
                <w:szCs w:val="21"/>
              </w:rPr>
            </w:pPr>
            <w:r>
              <w:rPr>
                <w:rFonts w:cs="Times New Roman"/>
                <w:kern w:val="21"/>
                <w:szCs w:val="21"/>
                <w:shd w:val="clear" w:color="auto" w:fill="FFFFFF"/>
              </w:rPr>
              <w:t>各场所之间，各场所与动物诊疗场所、居民生活区、生活饮用水水源地、学校、医院等公共场所之间保持必要的距离</w:t>
            </w:r>
            <w:r>
              <w:rPr>
                <w:rFonts w:cs="Times New Roman" w:hint="eastAsia"/>
                <w:kern w:val="21"/>
                <w:szCs w:val="21"/>
                <w:shd w:val="clear" w:color="auto" w:fill="FFFFFF"/>
              </w:rPr>
              <w:t>。</w:t>
            </w:r>
          </w:p>
        </w:tc>
        <w:tc>
          <w:tcPr>
            <w:tcW w:w="3600" w:type="dxa"/>
            <w:vAlign w:val="center"/>
          </w:tcPr>
          <w:p w14:paraId="4B949F18" w14:textId="77777777" w:rsidR="00544649" w:rsidRDefault="00000000">
            <w:pPr>
              <w:pStyle w:val="aff7"/>
              <w:adjustRightInd w:val="0"/>
              <w:snapToGrid w:val="0"/>
              <w:spacing w:before="65" w:after="65"/>
              <w:jc w:val="both"/>
              <w:rPr>
                <w:rFonts w:cs="Times New Roman"/>
                <w:kern w:val="21"/>
                <w:szCs w:val="21"/>
              </w:rPr>
            </w:pPr>
            <w:r>
              <w:rPr>
                <w:rFonts w:cs="Times New Roman"/>
                <w:kern w:val="21"/>
                <w:szCs w:val="21"/>
              </w:rPr>
              <w:t>本项目周边无其他养殖场，无</w:t>
            </w:r>
            <w:r>
              <w:rPr>
                <w:rFonts w:cs="Times New Roman"/>
                <w:kern w:val="21"/>
                <w:szCs w:val="21"/>
                <w:shd w:val="clear" w:color="auto" w:fill="FFFFFF"/>
              </w:rPr>
              <w:t>动物诊疗场所、生活饮用水水源地、学校、医院等公共场所</w:t>
            </w:r>
            <w:r>
              <w:rPr>
                <w:rFonts w:cs="Times New Roman" w:hint="eastAsia"/>
                <w:kern w:val="21"/>
                <w:szCs w:val="21"/>
                <w:shd w:val="clear" w:color="auto" w:fill="FFFFFF"/>
              </w:rPr>
              <w:t>，本项目卫生防护距离内有</w:t>
            </w:r>
            <w:r>
              <w:rPr>
                <w:rFonts w:cs="Times New Roman" w:hint="eastAsia"/>
                <w:kern w:val="21"/>
                <w:szCs w:val="21"/>
                <w:shd w:val="clear" w:color="auto" w:fill="FFFFFF"/>
              </w:rPr>
              <w:t>1</w:t>
            </w:r>
            <w:r>
              <w:rPr>
                <w:rFonts w:cs="Times New Roman" w:hint="eastAsia"/>
                <w:kern w:val="21"/>
                <w:szCs w:val="21"/>
                <w:shd w:val="clear" w:color="auto" w:fill="FFFFFF"/>
              </w:rPr>
              <w:t>户居民，位于项目蛋鸡场西侧</w:t>
            </w:r>
            <w:r>
              <w:rPr>
                <w:rFonts w:cs="Times New Roman" w:hint="eastAsia"/>
                <w:kern w:val="21"/>
                <w:szCs w:val="21"/>
                <w:shd w:val="clear" w:color="auto" w:fill="FFFFFF"/>
              </w:rPr>
              <w:t>125m</w:t>
            </w:r>
            <w:r>
              <w:rPr>
                <w:rFonts w:cs="Times New Roman" w:hint="eastAsia"/>
                <w:kern w:val="21"/>
                <w:szCs w:val="21"/>
                <w:shd w:val="clear" w:color="auto" w:fill="FFFFFF"/>
              </w:rPr>
              <w:t>处，与本项目生产场所距离较远，且项目周边设置有绿化带隔离。</w:t>
            </w:r>
          </w:p>
        </w:tc>
        <w:tc>
          <w:tcPr>
            <w:tcW w:w="851" w:type="dxa"/>
            <w:vAlign w:val="center"/>
          </w:tcPr>
          <w:p w14:paraId="1FA82C6B" w14:textId="77777777" w:rsidR="00544649" w:rsidRDefault="00000000">
            <w:pPr>
              <w:pStyle w:val="aff7"/>
              <w:adjustRightInd w:val="0"/>
              <w:snapToGrid w:val="0"/>
              <w:spacing w:before="65" w:after="65"/>
              <w:rPr>
                <w:rFonts w:cs="Times New Roman"/>
                <w:kern w:val="21"/>
                <w:szCs w:val="21"/>
              </w:rPr>
            </w:pPr>
            <w:r>
              <w:rPr>
                <w:rFonts w:cs="Times New Roman"/>
                <w:kern w:val="21"/>
                <w:szCs w:val="21"/>
              </w:rPr>
              <w:t>符合</w:t>
            </w:r>
          </w:p>
        </w:tc>
      </w:tr>
      <w:tr w:rsidR="00544649" w14:paraId="0E2BE05F" w14:textId="77777777">
        <w:trPr>
          <w:trHeight w:val="275"/>
          <w:jc w:val="center"/>
        </w:trPr>
        <w:tc>
          <w:tcPr>
            <w:tcW w:w="493" w:type="dxa"/>
            <w:vMerge/>
            <w:vAlign w:val="center"/>
          </w:tcPr>
          <w:p w14:paraId="1393B67E" w14:textId="77777777" w:rsidR="00544649" w:rsidRDefault="00544649">
            <w:pPr>
              <w:pStyle w:val="aff7"/>
              <w:adjustRightInd w:val="0"/>
              <w:snapToGrid w:val="0"/>
              <w:spacing w:before="65" w:after="65"/>
              <w:rPr>
                <w:rFonts w:cs="Times New Roman"/>
                <w:kern w:val="21"/>
                <w:szCs w:val="21"/>
              </w:rPr>
            </w:pPr>
          </w:p>
        </w:tc>
        <w:tc>
          <w:tcPr>
            <w:tcW w:w="4111" w:type="dxa"/>
            <w:vAlign w:val="center"/>
          </w:tcPr>
          <w:p w14:paraId="24CCC6A8" w14:textId="77777777" w:rsidR="00544649" w:rsidRDefault="00000000">
            <w:pPr>
              <w:pStyle w:val="aff7"/>
              <w:adjustRightInd w:val="0"/>
              <w:snapToGrid w:val="0"/>
              <w:spacing w:before="65" w:after="65"/>
              <w:jc w:val="both"/>
              <w:rPr>
                <w:rFonts w:cs="Times New Roman"/>
                <w:kern w:val="21"/>
                <w:szCs w:val="21"/>
              </w:rPr>
            </w:pPr>
            <w:r>
              <w:rPr>
                <w:rFonts w:cs="Times New Roman"/>
                <w:kern w:val="21"/>
                <w:szCs w:val="21"/>
                <w:shd w:val="clear" w:color="auto" w:fill="FFFFFF"/>
              </w:rPr>
              <w:t>场区周围建有围墙等隔离设施；场区出入口处设置运输车辆消毒通道或者消毒池，并单独设置人员消毒通道；生产经营区与生活办公区分开，并有隔离设施；生产经营区入口处设置人员更衣消毒室</w:t>
            </w:r>
            <w:r>
              <w:rPr>
                <w:rFonts w:cs="Times New Roman" w:hint="eastAsia"/>
                <w:kern w:val="21"/>
                <w:szCs w:val="21"/>
                <w:shd w:val="clear" w:color="auto" w:fill="FFFFFF"/>
              </w:rPr>
              <w:t>。</w:t>
            </w:r>
          </w:p>
        </w:tc>
        <w:tc>
          <w:tcPr>
            <w:tcW w:w="3600" w:type="dxa"/>
            <w:vAlign w:val="center"/>
          </w:tcPr>
          <w:p w14:paraId="5EEDEE6D" w14:textId="77777777" w:rsidR="00544649" w:rsidRDefault="00000000">
            <w:pPr>
              <w:pStyle w:val="aff7"/>
              <w:adjustRightInd w:val="0"/>
              <w:snapToGrid w:val="0"/>
              <w:spacing w:before="65" w:after="65"/>
              <w:jc w:val="both"/>
              <w:rPr>
                <w:rFonts w:cs="Times New Roman"/>
                <w:kern w:val="21"/>
                <w:szCs w:val="21"/>
              </w:rPr>
            </w:pPr>
            <w:r>
              <w:rPr>
                <w:rFonts w:cs="Times New Roman"/>
                <w:kern w:val="21"/>
                <w:szCs w:val="21"/>
              </w:rPr>
              <w:t>本项目场区周围设置围墙等隔离设施，场区出入口设置消毒通道；生产与生活办公区分开，并设置绿化带隔离；生产区入口处设置</w:t>
            </w:r>
            <w:r>
              <w:rPr>
                <w:rFonts w:cs="Times New Roman"/>
                <w:kern w:val="21"/>
                <w:szCs w:val="21"/>
                <w:shd w:val="clear" w:color="auto" w:fill="FFFFFF"/>
              </w:rPr>
              <w:t>人员更衣消毒室。</w:t>
            </w:r>
          </w:p>
        </w:tc>
        <w:tc>
          <w:tcPr>
            <w:tcW w:w="851" w:type="dxa"/>
            <w:vAlign w:val="center"/>
          </w:tcPr>
          <w:p w14:paraId="68E0ABCE" w14:textId="77777777" w:rsidR="00544649" w:rsidRDefault="00000000">
            <w:pPr>
              <w:pStyle w:val="aff7"/>
              <w:adjustRightInd w:val="0"/>
              <w:snapToGrid w:val="0"/>
              <w:spacing w:before="65" w:after="65"/>
              <w:rPr>
                <w:rFonts w:cs="Times New Roman"/>
                <w:kern w:val="21"/>
                <w:szCs w:val="21"/>
              </w:rPr>
            </w:pPr>
            <w:r>
              <w:rPr>
                <w:rFonts w:cs="Times New Roman"/>
                <w:kern w:val="21"/>
                <w:szCs w:val="21"/>
              </w:rPr>
              <w:t>符合</w:t>
            </w:r>
          </w:p>
        </w:tc>
      </w:tr>
      <w:tr w:rsidR="00544649" w14:paraId="0141FD51" w14:textId="77777777">
        <w:trPr>
          <w:trHeight w:val="90"/>
          <w:jc w:val="center"/>
        </w:trPr>
        <w:tc>
          <w:tcPr>
            <w:tcW w:w="493" w:type="dxa"/>
            <w:vMerge/>
            <w:vAlign w:val="center"/>
          </w:tcPr>
          <w:p w14:paraId="444B4A85" w14:textId="77777777" w:rsidR="00544649" w:rsidRDefault="00544649">
            <w:pPr>
              <w:pStyle w:val="aff7"/>
              <w:adjustRightInd w:val="0"/>
              <w:snapToGrid w:val="0"/>
              <w:spacing w:before="65" w:after="65"/>
              <w:rPr>
                <w:rFonts w:cs="Times New Roman"/>
                <w:kern w:val="21"/>
                <w:szCs w:val="21"/>
              </w:rPr>
            </w:pPr>
          </w:p>
        </w:tc>
        <w:tc>
          <w:tcPr>
            <w:tcW w:w="4111" w:type="dxa"/>
            <w:vAlign w:val="center"/>
          </w:tcPr>
          <w:p w14:paraId="17769807" w14:textId="77777777" w:rsidR="00544649" w:rsidRDefault="00000000">
            <w:pPr>
              <w:pStyle w:val="aff7"/>
              <w:adjustRightInd w:val="0"/>
              <w:snapToGrid w:val="0"/>
              <w:spacing w:before="65" w:after="65"/>
              <w:jc w:val="both"/>
              <w:rPr>
                <w:rFonts w:cs="Times New Roman"/>
                <w:kern w:val="21"/>
                <w:szCs w:val="21"/>
              </w:rPr>
            </w:pPr>
            <w:r>
              <w:rPr>
                <w:rFonts w:cs="Times New Roman"/>
                <w:kern w:val="21"/>
                <w:szCs w:val="21"/>
                <w:shd w:val="clear" w:color="auto" w:fill="FFFFFF"/>
              </w:rPr>
              <w:t>配备与其生产经营规模相适应的执业兽医或者动物防疫技术人员</w:t>
            </w:r>
            <w:r>
              <w:rPr>
                <w:rFonts w:cs="Times New Roman" w:hint="eastAsia"/>
                <w:kern w:val="21"/>
                <w:szCs w:val="21"/>
                <w:shd w:val="clear" w:color="auto" w:fill="FFFFFF"/>
              </w:rPr>
              <w:t>。</w:t>
            </w:r>
          </w:p>
        </w:tc>
        <w:tc>
          <w:tcPr>
            <w:tcW w:w="3600" w:type="dxa"/>
            <w:vAlign w:val="center"/>
          </w:tcPr>
          <w:p w14:paraId="3BB2F180" w14:textId="77777777" w:rsidR="00544649" w:rsidRDefault="00000000">
            <w:pPr>
              <w:pStyle w:val="aff7"/>
              <w:adjustRightInd w:val="0"/>
              <w:snapToGrid w:val="0"/>
              <w:spacing w:before="65" w:after="65"/>
              <w:jc w:val="both"/>
              <w:rPr>
                <w:rFonts w:cs="Times New Roman"/>
                <w:kern w:val="21"/>
                <w:szCs w:val="21"/>
              </w:rPr>
            </w:pPr>
            <w:r>
              <w:rPr>
                <w:rFonts w:cs="Times New Roman" w:hint="eastAsia"/>
                <w:kern w:val="21"/>
                <w:szCs w:val="21"/>
              </w:rPr>
              <w:t>根据建设单位劳动定员配置，</w:t>
            </w:r>
            <w:r>
              <w:rPr>
                <w:rFonts w:cs="Times New Roman"/>
                <w:kern w:val="21"/>
                <w:szCs w:val="21"/>
              </w:rPr>
              <w:t>本项目</w:t>
            </w:r>
            <w:r>
              <w:rPr>
                <w:rFonts w:cs="Times New Roman" w:hint="eastAsia"/>
                <w:kern w:val="21"/>
                <w:szCs w:val="21"/>
              </w:rPr>
              <w:t>运营期</w:t>
            </w:r>
            <w:r>
              <w:rPr>
                <w:rFonts w:cs="Times New Roman"/>
                <w:kern w:val="21"/>
                <w:szCs w:val="21"/>
              </w:rPr>
              <w:t>场内</w:t>
            </w:r>
            <w:r>
              <w:rPr>
                <w:rFonts w:cs="Times New Roman" w:hint="eastAsia"/>
                <w:kern w:val="21"/>
                <w:szCs w:val="21"/>
              </w:rPr>
              <w:t>将</w:t>
            </w:r>
            <w:r>
              <w:rPr>
                <w:rFonts w:cs="Times New Roman"/>
                <w:kern w:val="21"/>
                <w:szCs w:val="21"/>
              </w:rPr>
              <w:t>配备</w:t>
            </w:r>
            <w:r>
              <w:rPr>
                <w:rFonts w:cs="Times New Roman" w:hint="eastAsia"/>
                <w:kern w:val="21"/>
                <w:szCs w:val="21"/>
              </w:rPr>
              <w:t>具有执业兽医资格证的</w:t>
            </w:r>
            <w:r>
              <w:rPr>
                <w:rFonts w:cs="Times New Roman"/>
                <w:kern w:val="21"/>
                <w:szCs w:val="21"/>
                <w:shd w:val="clear" w:color="auto" w:fill="FFFFFF"/>
              </w:rPr>
              <w:t>技术人员</w:t>
            </w:r>
            <w:r>
              <w:rPr>
                <w:rFonts w:cs="Times New Roman" w:hint="eastAsia"/>
                <w:kern w:val="21"/>
                <w:szCs w:val="21"/>
                <w:shd w:val="clear" w:color="auto" w:fill="FFFFFF"/>
              </w:rPr>
              <w:t>。</w:t>
            </w:r>
          </w:p>
        </w:tc>
        <w:tc>
          <w:tcPr>
            <w:tcW w:w="851" w:type="dxa"/>
            <w:vAlign w:val="center"/>
          </w:tcPr>
          <w:p w14:paraId="5AE794BD" w14:textId="77777777" w:rsidR="00544649" w:rsidRDefault="00000000">
            <w:pPr>
              <w:pStyle w:val="aff7"/>
              <w:adjustRightInd w:val="0"/>
              <w:snapToGrid w:val="0"/>
              <w:spacing w:before="65" w:after="65"/>
              <w:rPr>
                <w:rFonts w:cs="Times New Roman"/>
                <w:kern w:val="21"/>
                <w:szCs w:val="21"/>
              </w:rPr>
            </w:pPr>
            <w:r>
              <w:rPr>
                <w:rFonts w:cs="Times New Roman"/>
                <w:kern w:val="21"/>
                <w:szCs w:val="21"/>
              </w:rPr>
              <w:t>符合</w:t>
            </w:r>
          </w:p>
        </w:tc>
      </w:tr>
      <w:tr w:rsidR="00544649" w14:paraId="2F6995C7" w14:textId="77777777">
        <w:trPr>
          <w:jc w:val="center"/>
        </w:trPr>
        <w:tc>
          <w:tcPr>
            <w:tcW w:w="493" w:type="dxa"/>
            <w:vMerge/>
            <w:vAlign w:val="center"/>
          </w:tcPr>
          <w:p w14:paraId="5B9FBA0E" w14:textId="77777777" w:rsidR="00544649" w:rsidRDefault="00544649">
            <w:pPr>
              <w:pStyle w:val="aff7"/>
              <w:adjustRightInd w:val="0"/>
              <w:snapToGrid w:val="0"/>
              <w:spacing w:before="65" w:after="65"/>
              <w:rPr>
                <w:rFonts w:cs="Times New Roman"/>
                <w:kern w:val="21"/>
                <w:szCs w:val="21"/>
              </w:rPr>
            </w:pPr>
          </w:p>
        </w:tc>
        <w:tc>
          <w:tcPr>
            <w:tcW w:w="4111" w:type="dxa"/>
            <w:vAlign w:val="center"/>
          </w:tcPr>
          <w:p w14:paraId="19B19CAE" w14:textId="77777777" w:rsidR="00544649" w:rsidRDefault="00000000">
            <w:pPr>
              <w:pStyle w:val="aff7"/>
              <w:adjustRightInd w:val="0"/>
              <w:snapToGrid w:val="0"/>
              <w:spacing w:before="65" w:after="65"/>
              <w:jc w:val="both"/>
              <w:rPr>
                <w:rFonts w:cs="Times New Roman"/>
                <w:kern w:val="21"/>
                <w:szCs w:val="21"/>
              </w:rPr>
            </w:pPr>
            <w:r>
              <w:rPr>
                <w:rFonts w:cs="Times New Roman"/>
                <w:kern w:val="21"/>
                <w:szCs w:val="21"/>
                <w:shd w:val="clear" w:color="auto" w:fill="FFFFFF"/>
              </w:rPr>
              <w:t>配备与其生产经营规模相适应的污水、污物处理设施，清洗消毒设施设备，以及必要的防鼠、防鸟、防虫设施设备</w:t>
            </w:r>
            <w:r>
              <w:rPr>
                <w:rFonts w:cs="Times New Roman" w:hint="eastAsia"/>
                <w:kern w:val="21"/>
                <w:szCs w:val="21"/>
                <w:shd w:val="clear" w:color="auto" w:fill="FFFFFF"/>
              </w:rPr>
              <w:t>。</w:t>
            </w:r>
          </w:p>
        </w:tc>
        <w:tc>
          <w:tcPr>
            <w:tcW w:w="3600" w:type="dxa"/>
            <w:vAlign w:val="center"/>
          </w:tcPr>
          <w:p w14:paraId="4DD48C3D" w14:textId="77777777" w:rsidR="00544649" w:rsidRDefault="00000000">
            <w:pPr>
              <w:pStyle w:val="aff7"/>
              <w:adjustRightInd w:val="0"/>
              <w:snapToGrid w:val="0"/>
              <w:spacing w:before="65" w:after="65"/>
              <w:jc w:val="both"/>
              <w:rPr>
                <w:rFonts w:cs="Times New Roman"/>
                <w:kern w:val="21"/>
                <w:szCs w:val="21"/>
              </w:rPr>
            </w:pPr>
            <w:r>
              <w:rPr>
                <w:rFonts w:cs="Times New Roman"/>
                <w:kern w:val="21"/>
                <w:szCs w:val="21"/>
              </w:rPr>
              <w:t>本项目</w:t>
            </w:r>
            <w:proofErr w:type="gramStart"/>
            <w:r>
              <w:rPr>
                <w:rFonts w:cs="Times New Roman" w:hint="eastAsia"/>
                <w:kern w:val="21"/>
                <w:szCs w:val="21"/>
              </w:rPr>
              <w:t>育雏场</w:t>
            </w:r>
            <w:proofErr w:type="gramEnd"/>
            <w:r>
              <w:rPr>
                <w:rFonts w:cs="Times New Roman" w:hint="eastAsia"/>
                <w:kern w:val="21"/>
                <w:szCs w:val="21"/>
              </w:rPr>
              <w:t>及蛋鸡</w:t>
            </w:r>
            <w:r>
              <w:rPr>
                <w:rFonts w:cs="Times New Roman"/>
                <w:kern w:val="21"/>
                <w:szCs w:val="21"/>
              </w:rPr>
              <w:t>场内</w:t>
            </w:r>
            <w:r>
              <w:rPr>
                <w:rFonts w:cs="Times New Roman" w:hint="eastAsia"/>
                <w:kern w:val="21"/>
                <w:szCs w:val="21"/>
              </w:rPr>
              <w:t>分别</w:t>
            </w:r>
            <w:r>
              <w:rPr>
                <w:rFonts w:cs="Times New Roman"/>
                <w:kern w:val="21"/>
                <w:szCs w:val="21"/>
              </w:rPr>
              <w:t>配备</w:t>
            </w:r>
            <w:r>
              <w:rPr>
                <w:rFonts w:cs="Times New Roman" w:hint="eastAsia"/>
                <w:kern w:val="21"/>
                <w:szCs w:val="21"/>
              </w:rPr>
              <w:t>污水处理站一座（</w:t>
            </w:r>
            <w:proofErr w:type="gramStart"/>
            <w:r>
              <w:rPr>
                <w:rFonts w:cs="Times New Roman" w:hint="eastAsia"/>
                <w:kern w:val="21"/>
                <w:szCs w:val="21"/>
              </w:rPr>
              <w:t>育雏场</w:t>
            </w:r>
            <w:proofErr w:type="gramEnd"/>
            <w:r>
              <w:rPr>
                <w:rFonts w:cs="Times New Roman" w:hint="eastAsia"/>
                <w:kern w:val="21"/>
                <w:szCs w:val="21"/>
              </w:rPr>
              <w:t>污水处理能力为</w:t>
            </w:r>
            <w:r>
              <w:rPr>
                <w:rFonts w:cs="Times New Roman" w:hint="eastAsia"/>
                <w:kern w:val="21"/>
                <w:szCs w:val="21"/>
              </w:rPr>
              <w:t>5m</w:t>
            </w:r>
            <w:r>
              <w:rPr>
                <w:rFonts w:cs="Times New Roman" w:hint="eastAsia"/>
                <w:kern w:val="21"/>
                <w:szCs w:val="21"/>
                <w:vertAlign w:val="superscript"/>
              </w:rPr>
              <w:t>3</w:t>
            </w:r>
            <w:r>
              <w:rPr>
                <w:rFonts w:cs="Times New Roman" w:hint="eastAsia"/>
                <w:kern w:val="21"/>
                <w:szCs w:val="21"/>
              </w:rPr>
              <w:t>/d</w:t>
            </w:r>
            <w:r>
              <w:rPr>
                <w:rFonts w:cs="Times New Roman" w:hint="eastAsia"/>
                <w:kern w:val="21"/>
                <w:szCs w:val="21"/>
              </w:rPr>
              <w:t>，蛋鸡场污水处理能力为</w:t>
            </w:r>
            <w:r>
              <w:rPr>
                <w:rFonts w:cs="Times New Roman" w:hint="eastAsia"/>
                <w:kern w:val="21"/>
                <w:szCs w:val="21"/>
              </w:rPr>
              <w:t>15m</w:t>
            </w:r>
            <w:r>
              <w:rPr>
                <w:rFonts w:cs="Times New Roman" w:hint="eastAsia"/>
                <w:kern w:val="21"/>
                <w:szCs w:val="21"/>
                <w:vertAlign w:val="superscript"/>
              </w:rPr>
              <w:t>3</w:t>
            </w:r>
            <w:r>
              <w:rPr>
                <w:rFonts w:cs="Times New Roman" w:hint="eastAsia"/>
                <w:kern w:val="21"/>
                <w:szCs w:val="21"/>
              </w:rPr>
              <w:t>/d</w:t>
            </w:r>
            <w:r>
              <w:rPr>
                <w:rFonts w:cs="Times New Roman" w:hint="eastAsia"/>
                <w:kern w:val="21"/>
                <w:szCs w:val="21"/>
              </w:rPr>
              <w:t>）</w:t>
            </w:r>
            <w:r>
              <w:rPr>
                <w:rFonts w:cs="Times New Roman"/>
                <w:kern w:val="21"/>
                <w:szCs w:val="21"/>
              </w:rPr>
              <w:t>、清洗消毒设施设备及</w:t>
            </w:r>
            <w:r>
              <w:rPr>
                <w:rFonts w:cs="Times New Roman"/>
                <w:kern w:val="21"/>
                <w:szCs w:val="21"/>
                <w:shd w:val="clear" w:color="auto" w:fill="FFFFFF"/>
              </w:rPr>
              <w:t>必要的防鼠、防鸟、防虫设施设备。</w:t>
            </w:r>
          </w:p>
        </w:tc>
        <w:tc>
          <w:tcPr>
            <w:tcW w:w="851" w:type="dxa"/>
            <w:vAlign w:val="center"/>
          </w:tcPr>
          <w:p w14:paraId="6E14CF82" w14:textId="77777777" w:rsidR="00544649" w:rsidRDefault="00000000">
            <w:pPr>
              <w:pStyle w:val="aff7"/>
              <w:adjustRightInd w:val="0"/>
              <w:snapToGrid w:val="0"/>
              <w:spacing w:before="65" w:after="65"/>
              <w:rPr>
                <w:rFonts w:cs="Times New Roman"/>
                <w:kern w:val="21"/>
                <w:szCs w:val="21"/>
              </w:rPr>
            </w:pPr>
            <w:r>
              <w:rPr>
                <w:rFonts w:cs="Times New Roman"/>
                <w:kern w:val="21"/>
                <w:szCs w:val="21"/>
              </w:rPr>
              <w:t>符合</w:t>
            </w:r>
          </w:p>
        </w:tc>
      </w:tr>
      <w:tr w:rsidR="00544649" w14:paraId="5E9E2778" w14:textId="77777777">
        <w:trPr>
          <w:trHeight w:val="90"/>
          <w:jc w:val="center"/>
        </w:trPr>
        <w:tc>
          <w:tcPr>
            <w:tcW w:w="493" w:type="dxa"/>
            <w:vMerge/>
            <w:vAlign w:val="center"/>
          </w:tcPr>
          <w:p w14:paraId="00A3CE56" w14:textId="77777777" w:rsidR="00544649" w:rsidRDefault="00544649">
            <w:pPr>
              <w:pStyle w:val="aff7"/>
              <w:adjustRightInd w:val="0"/>
              <w:snapToGrid w:val="0"/>
              <w:spacing w:before="65" w:after="65"/>
              <w:rPr>
                <w:rFonts w:cs="Times New Roman"/>
                <w:kern w:val="21"/>
                <w:szCs w:val="21"/>
              </w:rPr>
            </w:pPr>
          </w:p>
        </w:tc>
        <w:tc>
          <w:tcPr>
            <w:tcW w:w="4111" w:type="dxa"/>
            <w:vAlign w:val="center"/>
          </w:tcPr>
          <w:p w14:paraId="272F60F5" w14:textId="77777777" w:rsidR="00544649" w:rsidRDefault="00000000">
            <w:pPr>
              <w:pStyle w:val="aff7"/>
              <w:adjustRightInd w:val="0"/>
              <w:snapToGrid w:val="0"/>
              <w:spacing w:before="65" w:after="65"/>
              <w:jc w:val="both"/>
              <w:rPr>
                <w:rFonts w:cs="Times New Roman"/>
                <w:kern w:val="21"/>
                <w:szCs w:val="21"/>
              </w:rPr>
            </w:pPr>
            <w:r>
              <w:rPr>
                <w:rFonts w:cs="Times New Roman"/>
                <w:kern w:val="21"/>
                <w:szCs w:val="21"/>
                <w:shd w:val="clear" w:color="auto" w:fill="FFFFFF"/>
              </w:rPr>
              <w:t>建立隔离消毒、</w:t>
            </w:r>
            <w:proofErr w:type="gramStart"/>
            <w:r>
              <w:rPr>
                <w:rFonts w:cs="Times New Roman"/>
                <w:kern w:val="21"/>
                <w:szCs w:val="21"/>
                <w:shd w:val="clear" w:color="auto" w:fill="FFFFFF"/>
              </w:rPr>
              <w:t>购销台</w:t>
            </w:r>
            <w:proofErr w:type="gramEnd"/>
            <w:r>
              <w:rPr>
                <w:rFonts w:cs="Times New Roman"/>
                <w:kern w:val="21"/>
                <w:szCs w:val="21"/>
                <w:shd w:val="clear" w:color="auto" w:fill="FFFFFF"/>
              </w:rPr>
              <w:t>账、日常巡查等动物防疫制度</w:t>
            </w:r>
            <w:r>
              <w:rPr>
                <w:rFonts w:cs="Times New Roman" w:hint="eastAsia"/>
                <w:kern w:val="21"/>
                <w:szCs w:val="21"/>
                <w:shd w:val="clear" w:color="auto" w:fill="FFFFFF"/>
              </w:rPr>
              <w:t>。</w:t>
            </w:r>
          </w:p>
        </w:tc>
        <w:tc>
          <w:tcPr>
            <w:tcW w:w="3600" w:type="dxa"/>
            <w:vAlign w:val="center"/>
          </w:tcPr>
          <w:p w14:paraId="5FA754D2" w14:textId="77777777" w:rsidR="00544649" w:rsidRDefault="00000000">
            <w:pPr>
              <w:pStyle w:val="aff7"/>
              <w:adjustRightInd w:val="0"/>
              <w:snapToGrid w:val="0"/>
              <w:spacing w:before="65" w:after="65"/>
              <w:jc w:val="both"/>
              <w:rPr>
                <w:rFonts w:cs="Times New Roman"/>
                <w:kern w:val="21"/>
                <w:szCs w:val="21"/>
              </w:rPr>
            </w:pPr>
            <w:r>
              <w:rPr>
                <w:rFonts w:cs="Times New Roman"/>
                <w:kern w:val="21"/>
                <w:szCs w:val="21"/>
              </w:rPr>
              <w:t>本次评价要求建设单位</w:t>
            </w:r>
            <w:r>
              <w:rPr>
                <w:rFonts w:cs="Times New Roman"/>
                <w:kern w:val="21"/>
                <w:szCs w:val="21"/>
                <w:shd w:val="clear" w:color="auto" w:fill="FFFFFF"/>
              </w:rPr>
              <w:t>建立隔离消毒、</w:t>
            </w:r>
            <w:proofErr w:type="gramStart"/>
            <w:r>
              <w:rPr>
                <w:rFonts w:cs="Times New Roman"/>
                <w:kern w:val="21"/>
                <w:szCs w:val="21"/>
                <w:shd w:val="clear" w:color="auto" w:fill="FFFFFF"/>
              </w:rPr>
              <w:t>购销台</w:t>
            </w:r>
            <w:proofErr w:type="gramEnd"/>
            <w:r>
              <w:rPr>
                <w:rFonts w:cs="Times New Roman"/>
                <w:kern w:val="21"/>
                <w:szCs w:val="21"/>
                <w:shd w:val="clear" w:color="auto" w:fill="FFFFFF"/>
              </w:rPr>
              <w:t>账、日常巡查等动物防疫制度。</w:t>
            </w:r>
          </w:p>
        </w:tc>
        <w:tc>
          <w:tcPr>
            <w:tcW w:w="851" w:type="dxa"/>
            <w:vAlign w:val="center"/>
          </w:tcPr>
          <w:p w14:paraId="316DDC03" w14:textId="77777777" w:rsidR="00544649" w:rsidRDefault="00000000">
            <w:pPr>
              <w:pStyle w:val="aff7"/>
              <w:adjustRightInd w:val="0"/>
              <w:snapToGrid w:val="0"/>
              <w:spacing w:before="65" w:after="65"/>
              <w:rPr>
                <w:rFonts w:cs="Times New Roman"/>
                <w:kern w:val="21"/>
                <w:szCs w:val="21"/>
              </w:rPr>
            </w:pPr>
            <w:r>
              <w:rPr>
                <w:rFonts w:cs="Times New Roman"/>
                <w:kern w:val="21"/>
                <w:szCs w:val="21"/>
              </w:rPr>
              <w:t>符合</w:t>
            </w:r>
          </w:p>
        </w:tc>
      </w:tr>
      <w:tr w:rsidR="00544649" w14:paraId="62568C23" w14:textId="77777777">
        <w:trPr>
          <w:jc w:val="center"/>
        </w:trPr>
        <w:tc>
          <w:tcPr>
            <w:tcW w:w="493" w:type="dxa"/>
            <w:vMerge/>
            <w:vAlign w:val="center"/>
          </w:tcPr>
          <w:p w14:paraId="745D1243" w14:textId="77777777" w:rsidR="00544649" w:rsidRDefault="00544649">
            <w:pPr>
              <w:pStyle w:val="aff7"/>
              <w:adjustRightInd w:val="0"/>
              <w:snapToGrid w:val="0"/>
              <w:spacing w:before="65" w:after="65"/>
              <w:rPr>
                <w:rFonts w:cs="Times New Roman"/>
                <w:kern w:val="21"/>
                <w:szCs w:val="21"/>
              </w:rPr>
            </w:pPr>
          </w:p>
        </w:tc>
        <w:tc>
          <w:tcPr>
            <w:tcW w:w="4111" w:type="dxa"/>
            <w:vAlign w:val="center"/>
          </w:tcPr>
          <w:p w14:paraId="31929538" w14:textId="77777777" w:rsidR="00544649" w:rsidRDefault="00000000">
            <w:pPr>
              <w:pStyle w:val="aff7"/>
              <w:adjustRightInd w:val="0"/>
              <w:snapToGrid w:val="0"/>
              <w:spacing w:before="65" w:after="65"/>
              <w:jc w:val="both"/>
              <w:rPr>
                <w:rFonts w:cs="Times New Roman"/>
                <w:kern w:val="21"/>
                <w:szCs w:val="21"/>
              </w:rPr>
            </w:pPr>
            <w:r>
              <w:rPr>
                <w:rFonts w:cs="Times New Roman"/>
                <w:kern w:val="21"/>
                <w:szCs w:val="21"/>
                <w:shd w:val="clear" w:color="auto" w:fill="FFFFFF"/>
              </w:rPr>
              <w:t>生产区清洁道、</w:t>
            </w:r>
            <w:proofErr w:type="gramStart"/>
            <w:r>
              <w:rPr>
                <w:rFonts w:cs="Times New Roman"/>
                <w:kern w:val="21"/>
                <w:szCs w:val="21"/>
                <w:shd w:val="clear" w:color="auto" w:fill="FFFFFF"/>
              </w:rPr>
              <w:t>污染道</w:t>
            </w:r>
            <w:proofErr w:type="gramEnd"/>
            <w:r>
              <w:rPr>
                <w:rFonts w:cs="Times New Roman"/>
                <w:kern w:val="21"/>
                <w:szCs w:val="21"/>
                <w:shd w:val="clear" w:color="auto" w:fill="FFFFFF"/>
              </w:rPr>
              <w:t>分设；具有相对独立的动物隔离舍</w:t>
            </w:r>
            <w:r>
              <w:rPr>
                <w:rFonts w:cs="Times New Roman" w:hint="eastAsia"/>
                <w:kern w:val="21"/>
                <w:szCs w:val="21"/>
                <w:shd w:val="clear" w:color="auto" w:fill="FFFFFF"/>
              </w:rPr>
              <w:t>。</w:t>
            </w:r>
          </w:p>
        </w:tc>
        <w:tc>
          <w:tcPr>
            <w:tcW w:w="3600" w:type="dxa"/>
            <w:vAlign w:val="center"/>
          </w:tcPr>
          <w:p w14:paraId="5F734901" w14:textId="77777777" w:rsidR="00544649" w:rsidRDefault="00000000">
            <w:pPr>
              <w:pStyle w:val="aff7"/>
              <w:adjustRightInd w:val="0"/>
              <w:snapToGrid w:val="0"/>
              <w:spacing w:before="65" w:after="65"/>
              <w:jc w:val="both"/>
              <w:rPr>
                <w:rFonts w:cs="Times New Roman"/>
                <w:kern w:val="21"/>
                <w:szCs w:val="21"/>
              </w:rPr>
            </w:pPr>
            <w:r>
              <w:rPr>
                <w:rFonts w:cs="Times New Roman"/>
                <w:kern w:val="21"/>
                <w:szCs w:val="21"/>
              </w:rPr>
              <w:t>本项目</w:t>
            </w:r>
            <w:r>
              <w:rPr>
                <w:rFonts w:cs="Times New Roman"/>
                <w:kern w:val="21"/>
                <w:szCs w:val="21"/>
                <w:shd w:val="clear" w:color="auto" w:fill="FFFFFF"/>
              </w:rPr>
              <w:t>生产区清洁道、</w:t>
            </w:r>
            <w:proofErr w:type="gramStart"/>
            <w:r>
              <w:rPr>
                <w:rFonts w:cs="Times New Roman"/>
                <w:kern w:val="21"/>
                <w:szCs w:val="21"/>
                <w:shd w:val="clear" w:color="auto" w:fill="FFFFFF"/>
              </w:rPr>
              <w:t>污染道</w:t>
            </w:r>
            <w:proofErr w:type="gramEnd"/>
            <w:r>
              <w:rPr>
                <w:rFonts w:cs="Times New Roman"/>
                <w:kern w:val="21"/>
                <w:szCs w:val="21"/>
                <w:shd w:val="clear" w:color="auto" w:fill="FFFFFF"/>
              </w:rPr>
              <w:t>分设，</w:t>
            </w:r>
            <w:proofErr w:type="gramStart"/>
            <w:r>
              <w:rPr>
                <w:rFonts w:cs="Times New Roman"/>
                <w:kern w:val="21"/>
                <w:szCs w:val="21"/>
                <w:shd w:val="clear" w:color="auto" w:fill="FFFFFF"/>
              </w:rPr>
              <w:t>各动物隔离舍相对</w:t>
            </w:r>
            <w:proofErr w:type="gramEnd"/>
            <w:r>
              <w:rPr>
                <w:rFonts w:cs="Times New Roman"/>
                <w:kern w:val="21"/>
                <w:szCs w:val="21"/>
                <w:shd w:val="clear" w:color="auto" w:fill="FFFFFF"/>
              </w:rPr>
              <w:t>独立。</w:t>
            </w:r>
          </w:p>
        </w:tc>
        <w:tc>
          <w:tcPr>
            <w:tcW w:w="851" w:type="dxa"/>
            <w:vAlign w:val="center"/>
          </w:tcPr>
          <w:p w14:paraId="64C48606" w14:textId="77777777" w:rsidR="00544649" w:rsidRDefault="00000000">
            <w:pPr>
              <w:pStyle w:val="aff7"/>
              <w:adjustRightInd w:val="0"/>
              <w:snapToGrid w:val="0"/>
              <w:spacing w:before="65" w:after="65"/>
              <w:rPr>
                <w:rFonts w:cs="Times New Roman"/>
                <w:kern w:val="21"/>
                <w:szCs w:val="21"/>
              </w:rPr>
            </w:pPr>
            <w:r>
              <w:rPr>
                <w:rFonts w:cs="Times New Roman"/>
                <w:kern w:val="21"/>
                <w:szCs w:val="21"/>
              </w:rPr>
              <w:t>符合</w:t>
            </w:r>
          </w:p>
        </w:tc>
      </w:tr>
      <w:tr w:rsidR="00544649" w14:paraId="1D268C06" w14:textId="77777777">
        <w:trPr>
          <w:trHeight w:val="90"/>
          <w:jc w:val="center"/>
        </w:trPr>
        <w:tc>
          <w:tcPr>
            <w:tcW w:w="493" w:type="dxa"/>
            <w:vMerge/>
            <w:vAlign w:val="center"/>
          </w:tcPr>
          <w:p w14:paraId="2D4B1380" w14:textId="77777777" w:rsidR="00544649" w:rsidRDefault="00544649">
            <w:pPr>
              <w:pStyle w:val="aff7"/>
              <w:adjustRightInd w:val="0"/>
              <w:snapToGrid w:val="0"/>
              <w:spacing w:before="65" w:after="65"/>
              <w:rPr>
                <w:rFonts w:cs="Times New Roman"/>
                <w:kern w:val="21"/>
                <w:szCs w:val="21"/>
              </w:rPr>
            </w:pPr>
          </w:p>
        </w:tc>
        <w:tc>
          <w:tcPr>
            <w:tcW w:w="4111" w:type="dxa"/>
            <w:vAlign w:val="center"/>
          </w:tcPr>
          <w:p w14:paraId="3437E7D9" w14:textId="77777777" w:rsidR="00544649" w:rsidRDefault="00000000">
            <w:pPr>
              <w:pStyle w:val="aff7"/>
              <w:adjustRightInd w:val="0"/>
              <w:snapToGrid w:val="0"/>
              <w:spacing w:before="65" w:after="65"/>
              <w:jc w:val="both"/>
              <w:rPr>
                <w:rFonts w:cs="Times New Roman"/>
                <w:kern w:val="21"/>
                <w:szCs w:val="21"/>
              </w:rPr>
            </w:pPr>
            <w:r>
              <w:rPr>
                <w:rFonts w:cs="Times New Roman"/>
                <w:kern w:val="21"/>
                <w:szCs w:val="21"/>
                <w:shd w:val="clear" w:color="auto" w:fill="FFFFFF"/>
              </w:rPr>
              <w:t>配备符合国家规定的病死动物和病害动物产品无害化处理设施设备或者冷藏冷冻等暂存设施设备</w:t>
            </w:r>
            <w:r>
              <w:rPr>
                <w:rFonts w:cs="Times New Roman" w:hint="eastAsia"/>
                <w:kern w:val="21"/>
                <w:szCs w:val="21"/>
                <w:shd w:val="clear" w:color="auto" w:fill="FFFFFF"/>
              </w:rPr>
              <w:t>。</w:t>
            </w:r>
          </w:p>
        </w:tc>
        <w:tc>
          <w:tcPr>
            <w:tcW w:w="3600" w:type="dxa"/>
            <w:vAlign w:val="center"/>
          </w:tcPr>
          <w:p w14:paraId="5FC63B35" w14:textId="77777777" w:rsidR="00544649" w:rsidRDefault="00000000">
            <w:pPr>
              <w:pStyle w:val="aff7"/>
              <w:adjustRightInd w:val="0"/>
              <w:snapToGrid w:val="0"/>
              <w:spacing w:before="65" w:after="65"/>
              <w:jc w:val="both"/>
              <w:rPr>
                <w:rFonts w:cs="Times New Roman"/>
                <w:kern w:val="21"/>
                <w:szCs w:val="21"/>
              </w:rPr>
            </w:pPr>
            <w:r>
              <w:rPr>
                <w:rFonts w:cs="Times New Roman"/>
                <w:kern w:val="21"/>
                <w:szCs w:val="21"/>
              </w:rPr>
              <w:t>本项目场内配备符合</w:t>
            </w:r>
            <w:r>
              <w:rPr>
                <w:rFonts w:cs="Times New Roman"/>
                <w:kern w:val="21"/>
                <w:szCs w:val="21"/>
                <w:shd w:val="clear" w:color="auto" w:fill="FFFFFF"/>
              </w:rPr>
              <w:t>国家规定的病死动物冷藏冷冻等暂存设施设备。</w:t>
            </w:r>
          </w:p>
        </w:tc>
        <w:tc>
          <w:tcPr>
            <w:tcW w:w="851" w:type="dxa"/>
            <w:vAlign w:val="center"/>
          </w:tcPr>
          <w:p w14:paraId="52DA561E" w14:textId="77777777" w:rsidR="00544649" w:rsidRDefault="00000000">
            <w:pPr>
              <w:pStyle w:val="aff7"/>
              <w:adjustRightInd w:val="0"/>
              <w:snapToGrid w:val="0"/>
              <w:spacing w:before="65" w:after="65"/>
              <w:rPr>
                <w:rFonts w:cs="Times New Roman"/>
                <w:kern w:val="21"/>
                <w:szCs w:val="21"/>
              </w:rPr>
            </w:pPr>
            <w:r>
              <w:rPr>
                <w:rFonts w:cs="Times New Roman"/>
                <w:kern w:val="21"/>
                <w:szCs w:val="21"/>
              </w:rPr>
              <w:t>符合</w:t>
            </w:r>
          </w:p>
        </w:tc>
      </w:tr>
    </w:tbl>
    <w:p w14:paraId="6AD694D3" w14:textId="77777777" w:rsidR="00544649" w:rsidRDefault="00000000">
      <w:pPr>
        <w:adjustRightInd w:val="0"/>
        <w:snapToGrid w:val="0"/>
        <w:spacing w:after="0"/>
        <w:ind w:firstLine="480"/>
        <w:rPr>
          <w:kern w:val="21"/>
        </w:rPr>
      </w:pPr>
      <w:r>
        <w:rPr>
          <w:rFonts w:hint="eastAsia"/>
          <w:kern w:val="21"/>
        </w:rPr>
        <w:t>综上所述</w:t>
      </w:r>
      <w:r>
        <w:rPr>
          <w:kern w:val="21"/>
        </w:rPr>
        <w:t>，</w:t>
      </w:r>
      <w:r>
        <w:rPr>
          <w:rFonts w:hint="eastAsia"/>
          <w:kern w:val="21"/>
        </w:rPr>
        <w:t>本</w:t>
      </w:r>
      <w:r>
        <w:rPr>
          <w:kern w:val="21"/>
        </w:rPr>
        <w:t>项目符合</w:t>
      </w:r>
      <w:r>
        <w:rPr>
          <w:rFonts w:ascii="宋体" w:hAnsi="宋体" w:cs="宋体" w:hint="eastAsia"/>
          <w:kern w:val="21"/>
          <w:szCs w:val="24"/>
        </w:rPr>
        <w:t>《</w:t>
      </w:r>
      <w:r>
        <w:rPr>
          <w:rStyle w:val="afd"/>
          <w:rFonts w:ascii="宋体" w:hAnsi="宋体" w:cs="宋体" w:hint="eastAsia"/>
          <w:b w:val="0"/>
          <w:kern w:val="21"/>
          <w:szCs w:val="24"/>
          <w:shd w:val="clear" w:color="auto" w:fill="FFFFFF"/>
        </w:rPr>
        <w:t>动物防疫条件审查办法</w:t>
      </w:r>
      <w:r>
        <w:rPr>
          <w:rFonts w:ascii="宋体" w:hAnsi="宋体" w:cs="宋体" w:hint="eastAsia"/>
          <w:kern w:val="21"/>
          <w:szCs w:val="24"/>
        </w:rPr>
        <w:t>》</w:t>
      </w:r>
      <w:r>
        <w:rPr>
          <w:rFonts w:hint="eastAsia"/>
          <w:kern w:val="21"/>
        </w:rPr>
        <w:t>的</w:t>
      </w:r>
      <w:r>
        <w:rPr>
          <w:kern w:val="21"/>
        </w:rPr>
        <w:t>相关要求。</w:t>
      </w:r>
    </w:p>
    <w:p w14:paraId="451849E7" w14:textId="77777777" w:rsidR="00544649" w:rsidRDefault="00000000">
      <w:pPr>
        <w:pStyle w:val="4"/>
        <w:adjustRightInd w:val="0"/>
        <w:snapToGrid w:val="0"/>
        <w:spacing w:after="0"/>
      </w:pPr>
      <w:r>
        <w:rPr>
          <w:rFonts w:hint="eastAsia"/>
        </w:rPr>
        <w:t>与《畜禽规模养殖污染防治条例》符合性分析</w:t>
      </w:r>
    </w:p>
    <w:p w14:paraId="4FD80872" w14:textId="77777777" w:rsidR="00544649" w:rsidRDefault="00000000">
      <w:pPr>
        <w:adjustRightInd w:val="0"/>
        <w:snapToGrid w:val="0"/>
        <w:spacing w:after="0"/>
        <w:ind w:firstLine="480"/>
        <w:rPr>
          <w:kern w:val="21"/>
        </w:rPr>
      </w:pPr>
      <w:r>
        <w:rPr>
          <w:rFonts w:hint="eastAsia"/>
          <w:kern w:val="21"/>
        </w:rPr>
        <w:t>本项目与</w:t>
      </w:r>
      <w:r>
        <w:rPr>
          <w:kern w:val="21"/>
        </w:rPr>
        <w:t>《畜禽规模养殖污染防治条例》</w:t>
      </w:r>
      <w:r>
        <w:rPr>
          <w:rFonts w:hint="eastAsia"/>
          <w:kern w:val="21"/>
        </w:rPr>
        <w:t>的</w:t>
      </w:r>
      <w:r>
        <w:rPr>
          <w:kern w:val="21"/>
        </w:rPr>
        <w:t>符合性分析见下表。</w:t>
      </w:r>
    </w:p>
    <w:p w14:paraId="2DC8DBFA" w14:textId="77777777" w:rsidR="00544649" w:rsidRDefault="00000000">
      <w:pPr>
        <w:widowControl/>
        <w:numPr>
          <w:ilvl w:val="0"/>
          <w:numId w:val="13"/>
        </w:numPr>
        <w:adjustRightInd w:val="0"/>
        <w:snapToGrid w:val="0"/>
        <w:spacing w:beforeLines="20" w:before="65" w:afterLines="20" w:after="65" w:line="240" w:lineRule="auto"/>
        <w:ind w:firstLineChars="0"/>
        <w:jc w:val="center"/>
        <w:rPr>
          <w:b/>
          <w:kern w:val="21"/>
          <w:sz w:val="21"/>
          <w:szCs w:val="21"/>
        </w:rPr>
      </w:pPr>
      <w:r>
        <w:rPr>
          <w:rFonts w:hint="eastAsia"/>
          <w:b/>
          <w:kern w:val="21"/>
          <w:sz w:val="21"/>
          <w:szCs w:val="21"/>
        </w:rPr>
        <w:t>本</w:t>
      </w:r>
      <w:r>
        <w:rPr>
          <w:b/>
          <w:kern w:val="21"/>
          <w:sz w:val="21"/>
          <w:szCs w:val="21"/>
        </w:rPr>
        <w:t>项目</w:t>
      </w:r>
      <w:r>
        <w:rPr>
          <w:rFonts w:hint="eastAsia"/>
          <w:b/>
          <w:kern w:val="21"/>
          <w:sz w:val="21"/>
          <w:szCs w:val="21"/>
        </w:rPr>
        <w:t>与《畜禽规模养殖污染防治条例》符合性分析</w:t>
      </w:r>
    </w:p>
    <w:tbl>
      <w:tblPr>
        <w:tblStyle w:val="afc"/>
        <w:tblW w:w="9055" w:type="dxa"/>
        <w:jc w:val="center"/>
        <w:tblLayout w:type="fixed"/>
        <w:tblLook w:val="04A0" w:firstRow="1" w:lastRow="0" w:firstColumn="1" w:lastColumn="0" w:noHBand="0" w:noVBand="1"/>
      </w:tblPr>
      <w:tblGrid>
        <w:gridCol w:w="5004"/>
        <w:gridCol w:w="3149"/>
        <w:gridCol w:w="902"/>
      </w:tblGrid>
      <w:tr w:rsidR="00544649" w14:paraId="121C3204" w14:textId="77777777">
        <w:trPr>
          <w:tblHeader/>
          <w:jc w:val="center"/>
        </w:trPr>
        <w:tc>
          <w:tcPr>
            <w:tcW w:w="5004" w:type="dxa"/>
            <w:vAlign w:val="center"/>
          </w:tcPr>
          <w:p w14:paraId="0DABC224"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hint="eastAsia"/>
                <w:b/>
                <w:bCs/>
                <w:kern w:val="21"/>
                <w:sz w:val="21"/>
                <w:szCs w:val="21"/>
              </w:rPr>
              <w:t>文件要求</w:t>
            </w:r>
          </w:p>
        </w:tc>
        <w:tc>
          <w:tcPr>
            <w:tcW w:w="3149" w:type="dxa"/>
            <w:vAlign w:val="center"/>
          </w:tcPr>
          <w:p w14:paraId="11439B06"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b/>
                <w:bCs/>
                <w:kern w:val="21"/>
                <w:sz w:val="21"/>
                <w:szCs w:val="21"/>
              </w:rPr>
              <w:t>项目情况</w:t>
            </w:r>
          </w:p>
        </w:tc>
        <w:tc>
          <w:tcPr>
            <w:tcW w:w="902" w:type="dxa"/>
            <w:vAlign w:val="center"/>
          </w:tcPr>
          <w:p w14:paraId="699EF4A4"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b/>
                <w:bCs/>
                <w:kern w:val="21"/>
                <w:sz w:val="21"/>
                <w:szCs w:val="21"/>
              </w:rPr>
              <w:t>符合性</w:t>
            </w:r>
          </w:p>
        </w:tc>
      </w:tr>
      <w:tr w:rsidR="00544649" w14:paraId="69717AC5" w14:textId="77777777">
        <w:trPr>
          <w:jc w:val="center"/>
        </w:trPr>
        <w:tc>
          <w:tcPr>
            <w:tcW w:w="5004" w:type="dxa"/>
            <w:vAlign w:val="center"/>
          </w:tcPr>
          <w:p w14:paraId="5EB76F49"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kern w:val="21"/>
                <w:sz w:val="21"/>
                <w:szCs w:val="21"/>
              </w:rPr>
              <w:t>第十一条禁止在下列区域内建设畜禽养殖场、养殖小区：</w:t>
            </w:r>
          </w:p>
          <w:p w14:paraId="3E352753"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kern w:val="21"/>
                <w:sz w:val="21"/>
                <w:szCs w:val="21"/>
              </w:rPr>
              <w:t>（一）饮用水水源保护区，风景名胜区；</w:t>
            </w:r>
          </w:p>
          <w:p w14:paraId="183272E5"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kern w:val="21"/>
                <w:sz w:val="21"/>
                <w:szCs w:val="21"/>
              </w:rPr>
              <w:t>（二）自然保护区的核心区和缓冲区；</w:t>
            </w:r>
          </w:p>
          <w:p w14:paraId="626E8991"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kern w:val="21"/>
                <w:sz w:val="21"/>
                <w:szCs w:val="21"/>
              </w:rPr>
              <w:lastRenderedPageBreak/>
              <w:t>（三）城镇居民区、文化教育科学研究区等人口集中区域；</w:t>
            </w:r>
          </w:p>
          <w:p w14:paraId="45A0595D"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kern w:val="21"/>
                <w:sz w:val="21"/>
                <w:szCs w:val="21"/>
              </w:rPr>
              <w:t>（四）法律、法规规定的其他禁止养殖区域</w:t>
            </w:r>
            <w:r>
              <w:rPr>
                <w:rFonts w:cs="Times New Roman" w:hint="eastAsia"/>
                <w:kern w:val="21"/>
                <w:sz w:val="21"/>
                <w:szCs w:val="21"/>
              </w:rPr>
              <w:t>。</w:t>
            </w:r>
          </w:p>
        </w:tc>
        <w:tc>
          <w:tcPr>
            <w:tcW w:w="3149" w:type="dxa"/>
            <w:vAlign w:val="center"/>
          </w:tcPr>
          <w:p w14:paraId="33912EE2"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lastRenderedPageBreak/>
              <w:t>本项目选址于</w:t>
            </w:r>
            <w:r>
              <w:rPr>
                <w:rFonts w:cs="Times New Roman" w:hint="eastAsia"/>
                <w:kern w:val="21"/>
                <w:sz w:val="21"/>
                <w:szCs w:val="21"/>
              </w:rPr>
              <w:t>广元市剑阁县剑门关镇新龙村六组、双鱼村七组</w:t>
            </w:r>
            <w:r>
              <w:rPr>
                <w:rFonts w:cs="Times New Roman"/>
                <w:kern w:val="21"/>
                <w:sz w:val="21"/>
                <w:szCs w:val="21"/>
              </w:rPr>
              <w:t>，属于农村地区，建设地点不属于饮用水水源保护区、风景名胜区；不属于自然保护区</w:t>
            </w:r>
            <w:r>
              <w:rPr>
                <w:rFonts w:cs="Times New Roman"/>
                <w:kern w:val="21"/>
                <w:sz w:val="21"/>
                <w:szCs w:val="21"/>
              </w:rPr>
              <w:lastRenderedPageBreak/>
              <w:t>的核心和缓冲区；不属于人口集中区域；不属于法律、法规规定的其他禁止养殖区域</w:t>
            </w:r>
            <w:r>
              <w:rPr>
                <w:rFonts w:cs="Times New Roman" w:hint="eastAsia"/>
                <w:kern w:val="21"/>
                <w:sz w:val="21"/>
                <w:szCs w:val="21"/>
              </w:rPr>
              <w:t>。</w:t>
            </w:r>
          </w:p>
        </w:tc>
        <w:tc>
          <w:tcPr>
            <w:tcW w:w="902" w:type="dxa"/>
            <w:vAlign w:val="center"/>
          </w:tcPr>
          <w:p w14:paraId="63C075BB"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lastRenderedPageBreak/>
              <w:t>符合</w:t>
            </w:r>
          </w:p>
        </w:tc>
      </w:tr>
      <w:tr w:rsidR="00544649" w14:paraId="5B97E763" w14:textId="77777777">
        <w:trPr>
          <w:trHeight w:val="1192"/>
          <w:jc w:val="center"/>
        </w:trPr>
        <w:tc>
          <w:tcPr>
            <w:tcW w:w="5004" w:type="dxa"/>
            <w:vAlign w:val="center"/>
          </w:tcPr>
          <w:p w14:paraId="417FD0BA"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kern w:val="21"/>
                <w:sz w:val="21"/>
                <w:szCs w:val="21"/>
              </w:rPr>
              <w:t>第十二条新建、改建、扩建畜禽养殖场、养殖小区，应当符合畜牧业发展规划、畜禽养殖污染防治规划，满足动物防疫条件，并进行环境影响评价。对环境可能造成重大影响的大型畜禽养殖场、养殖小区，应当编制环境影响报告书；其他畜禽养殖场、养殖小区应当填报环境影响登记表</w:t>
            </w:r>
            <w:r>
              <w:rPr>
                <w:rFonts w:cs="Times New Roman" w:hint="eastAsia"/>
                <w:kern w:val="21"/>
                <w:sz w:val="21"/>
                <w:szCs w:val="21"/>
              </w:rPr>
              <w:t>。</w:t>
            </w:r>
          </w:p>
        </w:tc>
        <w:tc>
          <w:tcPr>
            <w:tcW w:w="3149" w:type="dxa"/>
            <w:vAlign w:val="center"/>
          </w:tcPr>
          <w:p w14:paraId="5F773E65"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本项目属于新建畜禽养殖场，项目建设符合区域相关规划要求，本项目应编制环境影响报告书。</w:t>
            </w:r>
          </w:p>
        </w:tc>
        <w:tc>
          <w:tcPr>
            <w:tcW w:w="902" w:type="dxa"/>
            <w:vAlign w:val="center"/>
          </w:tcPr>
          <w:p w14:paraId="7CA185D3"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135F8D05" w14:textId="77777777">
        <w:trPr>
          <w:trHeight w:val="1192"/>
          <w:jc w:val="center"/>
        </w:trPr>
        <w:tc>
          <w:tcPr>
            <w:tcW w:w="5004" w:type="dxa"/>
            <w:vAlign w:val="center"/>
          </w:tcPr>
          <w:p w14:paraId="6D94A4FE"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hint="eastAsia"/>
                <w:kern w:val="21"/>
                <w:sz w:val="21"/>
                <w:szCs w:val="21"/>
              </w:rPr>
              <w:t>第十三条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w:t>
            </w:r>
          </w:p>
        </w:tc>
        <w:tc>
          <w:tcPr>
            <w:tcW w:w="3149" w:type="dxa"/>
            <w:vMerge w:val="restart"/>
            <w:vAlign w:val="center"/>
          </w:tcPr>
          <w:p w14:paraId="7A8A90EB"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rPr>
              <w:t>本</w:t>
            </w:r>
            <w:r>
              <w:rPr>
                <w:rFonts w:cs="Times New Roman"/>
                <w:kern w:val="21"/>
                <w:sz w:val="21"/>
              </w:rPr>
              <w:t>项目鸡舍</w:t>
            </w:r>
            <w:r>
              <w:rPr>
                <w:rFonts w:cs="Times New Roman" w:hint="eastAsia"/>
                <w:kern w:val="21"/>
                <w:sz w:val="21"/>
              </w:rPr>
              <w:t>采用干清粪工艺，</w:t>
            </w:r>
            <w:r>
              <w:rPr>
                <w:rFonts w:cs="Times New Roman"/>
                <w:kern w:val="21"/>
                <w:sz w:val="21"/>
              </w:rPr>
              <w:t>鸡粪</w:t>
            </w:r>
            <w:r>
              <w:rPr>
                <w:rFonts w:cs="Times New Roman" w:hint="eastAsia"/>
                <w:kern w:val="21"/>
                <w:sz w:val="21"/>
              </w:rPr>
              <w:t>日产日清，每日运至四川省田宝生物科技有限公司</w:t>
            </w:r>
            <w:r>
              <w:rPr>
                <w:rFonts w:cs="Times New Roman"/>
                <w:kern w:val="21"/>
                <w:sz w:val="21"/>
              </w:rPr>
              <w:t>用于有机肥加工</w:t>
            </w:r>
            <w:r>
              <w:rPr>
                <w:rFonts w:cs="Times New Roman" w:hint="eastAsia"/>
                <w:kern w:val="21"/>
                <w:sz w:val="21"/>
              </w:rPr>
              <w:t>，不在厂内贮存</w:t>
            </w:r>
            <w:r>
              <w:rPr>
                <w:rFonts w:cs="Times New Roman"/>
                <w:kern w:val="21"/>
                <w:sz w:val="21"/>
              </w:rPr>
              <w:t>；</w:t>
            </w:r>
            <w:r>
              <w:rPr>
                <w:rFonts w:cs="Times New Roman" w:hint="eastAsia"/>
                <w:kern w:val="21"/>
                <w:sz w:val="21"/>
              </w:rPr>
              <w:t>场内餐厨废水经隔油池处理后与生活污水、鸡舍清洗废水及蛋品清洗废水一并进入污水处理站处理达《农田灌溉水质标准》（</w:t>
            </w:r>
            <w:r>
              <w:rPr>
                <w:rFonts w:cs="Times New Roman" w:hint="eastAsia"/>
                <w:kern w:val="21"/>
                <w:sz w:val="21"/>
              </w:rPr>
              <w:t>GB5084-2021</w:t>
            </w:r>
            <w:r>
              <w:rPr>
                <w:rFonts w:cs="Times New Roman" w:hint="eastAsia"/>
                <w:kern w:val="21"/>
                <w:sz w:val="21"/>
              </w:rPr>
              <w:t>）后用于林地灌溉，不外排；</w:t>
            </w:r>
            <w:r>
              <w:rPr>
                <w:rFonts w:cs="Times New Roman"/>
                <w:kern w:val="21"/>
                <w:sz w:val="21"/>
              </w:rPr>
              <w:t>病死</w:t>
            </w:r>
            <w:proofErr w:type="gramStart"/>
            <w:r>
              <w:rPr>
                <w:rFonts w:cs="Times New Roman"/>
                <w:kern w:val="21"/>
                <w:sz w:val="21"/>
              </w:rPr>
              <w:t>鸡</w:t>
            </w:r>
            <w:r>
              <w:rPr>
                <w:rFonts w:cs="Times New Roman" w:hint="eastAsia"/>
                <w:kern w:val="21"/>
                <w:sz w:val="21"/>
              </w:rPr>
              <w:t>委托</w:t>
            </w:r>
            <w:proofErr w:type="gramEnd"/>
            <w:r>
              <w:rPr>
                <w:rFonts w:cs="Times New Roman" w:hint="eastAsia"/>
                <w:kern w:val="21"/>
                <w:sz w:val="21"/>
              </w:rPr>
              <w:t>广元</w:t>
            </w:r>
            <w:proofErr w:type="gramStart"/>
            <w:r>
              <w:rPr>
                <w:rFonts w:cs="Times New Roman" w:hint="eastAsia"/>
                <w:kern w:val="21"/>
                <w:sz w:val="21"/>
              </w:rPr>
              <w:t>市朗坤环保</w:t>
            </w:r>
            <w:proofErr w:type="gramEnd"/>
            <w:r>
              <w:rPr>
                <w:rFonts w:cs="Times New Roman" w:hint="eastAsia"/>
                <w:kern w:val="21"/>
                <w:sz w:val="21"/>
              </w:rPr>
              <w:t>有限公司清运后进行无害化处置，场内不进行病死鸡处理</w:t>
            </w:r>
            <w:r>
              <w:rPr>
                <w:rFonts w:cs="Times New Roman"/>
                <w:kern w:val="21"/>
                <w:sz w:val="21"/>
              </w:rPr>
              <w:t>。</w:t>
            </w:r>
          </w:p>
        </w:tc>
        <w:tc>
          <w:tcPr>
            <w:tcW w:w="902" w:type="dxa"/>
            <w:vAlign w:val="center"/>
          </w:tcPr>
          <w:p w14:paraId="30E66FE6"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0FA7AD08" w14:textId="77777777">
        <w:trPr>
          <w:trHeight w:val="1192"/>
          <w:jc w:val="center"/>
        </w:trPr>
        <w:tc>
          <w:tcPr>
            <w:tcW w:w="5004" w:type="dxa"/>
            <w:vAlign w:val="center"/>
          </w:tcPr>
          <w:p w14:paraId="53B1B0B6"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kern w:val="21"/>
                <w:sz w:val="21"/>
                <w:szCs w:val="21"/>
              </w:rPr>
              <w:t>第十九条从事畜禽养殖活动和畜禽养殖废弃物处理活动，应当及时对畜禽粪便、畜禽尸体、污水等进行收集、贮存、清运，防止恶臭和畜禽养殖废物渗出、泄漏</w:t>
            </w:r>
            <w:r>
              <w:rPr>
                <w:rFonts w:cs="Times New Roman" w:hint="eastAsia"/>
                <w:kern w:val="21"/>
                <w:sz w:val="21"/>
                <w:szCs w:val="21"/>
              </w:rPr>
              <w:t>。</w:t>
            </w:r>
          </w:p>
        </w:tc>
        <w:tc>
          <w:tcPr>
            <w:tcW w:w="3149" w:type="dxa"/>
            <w:vMerge/>
            <w:vAlign w:val="center"/>
          </w:tcPr>
          <w:p w14:paraId="62D52349" w14:textId="77777777" w:rsidR="00544649" w:rsidRDefault="00544649">
            <w:pPr>
              <w:adjustRightInd w:val="0"/>
              <w:snapToGrid w:val="0"/>
              <w:spacing w:beforeLines="20" w:before="65" w:afterLines="20" w:after="65" w:line="240" w:lineRule="auto"/>
              <w:ind w:firstLineChars="0" w:firstLine="0"/>
              <w:jc w:val="center"/>
              <w:rPr>
                <w:rFonts w:cs="Times New Roman"/>
                <w:kern w:val="21"/>
                <w:sz w:val="21"/>
                <w:szCs w:val="21"/>
              </w:rPr>
            </w:pPr>
          </w:p>
        </w:tc>
        <w:tc>
          <w:tcPr>
            <w:tcW w:w="902" w:type="dxa"/>
            <w:vAlign w:val="center"/>
          </w:tcPr>
          <w:p w14:paraId="25B79A50"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00CB4F07" w14:textId="77777777">
        <w:trPr>
          <w:trHeight w:val="1192"/>
          <w:jc w:val="center"/>
        </w:trPr>
        <w:tc>
          <w:tcPr>
            <w:tcW w:w="5004" w:type="dxa"/>
            <w:vAlign w:val="center"/>
          </w:tcPr>
          <w:p w14:paraId="2EA5C7B3"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kern w:val="21"/>
                <w:sz w:val="21"/>
                <w:szCs w:val="21"/>
              </w:rPr>
              <w:t>第二十一条染疫畜禽以及染疫畜禽排泄物、染疫畜禽产品、病死或者死因不明的畜禽尸体等病害畜禽养殖废弃物，应当按照有关法律、法规和国务院农牧主管部门的规定，进行深埋、化制、焚烧等无害化处理，不得随意处置</w:t>
            </w:r>
            <w:r>
              <w:rPr>
                <w:rFonts w:cs="Times New Roman" w:hint="eastAsia"/>
                <w:kern w:val="21"/>
                <w:sz w:val="21"/>
                <w:szCs w:val="21"/>
              </w:rPr>
              <w:t>。</w:t>
            </w:r>
          </w:p>
        </w:tc>
        <w:tc>
          <w:tcPr>
            <w:tcW w:w="3149" w:type="dxa"/>
            <w:vMerge/>
            <w:vAlign w:val="center"/>
          </w:tcPr>
          <w:p w14:paraId="28EAF5EC" w14:textId="77777777" w:rsidR="00544649" w:rsidRDefault="00544649">
            <w:pPr>
              <w:adjustRightInd w:val="0"/>
              <w:snapToGrid w:val="0"/>
              <w:spacing w:beforeLines="20" w:before="65" w:afterLines="20" w:after="65" w:line="240" w:lineRule="auto"/>
              <w:ind w:firstLineChars="0" w:firstLine="0"/>
              <w:jc w:val="center"/>
              <w:rPr>
                <w:rFonts w:cs="Times New Roman"/>
                <w:kern w:val="21"/>
                <w:sz w:val="21"/>
                <w:szCs w:val="21"/>
              </w:rPr>
            </w:pPr>
          </w:p>
        </w:tc>
        <w:tc>
          <w:tcPr>
            <w:tcW w:w="902" w:type="dxa"/>
            <w:vAlign w:val="center"/>
          </w:tcPr>
          <w:p w14:paraId="58E914AE"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bl>
    <w:p w14:paraId="12A35DAB" w14:textId="77777777" w:rsidR="00544649" w:rsidRDefault="00000000">
      <w:pPr>
        <w:widowControl/>
        <w:adjustRightInd w:val="0"/>
        <w:snapToGrid w:val="0"/>
        <w:spacing w:after="0"/>
        <w:ind w:firstLine="480"/>
        <w:jc w:val="left"/>
        <w:rPr>
          <w:rFonts w:ascii="宋体" w:hAnsi="宋体" w:cs="宋体" w:hint="eastAsia"/>
          <w:kern w:val="21"/>
          <w:szCs w:val="24"/>
          <w:lang w:bidi="ar"/>
        </w:rPr>
      </w:pPr>
      <w:r>
        <w:rPr>
          <w:rFonts w:ascii="宋体" w:hAnsi="宋体" w:cs="宋体" w:hint="eastAsia"/>
          <w:kern w:val="21"/>
          <w:szCs w:val="24"/>
          <w:lang w:bidi="ar"/>
        </w:rPr>
        <w:t>综上所述，本项目符合《畜禽规模养殖污染防治条例》中相关要求。</w:t>
      </w:r>
    </w:p>
    <w:p w14:paraId="204D1D59" w14:textId="77777777" w:rsidR="00544649" w:rsidRDefault="00000000">
      <w:pPr>
        <w:keepNext/>
        <w:keepLines/>
        <w:numPr>
          <w:ilvl w:val="3"/>
          <w:numId w:val="2"/>
        </w:numPr>
        <w:adjustRightInd w:val="0"/>
        <w:snapToGrid w:val="0"/>
        <w:spacing w:after="0"/>
        <w:ind w:firstLineChars="0"/>
        <w:outlineLvl w:val="3"/>
        <w:rPr>
          <w:rFonts w:cstheme="majorBidi"/>
          <w:b/>
          <w:kern w:val="21"/>
          <w:szCs w:val="28"/>
        </w:rPr>
      </w:pPr>
      <w:r>
        <w:rPr>
          <w:rFonts w:cstheme="majorBidi" w:hint="eastAsia"/>
          <w:b/>
          <w:kern w:val="21"/>
          <w:szCs w:val="28"/>
        </w:rPr>
        <w:t>与《畜禽养殖业污染防治技术规范》</w:t>
      </w:r>
      <w:r>
        <w:rPr>
          <w:b/>
          <w:bCs/>
          <w:kern w:val="21"/>
        </w:rPr>
        <w:t>（</w:t>
      </w:r>
      <w:r>
        <w:rPr>
          <w:b/>
          <w:bCs/>
          <w:kern w:val="21"/>
        </w:rPr>
        <w:t>HJ/T81-2001</w:t>
      </w:r>
      <w:r>
        <w:rPr>
          <w:b/>
          <w:bCs/>
          <w:kern w:val="21"/>
        </w:rPr>
        <w:t>）</w:t>
      </w:r>
      <w:r>
        <w:rPr>
          <w:rFonts w:cstheme="majorBidi" w:hint="eastAsia"/>
          <w:b/>
          <w:kern w:val="21"/>
          <w:szCs w:val="28"/>
        </w:rPr>
        <w:t>符合性分析</w:t>
      </w:r>
    </w:p>
    <w:p w14:paraId="496BB576" w14:textId="77777777" w:rsidR="00544649" w:rsidRDefault="00000000">
      <w:pPr>
        <w:adjustRightInd w:val="0"/>
        <w:snapToGrid w:val="0"/>
        <w:spacing w:after="0"/>
        <w:ind w:firstLine="480"/>
        <w:rPr>
          <w:kern w:val="21"/>
        </w:rPr>
      </w:pPr>
      <w:r>
        <w:rPr>
          <w:rFonts w:hint="eastAsia"/>
          <w:kern w:val="21"/>
        </w:rPr>
        <w:t>本项目与</w:t>
      </w:r>
      <w:r>
        <w:rPr>
          <w:kern w:val="21"/>
        </w:rPr>
        <w:t>《畜禽养殖业污染防治技术规范》（</w:t>
      </w:r>
      <w:r>
        <w:rPr>
          <w:kern w:val="21"/>
        </w:rPr>
        <w:t>HJ/T81-2001</w:t>
      </w:r>
      <w:r>
        <w:rPr>
          <w:kern w:val="21"/>
        </w:rPr>
        <w:t>）</w:t>
      </w:r>
      <w:r>
        <w:rPr>
          <w:rFonts w:hint="eastAsia"/>
          <w:kern w:val="21"/>
        </w:rPr>
        <w:t>的</w:t>
      </w:r>
      <w:r>
        <w:rPr>
          <w:kern w:val="21"/>
        </w:rPr>
        <w:t>符合性分析见下表。</w:t>
      </w:r>
    </w:p>
    <w:p w14:paraId="441D550F" w14:textId="77777777" w:rsidR="00544649" w:rsidRDefault="00000000">
      <w:pPr>
        <w:widowControl/>
        <w:numPr>
          <w:ilvl w:val="0"/>
          <w:numId w:val="13"/>
        </w:numPr>
        <w:adjustRightInd w:val="0"/>
        <w:snapToGrid w:val="0"/>
        <w:spacing w:beforeLines="20" w:before="65" w:afterLines="20" w:after="65" w:line="240" w:lineRule="auto"/>
        <w:ind w:firstLineChars="0"/>
        <w:jc w:val="center"/>
        <w:rPr>
          <w:rFonts w:cs="Times New Roman"/>
          <w:b/>
          <w:kern w:val="21"/>
          <w:sz w:val="21"/>
          <w:szCs w:val="21"/>
        </w:rPr>
      </w:pPr>
      <w:r>
        <w:rPr>
          <w:rFonts w:hint="eastAsia"/>
          <w:b/>
          <w:kern w:val="21"/>
          <w:sz w:val="21"/>
          <w:szCs w:val="21"/>
        </w:rPr>
        <w:t>本</w:t>
      </w:r>
      <w:r>
        <w:rPr>
          <w:b/>
          <w:kern w:val="21"/>
          <w:sz w:val="21"/>
          <w:szCs w:val="21"/>
        </w:rPr>
        <w:t>项目</w:t>
      </w:r>
      <w:r>
        <w:rPr>
          <w:rFonts w:cs="Times New Roman"/>
          <w:b/>
          <w:kern w:val="21"/>
          <w:sz w:val="21"/>
          <w:szCs w:val="21"/>
        </w:rPr>
        <w:t>与《畜禽养殖业污染防治技术规范》符合性分析</w:t>
      </w:r>
    </w:p>
    <w:tbl>
      <w:tblPr>
        <w:tblStyle w:val="afc"/>
        <w:tblW w:w="9055" w:type="dxa"/>
        <w:jc w:val="center"/>
        <w:tblLayout w:type="fixed"/>
        <w:tblLook w:val="04A0" w:firstRow="1" w:lastRow="0" w:firstColumn="1" w:lastColumn="0" w:noHBand="0" w:noVBand="1"/>
      </w:tblPr>
      <w:tblGrid>
        <w:gridCol w:w="4309"/>
        <w:gridCol w:w="3812"/>
        <w:gridCol w:w="934"/>
      </w:tblGrid>
      <w:tr w:rsidR="00544649" w14:paraId="3BDAEAF9" w14:textId="77777777">
        <w:trPr>
          <w:tblHeader/>
          <w:jc w:val="center"/>
        </w:trPr>
        <w:tc>
          <w:tcPr>
            <w:tcW w:w="4309" w:type="dxa"/>
            <w:vAlign w:val="center"/>
          </w:tcPr>
          <w:p w14:paraId="3454F2DF"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b/>
                <w:bCs/>
                <w:kern w:val="21"/>
                <w:sz w:val="21"/>
                <w:szCs w:val="21"/>
              </w:rPr>
              <w:t>文件要求</w:t>
            </w:r>
          </w:p>
        </w:tc>
        <w:tc>
          <w:tcPr>
            <w:tcW w:w="3812" w:type="dxa"/>
            <w:vAlign w:val="center"/>
          </w:tcPr>
          <w:p w14:paraId="39F6275C"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b/>
                <w:bCs/>
                <w:kern w:val="21"/>
                <w:sz w:val="21"/>
                <w:szCs w:val="21"/>
              </w:rPr>
              <w:t>项目情况</w:t>
            </w:r>
          </w:p>
        </w:tc>
        <w:tc>
          <w:tcPr>
            <w:tcW w:w="934" w:type="dxa"/>
            <w:vAlign w:val="center"/>
          </w:tcPr>
          <w:p w14:paraId="3350BFCD"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b/>
                <w:bCs/>
                <w:kern w:val="21"/>
                <w:sz w:val="21"/>
                <w:szCs w:val="21"/>
              </w:rPr>
              <w:t>符合性</w:t>
            </w:r>
          </w:p>
        </w:tc>
      </w:tr>
      <w:tr w:rsidR="00544649" w14:paraId="5615AC17" w14:textId="77777777">
        <w:trPr>
          <w:trHeight w:val="90"/>
          <w:jc w:val="center"/>
        </w:trPr>
        <w:tc>
          <w:tcPr>
            <w:tcW w:w="4309" w:type="dxa"/>
            <w:vAlign w:val="center"/>
          </w:tcPr>
          <w:p w14:paraId="58752195"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禁止建设在生活饮用水水源保护区、风景名胜区、自然保护区的核心区及缓冲区。</w:t>
            </w:r>
          </w:p>
        </w:tc>
        <w:tc>
          <w:tcPr>
            <w:tcW w:w="3812" w:type="dxa"/>
            <w:vAlign w:val="center"/>
          </w:tcPr>
          <w:p w14:paraId="209623C7"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本项目所在地不属于生活饮用水水源保护区、风景名胜区、自然保护区的核心区及缓冲区。</w:t>
            </w:r>
          </w:p>
        </w:tc>
        <w:tc>
          <w:tcPr>
            <w:tcW w:w="934" w:type="dxa"/>
            <w:vAlign w:val="center"/>
          </w:tcPr>
          <w:p w14:paraId="3AE74A2E"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2876ABA3" w14:textId="77777777">
        <w:trPr>
          <w:trHeight w:val="1192"/>
          <w:jc w:val="center"/>
        </w:trPr>
        <w:tc>
          <w:tcPr>
            <w:tcW w:w="4309" w:type="dxa"/>
            <w:vAlign w:val="center"/>
          </w:tcPr>
          <w:p w14:paraId="1877BEFB"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禁止建设在城市和城镇居民区包括文教科研区、医疗区、商业区、工业区、游览区等人口集中地区。</w:t>
            </w:r>
          </w:p>
        </w:tc>
        <w:tc>
          <w:tcPr>
            <w:tcW w:w="3812" w:type="dxa"/>
            <w:vAlign w:val="center"/>
          </w:tcPr>
          <w:p w14:paraId="44E667BE"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本项目所在地不属于城市和城镇居民区、文教科研区、医疗区、商业区、工业区、游览区等人口集中地区。</w:t>
            </w:r>
          </w:p>
        </w:tc>
        <w:tc>
          <w:tcPr>
            <w:tcW w:w="934" w:type="dxa"/>
            <w:vAlign w:val="center"/>
          </w:tcPr>
          <w:p w14:paraId="5626C594"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5D05D1E9" w14:textId="77777777">
        <w:trPr>
          <w:trHeight w:val="90"/>
          <w:jc w:val="center"/>
        </w:trPr>
        <w:tc>
          <w:tcPr>
            <w:tcW w:w="4309" w:type="dxa"/>
            <w:vAlign w:val="center"/>
          </w:tcPr>
          <w:p w14:paraId="6BA36321"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禁止建设在县级人民政府依法划定的禁养区域。</w:t>
            </w:r>
          </w:p>
        </w:tc>
        <w:tc>
          <w:tcPr>
            <w:tcW w:w="3812" w:type="dxa"/>
            <w:vAlign w:val="center"/>
          </w:tcPr>
          <w:p w14:paraId="761EDDCC"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根据与</w:t>
            </w:r>
            <w:r>
              <w:rPr>
                <w:rFonts w:cs="Times New Roman" w:hint="eastAsia"/>
                <w:kern w:val="21"/>
                <w:sz w:val="21"/>
                <w:szCs w:val="21"/>
              </w:rPr>
              <w:t>《剑阁县畜禽养殖禁养区限养区适养区划定方案及</w:t>
            </w:r>
            <w:r>
              <w:rPr>
                <w:rFonts w:cs="Times New Roman" w:hint="eastAsia"/>
                <w:kern w:val="21"/>
                <w:sz w:val="21"/>
                <w:szCs w:val="21"/>
              </w:rPr>
              <w:t>1</w:t>
            </w:r>
            <w:r>
              <w:rPr>
                <w:rFonts w:cs="Times New Roman" w:hint="eastAsia"/>
                <w:kern w:val="21"/>
                <w:sz w:val="21"/>
                <w:szCs w:val="21"/>
              </w:rPr>
              <w:t>：</w:t>
            </w:r>
            <w:r>
              <w:rPr>
                <w:rFonts w:cs="Times New Roman" w:hint="eastAsia"/>
                <w:kern w:val="21"/>
                <w:sz w:val="21"/>
                <w:szCs w:val="21"/>
              </w:rPr>
              <w:t>50000</w:t>
            </w:r>
            <w:r>
              <w:rPr>
                <w:rFonts w:cs="Times New Roman" w:hint="eastAsia"/>
                <w:kern w:val="21"/>
                <w:sz w:val="21"/>
                <w:szCs w:val="21"/>
              </w:rPr>
              <w:t>电子分布地图》对比分析</w:t>
            </w:r>
            <w:r>
              <w:rPr>
                <w:rFonts w:cs="Times New Roman"/>
                <w:kern w:val="21"/>
                <w:sz w:val="21"/>
                <w:szCs w:val="21"/>
              </w:rPr>
              <w:t>，本项目所在地属于适养区。</w:t>
            </w:r>
          </w:p>
        </w:tc>
        <w:tc>
          <w:tcPr>
            <w:tcW w:w="934" w:type="dxa"/>
            <w:vAlign w:val="center"/>
          </w:tcPr>
          <w:p w14:paraId="192FE235"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3F79A0D4" w14:textId="77777777">
        <w:trPr>
          <w:trHeight w:val="90"/>
          <w:jc w:val="center"/>
        </w:trPr>
        <w:tc>
          <w:tcPr>
            <w:tcW w:w="4309" w:type="dxa"/>
            <w:vAlign w:val="center"/>
          </w:tcPr>
          <w:p w14:paraId="4352BC80"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禁止建设在国家或地方法律、法规规定需特殊保护的其它区域。</w:t>
            </w:r>
          </w:p>
        </w:tc>
        <w:tc>
          <w:tcPr>
            <w:tcW w:w="3812" w:type="dxa"/>
            <w:vAlign w:val="center"/>
          </w:tcPr>
          <w:p w14:paraId="581640B5"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本项目所在地不属于国家或地方法律、法规规定需特殊保护的其他区域。</w:t>
            </w:r>
          </w:p>
        </w:tc>
        <w:tc>
          <w:tcPr>
            <w:tcW w:w="934" w:type="dxa"/>
            <w:vAlign w:val="center"/>
          </w:tcPr>
          <w:p w14:paraId="68BD4129"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187E4C47" w14:textId="77777777">
        <w:trPr>
          <w:trHeight w:val="90"/>
          <w:jc w:val="center"/>
        </w:trPr>
        <w:tc>
          <w:tcPr>
            <w:tcW w:w="4309" w:type="dxa"/>
            <w:vAlign w:val="center"/>
          </w:tcPr>
          <w:p w14:paraId="381BC42D"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粪便贮存设施的位置必须远离各类功能地表</w:t>
            </w:r>
            <w:r>
              <w:rPr>
                <w:rFonts w:cs="Times New Roman"/>
                <w:kern w:val="21"/>
                <w:sz w:val="21"/>
                <w:szCs w:val="21"/>
              </w:rPr>
              <w:lastRenderedPageBreak/>
              <w:t>水体（距离不得小于</w:t>
            </w:r>
            <w:r>
              <w:rPr>
                <w:rFonts w:cs="Times New Roman"/>
                <w:kern w:val="21"/>
                <w:sz w:val="21"/>
                <w:szCs w:val="21"/>
              </w:rPr>
              <w:t>400m</w:t>
            </w:r>
            <w:r>
              <w:rPr>
                <w:rFonts w:cs="Times New Roman"/>
                <w:kern w:val="21"/>
                <w:sz w:val="21"/>
                <w:szCs w:val="21"/>
              </w:rPr>
              <w:t>），并应设在养殖场生产及生活管理区的常年主导风向的下风向或侧风向处。</w:t>
            </w:r>
          </w:p>
        </w:tc>
        <w:tc>
          <w:tcPr>
            <w:tcW w:w="3812" w:type="dxa"/>
            <w:vAlign w:val="center"/>
          </w:tcPr>
          <w:p w14:paraId="1C41C00D"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lastRenderedPageBreak/>
              <w:t>本项目采用干清粪工艺，鸡粪日产日</w:t>
            </w:r>
            <w:r>
              <w:rPr>
                <w:rFonts w:cs="Times New Roman"/>
                <w:kern w:val="21"/>
                <w:sz w:val="21"/>
                <w:szCs w:val="21"/>
              </w:rPr>
              <w:lastRenderedPageBreak/>
              <w:t>清，交由</w:t>
            </w:r>
            <w:r>
              <w:rPr>
                <w:rFonts w:cs="Times New Roman" w:hint="eastAsia"/>
                <w:kern w:val="21"/>
                <w:sz w:val="21"/>
                <w:szCs w:val="21"/>
              </w:rPr>
              <w:t>四川省田宝生物科技有限公司</w:t>
            </w:r>
            <w:r>
              <w:rPr>
                <w:rFonts w:cs="Times New Roman"/>
                <w:kern w:val="21"/>
                <w:sz w:val="21"/>
                <w:szCs w:val="21"/>
              </w:rPr>
              <w:t>进行有机肥生产</w:t>
            </w:r>
            <w:r>
              <w:rPr>
                <w:rFonts w:cs="Times New Roman" w:hint="eastAsia"/>
                <w:kern w:val="21"/>
                <w:sz w:val="21"/>
                <w:szCs w:val="21"/>
              </w:rPr>
              <w:t>，不在厂内贮存</w:t>
            </w:r>
            <w:r>
              <w:rPr>
                <w:rFonts w:cs="Times New Roman"/>
                <w:kern w:val="21"/>
                <w:sz w:val="21"/>
                <w:szCs w:val="21"/>
              </w:rPr>
              <w:t>。</w:t>
            </w:r>
          </w:p>
        </w:tc>
        <w:tc>
          <w:tcPr>
            <w:tcW w:w="934" w:type="dxa"/>
            <w:vAlign w:val="center"/>
          </w:tcPr>
          <w:p w14:paraId="21717410"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lastRenderedPageBreak/>
              <w:t>符合</w:t>
            </w:r>
          </w:p>
        </w:tc>
      </w:tr>
    </w:tbl>
    <w:p w14:paraId="4040F7B1" w14:textId="77777777" w:rsidR="00544649" w:rsidRDefault="00000000">
      <w:pPr>
        <w:widowControl/>
        <w:adjustRightInd w:val="0"/>
        <w:snapToGrid w:val="0"/>
        <w:spacing w:after="0"/>
        <w:ind w:firstLine="480"/>
        <w:jc w:val="left"/>
        <w:rPr>
          <w:kern w:val="21"/>
        </w:rPr>
      </w:pPr>
      <w:r>
        <w:rPr>
          <w:rFonts w:ascii="宋体" w:hAnsi="宋体" w:cs="宋体" w:hint="eastAsia"/>
          <w:kern w:val="21"/>
          <w:szCs w:val="24"/>
          <w:lang w:bidi="ar"/>
        </w:rPr>
        <w:t>综上所述，本项目符合《畜禽养殖业污染防治技术规范》中相关要求。</w:t>
      </w:r>
    </w:p>
    <w:p w14:paraId="176B081C" w14:textId="77777777" w:rsidR="00544649" w:rsidRDefault="00000000">
      <w:pPr>
        <w:keepNext/>
        <w:keepLines/>
        <w:numPr>
          <w:ilvl w:val="3"/>
          <w:numId w:val="2"/>
        </w:numPr>
        <w:adjustRightInd w:val="0"/>
        <w:snapToGrid w:val="0"/>
        <w:spacing w:after="0"/>
        <w:ind w:firstLineChars="0"/>
        <w:outlineLvl w:val="3"/>
        <w:rPr>
          <w:rFonts w:cstheme="majorBidi"/>
          <w:b/>
          <w:kern w:val="21"/>
          <w:szCs w:val="28"/>
        </w:rPr>
      </w:pPr>
      <w:r>
        <w:rPr>
          <w:rFonts w:cstheme="majorBidi" w:hint="eastAsia"/>
          <w:b/>
          <w:kern w:val="21"/>
          <w:szCs w:val="28"/>
        </w:rPr>
        <w:t>与</w:t>
      </w:r>
      <w:r>
        <w:rPr>
          <w:rFonts w:cstheme="majorBidi"/>
          <w:b/>
          <w:kern w:val="21"/>
          <w:szCs w:val="28"/>
        </w:rPr>
        <w:t>《畜禽养殖业污染治理工程技术规范》</w:t>
      </w:r>
      <w:r>
        <w:rPr>
          <w:rFonts w:cs="Times New Roman"/>
          <w:b/>
          <w:kern w:val="21"/>
          <w:szCs w:val="24"/>
          <w:lang w:bidi="ar"/>
        </w:rPr>
        <w:t>（</w:t>
      </w:r>
      <w:r>
        <w:rPr>
          <w:rFonts w:cs="Times New Roman"/>
          <w:b/>
          <w:kern w:val="21"/>
          <w:szCs w:val="24"/>
          <w:lang w:bidi="ar"/>
        </w:rPr>
        <w:t>HJ497</w:t>
      </w:r>
      <w:r>
        <w:rPr>
          <w:rFonts w:cs="Times New Roman" w:hint="eastAsia"/>
          <w:b/>
          <w:kern w:val="21"/>
          <w:szCs w:val="24"/>
          <w:lang w:bidi="ar"/>
        </w:rPr>
        <w:t>-</w:t>
      </w:r>
      <w:r>
        <w:rPr>
          <w:rFonts w:cs="Times New Roman"/>
          <w:b/>
          <w:kern w:val="21"/>
          <w:szCs w:val="24"/>
          <w:lang w:bidi="ar"/>
        </w:rPr>
        <w:t>2009</w:t>
      </w:r>
      <w:r>
        <w:rPr>
          <w:rFonts w:cs="Times New Roman"/>
          <w:b/>
          <w:kern w:val="21"/>
          <w:szCs w:val="24"/>
          <w:lang w:bidi="ar"/>
        </w:rPr>
        <w:t>）</w:t>
      </w:r>
      <w:r>
        <w:rPr>
          <w:rFonts w:cstheme="majorBidi"/>
          <w:b/>
          <w:kern w:val="21"/>
          <w:szCs w:val="28"/>
        </w:rPr>
        <w:t>符合性分析</w:t>
      </w:r>
    </w:p>
    <w:p w14:paraId="0022E69A" w14:textId="77777777" w:rsidR="00544649" w:rsidRDefault="00000000">
      <w:pPr>
        <w:adjustRightInd w:val="0"/>
        <w:snapToGrid w:val="0"/>
        <w:spacing w:after="0"/>
        <w:ind w:firstLine="480"/>
        <w:rPr>
          <w:rFonts w:cs="Times New Roman"/>
          <w:kern w:val="21"/>
        </w:rPr>
      </w:pPr>
      <w:r>
        <w:rPr>
          <w:rFonts w:cs="Times New Roman"/>
          <w:kern w:val="21"/>
        </w:rPr>
        <w:t>项目与《畜禽养殖业污染治理工程技术规范》（</w:t>
      </w:r>
      <w:r>
        <w:rPr>
          <w:rFonts w:cs="Times New Roman"/>
          <w:kern w:val="21"/>
        </w:rPr>
        <w:t>HJ497</w:t>
      </w:r>
      <w:r>
        <w:rPr>
          <w:rFonts w:cs="Times New Roman" w:hint="eastAsia"/>
          <w:kern w:val="21"/>
        </w:rPr>
        <w:t>-</w:t>
      </w:r>
      <w:r>
        <w:rPr>
          <w:rFonts w:cs="Times New Roman"/>
          <w:kern w:val="21"/>
        </w:rPr>
        <w:t>2009</w:t>
      </w:r>
      <w:r>
        <w:rPr>
          <w:rFonts w:cs="Times New Roman"/>
          <w:kern w:val="21"/>
        </w:rPr>
        <w:t>）的符合性见下表。</w:t>
      </w:r>
    </w:p>
    <w:p w14:paraId="55F55FE9" w14:textId="77777777" w:rsidR="00544649" w:rsidRDefault="00000000">
      <w:pPr>
        <w:widowControl/>
        <w:numPr>
          <w:ilvl w:val="0"/>
          <w:numId w:val="13"/>
        </w:numPr>
        <w:adjustRightInd w:val="0"/>
        <w:snapToGrid w:val="0"/>
        <w:spacing w:beforeLines="20" w:before="65" w:afterLines="20" w:after="65" w:line="240" w:lineRule="auto"/>
        <w:ind w:firstLineChars="0"/>
        <w:jc w:val="center"/>
        <w:rPr>
          <w:rFonts w:cs="Times New Roman"/>
          <w:b/>
          <w:kern w:val="21"/>
          <w:sz w:val="21"/>
          <w:szCs w:val="21"/>
        </w:rPr>
      </w:pPr>
      <w:r>
        <w:rPr>
          <w:rFonts w:hint="eastAsia"/>
          <w:b/>
          <w:kern w:val="21"/>
          <w:sz w:val="21"/>
          <w:szCs w:val="21"/>
        </w:rPr>
        <w:t>本</w:t>
      </w:r>
      <w:r>
        <w:rPr>
          <w:b/>
          <w:kern w:val="21"/>
          <w:sz w:val="21"/>
          <w:szCs w:val="21"/>
        </w:rPr>
        <w:t>项目</w:t>
      </w:r>
      <w:r>
        <w:rPr>
          <w:rFonts w:cs="Times New Roman"/>
          <w:b/>
          <w:kern w:val="21"/>
          <w:sz w:val="21"/>
          <w:szCs w:val="21"/>
        </w:rPr>
        <w:t>与《畜禽养殖业污染治理工程技术规范》</w:t>
      </w:r>
      <w:r>
        <w:rPr>
          <w:rFonts w:cs="Times New Roman" w:hint="eastAsia"/>
          <w:b/>
          <w:kern w:val="21"/>
          <w:sz w:val="21"/>
          <w:szCs w:val="21"/>
        </w:rPr>
        <w:t>符合性分析</w:t>
      </w:r>
    </w:p>
    <w:tbl>
      <w:tblPr>
        <w:tblStyle w:val="afc"/>
        <w:tblW w:w="9060" w:type="dxa"/>
        <w:jc w:val="center"/>
        <w:tblLayout w:type="fixed"/>
        <w:tblLook w:val="04A0" w:firstRow="1" w:lastRow="0" w:firstColumn="1" w:lastColumn="0" w:noHBand="0" w:noVBand="1"/>
      </w:tblPr>
      <w:tblGrid>
        <w:gridCol w:w="1137"/>
        <w:gridCol w:w="3918"/>
        <w:gridCol w:w="3135"/>
        <w:gridCol w:w="870"/>
      </w:tblGrid>
      <w:tr w:rsidR="00544649" w14:paraId="5B42B289" w14:textId="77777777">
        <w:trPr>
          <w:tblHeader/>
          <w:jc w:val="center"/>
        </w:trPr>
        <w:tc>
          <w:tcPr>
            <w:tcW w:w="5055" w:type="dxa"/>
            <w:gridSpan w:val="2"/>
            <w:vAlign w:val="center"/>
          </w:tcPr>
          <w:p w14:paraId="416D4FCD"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b/>
                <w:bCs/>
                <w:kern w:val="21"/>
                <w:sz w:val="21"/>
                <w:szCs w:val="21"/>
              </w:rPr>
              <w:t>《技术规范》要求</w:t>
            </w:r>
          </w:p>
        </w:tc>
        <w:tc>
          <w:tcPr>
            <w:tcW w:w="3135" w:type="dxa"/>
            <w:vAlign w:val="center"/>
          </w:tcPr>
          <w:p w14:paraId="199B51C1"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b/>
                <w:bCs/>
                <w:kern w:val="21"/>
                <w:sz w:val="21"/>
                <w:szCs w:val="21"/>
              </w:rPr>
              <w:t>项目情况</w:t>
            </w:r>
          </w:p>
        </w:tc>
        <w:tc>
          <w:tcPr>
            <w:tcW w:w="870" w:type="dxa"/>
            <w:vAlign w:val="center"/>
          </w:tcPr>
          <w:p w14:paraId="769C0A43"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b/>
                <w:bCs/>
                <w:kern w:val="21"/>
                <w:sz w:val="21"/>
                <w:szCs w:val="21"/>
              </w:rPr>
              <w:t>符合性</w:t>
            </w:r>
          </w:p>
        </w:tc>
      </w:tr>
      <w:tr w:rsidR="00544649" w14:paraId="08DB8594" w14:textId="77777777">
        <w:trPr>
          <w:jc w:val="center"/>
        </w:trPr>
        <w:tc>
          <w:tcPr>
            <w:tcW w:w="1137" w:type="dxa"/>
            <w:vMerge w:val="restart"/>
            <w:vAlign w:val="center"/>
          </w:tcPr>
          <w:p w14:paraId="28C817E6"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粪污收集</w:t>
            </w:r>
          </w:p>
        </w:tc>
        <w:tc>
          <w:tcPr>
            <w:tcW w:w="3918" w:type="dxa"/>
            <w:vAlign w:val="center"/>
          </w:tcPr>
          <w:p w14:paraId="1F499C23"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新建、改建、扩建的畜禽养殖场宜采用干清粪工艺。现采用水冲粪、水泡粪清粪工艺的养殖场，应逐步</w:t>
            </w:r>
            <w:proofErr w:type="gramStart"/>
            <w:r>
              <w:rPr>
                <w:rFonts w:cs="Times New Roman"/>
                <w:kern w:val="21"/>
                <w:sz w:val="21"/>
                <w:szCs w:val="21"/>
              </w:rPr>
              <w:t>改为干</w:t>
            </w:r>
            <w:proofErr w:type="gramEnd"/>
            <w:r>
              <w:rPr>
                <w:rFonts w:cs="Times New Roman"/>
                <w:kern w:val="21"/>
                <w:sz w:val="21"/>
                <w:szCs w:val="21"/>
              </w:rPr>
              <w:t>清粪工艺。</w:t>
            </w:r>
          </w:p>
        </w:tc>
        <w:tc>
          <w:tcPr>
            <w:tcW w:w="3135" w:type="dxa"/>
            <w:vAlign w:val="center"/>
          </w:tcPr>
          <w:p w14:paraId="65F7AC6D"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w:t>
            </w:r>
            <w:r>
              <w:rPr>
                <w:rFonts w:cs="Times New Roman" w:hint="eastAsia"/>
                <w:kern w:val="21"/>
                <w:sz w:val="21"/>
                <w:szCs w:val="21"/>
              </w:rPr>
              <w:t>采用干清粪工艺</w:t>
            </w:r>
            <w:r>
              <w:rPr>
                <w:rFonts w:cs="Times New Roman"/>
                <w:kern w:val="21"/>
                <w:sz w:val="21"/>
              </w:rPr>
              <w:t>。</w:t>
            </w:r>
          </w:p>
        </w:tc>
        <w:tc>
          <w:tcPr>
            <w:tcW w:w="870" w:type="dxa"/>
            <w:vAlign w:val="center"/>
          </w:tcPr>
          <w:p w14:paraId="699EB6E6"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48339DD1" w14:textId="77777777">
        <w:trPr>
          <w:jc w:val="center"/>
        </w:trPr>
        <w:tc>
          <w:tcPr>
            <w:tcW w:w="1137" w:type="dxa"/>
            <w:vMerge/>
            <w:vAlign w:val="center"/>
          </w:tcPr>
          <w:p w14:paraId="68A02115" w14:textId="77777777" w:rsidR="00544649" w:rsidRDefault="00544649">
            <w:pPr>
              <w:adjustRightInd w:val="0"/>
              <w:snapToGrid w:val="0"/>
              <w:spacing w:beforeLines="20" w:before="65" w:afterLines="20" w:after="65" w:line="240" w:lineRule="auto"/>
              <w:ind w:firstLineChars="0" w:firstLine="0"/>
              <w:jc w:val="center"/>
              <w:rPr>
                <w:rFonts w:cs="Times New Roman"/>
                <w:kern w:val="21"/>
                <w:sz w:val="21"/>
                <w:szCs w:val="21"/>
              </w:rPr>
            </w:pPr>
          </w:p>
        </w:tc>
        <w:tc>
          <w:tcPr>
            <w:tcW w:w="3918" w:type="dxa"/>
            <w:vAlign w:val="center"/>
          </w:tcPr>
          <w:p w14:paraId="622203CF"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畜禽</w:t>
            </w:r>
            <w:proofErr w:type="gramStart"/>
            <w:r>
              <w:rPr>
                <w:rFonts w:cs="Times New Roman"/>
                <w:kern w:val="21"/>
                <w:sz w:val="21"/>
                <w:szCs w:val="21"/>
              </w:rPr>
              <w:t>粪污应日产</w:t>
            </w:r>
            <w:proofErr w:type="gramEnd"/>
            <w:r>
              <w:rPr>
                <w:rFonts w:cs="Times New Roman"/>
                <w:kern w:val="21"/>
                <w:sz w:val="21"/>
                <w:szCs w:val="21"/>
              </w:rPr>
              <w:t>日清。</w:t>
            </w:r>
          </w:p>
        </w:tc>
        <w:tc>
          <w:tcPr>
            <w:tcW w:w="3135" w:type="dxa"/>
            <w:vAlign w:val="center"/>
          </w:tcPr>
          <w:p w14:paraId="4DF90C97"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本项目鸡粪日产日清</w:t>
            </w:r>
            <w:r>
              <w:rPr>
                <w:rFonts w:cs="Times New Roman"/>
                <w:kern w:val="21"/>
                <w:sz w:val="21"/>
              </w:rPr>
              <w:t>，鸡粪通过密闭皮带传输机运送至密闭鸡粪转运车，</w:t>
            </w:r>
            <w:r>
              <w:rPr>
                <w:rFonts w:cs="Times New Roman"/>
                <w:kern w:val="21"/>
                <w:sz w:val="21"/>
                <w:szCs w:val="24"/>
              </w:rPr>
              <w:t>交由</w:t>
            </w:r>
            <w:r>
              <w:rPr>
                <w:rFonts w:cs="Times New Roman" w:hint="eastAsia"/>
                <w:kern w:val="21"/>
                <w:sz w:val="21"/>
              </w:rPr>
              <w:t>四川省田宝生物科技有限公司</w:t>
            </w:r>
            <w:r>
              <w:rPr>
                <w:rFonts w:cs="Times New Roman"/>
                <w:kern w:val="21"/>
                <w:sz w:val="21"/>
              </w:rPr>
              <w:t>进行有机肥生产。</w:t>
            </w:r>
          </w:p>
        </w:tc>
        <w:tc>
          <w:tcPr>
            <w:tcW w:w="870" w:type="dxa"/>
            <w:vAlign w:val="center"/>
          </w:tcPr>
          <w:p w14:paraId="6664E860"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73BAA3F3" w14:textId="77777777">
        <w:trPr>
          <w:jc w:val="center"/>
        </w:trPr>
        <w:tc>
          <w:tcPr>
            <w:tcW w:w="1137" w:type="dxa"/>
            <w:vMerge/>
            <w:vAlign w:val="center"/>
          </w:tcPr>
          <w:p w14:paraId="7F3A26D3" w14:textId="77777777" w:rsidR="00544649" w:rsidRDefault="00544649">
            <w:pPr>
              <w:adjustRightInd w:val="0"/>
              <w:snapToGrid w:val="0"/>
              <w:spacing w:beforeLines="20" w:before="65" w:afterLines="20" w:after="65" w:line="240" w:lineRule="auto"/>
              <w:ind w:firstLineChars="0" w:firstLine="0"/>
              <w:jc w:val="center"/>
              <w:rPr>
                <w:rFonts w:cs="Times New Roman"/>
                <w:kern w:val="21"/>
                <w:sz w:val="21"/>
                <w:szCs w:val="21"/>
              </w:rPr>
            </w:pPr>
          </w:p>
        </w:tc>
        <w:tc>
          <w:tcPr>
            <w:tcW w:w="3918" w:type="dxa"/>
            <w:vAlign w:val="center"/>
          </w:tcPr>
          <w:p w14:paraId="74F06CED"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畜禽养殖场应建立排水系统，并实现雨污分流。</w:t>
            </w:r>
          </w:p>
        </w:tc>
        <w:tc>
          <w:tcPr>
            <w:tcW w:w="3135" w:type="dxa"/>
            <w:vAlign w:val="center"/>
          </w:tcPr>
          <w:p w14:paraId="468FBF1A"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rPr>
              <w:t>本项目</w:t>
            </w:r>
            <w:r>
              <w:rPr>
                <w:rFonts w:cs="Times New Roman" w:hint="eastAsia"/>
                <w:kern w:val="21"/>
                <w:sz w:val="21"/>
              </w:rPr>
              <w:t>场内建设排水系统，管网采取</w:t>
            </w:r>
            <w:r>
              <w:rPr>
                <w:rFonts w:cs="Times New Roman"/>
                <w:kern w:val="21"/>
                <w:sz w:val="21"/>
              </w:rPr>
              <w:t>雨污分流。</w:t>
            </w:r>
          </w:p>
        </w:tc>
        <w:tc>
          <w:tcPr>
            <w:tcW w:w="870" w:type="dxa"/>
            <w:vAlign w:val="center"/>
          </w:tcPr>
          <w:p w14:paraId="13A31DCB"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48F8F850" w14:textId="77777777">
        <w:trPr>
          <w:jc w:val="center"/>
        </w:trPr>
        <w:tc>
          <w:tcPr>
            <w:tcW w:w="1137" w:type="dxa"/>
            <w:vMerge w:val="restart"/>
            <w:vAlign w:val="center"/>
          </w:tcPr>
          <w:p w14:paraId="5A308BC0"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粪污储存</w:t>
            </w:r>
          </w:p>
        </w:tc>
        <w:tc>
          <w:tcPr>
            <w:tcW w:w="3918" w:type="dxa"/>
            <w:vAlign w:val="center"/>
          </w:tcPr>
          <w:p w14:paraId="136E22F0"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粪污无害化处理后用于还田利用的，畜禽粪污处理厂（站）应设置专门的储存池。</w:t>
            </w:r>
          </w:p>
        </w:tc>
        <w:tc>
          <w:tcPr>
            <w:tcW w:w="3135" w:type="dxa"/>
            <w:vMerge w:val="restart"/>
            <w:vAlign w:val="center"/>
          </w:tcPr>
          <w:p w14:paraId="033F1108"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本项目设置污水处理站，食堂餐厨废水经隔油池处理后与生活污水及养殖废水一并进入污水处理站处理达标后回用于农灌。场内设置废水储存池，考虑满足</w:t>
            </w:r>
            <w:r>
              <w:rPr>
                <w:rFonts w:cs="Times New Roman" w:hint="eastAsia"/>
                <w:kern w:val="21"/>
                <w:sz w:val="21"/>
                <w:szCs w:val="21"/>
              </w:rPr>
              <w:t>30d</w:t>
            </w:r>
            <w:r>
              <w:rPr>
                <w:rFonts w:cs="Times New Roman" w:hint="eastAsia"/>
                <w:kern w:val="21"/>
                <w:sz w:val="21"/>
                <w:szCs w:val="21"/>
              </w:rPr>
              <w:t>贮存期的排放总量。贮存</w:t>
            </w:r>
            <w:proofErr w:type="gramStart"/>
            <w:r>
              <w:rPr>
                <w:rFonts w:cs="Times New Roman" w:hint="eastAsia"/>
                <w:kern w:val="21"/>
                <w:sz w:val="21"/>
                <w:szCs w:val="21"/>
              </w:rPr>
              <w:t>池采取</w:t>
            </w:r>
            <w:proofErr w:type="gramEnd"/>
            <w:r>
              <w:rPr>
                <w:rFonts w:cs="Times New Roman" w:hint="eastAsia"/>
                <w:kern w:val="21"/>
                <w:sz w:val="21"/>
                <w:szCs w:val="21"/>
              </w:rPr>
              <w:t>一般防渗处理，满足防渗要求，防止废水污染地下水。</w:t>
            </w:r>
          </w:p>
        </w:tc>
        <w:tc>
          <w:tcPr>
            <w:tcW w:w="870" w:type="dxa"/>
            <w:vMerge w:val="restart"/>
            <w:vAlign w:val="center"/>
          </w:tcPr>
          <w:p w14:paraId="257D0A18"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7388BFF1" w14:textId="77777777">
        <w:trPr>
          <w:jc w:val="center"/>
        </w:trPr>
        <w:tc>
          <w:tcPr>
            <w:tcW w:w="1137" w:type="dxa"/>
            <w:vMerge/>
            <w:vAlign w:val="center"/>
          </w:tcPr>
          <w:p w14:paraId="125AEB62" w14:textId="77777777" w:rsidR="00544649" w:rsidRDefault="00544649">
            <w:pPr>
              <w:adjustRightInd w:val="0"/>
              <w:snapToGrid w:val="0"/>
              <w:spacing w:beforeLines="20" w:before="65" w:afterLines="20" w:after="65" w:line="240" w:lineRule="auto"/>
              <w:ind w:firstLineChars="0" w:firstLine="0"/>
              <w:jc w:val="center"/>
              <w:rPr>
                <w:rFonts w:cs="Times New Roman"/>
                <w:kern w:val="21"/>
                <w:sz w:val="21"/>
                <w:szCs w:val="21"/>
              </w:rPr>
            </w:pPr>
          </w:p>
        </w:tc>
        <w:tc>
          <w:tcPr>
            <w:tcW w:w="3918" w:type="dxa"/>
            <w:vAlign w:val="center"/>
          </w:tcPr>
          <w:p w14:paraId="4504CBAB"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储存池的总有效容积应根据贮存期确定。种养结合的养殖场，贮存池的贮存期不得低于当地农作物生产用肥的最大间隔时间和冬季封冻期或雨季最长降雨期，一般不得小于</w:t>
            </w:r>
            <w:r>
              <w:rPr>
                <w:rFonts w:cs="Times New Roman"/>
                <w:kern w:val="21"/>
                <w:sz w:val="21"/>
                <w:szCs w:val="21"/>
              </w:rPr>
              <w:t>30d</w:t>
            </w:r>
            <w:r>
              <w:rPr>
                <w:rFonts w:cs="Times New Roman"/>
                <w:kern w:val="21"/>
                <w:sz w:val="21"/>
                <w:szCs w:val="21"/>
              </w:rPr>
              <w:t>的排放总量。</w:t>
            </w:r>
          </w:p>
        </w:tc>
        <w:tc>
          <w:tcPr>
            <w:tcW w:w="3135" w:type="dxa"/>
            <w:vMerge/>
            <w:vAlign w:val="center"/>
          </w:tcPr>
          <w:p w14:paraId="64063A62" w14:textId="77777777" w:rsidR="00544649" w:rsidRDefault="00544649">
            <w:pPr>
              <w:adjustRightInd w:val="0"/>
              <w:snapToGrid w:val="0"/>
              <w:spacing w:beforeLines="20" w:before="65" w:afterLines="20" w:after="65" w:line="240" w:lineRule="auto"/>
              <w:ind w:firstLineChars="0" w:firstLine="0"/>
              <w:jc w:val="center"/>
              <w:rPr>
                <w:rFonts w:cs="Times New Roman"/>
                <w:kern w:val="21"/>
                <w:sz w:val="21"/>
                <w:szCs w:val="21"/>
              </w:rPr>
            </w:pPr>
          </w:p>
        </w:tc>
        <w:tc>
          <w:tcPr>
            <w:tcW w:w="870" w:type="dxa"/>
            <w:vMerge/>
            <w:vAlign w:val="center"/>
          </w:tcPr>
          <w:p w14:paraId="5DFAA495" w14:textId="77777777" w:rsidR="00544649" w:rsidRDefault="00544649">
            <w:pPr>
              <w:adjustRightInd w:val="0"/>
              <w:snapToGrid w:val="0"/>
              <w:spacing w:beforeLines="20" w:before="65" w:afterLines="20" w:after="65" w:line="240" w:lineRule="auto"/>
              <w:ind w:firstLineChars="0" w:firstLine="0"/>
              <w:jc w:val="center"/>
              <w:rPr>
                <w:rFonts w:cs="Times New Roman"/>
                <w:kern w:val="21"/>
                <w:sz w:val="21"/>
                <w:szCs w:val="21"/>
              </w:rPr>
            </w:pPr>
          </w:p>
        </w:tc>
      </w:tr>
      <w:tr w:rsidR="00544649" w14:paraId="7082A911" w14:textId="77777777">
        <w:trPr>
          <w:jc w:val="center"/>
        </w:trPr>
        <w:tc>
          <w:tcPr>
            <w:tcW w:w="1137" w:type="dxa"/>
            <w:vMerge/>
            <w:vAlign w:val="center"/>
          </w:tcPr>
          <w:p w14:paraId="60387C41" w14:textId="77777777" w:rsidR="00544649" w:rsidRDefault="00544649">
            <w:pPr>
              <w:adjustRightInd w:val="0"/>
              <w:snapToGrid w:val="0"/>
              <w:spacing w:beforeLines="20" w:before="65" w:afterLines="20" w:after="65" w:line="240" w:lineRule="auto"/>
              <w:ind w:firstLineChars="0" w:firstLine="0"/>
              <w:jc w:val="center"/>
              <w:rPr>
                <w:rFonts w:cs="Times New Roman"/>
                <w:kern w:val="21"/>
                <w:sz w:val="21"/>
                <w:szCs w:val="21"/>
              </w:rPr>
            </w:pPr>
          </w:p>
        </w:tc>
        <w:tc>
          <w:tcPr>
            <w:tcW w:w="3918" w:type="dxa"/>
            <w:vAlign w:val="center"/>
          </w:tcPr>
          <w:p w14:paraId="7203C59E"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贮存池的结构应符合</w:t>
            </w:r>
            <w:r>
              <w:rPr>
                <w:rFonts w:cs="Times New Roman"/>
                <w:kern w:val="21"/>
                <w:sz w:val="21"/>
                <w:szCs w:val="21"/>
              </w:rPr>
              <w:t>GB50069</w:t>
            </w:r>
            <w:r>
              <w:rPr>
                <w:rFonts w:cs="Times New Roman"/>
                <w:kern w:val="21"/>
                <w:sz w:val="21"/>
                <w:szCs w:val="21"/>
              </w:rPr>
              <w:t>的有关规定，具有防渗漏功能，不得污染地下水。</w:t>
            </w:r>
          </w:p>
        </w:tc>
        <w:tc>
          <w:tcPr>
            <w:tcW w:w="3135" w:type="dxa"/>
            <w:vMerge/>
            <w:vAlign w:val="center"/>
          </w:tcPr>
          <w:p w14:paraId="15C12FD8" w14:textId="77777777" w:rsidR="00544649" w:rsidRDefault="00544649">
            <w:pPr>
              <w:adjustRightInd w:val="0"/>
              <w:snapToGrid w:val="0"/>
              <w:spacing w:beforeLines="20" w:before="65" w:afterLines="20" w:after="65" w:line="240" w:lineRule="auto"/>
              <w:ind w:firstLineChars="0" w:firstLine="0"/>
              <w:jc w:val="center"/>
              <w:rPr>
                <w:rFonts w:cs="Times New Roman"/>
                <w:kern w:val="21"/>
                <w:sz w:val="21"/>
                <w:szCs w:val="21"/>
              </w:rPr>
            </w:pPr>
          </w:p>
        </w:tc>
        <w:tc>
          <w:tcPr>
            <w:tcW w:w="870" w:type="dxa"/>
            <w:vMerge/>
            <w:vAlign w:val="center"/>
          </w:tcPr>
          <w:p w14:paraId="2F55253F" w14:textId="77777777" w:rsidR="00544649" w:rsidRDefault="00544649">
            <w:pPr>
              <w:adjustRightInd w:val="0"/>
              <w:snapToGrid w:val="0"/>
              <w:spacing w:beforeLines="20" w:before="65" w:afterLines="20" w:after="65" w:line="240" w:lineRule="auto"/>
              <w:ind w:firstLineChars="0" w:firstLine="0"/>
              <w:jc w:val="center"/>
              <w:rPr>
                <w:rFonts w:cs="Times New Roman"/>
                <w:kern w:val="21"/>
                <w:sz w:val="21"/>
                <w:szCs w:val="21"/>
              </w:rPr>
            </w:pPr>
          </w:p>
        </w:tc>
      </w:tr>
      <w:tr w:rsidR="00544649" w14:paraId="728194B2" w14:textId="77777777">
        <w:trPr>
          <w:jc w:val="center"/>
        </w:trPr>
        <w:tc>
          <w:tcPr>
            <w:tcW w:w="1137" w:type="dxa"/>
            <w:vMerge/>
            <w:vAlign w:val="center"/>
          </w:tcPr>
          <w:p w14:paraId="5F9CE071" w14:textId="77777777" w:rsidR="00544649" w:rsidRDefault="00544649">
            <w:pPr>
              <w:adjustRightInd w:val="0"/>
              <w:snapToGrid w:val="0"/>
              <w:spacing w:beforeLines="20" w:before="65" w:afterLines="20" w:after="65" w:line="240" w:lineRule="auto"/>
              <w:ind w:firstLineChars="0" w:firstLine="0"/>
              <w:jc w:val="center"/>
              <w:rPr>
                <w:rFonts w:cs="Times New Roman"/>
                <w:kern w:val="21"/>
                <w:sz w:val="21"/>
                <w:szCs w:val="21"/>
              </w:rPr>
            </w:pPr>
          </w:p>
        </w:tc>
        <w:tc>
          <w:tcPr>
            <w:tcW w:w="3918" w:type="dxa"/>
            <w:vAlign w:val="center"/>
          </w:tcPr>
          <w:p w14:paraId="205B4537"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贮存池应配备防止降雨（水）进入的措施。</w:t>
            </w:r>
          </w:p>
        </w:tc>
        <w:tc>
          <w:tcPr>
            <w:tcW w:w="3135" w:type="dxa"/>
            <w:vMerge/>
            <w:vAlign w:val="center"/>
          </w:tcPr>
          <w:p w14:paraId="687B139D" w14:textId="77777777" w:rsidR="00544649" w:rsidRDefault="00544649">
            <w:pPr>
              <w:adjustRightInd w:val="0"/>
              <w:snapToGrid w:val="0"/>
              <w:spacing w:beforeLines="20" w:before="65" w:afterLines="20" w:after="65" w:line="240" w:lineRule="auto"/>
              <w:ind w:firstLineChars="0" w:firstLine="0"/>
              <w:jc w:val="center"/>
              <w:rPr>
                <w:rFonts w:cs="Times New Roman"/>
                <w:kern w:val="21"/>
                <w:sz w:val="21"/>
                <w:szCs w:val="21"/>
              </w:rPr>
            </w:pPr>
          </w:p>
        </w:tc>
        <w:tc>
          <w:tcPr>
            <w:tcW w:w="870" w:type="dxa"/>
            <w:vMerge/>
            <w:vAlign w:val="center"/>
          </w:tcPr>
          <w:p w14:paraId="54AC568F" w14:textId="77777777" w:rsidR="00544649" w:rsidRDefault="00544649">
            <w:pPr>
              <w:adjustRightInd w:val="0"/>
              <w:snapToGrid w:val="0"/>
              <w:spacing w:beforeLines="20" w:before="65" w:afterLines="20" w:after="65" w:line="240" w:lineRule="auto"/>
              <w:ind w:firstLineChars="0" w:firstLine="0"/>
              <w:jc w:val="center"/>
              <w:rPr>
                <w:rFonts w:cs="Times New Roman"/>
                <w:kern w:val="21"/>
                <w:sz w:val="21"/>
                <w:szCs w:val="21"/>
              </w:rPr>
            </w:pPr>
          </w:p>
        </w:tc>
      </w:tr>
      <w:tr w:rsidR="00544649" w14:paraId="6FE1E57C" w14:textId="77777777">
        <w:trPr>
          <w:trHeight w:val="90"/>
          <w:jc w:val="center"/>
        </w:trPr>
        <w:tc>
          <w:tcPr>
            <w:tcW w:w="1137" w:type="dxa"/>
            <w:vAlign w:val="center"/>
          </w:tcPr>
          <w:p w14:paraId="70326E51"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病死畜禽尸体处理与处置</w:t>
            </w:r>
          </w:p>
        </w:tc>
        <w:tc>
          <w:tcPr>
            <w:tcW w:w="3918" w:type="dxa"/>
            <w:vAlign w:val="center"/>
          </w:tcPr>
          <w:p w14:paraId="59BF0ACB"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病死畜禽尸体应及时处理，不得随意丢弃，不得出售或作为饲料再利用。畜禽尸体的处理与处置应符合</w:t>
            </w:r>
            <w:r>
              <w:rPr>
                <w:rFonts w:cs="Times New Roman"/>
                <w:kern w:val="21"/>
                <w:sz w:val="21"/>
                <w:szCs w:val="21"/>
              </w:rPr>
              <w:t>HJ/T81-2001</w:t>
            </w:r>
            <w:r>
              <w:rPr>
                <w:rFonts w:cs="Times New Roman"/>
                <w:kern w:val="21"/>
                <w:sz w:val="21"/>
                <w:szCs w:val="21"/>
              </w:rPr>
              <w:t>第</w:t>
            </w:r>
            <w:r>
              <w:rPr>
                <w:rFonts w:cs="Times New Roman"/>
                <w:kern w:val="21"/>
                <w:sz w:val="21"/>
                <w:szCs w:val="21"/>
              </w:rPr>
              <w:t>9</w:t>
            </w:r>
            <w:r>
              <w:rPr>
                <w:rFonts w:cs="Times New Roman"/>
                <w:kern w:val="21"/>
                <w:sz w:val="21"/>
                <w:szCs w:val="21"/>
              </w:rPr>
              <w:t>章的规定。</w:t>
            </w:r>
          </w:p>
        </w:tc>
        <w:tc>
          <w:tcPr>
            <w:tcW w:w="3135" w:type="dxa"/>
            <w:vAlign w:val="center"/>
          </w:tcPr>
          <w:p w14:paraId="110DE0D8"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rPr>
              <w:t>本项目病死</w:t>
            </w:r>
            <w:proofErr w:type="gramStart"/>
            <w:r>
              <w:rPr>
                <w:rFonts w:cs="Times New Roman"/>
                <w:kern w:val="21"/>
                <w:sz w:val="21"/>
              </w:rPr>
              <w:t>鸡</w:t>
            </w:r>
            <w:r>
              <w:rPr>
                <w:rFonts w:cs="Times New Roman" w:hint="eastAsia"/>
                <w:kern w:val="21"/>
                <w:sz w:val="21"/>
              </w:rPr>
              <w:t>委托</w:t>
            </w:r>
            <w:proofErr w:type="gramEnd"/>
            <w:r>
              <w:rPr>
                <w:rFonts w:cs="Times New Roman" w:hint="eastAsia"/>
                <w:kern w:val="21"/>
                <w:sz w:val="21"/>
              </w:rPr>
              <w:t>广元</w:t>
            </w:r>
            <w:proofErr w:type="gramStart"/>
            <w:r>
              <w:rPr>
                <w:rFonts w:cs="Times New Roman" w:hint="eastAsia"/>
                <w:kern w:val="21"/>
                <w:sz w:val="21"/>
              </w:rPr>
              <w:t>市朗坤环保</w:t>
            </w:r>
            <w:proofErr w:type="gramEnd"/>
            <w:r>
              <w:rPr>
                <w:rFonts w:cs="Times New Roman" w:hint="eastAsia"/>
                <w:kern w:val="21"/>
                <w:sz w:val="21"/>
              </w:rPr>
              <w:t>有限公司清运后进行无害化处置</w:t>
            </w:r>
            <w:r>
              <w:rPr>
                <w:rFonts w:cs="Times New Roman"/>
                <w:kern w:val="21"/>
                <w:sz w:val="21"/>
              </w:rPr>
              <w:t>。</w:t>
            </w:r>
          </w:p>
        </w:tc>
        <w:tc>
          <w:tcPr>
            <w:tcW w:w="870" w:type="dxa"/>
            <w:vAlign w:val="center"/>
          </w:tcPr>
          <w:p w14:paraId="5C7782CD"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7EA14C09" w14:textId="77777777">
        <w:trPr>
          <w:jc w:val="center"/>
        </w:trPr>
        <w:tc>
          <w:tcPr>
            <w:tcW w:w="1137" w:type="dxa"/>
            <w:vMerge w:val="restart"/>
            <w:vAlign w:val="center"/>
          </w:tcPr>
          <w:p w14:paraId="482DBF48"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恶臭控制</w:t>
            </w:r>
          </w:p>
        </w:tc>
        <w:tc>
          <w:tcPr>
            <w:tcW w:w="3918" w:type="dxa"/>
            <w:vAlign w:val="center"/>
          </w:tcPr>
          <w:p w14:paraId="1E10031A"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养殖场区应通过控制饲养密度、加强舍内通风、采用节水型饮水器、及时清粪、绿化等措施抑制或减少臭气的产生。</w:t>
            </w:r>
          </w:p>
        </w:tc>
        <w:tc>
          <w:tcPr>
            <w:tcW w:w="3135" w:type="dxa"/>
            <w:vAlign w:val="center"/>
          </w:tcPr>
          <w:p w14:paraId="6753BD08"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本项目采用加强舍内通风、采用节水型饮水器、鸡粪日产日清、喷洒除臭剂</w:t>
            </w:r>
            <w:r>
              <w:rPr>
                <w:rFonts w:cs="Times New Roman"/>
                <w:kern w:val="21"/>
                <w:sz w:val="21"/>
              </w:rPr>
              <w:t>、合理使用鸡饲料</w:t>
            </w:r>
            <w:r>
              <w:rPr>
                <w:rFonts w:cs="Times New Roman"/>
                <w:kern w:val="21"/>
                <w:sz w:val="21"/>
                <w:szCs w:val="21"/>
              </w:rPr>
              <w:t>等措施抑制或减少臭气的产生。</w:t>
            </w:r>
          </w:p>
        </w:tc>
        <w:tc>
          <w:tcPr>
            <w:tcW w:w="870" w:type="dxa"/>
            <w:vAlign w:val="center"/>
          </w:tcPr>
          <w:p w14:paraId="1287CBC7"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3C1AF596" w14:textId="77777777">
        <w:trPr>
          <w:jc w:val="center"/>
        </w:trPr>
        <w:tc>
          <w:tcPr>
            <w:tcW w:w="1137" w:type="dxa"/>
            <w:vMerge/>
            <w:vAlign w:val="center"/>
          </w:tcPr>
          <w:p w14:paraId="0CEEDEB2" w14:textId="77777777" w:rsidR="00544649" w:rsidRDefault="00544649">
            <w:pPr>
              <w:adjustRightInd w:val="0"/>
              <w:snapToGrid w:val="0"/>
              <w:spacing w:beforeLines="20" w:before="65" w:afterLines="20" w:after="65" w:line="240" w:lineRule="auto"/>
              <w:ind w:firstLineChars="0" w:firstLine="0"/>
              <w:jc w:val="center"/>
              <w:rPr>
                <w:rFonts w:cs="Times New Roman"/>
                <w:kern w:val="21"/>
                <w:sz w:val="21"/>
                <w:szCs w:val="21"/>
              </w:rPr>
            </w:pPr>
          </w:p>
        </w:tc>
        <w:tc>
          <w:tcPr>
            <w:tcW w:w="3918" w:type="dxa"/>
            <w:vAlign w:val="center"/>
          </w:tcPr>
          <w:p w14:paraId="42E21C05"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粪污处理各工艺单元</w:t>
            </w:r>
            <w:proofErr w:type="gramStart"/>
            <w:r>
              <w:rPr>
                <w:rFonts w:cs="Times New Roman"/>
                <w:kern w:val="21"/>
                <w:sz w:val="21"/>
                <w:szCs w:val="21"/>
              </w:rPr>
              <w:t>宜设计</w:t>
            </w:r>
            <w:proofErr w:type="gramEnd"/>
            <w:r>
              <w:rPr>
                <w:rFonts w:cs="Times New Roman"/>
                <w:kern w:val="21"/>
                <w:sz w:val="21"/>
                <w:szCs w:val="21"/>
              </w:rPr>
              <w:t>为密闭形</w:t>
            </w:r>
            <w:r>
              <w:rPr>
                <w:rFonts w:cs="Times New Roman"/>
                <w:kern w:val="21"/>
                <w:sz w:val="21"/>
                <w:szCs w:val="21"/>
              </w:rPr>
              <w:lastRenderedPageBreak/>
              <w:t>式，减少恶臭对周围环境的污染。</w:t>
            </w:r>
          </w:p>
        </w:tc>
        <w:tc>
          <w:tcPr>
            <w:tcW w:w="3135" w:type="dxa"/>
            <w:vAlign w:val="center"/>
          </w:tcPr>
          <w:p w14:paraId="7759BEFC"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lastRenderedPageBreak/>
              <w:t>本项目采用干清粪工艺，</w:t>
            </w:r>
            <w:r>
              <w:rPr>
                <w:rFonts w:cs="Times New Roman"/>
                <w:kern w:val="21"/>
                <w:sz w:val="21"/>
                <w:szCs w:val="24"/>
              </w:rPr>
              <w:t>鸡粪</w:t>
            </w:r>
            <w:r>
              <w:rPr>
                <w:rFonts w:cs="Times New Roman"/>
                <w:kern w:val="21"/>
                <w:sz w:val="21"/>
                <w:szCs w:val="24"/>
              </w:rPr>
              <w:lastRenderedPageBreak/>
              <w:t>交由</w:t>
            </w:r>
            <w:r>
              <w:rPr>
                <w:rFonts w:cs="Times New Roman" w:hint="eastAsia"/>
                <w:kern w:val="21"/>
                <w:sz w:val="21"/>
                <w:szCs w:val="24"/>
              </w:rPr>
              <w:t>四川省田宝生物科技有限</w:t>
            </w:r>
            <w:r>
              <w:rPr>
                <w:rFonts w:cs="Times New Roman" w:hint="eastAsia"/>
                <w:kern w:val="21"/>
                <w:sz w:val="21"/>
              </w:rPr>
              <w:t>公司</w:t>
            </w:r>
            <w:r>
              <w:rPr>
                <w:rFonts w:cs="Times New Roman"/>
                <w:kern w:val="21"/>
                <w:sz w:val="21"/>
              </w:rPr>
              <w:t>进行有机肥生产。</w:t>
            </w:r>
          </w:p>
        </w:tc>
        <w:tc>
          <w:tcPr>
            <w:tcW w:w="870" w:type="dxa"/>
            <w:vAlign w:val="center"/>
          </w:tcPr>
          <w:p w14:paraId="4900BB36"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lastRenderedPageBreak/>
              <w:t>符合</w:t>
            </w:r>
          </w:p>
        </w:tc>
      </w:tr>
      <w:tr w:rsidR="00544649" w14:paraId="3285CAD4" w14:textId="77777777">
        <w:trPr>
          <w:trHeight w:val="90"/>
          <w:jc w:val="center"/>
        </w:trPr>
        <w:tc>
          <w:tcPr>
            <w:tcW w:w="1137" w:type="dxa"/>
            <w:vMerge/>
            <w:vAlign w:val="center"/>
          </w:tcPr>
          <w:p w14:paraId="714C55B4" w14:textId="77777777" w:rsidR="00544649" w:rsidRDefault="00544649">
            <w:pPr>
              <w:adjustRightInd w:val="0"/>
              <w:snapToGrid w:val="0"/>
              <w:spacing w:beforeLines="20" w:before="65" w:afterLines="20" w:after="65" w:line="240" w:lineRule="auto"/>
              <w:ind w:firstLineChars="0" w:firstLine="0"/>
              <w:jc w:val="center"/>
              <w:rPr>
                <w:rFonts w:cs="Times New Roman"/>
                <w:kern w:val="21"/>
                <w:sz w:val="21"/>
                <w:szCs w:val="21"/>
              </w:rPr>
            </w:pPr>
          </w:p>
        </w:tc>
        <w:tc>
          <w:tcPr>
            <w:tcW w:w="3918" w:type="dxa"/>
            <w:vAlign w:val="center"/>
          </w:tcPr>
          <w:p w14:paraId="1880CEE8"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可采用化学除臭方式，向养殖场区和粪污处理厂（站）投加或喷洒化学除臭剂消除或减少臭气的产生。宜采用的化学氧化剂有高锰酸钾、重铬酸钾、双氧水、次氯酸钾、臭氧等。</w:t>
            </w:r>
          </w:p>
        </w:tc>
        <w:tc>
          <w:tcPr>
            <w:tcW w:w="3135" w:type="dxa"/>
            <w:vAlign w:val="center"/>
          </w:tcPr>
          <w:p w14:paraId="208E5F25"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本项目采用加强舍内通风、采用节水型饮水器、鸡粪日产日清、喷洒除臭剂</w:t>
            </w:r>
            <w:r>
              <w:rPr>
                <w:rFonts w:cs="Times New Roman"/>
                <w:kern w:val="21"/>
                <w:sz w:val="21"/>
              </w:rPr>
              <w:t>、合理使用鸡饲料</w:t>
            </w:r>
            <w:r>
              <w:rPr>
                <w:rFonts w:cs="Times New Roman"/>
                <w:kern w:val="21"/>
                <w:sz w:val="21"/>
                <w:szCs w:val="21"/>
              </w:rPr>
              <w:t>等措施抑制或减少臭气的产生。</w:t>
            </w:r>
          </w:p>
        </w:tc>
        <w:tc>
          <w:tcPr>
            <w:tcW w:w="870" w:type="dxa"/>
            <w:vAlign w:val="center"/>
          </w:tcPr>
          <w:p w14:paraId="10E4BF26"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bl>
    <w:p w14:paraId="51C2FF6E" w14:textId="77777777" w:rsidR="00544649" w:rsidRDefault="00000000">
      <w:pPr>
        <w:adjustRightInd w:val="0"/>
        <w:snapToGrid w:val="0"/>
        <w:spacing w:after="0"/>
        <w:ind w:firstLine="480"/>
        <w:rPr>
          <w:rFonts w:cs="Times New Roman"/>
          <w:kern w:val="21"/>
        </w:rPr>
      </w:pPr>
      <w:r>
        <w:rPr>
          <w:rFonts w:cs="Times New Roman"/>
          <w:kern w:val="21"/>
        </w:rPr>
        <w:t>综上所述，项目建设符合《畜禽养殖业污染治理工程技术规范》（</w:t>
      </w:r>
      <w:r>
        <w:rPr>
          <w:rFonts w:cs="Times New Roman"/>
          <w:kern w:val="21"/>
        </w:rPr>
        <w:t>HJ497</w:t>
      </w:r>
      <w:r>
        <w:rPr>
          <w:rFonts w:cs="Times New Roman" w:hint="eastAsia"/>
          <w:kern w:val="21"/>
        </w:rPr>
        <w:t>-</w:t>
      </w:r>
      <w:r>
        <w:rPr>
          <w:rFonts w:cs="Times New Roman"/>
          <w:kern w:val="21"/>
        </w:rPr>
        <w:t>2009</w:t>
      </w:r>
      <w:r>
        <w:rPr>
          <w:rFonts w:cs="Times New Roman"/>
          <w:kern w:val="21"/>
        </w:rPr>
        <w:t>）要求。</w:t>
      </w:r>
    </w:p>
    <w:p w14:paraId="40CE05B0" w14:textId="77777777" w:rsidR="00544649" w:rsidRDefault="00000000">
      <w:pPr>
        <w:keepNext/>
        <w:keepLines/>
        <w:numPr>
          <w:ilvl w:val="3"/>
          <w:numId w:val="2"/>
        </w:numPr>
        <w:adjustRightInd w:val="0"/>
        <w:snapToGrid w:val="0"/>
        <w:spacing w:after="0"/>
        <w:ind w:firstLineChars="0"/>
        <w:outlineLvl w:val="3"/>
        <w:rPr>
          <w:rFonts w:cs="Times New Roman"/>
          <w:b/>
          <w:kern w:val="21"/>
          <w:szCs w:val="28"/>
        </w:rPr>
      </w:pPr>
      <w:r>
        <w:rPr>
          <w:rFonts w:cstheme="majorBidi" w:hint="eastAsia"/>
          <w:b/>
          <w:kern w:val="21"/>
          <w:szCs w:val="28"/>
        </w:rPr>
        <w:t>与《畜禽粪便无害化处理技术规范》（</w:t>
      </w:r>
      <w:r>
        <w:rPr>
          <w:rFonts w:cstheme="majorBidi" w:hint="eastAsia"/>
          <w:b/>
          <w:kern w:val="21"/>
          <w:szCs w:val="28"/>
        </w:rPr>
        <w:t>GB/T36195-2018</w:t>
      </w:r>
      <w:r>
        <w:rPr>
          <w:rFonts w:cstheme="majorBidi" w:hint="eastAsia"/>
          <w:b/>
          <w:kern w:val="21"/>
          <w:szCs w:val="28"/>
        </w:rPr>
        <w:t>）符合性分析</w:t>
      </w:r>
    </w:p>
    <w:p w14:paraId="3ABD0BE7" w14:textId="77777777" w:rsidR="00544649" w:rsidRDefault="00000000">
      <w:pPr>
        <w:adjustRightInd w:val="0"/>
        <w:snapToGrid w:val="0"/>
        <w:spacing w:after="0"/>
        <w:ind w:firstLine="480"/>
        <w:rPr>
          <w:kern w:val="21"/>
        </w:rPr>
      </w:pPr>
      <w:r>
        <w:rPr>
          <w:kern w:val="21"/>
        </w:rPr>
        <w:t>根据《畜禽粪便无害化处理技术规范》（</w:t>
      </w:r>
      <w:r>
        <w:rPr>
          <w:kern w:val="21"/>
        </w:rPr>
        <w:t>GB/T36195-2018</w:t>
      </w:r>
      <w:r>
        <w:rPr>
          <w:kern w:val="21"/>
        </w:rPr>
        <w:t>），结合项目实际情况，其符合性分析见下表。</w:t>
      </w:r>
    </w:p>
    <w:p w14:paraId="017E6407" w14:textId="77777777" w:rsidR="00544649" w:rsidRDefault="00000000">
      <w:pPr>
        <w:widowControl/>
        <w:numPr>
          <w:ilvl w:val="0"/>
          <w:numId w:val="13"/>
        </w:numPr>
        <w:adjustRightInd w:val="0"/>
        <w:snapToGrid w:val="0"/>
        <w:spacing w:beforeLines="20" w:before="65" w:afterLines="20" w:after="65" w:line="240" w:lineRule="auto"/>
        <w:ind w:firstLineChars="0"/>
        <w:jc w:val="center"/>
        <w:rPr>
          <w:b/>
          <w:kern w:val="21"/>
          <w:sz w:val="21"/>
          <w:szCs w:val="21"/>
        </w:rPr>
      </w:pPr>
      <w:r>
        <w:rPr>
          <w:rFonts w:hint="eastAsia"/>
          <w:b/>
          <w:kern w:val="21"/>
          <w:sz w:val="21"/>
          <w:szCs w:val="21"/>
        </w:rPr>
        <w:t>本</w:t>
      </w:r>
      <w:r>
        <w:rPr>
          <w:b/>
          <w:kern w:val="21"/>
          <w:sz w:val="21"/>
          <w:szCs w:val="21"/>
        </w:rPr>
        <w:t>项目与《畜禽粪便无害化处理技术规范》符合性分析</w:t>
      </w:r>
    </w:p>
    <w:tbl>
      <w:tblPr>
        <w:tblStyle w:val="afc"/>
        <w:tblW w:w="9055" w:type="dxa"/>
        <w:jc w:val="center"/>
        <w:tblLayout w:type="fixed"/>
        <w:tblLook w:val="04A0" w:firstRow="1" w:lastRow="0" w:firstColumn="1" w:lastColumn="0" w:noHBand="0" w:noVBand="1"/>
      </w:tblPr>
      <w:tblGrid>
        <w:gridCol w:w="3770"/>
        <w:gridCol w:w="4349"/>
        <w:gridCol w:w="936"/>
      </w:tblGrid>
      <w:tr w:rsidR="00544649" w14:paraId="2C40CB0C" w14:textId="77777777">
        <w:trPr>
          <w:tblHeader/>
          <w:jc w:val="center"/>
        </w:trPr>
        <w:tc>
          <w:tcPr>
            <w:tcW w:w="3770" w:type="dxa"/>
            <w:vAlign w:val="center"/>
          </w:tcPr>
          <w:p w14:paraId="68D0227A"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hint="eastAsia"/>
                <w:b/>
                <w:bCs/>
                <w:kern w:val="21"/>
                <w:sz w:val="21"/>
                <w:szCs w:val="21"/>
              </w:rPr>
              <w:t>规范要求</w:t>
            </w:r>
          </w:p>
        </w:tc>
        <w:tc>
          <w:tcPr>
            <w:tcW w:w="4349" w:type="dxa"/>
            <w:vAlign w:val="center"/>
          </w:tcPr>
          <w:p w14:paraId="13C79C88"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b/>
                <w:bCs/>
                <w:kern w:val="21"/>
                <w:sz w:val="21"/>
                <w:szCs w:val="21"/>
              </w:rPr>
              <w:t>项目情况</w:t>
            </w:r>
          </w:p>
        </w:tc>
        <w:tc>
          <w:tcPr>
            <w:tcW w:w="936" w:type="dxa"/>
            <w:vAlign w:val="center"/>
          </w:tcPr>
          <w:p w14:paraId="6BCCD629"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b/>
                <w:bCs/>
                <w:kern w:val="21"/>
                <w:sz w:val="21"/>
                <w:szCs w:val="21"/>
              </w:rPr>
              <w:t>符合性</w:t>
            </w:r>
          </w:p>
        </w:tc>
      </w:tr>
      <w:tr w:rsidR="00544649" w14:paraId="5B375811" w14:textId="77777777">
        <w:trPr>
          <w:jc w:val="center"/>
        </w:trPr>
        <w:tc>
          <w:tcPr>
            <w:tcW w:w="3770" w:type="dxa"/>
            <w:vAlign w:val="center"/>
          </w:tcPr>
          <w:p w14:paraId="4CBA516B"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畜禽粪便处理应坚持综合利用的原则，实现粪便的资源化。</w:t>
            </w:r>
          </w:p>
        </w:tc>
        <w:tc>
          <w:tcPr>
            <w:tcW w:w="4349" w:type="dxa"/>
            <w:vAlign w:val="center"/>
          </w:tcPr>
          <w:p w14:paraId="22D24958"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本项目采用干清粪工艺，鸡粪日产日清，交由四川省田宝生物科技有限公司进行有机肥生产。场内食堂废水经隔油池处理后与生活污水及养殖废水一并进入污水处理站处理达标后用于农灌，可实现资源化。</w:t>
            </w:r>
          </w:p>
        </w:tc>
        <w:tc>
          <w:tcPr>
            <w:tcW w:w="936" w:type="dxa"/>
            <w:vAlign w:val="center"/>
          </w:tcPr>
          <w:p w14:paraId="785475C7"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06D0A3A3" w14:textId="77777777">
        <w:trPr>
          <w:trHeight w:val="1192"/>
          <w:jc w:val="center"/>
        </w:trPr>
        <w:tc>
          <w:tcPr>
            <w:tcW w:w="3770" w:type="dxa"/>
            <w:vAlign w:val="center"/>
          </w:tcPr>
          <w:p w14:paraId="753A58EB"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畜禽粪便贮存设施必须进行防渗、防雨措施。</w:t>
            </w:r>
          </w:p>
        </w:tc>
        <w:tc>
          <w:tcPr>
            <w:tcW w:w="4349" w:type="dxa"/>
            <w:vAlign w:val="center"/>
          </w:tcPr>
          <w:p w14:paraId="5A7219EB"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本项目鸡粪日产日清，鸡粪通过密闭皮带传输机运送至密闭鸡粪转运车，交由四川省田宝生物科技有限公司进行有机肥生产，不在场区贮存。污水经处理达标后用于农灌，废水储存</w:t>
            </w:r>
            <w:proofErr w:type="gramStart"/>
            <w:r>
              <w:rPr>
                <w:rFonts w:cs="Times New Roman" w:hint="eastAsia"/>
                <w:kern w:val="21"/>
                <w:sz w:val="21"/>
                <w:szCs w:val="21"/>
              </w:rPr>
              <w:t>池采取</w:t>
            </w:r>
            <w:proofErr w:type="gramEnd"/>
            <w:r>
              <w:rPr>
                <w:rFonts w:cs="Times New Roman" w:hint="eastAsia"/>
                <w:kern w:val="21"/>
                <w:sz w:val="21"/>
                <w:szCs w:val="21"/>
              </w:rPr>
              <w:t>一般防渗处理，满足防渗要求，并采取防雨措施。</w:t>
            </w:r>
          </w:p>
        </w:tc>
        <w:tc>
          <w:tcPr>
            <w:tcW w:w="936" w:type="dxa"/>
            <w:vAlign w:val="center"/>
          </w:tcPr>
          <w:p w14:paraId="66593199"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415FB6DA" w14:textId="77777777">
        <w:trPr>
          <w:trHeight w:val="90"/>
          <w:jc w:val="center"/>
        </w:trPr>
        <w:tc>
          <w:tcPr>
            <w:tcW w:w="3770" w:type="dxa"/>
            <w:vAlign w:val="center"/>
          </w:tcPr>
          <w:p w14:paraId="0D224AA8"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新建畜禽养殖场须配置畜禽粪便处理设施或畜禽粪便处理场。</w:t>
            </w:r>
          </w:p>
        </w:tc>
        <w:tc>
          <w:tcPr>
            <w:tcW w:w="4349" w:type="dxa"/>
            <w:vAlign w:val="center"/>
          </w:tcPr>
          <w:p w14:paraId="7796C979"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本项目</w:t>
            </w:r>
            <w:r>
              <w:rPr>
                <w:rFonts w:cs="Times New Roman"/>
                <w:kern w:val="21"/>
                <w:sz w:val="21"/>
                <w:szCs w:val="21"/>
              </w:rPr>
              <w:t>属于</w:t>
            </w:r>
            <w:r>
              <w:rPr>
                <w:rFonts w:cs="Times New Roman" w:hint="eastAsia"/>
                <w:kern w:val="21"/>
                <w:sz w:val="21"/>
                <w:szCs w:val="21"/>
              </w:rPr>
              <w:t>新建畜禽养殖场，项目配套设置污水处理站（处理工艺：格栅</w:t>
            </w:r>
            <w:r>
              <w:rPr>
                <w:rFonts w:cs="Times New Roman" w:hint="eastAsia"/>
                <w:kern w:val="21"/>
                <w:sz w:val="21"/>
                <w:szCs w:val="21"/>
              </w:rPr>
              <w:t>+</w:t>
            </w:r>
            <w:r>
              <w:rPr>
                <w:rFonts w:cs="Times New Roman" w:hint="eastAsia"/>
                <w:kern w:val="21"/>
                <w:sz w:val="21"/>
                <w:szCs w:val="21"/>
              </w:rPr>
              <w:t>调节池</w:t>
            </w:r>
            <w:r>
              <w:rPr>
                <w:rFonts w:cs="Times New Roman" w:hint="eastAsia"/>
                <w:kern w:val="21"/>
                <w:sz w:val="21"/>
                <w:szCs w:val="21"/>
              </w:rPr>
              <w:t>+</w:t>
            </w:r>
            <w:r>
              <w:rPr>
                <w:rFonts w:cs="Times New Roman" w:hint="eastAsia"/>
                <w:kern w:val="21"/>
                <w:sz w:val="21"/>
                <w:szCs w:val="21"/>
              </w:rPr>
              <w:t>气浮一体化装置</w:t>
            </w:r>
            <w:r>
              <w:rPr>
                <w:rFonts w:cs="Times New Roman" w:hint="eastAsia"/>
                <w:kern w:val="21"/>
                <w:sz w:val="21"/>
                <w:szCs w:val="21"/>
              </w:rPr>
              <w:t>+</w:t>
            </w:r>
            <w:r>
              <w:rPr>
                <w:rFonts w:cs="Times New Roman" w:hint="eastAsia"/>
                <w:kern w:val="21"/>
                <w:sz w:val="21"/>
                <w:szCs w:val="21"/>
              </w:rPr>
              <w:t>水解酸化池</w:t>
            </w:r>
            <w:r>
              <w:rPr>
                <w:rFonts w:cs="Times New Roman" w:hint="eastAsia"/>
                <w:kern w:val="21"/>
                <w:sz w:val="21"/>
                <w:szCs w:val="21"/>
              </w:rPr>
              <w:t>+</w:t>
            </w:r>
            <w:proofErr w:type="spellStart"/>
            <w:r>
              <w:rPr>
                <w:rFonts w:cs="Times New Roman" w:hint="eastAsia"/>
                <w:kern w:val="21"/>
                <w:sz w:val="21"/>
                <w:szCs w:val="21"/>
              </w:rPr>
              <w:t>Bardenpho</w:t>
            </w:r>
            <w:proofErr w:type="spellEnd"/>
            <w:r>
              <w:rPr>
                <w:rFonts w:cs="Times New Roman" w:hint="eastAsia"/>
                <w:kern w:val="21"/>
                <w:sz w:val="21"/>
                <w:szCs w:val="21"/>
              </w:rPr>
              <w:t>工艺</w:t>
            </w:r>
            <w:r>
              <w:rPr>
                <w:rFonts w:cs="Times New Roman" w:hint="eastAsia"/>
                <w:kern w:val="21"/>
                <w:sz w:val="21"/>
                <w:szCs w:val="21"/>
              </w:rPr>
              <w:t>+</w:t>
            </w:r>
            <w:proofErr w:type="gramStart"/>
            <w:r>
              <w:rPr>
                <w:rFonts w:cs="Times New Roman" w:hint="eastAsia"/>
                <w:kern w:val="21"/>
                <w:sz w:val="21"/>
                <w:szCs w:val="21"/>
              </w:rPr>
              <w:t>二沉池</w:t>
            </w:r>
            <w:proofErr w:type="gramEnd"/>
            <w:r>
              <w:rPr>
                <w:rFonts w:cs="Times New Roman" w:hint="eastAsia"/>
                <w:kern w:val="21"/>
                <w:sz w:val="21"/>
                <w:szCs w:val="21"/>
              </w:rPr>
              <w:t>+</w:t>
            </w:r>
            <w:r>
              <w:rPr>
                <w:rFonts w:cs="Times New Roman" w:hint="eastAsia"/>
                <w:kern w:val="21"/>
                <w:sz w:val="21"/>
                <w:szCs w:val="21"/>
              </w:rPr>
              <w:t>过滤池</w:t>
            </w:r>
            <w:r>
              <w:rPr>
                <w:rFonts w:cs="Times New Roman" w:hint="eastAsia"/>
                <w:kern w:val="21"/>
                <w:sz w:val="21"/>
                <w:szCs w:val="21"/>
              </w:rPr>
              <w:t>+</w:t>
            </w:r>
            <w:r>
              <w:rPr>
                <w:rFonts w:cs="Times New Roman" w:hint="eastAsia"/>
                <w:kern w:val="21"/>
                <w:sz w:val="21"/>
                <w:szCs w:val="21"/>
              </w:rPr>
              <w:t>消毒池）；项目鸡粪日产日清，交由四川田宝生物科技有限公司进行有机肥生产。</w:t>
            </w:r>
          </w:p>
        </w:tc>
        <w:tc>
          <w:tcPr>
            <w:tcW w:w="936" w:type="dxa"/>
            <w:vAlign w:val="center"/>
          </w:tcPr>
          <w:p w14:paraId="6EBC1ADE"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bl>
    <w:p w14:paraId="0FF69AF2" w14:textId="77777777" w:rsidR="00544649" w:rsidRDefault="00000000">
      <w:pPr>
        <w:pStyle w:val="a9"/>
        <w:adjustRightInd w:val="0"/>
        <w:snapToGrid w:val="0"/>
        <w:spacing w:after="0"/>
        <w:ind w:firstLine="480"/>
      </w:pPr>
      <w:r>
        <w:rPr>
          <w:rFonts w:hint="eastAsia"/>
          <w:lang w:bidi="ar"/>
        </w:rPr>
        <w:t>由上表可知，本项目符合《畜禽粪便无害化处理技术规范》（</w:t>
      </w:r>
      <w:r>
        <w:rPr>
          <w:rFonts w:cs="Times New Roman"/>
          <w:lang w:bidi="ar"/>
        </w:rPr>
        <w:t>GB/T36195-2018</w:t>
      </w:r>
      <w:r>
        <w:rPr>
          <w:rFonts w:hint="eastAsia"/>
          <w:lang w:bidi="ar"/>
        </w:rPr>
        <w:t>）中相关要求。</w:t>
      </w:r>
    </w:p>
    <w:p w14:paraId="02A2EFEA" w14:textId="77777777" w:rsidR="00544649" w:rsidRDefault="00000000">
      <w:pPr>
        <w:pStyle w:val="4"/>
        <w:adjustRightInd w:val="0"/>
        <w:snapToGrid w:val="0"/>
        <w:spacing w:after="0"/>
      </w:pPr>
      <w:r>
        <w:t>与《畜禽养殖场（户）粪污处理设施建设技术指南》（农办牧﹝</w:t>
      </w:r>
      <w:r>
        <w:t>2022</w:t>
      </w:r>
      <w:r>
        <w:t>﹞</w:t>
      </w:r>
      <w:r>
        <w:t>19</w:t>
      </w:r>
      <w:r>
        <w:t>号）的符合性分析</w:t>
      </w:r>
    </w:p>
    <w:p w14:paraId="3FDA87C0" w14:textId="77777777" w:rsidR="00544649" w:rsidRDefault="00000000">
      <w:pPr>
        <w:adjustRightInd w:val="0"/>
        <w:snapToGrid w:val="0"/>
        <w:spacing w:after="0"/>
        <w:ind w:firstLine="480"/>
        <w:rPr>
          <w:kern w:val="21"/>
        </w:rPr>
      </w:pPr>
      <w:r>
        <w:rPr>
          <w:rFonts w:hint="eastAsia"/>
          <w:kern w:val="21"/>
        </w:rPr>
        <w:t>本项目与</w:t>
      </w:r>
      <w:r>
        <w:rPr>
          <w:kern w:val="21"/>
        </w:rPr>
        <w:t>《畜禽养殖场（户）粪污处理设施建设技术指南》</w:t>
      </w:r>
      <w:r>
        <w:rPr>
          <w:rFonts w:cstheme="majorBidi"/>
          <w:kern w:val="21"/>
          <w:szCs w:val="28"/>
        </w:rPr>
        <w:t>（农办牧﹝</w:t>
      </w:r>
      <w:r>
        <w:rPr>
          <w:rFonts w:cstheme="majorBidi"/>
          <w:kern w:val="21"/>
          <w:szCs w:val="28"/>
        </w:rPr>
        <w:t>2022</w:t>
      </w:r>
      <w:r>
        <w:rPr>
          <w:rFonts w:cstheme="majorBidi"/>
          <w:kern w:val="21"/>
          <w:szCs w:val="28"/>
        </w:rPr>
        <w:t>﹞</w:t>
      </w:r>
      <w:r>
        <w:rPr>
          <w:rFonts w:cstheme="majorBidi"/>
          <w:kern w:val="21"/>
          <w:szCs w:val="28"/>
        </w:rPr>
        <w:t>19</w:t>
      </w:r>
      <w:r>
        <w:rPr>
          <w:rFonts w:cstheme="majorBidi"/>
          <w:kern w:val="21"/>
          <w:szCs w:val="28"/>
        </w:rPr>
        <w:t>号）</w:t>
      </w:r>
      <w:r>
        <w:rPr>
          <w:rFonts w:hint="eastAsia"/>
          <w:kern w:val="21"/>
        </w:rPr>
        <w:t>的</w:t>
      </w:r>
      <w:r>
        <w:rPr>
          <w:kern w:val="21"/>
        </w:rPr>
        <w:t>符合性分析见下表。</w:t>
      </w:r>
    </w:p>
    <w:p w14:paraId="3D969CE1" w14:textId="77777777" w:rsidR="00544649" w:rsidRDefault="00000000">
      <w:pPr>
        <w:widowControl/>
        <w:numPr>
          <w:ilvl w:val="0"/>
          <w:numId w:val="13"/>
        </w:numPr>
        <w:adjustRightInd w:val="0"/>
        <w:snapToGrid w:val="0"/>
        <w:spacing w:beforeLines="20" w:before="65" w:afterLines="20" w:after="65" w:line="240" w:lineRule="auto"/>
        <w:ind w:firstLineChars="0"/>
        <w:jc w:val="center"/>
        <w:rPr>
          <w:b/>
          <w:kern w:val="21"/>
          <w:sz w:val="21"/>
          <w:szCs w:val="21"/>
        </w:rPr>
      </w:pPr>
      <w:r>
        <w:rPr>
          <w:rFonts w:hint="eastAsia"/>
          <w:b/>
          <w:kern w:val="21"/>
          <w:sz w:val="21"/>
          <w:szCs w:val="21"/>
        </w:rPr>
        <w:t>本</w:t>
      </w:r>
      <w:r>
        <w:rPr>
          <w:b/>
          <w:kern w:val="21"/>
          <w:sz w:val="21"/>
          <w:szCs w:val="21"/>
        </w:rPr>
        <w:t>项目与《畜禽养殖场（户）粪污处理设施建设技术指南》符合情况一览表</w:t>
      </w:r>
    </w:p>
    <w:tbl>
      <w:tblPr>
        <w:tblStyle w:val="afc"/>
        <w:tblW w:w="9055" w:type="dxa"/>
        <w:jc w:val="center"/>
        <w:tblLayout w:type="fixed"/>
        <w:tblLook w:val="04A0" w:firstRow="1" w:lastRow="0" w:firstColumn="1" w:lastColumn="0" w:noHBand="0" w:noVBand="1"/>
      </w:tblPr>
      <w:tblGrid>
        <w:gridCol w:w="652"/>
        <w:gridCol w:w="4502"/>
        <w:gridCol w:w="2968"/>
        <w:gridCol w:w="933"/>
      </w:tblGrid>
      <w:tr w:rsidR="00544649" w14:paraId="04E28EB4" w14:textId="77777777">
        <w:trPr>
          <w:tblHeader/>
          <w:jc w:val="center"/>
        </w:trPr>
        <w:tc>
          <w:tcPr>
            <w:tcW w:w="5154" w:type="dxa"/>
            <w:gridSpan w:val="2"/>
            <w:vAlign w:val="center"/>
          </w:tcPr>
          <w:p w14:paraId="560D4332"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hint="eastAsia"/>
                <w:b/>
                <w:bCs/>
                <w:kern w:val="21"/>
                <w:sz w:val="21"/>
                <w:szCs w:val="21"/>
              </w:rPr>
              <w:lastRenderedPageBreak/>
              <w:t>指南要求</w:t>
            </w:r>
          </w:p>
        </w:tc>
        <w:tc>
          <w:tcPr>
            <w:tcW w:w="2968" w:type="dxa"/>
            <w:vAlign w:val="center"/>
          </w:tcPr>
          <w:p w14:paraId="55D7BEBD"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hint="eastAsia"/>
                <w:b/>
                <w:bCs/>
                <w:kern w:val="21"/>
                <w:sz w:val="21"/>
                <w:szCs w:val="21"/>
              </w:rPr>
              <w:t>本</w:t>
            </w:r>
            <w:r>
              <w:rPr>
                <w:rFonts w:cs="Times New Roman"/>
                <w:b/>
                <w:bCs/>
                <w:kern w:val="21"/>
                <w:sz w:val="21"/>
                <w:szCs w:val="21"/>
              </w:rPr>
              <w:t>项目情况</w:t>
            </w:r>
          </w:p>
        </w:tc>
        <w:tc>
          <w:tcPr>
            <w:tcW w:w="933" w:type="dxa"/>
            <w:vAlign w:val="center"/>
          </w:tcPr>
          <w:p w14:paraId="50BD2FE0"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b/>
                <w:bCs/>
                <w:kern w:val="21"/>
                <w:sz w:val="21"/>
                <w:szCs w:val="21"/>
              </w:rPr>
              <w:t>符合性</w:t>
            </w:r>
          </w:p>
        </w:tc>
      </w:tr>
      <w:tr w:rsidR="00544649" w14:paraId="337129A3" w14:textId="77777777">
        <w:trPr>
          <w:jc w:val="center"/>
        </w:trPr>
        <w:tc>
          <w:tcPr>
            <w:tcW w:w="652" w:type="dxa"/>
            <w:vAlign w:val="center"/>
          </w:tcPr>
          <w:p w14:paraId="02893934"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设施设备总体要求</w:t>
            </w:r>
          </w:p>
        </w:tc>
        <w:tc>
          <w:tcPr>
            <w:tcW w:w="4502" w:type="dxa"/>
            <w:vAlign w:val="center"/>
          </w:tcPr>
          <w:p w14:paraId="65644100"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畜禽养殖场应根据养殖污染防治要求和当地环境承载力，配备与设计生产能力、粪污处理利用方式相匹配的</w:t>
            </w:r>
            <w:r>
              <w:rPr>
                <w:rFonts w:cs="Times New Roman" w:hint="eastAsia"/>
                <w:kern w:val="21"/>
                <w:sz w:val="21"/>
                <w:szCs w:val="21"/>
              </w:rPr>
              <w:t>畜禽粪污</w:t>
            </w:r>
            <w:r>
              <w:rPr>
                <w:rFonts w:cs="Times New Roman"/>
                <w:kern w:val="21"/>
                <w:sz w:val="21"/>
                <w:szCs w:val="21"/>
              </w:rPr>
              <w:t>处理设施设备，满足防雨、防渗、防溢流和安全防护要求，并确保正常运行。</w:t>
            </w:r>
          </w:p>
        </w:tc>
        <w:tc>
          <w:tcPr>
            <w:tcW w:w="2968" w:type="dxa"/>
            <w:vAlign w:val="center"/>
          </w:tcPr>
          <w:p w14:paraId="521E9749"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本项目采用干清粪工艺，鸡粪日产日清，交由</w:t>
            </w:r>
            <w:r>
              <w:rPr>
                <w:rFonts w:cs="Times New Roman" w:hint="eastAsia"/>
                <w:kern w:val="21"/>
                <w:sz w:val="21"/>
                <w:szCs w:val="21"/>
              </w:rPr>
              <w:t>四川省田宝生物科技有限公司</w:t>
            </w:r>
            <w:r>
              <w:rPr>
                <w:rFonts w:cs="Times New Roman"/>
                <w:kern w:val="21"/>
                <w:sz w:val="21"/>
                <w:szCs w:val="21"/>
              </w:rPr>
              <w:t>进行有机肥生产，本项目</w:t>
            </w:r>
            <w:r>
              <w:rPr>
                <w:rFonts w:cs="Times New Roman" w:hint="eastAsia"/>
                <w:kern w:val="21"/>
                <w:sz w:val="21"/>
                <w:szCs w:val="21"/>
              </w:rPr>
              <w:t>食堂餐厨废水经隔油池处理后与生活污水及养殖废水一并进入污水处理站处理达标后回用于农灌，</w:t>
            </w:r>
            <w:r>
              <w:rPr>
                <w:rFonts w:cs="Times New Roman"/>
                <w:kern w:val="21"/>
                <w:sz w:val="21"/>
                <w:szCs w:val="21"/>
              </w:rPr>
              <w:t>不外排。</w:t>
            </w:r>
          </w:p>
        </w:tc>
        <w:tc>
          <w:tcPr>
            <w:tcW w:w="933" w:type="dxa"/>
            <w:vAlign w:val="center"/>
          </w:tcPr>
          <w:p w14:paraId="7A9EA6C7"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6DA308AE" w14:textId="77777777">
        <w:trPr>
          <w:trHeight w:val="90"/>
          <w:jc w:val="center"/>
        </w:trPr>
        <w:tc>
          <w:tcPr>
            <w:tcW w:w="652" w:type="dxa"/>
            <w:vAlign w:val="center"/>
          </w:tcPr>
          <w:p w14:paraId="17572A1C"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圈舍及运动场粪污减量设施</w:t>
            </w:r>
          </w:p>
        </w:tc>
        <w:tc>
          <w:tcPr>
            <w:tcW w:w="4502" w:type="dxa"/>
            <w:vAlign w:val="center"/>
          </w:tcPr>
          <w:p w14:paraId="05F72A20"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新建养殖场采用干清粪工艺的，鼓励进行机械干清粪。鼓励畜禽养殖场</w:t>
            </w:r>
            <w:proofErr w:type="gramStart"/>
            <w:r>
              <w:rPr>
                <w:rFonts w:cs="Times New Roman"/>
                <w:kern w:val="21"/>
                <w:sz w:val="21"/>
                <w:szCs w:val="21"/>
              </w:rPr>
              <w:t>采用碗式或</w:t>
            </w:r>
            <w:proofErr w:type="gramEnd"/>
            <w:r>
              <w:rPr>
                <w:rFonts w:cs="Times New Roman"/>
                <w:kern w:val="21"/>
                <w:sz w:val="21"/>
                <w:szCs w:val="21"/>
              </w:rPr>
              <w:t>液位控制等防溢漏饮水器，减少饮水漏水新建猪、鸡等养殖场宜采取圈舍封闭半封闭管理，鼓励有条件的现有畜禽养殖场开展圈舍封闭改造，对恶臭气体进行收集处理。</w:t>
            </w:r>
          </w:p>
        </w:tc>
        <w:tc>
          <w:tcPr>
            <w:tcW w:w="2968" w:type="dxa"/>
            <w:vAlign w:val="center"/>
          </w:tcPr>
          <w:p w14:paraId="7617B8B5"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本项目鸡舍采用加强舍内通风、采用节水型饮水器、鸡粪日产日清、喷洒除臭剂</w:t>
            </w:r>
            <w:r>
              <w:rPr>
                <w:rFonts w:cs="Times New Roman"/>
                <w:kern w:val="21"/>
                <w:sz w:val="21"/>
              </w:rPr>
              <w:t>、合理使用鸡饲料</w:t>
            </w:r>
            <w:r>
              <w:rPr>
                <w:rFonts w:cs="Times New Roman"/>
                <w:kern w:val="21"/>
                <w:sz w:val="21"/>
                <w:szCs w:val="21"/>
              </w:rPr>
              <w:t>等措施抑制或减少臭气的产生</w:t>
            </w:r>
            <w:r>
              <w:rPr>
                <w:rFonts w:cs="Times New Roman" w:hint="eastAsia"/>
                <w:kern w:val="21"/>
                <w:sz w:val="21"/>
                <w:szCs w:val="21"/>
              </w:rPr>
              <w:t>。</w:t>
            </w:r>
          </w:p>
        </w:tc>
        <w:tc>
          <w:tcPr>
            <w:tcW w:w="933" w:type="dxa"/>
            <w:vAlign w:val="center"/>
          </w:tcPr>
          <w:p w14:paraId="0715E29B"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5603895E" w14:textId="77777777">
        <w:trPr>
          <w:trHeight w:val="1192"/>
          <w:jc w:val="center"/>
        </w:trPr>
        <w:tc>
          <w:tcPr>
            <w:tcW w:w="652" w:type="dxa"/>
            <w:vAlign w:val="center"/>
          </w:tcPr>
          <w:p w14:paraId="2290FA24"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畜禽粪污暂存设施</w:t>
            </w:r>
          </w:p>
        </w:tc>
        <w:tc>
          <w:tcPr>
            <w:tcW w:w="4502" w:type="dxa"/>
            <w:vAlign w:val="center"/>
          </w:tcPr>
          <w:p w14:paraId="2ED90588"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畜禽养殖场（户）建设畜禽粪污暂存池（场）的，液体粪污暂存池容积不小于单位畜禽液体粪污日产生量（立方米</w:t>
            </w:r>
            <w:r>
              <w:rPr>
                <w:rFonts w:cs="Times New Roman"/>
                <w:kern w:val="21"/>
                <w:sz w:val="21"/>
                <w:szCs w:val="21"/>
              </w:rPr>
              <w:t>/</w:t>
            </w:r>
            <w:r>
              <w:rPr>
                <w:rFonts w:cs="Times New Roman"/>
                <w:kern w:val="21"/>
                <w:sz w:val="21"/>
                <w:szCs w:val="21"/>
              </w:rPr>
              <w:t>天</w:t>
            </w:r>
            <w:r>
              <w:rPr>
                <w:rFonts w:cs="Times New Roman"/>
                <w:kern w:val="21"/>
                <w:sz w:val="21"/>
                <w:szCs w:val="21"/>
              </w:rPr>
              <w:t>·</w:t>
            </w:r>
            <w:r>
              <w:rPr>
                <w:rFonts w:cs="Times New Roman"/>
                <w:kern w:val="21"/>
                <w:sz w:val="21"/>
                <w:szCs w:val="21"/>
              </w:rPr>
              <w:t>头、只、羽）</w:t>
            </w:r>
            <w:r>
              <w:rPr>
                <w:rFonts w:cs="Times New Roman"/>
                <w:kern w:val="21"/>
                <w:sz w:val="21"/>
                <w:szCs w:val="21"/>
              </w:rPr>
              <w:t>×</w:t>
            </w:r>
            <w:r>
              <w:rPr>
                <w:rFonts w:cs="Times New Roman"/>
                <w:kern w:val="21"/>
                <w:sz w:val="21"/>
                <w:szCs w:val="21"/>
              </w:rPr>
              <w:t>暂存周期（天）</w:t>
            </w:r>
            <w:r>
              <w:rPr>
                <w:rFonts w:cs="Times New Roman"/>
                <w:kern w:val="21"/>
                <w:sz w:val="21"/>
                <w:szCs w:val="21"/>
              </w:rPr>
              <w:t>×</w:t>
            </w:r>
            <w:r>
              <w:rPr>
                <w:rFonts w:cs="Times New Roman"/>
                <w:kern w:val="21"/>
                <w:sz w:val="21"/>
                <w:szCs w:val="21"/>
              </w:rPr>
              <w:t>设计存栏量（头、只、羽），固体粪污暂存场容积不小于单位畜禽固体粪污日产生量（立方米</w:t>
            </w:r>
            <w:r>
              <w:rPr>
                <w:rFonts w:cs="Times New Roman"/>
                <w:kern w:val="21"/>
                <w:sz w:val="21"/>
                <w:szCs w:val="21"/>
              </w:rPr>
              <w:t>/</w:t>
            </w:r>
            <w:r>
              <w:rPr>
                <w:rFonts w:cs="Times New Roman"/>
                <w:kern w:val="21"/>
                <w:sz w:val="21"/>
                <w:szCs w:val="21"/>
              </w:rPr>
              <w:t>天</w:t>
            </w:r>
            <w:r>
              <w:rPr>
                <w:rFonts w:cs="Times New Roman"/>
                <w:kern w:val="21"/>
                <w:sz w:val="21"/>
                <w:szCs w:val="21"/>
              </w:rPr>
              <w:t>·</w:t>
            </w:r>
            <w:r>
              <w:rPr>
                <w:rFonts w:cs="Times New Roman"/>
                <w:kern w:val="21"/>
                <w:sz w:val="21"/>
                <w:szCs w:val="21"/>
              </w:rPr>
              <w:t>头、只、羽）</w:t>
            </w:r>
            <w:r>
              <w:rPr>
                <w:rFonts w:cs="Times New Roman"/>
                <w:kern w:val="21"/>
                <w:sz w:val="21"/>
                <w:szCs w:val="21"/>
              </w:rPr>
              <w:t>×</w:t>
            </w:r>
            <w:r>
              <w:rPr>
                <w:rFonts w:cs="Times New Roman"/>
                <w:kern w:val="21"/>
                <w:sz w:val="21"/>
                <w:szCs w:val="21"/>
              </w:rPr>
              <w:t>暂存周期（天）</w:t>
            </w:r>
            <w:r>
              <w:rPr>
                <w:rFonts w:cs="Times New Roman"/>
                <w:kern w:val="21"/>
                <w:sz w:val="21"/>
                <w:szCs w:val="21"/>
              </w:rPr>
              <w:t>×</w:t>
            </w:r>
            <w:r>
              <w:rPr>
                <w:rFonts w:cs="Times New Roman"/>
                <w:kern w:val="21"/>
                <w:sz w:val="21"/>
                <w:szCs w:val="21"/>
              </w:rPr>
              <w:t>设计存栏量（头、只、羽）暂存周期按转运处理最大时间间隔确定。鼓励采取加盖等措施，减少恶臭气体排放和雨水进入。</w:t>
            </w:r>
          </w:p>
        </w:tc>
        <w:tc>
          <w:tcPr>
            <w:tcW w:w="2968" w:type="dxa"/>
            <w:vAlign w:val="center"/>
          </w:tcPr>
          <w:p w14:paraId="56B5ECB3"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本项目采用干清粪工艺，鸡粪日产日清，交由</w:t>
            </w:r>
            <w:r>
              <w:rPr>
                <w:rFonts w:cs="Times New Roman" w:hint="eastAsia"/>
                <w:kern w:val="21"/>
                <w:sz w:val="21"/>
                <w:szCs w:val="21"/>
              </w:rPr>
              <w:t>四川省田宝生物科技有限公司</w:t>
            </w:r>
            <w:r>
              <w:rPr>
                <w:rFonts w:cs="Times New Roman"/>
                <w:kern w:val="21"/>
                <w:sz w:val="21"/>
                <w:szCs w:val="21"/>
              </w:rPr>
              <w:t>进行有机肥生产，</w:t>
            </w:r>
            <w:r>
              <w:rPr>
                <w:rFonts w:cs="Times New Roman" w:hint="eastAsia"/>
                <w:kern w:val="21"/>
                <w:sz w:val="21"/>
                <w:szCs w:val="21"/>
              </w:rPr>
              <w:t>不在场区内贮存</w:t>
            </w:r>
            <w:r>
              <w:rPr>
                <w:rFonts w:cs="Times New Roman"/>
                <w:kern w:val="21"/>
                <w:sz w:val="21"/>
                <w:szCs w:val="21"/>
              </w:rPr>
              <w:t>。</w:t>
            </w:r>
            <w:r>
              <w:rPr>
                <w:rFonts w:cs="Times New Roman" w:hint="eastAsia"/>
                <w:kern w:val="21"/>
                <w:sz w:val="21"/>
                <w:szCs w:val="21"/>
              </w:rPr>
              <w:t>场内废水经污水处理站处理达标后暂存于场内废水暂存池，用于周边林地灌溉，废水暂存池容量满足最大暂存时间需求。</w:t>
            </w:r>
          </w:p>
        </w:tc>
        <w:tc>
          <w:tcPr>
            <w:tcW w:w="933" w:type="dxa"/>
            <w:vAlign w:val="center"/>
          </w:tcPr>
          <w:p w14:paraId="1C467502"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符合</w:t>
            </w:r>
          </w:p>
        </w:tc>
      </w:tr>
    </w:tbl>
    <w:p w14:paraId="60B9CB77" w14:textId="77777777" w:rsidR="00544649" w:rsidRDefault="00000000">
      <w:pPr>
        <w:pStyle w:val="afff"/>
        <w:adjustRightInd w:val="0"/>
        <w:snapToGrid w:val="0"/>
        <w:spacing w:after="0"/>
        <w:ind w:firstLine="480"/>
        <w:rPr>
          <w:kern w:val="21"/>
        </w:rPr>
      </w:pPr>
      <w:r>
        <w:rPr>
          <w:rStyle w:val="aa"/>
        </w:rPr>
        <w:t>综上所述，项目建设符合《畜禽养殖场（户）粪污处理设施建设技术指南》要求</w:t>
      </w:r>
      <w:r>
        <w:t>。</w:t>
      </w:r>
    </w:p>
    <w:p w14:paraId="52BF78C9" w14:textId="77777777" w:rsidR="00544649" w:rsidRDefault="00000000">
      <w:pPr>
        <w:pStyle w:val="4"/>
        <w:adjustRightInd w:val="0"/>
        <w:snapToGrid w:val="0"/>
        <w:spacing w:after="0"/>
      </w:pPr>
      <w:r>
        <w:t>与《四川省畜禽养殖污染防治规划》的符合性分析</w:t>
      </w:r>
    </w:p>
    <w:p w14:paraId="168987B8" w14:textId="77777777" w:rsidR="00544649" w:rsidRDefault="00000000">
      <w:pPr>
        <w:pStyle w:val="af5"/>
        <w:widowControl/>
        <w:adjustRightInd w:val="0"/>
        <w:snapToGrid w:val="0"/>
        <w:spacing w:beforeAutospacing="0" w:after="0" w:afterAutospacing="0"/>
        <w:ind w:firstLine="480"/>
        <w:jc w:val="both"/>
        <w:rPr>
          <w:kern w:val="21"/>
          <w:szCs w:val="24"/>
          <w:lang w:bidi="ar"/>
        </w:rPr>
      </w:pPr>
      <w:r>
        <w:rPr>
          <w:rFonts w:hint="eastAsia"/>
          <w:kern w:val="21"/>
          <w:szCs w:val="24"/>
          <w:lang w:bidi="ar"/>
        </w:rPr>
        <w:t>为贯彻落实国务院印发的《畜禽规模养殖污染防治条例》（国务院令第</w:t>
      </w:r>
      <w:r>
        <w:rPr>
          <w:rFonts w:hint="eastAsia"/>
          <w:kern w:val="21"/>
          <w:szCs w:val="24"/>
          <w:lang w:bidi="ar"/>
        </w:rPr>
        <w:t>643</w:t>
      </w:r>
      <w:r>
        <w:rPr>
          <w:rFonts w:hint="eastAsia"/>
          <w:kern w:val="21"/>
          <w:szCs w:val="24"/>
          <w:lang w:bidi="ar"/>
        </w:rPr>
        <w:t>号），</w:t>
      </w:r>
      <w:r>
        <w:rPr>
          <w:rFonts w:hint="eastAsia"/>
          <w:kern w:val="21"/>
          <w:szCs w:val="24"/>
          <w:lang w:bidi="ar"/>
        </w:rPr>
        <w:t>2022</w:t>
      </w:r>
      <w:r>
        <w:rPr>
          <w:rFonts w:hint="eastAsia"/>
          <w:kern w:val="21"/>
          <w:szCs w:val="24"/>
          <w:lang w:bidi="ar"/>
        </w:rPr>
        <w:t>年</w:t>
      </w:r>
      <w:r>
        <w:rPr>
          <w:rFonts w:hint="eastAsia"/>
          <w:kern w:val="21"/>
          <w:szCs w:val="24"/>
          <w:lang w:bidi="ar"/>
        </w:rPr>
        <w:t>12</w:t>
      </w:r>
      <w:r>
        <w:rPr>
          <w:rFonts w:hint="eastAsia"/>
          <w:kern w:val="21"/>
          <w:szCs w:val="24"/>
          <w:lang w:bidi="ar"/>
        </w:rPr>
        <w:t>月</w:t>
      </w:r>
      <w:r>
        <w:rPr>
          <w:rFonts w:hint="eastAsia"/>
          <w:kern w:val="21"/>
          <w:szCs w:val="24"/>
          <w:lang w:bidi="ar"/>
        </w:rPr>
        <w:t>30</w:t>
      </w:r>
      <w:r>
        <w:rPr>
          <w:rFonts w:hint="eastAsia"/>
          <w:kern w:val="21"/>
          <w:szCs w:val="24"/>
          <w:lang w:bidi="ar"/>
        </w:rPr>
        <w:t>日，四川省生态环境厅、四川省农业农村厅联合发布了《四川省生态环境厅四川省农业农村厅关于印发〈四川省畜禽养殖污染防治规划〉的通知》（</w:t>
      </w:r>
      <w:proofErr w:type="gramStart"/>
      <w:r>
        <w:rPr>
          <w:kern w:val="21"/>
          <w:szCs w:val="24"/>
          <w:lang w:bidi="ar"/>
        </w:rPr>
        <w:t>川环发</w:t>
      </w:r>
      <w:proofErr w:type="gramEnd"/>
      <w:r>
        <w:rPr>
          <w:kern w:val="21"/>
          <w:szCs w:val="24"/>
          <w:lang w:bidi="ar"/>
        </w:rPr>
        <w:t>〔</w:t>
      </w:r>
      <w:r>
        <w:rPr>
          <w:kern w:val="21"/>
          <w:szCs w:val="24"/>
          <w:lang w:bidi="ar"/>
        </w:rPr>
        <w:t>2022</w:t>
      </w:r>
      <w:r>
        <w:rPr>
          <w:kern w:val="21"/>
          <w:szCs w:val="24"/>
          <w:lang w:bidi="ar"/>
        </w:rPr>
        <w:t>〕</w:t>
      </w:r>
      <w:r>
        <w:rPr>
          <w:kern w:val="21"/>
          <w:szCs w:val="24"/>
          <w:lang w:bidi="ar"/>
        </w:rPr>
        <w:t>18</w:t>
      </w:r>
      <w:r>
        <w:rPr>
          <w:kern w:val="21"/>
          <w:szCs w:val="24"/>
          <w:lang w:bidi="ar"/>
        </w:rPr>
        <w:t>号</w:t>
      </w:r>
      <w:r>
        <w:rPr>
          <w:rFonts w:hint="eastAsia"/>
          <w:kern w:val="21"/>
          <w:szCs w:val="24"/>
          <w:lang w:bidi="ar"/>
        </w:rPr>
        <w:t>）。</w:t>
      </w:r>
      <w:r>
        <w:rPr>
          <w:kern w:val="21"/>
          <w:szCs w:val="24"/>
          <w:lang w:bidi="ar"/>
        </w:rPr>
        <w:t>本项目与《四川省畜禽养殖污染防治规划》的符合性分析见下表。</w:t>
      </w:r>
    </w:p>
    <w:p w14:paraId="3528695F" w14:textId="77777777" w:rsidR="00544649" w:rsidRDefault="00000000">
      <w:pPr>
        <w:widowControl/>
        <w:numPr>
          <w:ilvl w:val="0"/>
          <w:numId w:val="13"/>
        </w:numPr>
        <w:adjustRightInd w:val="0"/>
        <w:snapToGrid w:val="0"/>
        <w:spacing w:beforeLines="20" w:before="65" w:afterLines="20" w:after="65" w:line="240" w:lineRule="auto"/>
        <w:ind w:firstLineChars="0"/>
        <w:jc w:val="center"/>
        <w:rPr>
          <w:rFonts w:cs="Times New Roman"/>
          <w:b/>
          <w:bCs/>
          <w:kern w:val="21"/>
          <w:sz w:val="21"/>
          <w:szCs w:val="21"/>
        </w:rPr>
      </w:pPr>
      <w:r>
        <w:rPr>
          <w:rFonts w:cs="Times New Roman"/>
          <w:b/>
          <w:bCs/>
          <w:kern w:val="21"/>
          <w:sz w:val="21"/>
          <w:szCs w:val="21"/>
        </w:rPr>
        <w:t>本项目与《四川省畜禽养殖污染防治规划》的符合性分析</w:t>
      </w:r>
    </w:p>
    <w:tbl>
      <w:tblPr>
        <w:tblStyle w:val="afc"/>
        <w:tblW w:w="9055" w:type="dxa"/>
        <w:jc w:val="center"/>
        <w:tblLayout w:type="fixed"/>
        <w:tblLook w:val="04A0" w:firstRow="1" w:lastRow="0" w:firstColumn="1" w:lastColumn="0" w:noHBand="0" w:noVBand="1"/>
      </w:tblPr>
      <w:tblGrid>
        <w:gridCol w:w="5375"/>
        <w:gridCol w:w="2762"/>
        <w:gridCol w:w="918"/>
      </w:tblGrid>
      <w:tr w:rsidR="00544649" w14:paraId="11E4BE18" w14:textId="77777777">
        <w:trPr>
          <w:tblHeader/>
          <w:jc w:val="center"/>
        </w:trPr>
        <w:tc>
          <w:tcPr>
            <w:tcW w:w="5375" w:type="dxa"/>
            <w:vAlign w:val="center"/>
          </w:tcPr>
          <w:p w14:paraId="6A5F3EF2" w14:textId="77777777" w:rsidR="00544649" w:rsidRDefault="00000000">
            <w:pPr>
              <w:pStyle w:val="aff3"/>
              <w:spacing w:before="65" w:after="65"/>
              <w:rPr>
                <w:rFonts w:cs="Times New Roman"/>
                <w:b/>
                <w:bCs w:val="0"/>
                <w:kern w:val="21"/>
                <w:szCs w:val="21"/>
              </w:rPr>
            </w:pPr>
            <w:r>
              <w:rPr>
                <w:rFonts w:cs="Times New Roman"/>
                <w:b/>
                <w:bCs w:val="0"/>
                <w:kern w:val="21"/>
                <w:szCs w:val="21"/>
              </w:rPr>
              <w:t>规划内容</w:t>
            </w:r>
          </w:p>
        </w:tc>
        <w:tc>
          <w:tcPr>
            <w:tcW w:w="2762" w:type="dxa"/>
            <w:vAlign w:val="center"/>
          </w:tcPr>
          <w:p w14:paraId="62FEB728" w14:textId="77777777" w:rsidR="00544649" w:rsidRDefault="00000000">
            <w:pPr>
              <w:pStyle w:val="aff3"/>
              <w:spacing w:before="65" w:after="65"/>
              <w:rPr>
                <w:rFonts w:cs="Times New Roman"/>
                <w:b/>
                <w:bCs w:val="0"/>
                <w:kern w:val="21"/>
                <w:szCs w:val="21"/>
              </w:rPr>
            </w:pPr>
            <w:r>
              <w:rPr>
                <w:rFonts w:cs="Times New Roman"/>
                <w:b/>
                <w:bCs w:val="0"/>
                <w:kern w:val="21"/>
                <w:szCs w:val="21"/>
              </w:rPr>
              <w:t>本项目情况</w:t>
            </w:r>
          </w:p>
        </w:tc>
        <w:tc>
          <w:tcPr>
            <w:tcW w:w="918" w:type="dxa"/>
            <w:vAlign w:val="center"/>
          </w:tcPr>
          <w:p w14:paraId="60C5734A" w14:textId="77777777" w:rsidR="00544649" w:rsidRDefault="00000000">
            <w:pPr>
              <w:pStyle w:val="aff3"/>
              <w:spacing w:before="65" w:after="65"/>
              <w:rPr>
                <w:rFonts w:cs="Times New Roman"/>
                <w:b/>
                <w:bCs w:val="0"/>
                <w:kern w:val="21"/>
                <w:szCs w:val="21"/>
              </w:rPr>
            </w:pPr>
            <w:r>
              <w:rPr>
                <w:rFonts w:cs="Times New Roman"/>
                <w:b/>
                <w:bCs w:val="0"/>
                <w:kern w:val="21"/>
                <w:szCs w:val="21"/>
              </w:rPr>
              <w:t>符合性</w:t>
            </w:r>
          </w:p>
        </w:tc>
      </w:tr>
      <w:tr w:rsidR="00544649" w14:paraId="7D701670" w14:textId="77777777">
        <w:trPr>
          <w:trHeight w:val="90"/>
          <w:jc w:val="center"/>
        </w:trPr>
        <w:tc>
          <w:tcPr>
            <w:tcW w:w="5375" w:type="dxa"/>
            <w:vAlign w:val="center"/>
          </w:tcPr>
          <w:p w14:paraId="0F5D5AE4" w14:textId="77777777" w:rsidR="00544649" w:rsidRDefault="00000000">
            <w:pPr>
              <w:adjustRightInd w:val="0"/>
              <w:snapToGrid w:val="0"/>
              <w:spacing w:beforeLines="20" w:before="65" w:afterLines="20" w:after="65" w:line="240" w:lineRule="auto"/>
              <w:ind w:firstLineChars="0" w:firstLine="0"/>
              <w:rPr>
                <w:rFonts w:cs="Times New Roman"/>
                <w:b/>
                <w:bCs/>
                <w:kern w:val="21"/>
                <w:sz w:val="21"/>
                <w:szCs w:val="21"/>
              </w:rPr>
            </w:pPr>
            <w:r>
              <w:rPr>
                <w:rFonts w:cs="Times New Roman"/>
                <w:b/>
                <w:bCs/>
                <w:kern w:val="21"/>
                <w:sz w:val="21"/>
                <w:szCs w:val="21"/>
              </w:rPr>
              <w:t>专栏</w:t>
            </w:r>
            <w:r>
              <w:rPr>
                <w:rFonts w:cs="Times New Roman"/>
                <w:b/>
                <w:bCs/>
                <w:kern w:val="21"/>
                <w:sz w:val="21"/>
                <w:szCs w:val="21"/>
              </w:rPr>
              <w:t>165</w:t>
            </w:r>
            <w:r>
              <w:rPr>
                <w:rFonts w:cs="Times New Roman"/>
                <w:b/>
                <w:bCs/>
                <w:kern w:val="21"/>
                <w:sz w:val="21"/>
                <w:szCs w:val="21"/>
              </w:rPr>
              <w:t>个重点防治类县（市、区）</w:t>
            </w:r>
          </w:p>
          <w:p w14:paraId="0B748AD6"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kern w:val="21"/>
                <w:sz w:val="21"/>
                <w:szCs w:val="21"/>
              </w:rPr>
              <w:t>其他</w:t>
            </w:r>
            <w:r>
              <w:rPr>
                <w:rFonts w:cs="Times New Roman"/>
                <w:kern w:val="21"/>
                <w:sz w:val="21"/>
                <w:szCs w:val="21"/>
              </w:rPr>
              <w:t>49</w:t>
            </w:r>
            <w:r>
              <w:rPr>
                <w:rFonts w:cs="Times New Roman"/>
                <w:kern w:val="21"/>
                <w:sz w:val="21"/>
                <w:szCs w:val="21"/>
              </w:rPr>
              <w:t>个重点防治类县</w:t>
            </w:r>
          </w:p>
          <w:p w14:paraId="10FEFB74"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hint="eastAsia"/>
                <w:kern w:val="21"/>
                <w:sz w:val="21"/>
                <w:szCs w:val="21"/>
              </w:rPr>
              <w:t>广元市：苍溪县、</w:t>
            </w:r>
            <w:r>
              <w:rPr>
                <w:rFonts w:cs="Times New Roman" w:hint="eastAsia"/>
                <w:b/>
                <w:bCs/>
                <w:kern w:val="21"/>
                <w:sz w:val="21"/>
                <w:szCs w:val="21"/>
              </w:rPr>
              <w:t>剑阁县</w:t>
            </w:r>
            <w:r>
              <w:rPr>
                <w:rFonts w:cs="Times New Roman" w:hint="eastAsia"/>
                <w:kern w:val="21"/>
                <w:sz w:val="21"/>
                <w:szCs w:val="21"/>
              </w:rPr>
              <w:t>、昭化区、旺苍县</w:t>
            </w:r>
          </w:p>
        </w:tc>
        <w:tc>
          <w:tcPr>
            <w:tcW w:w="2762" w:type="dxa"/>
            <w:vAlign w:val="center"/>
          </w:tcPr>
          <w:p w14:paraId="21013E1A" w14:textId="77777777" w:rsidR="00544649" w:rsidRDefault="00000000">
            <w:pPr>
              <w:pStyle w:val="aff3"/>
              <w:spacing w:before="65" w:after="65"/>
              <w:jc w:val="both"/>
              <w:rPr>
                <w:rFonts w:cs="Times New Roman"/>
                <w:kern w:val="21"/>
                <w:szCs w:val="21"/>
              </w:rPr>
            </w:pPr>
            <w:r>
              <w:rPr>
                <w:rFonts w:cs="Times New Roman"/>
                <w:kern w:val="21"/>
                <w:szCs w:val="21"/>
              </w:rPr>
              <w:t>本项目所在地为</w:t>
            </w:r>
            <w:r>
              <w:rPr>
                <w:rFonts w:cs="Times New Roman" w:hint="eastAsia"/>
                <w:kern w:val="21"/>
                <w:szCs w:val="21"/>
              </w:rPr>
              <w:t>广元</w:t>
            </w:r>
            <w:r>
              <w:rPr>
                <w:rFonts w:cs="Times New Roman"/>
                <w:kern w:val="21"/>
                <w:szCs w:val="21"/>
              </w:rPr>
              <w:t>市</w:t>
            </w:r>
            <w:r>
              <w:rPr>
                <w:rFonts w:cs="Times New Roman" w:hint="eastAsia"/>
                <w:kern w:val="21"/>
                <w:szCs w:val="21"/>
              </w:rPr>
              <w:t>剑阁</w:t>
            </w:r>
            <w:r>
              <w:rPr>
                <w:rFonts w:cs="Times New Roman"/>
                <w:kern w:val="21"/>
                <w:szCs w:val="21"/>
              </w:rPr>
              <w:t>县，属于</w:t>
            </w:r>
            <w:r>
              <w:rPr>
                <w:rFonts w:cs="Times New Roman"/>
                <w:kern w:val="21"/>
                <w:szCs w:val="21"/>
              </w:rPr>
              <w:t>65</w:t>
            </w:r>
            <w:r>
              <w:rPr>
                <w:rFonts w:cs="Times New Roman"/>
                <w:kern w:val="21"/>
                <w:szCs w:val="21"/>
              </w:rPr>
              <w:t>个重点防治类县（市、区）中的其他</w:t>
            </w:r>
            <w:r>
              <w:rPr>
                <w:rFonts w:cs="Times New Roman"/>
                <w:kern w:val="21"/>
                <w:szCs w:val="21"/>
              </w:rPr>
              <w:t>49</w:t>
            </w:r>
            <w:r>
              <w:rPr>
                <w:rFonts w:cs="Times New Roman"/>
                <w:kern w:val="21"/>
                <w:szCs w:val="21"/>
              </w:rPr>
              <w:t>个重点防治类县。</w:t>
            </w:r>
          </w:p>
        </w:tc>
        <w:tc>
          <w:tcPr>
            <w:tcW w:w="918" w:type="dxa"/>
            <w:vAlign w:val="center"/>
          </w:tcPr>
          <w:p w14:paraId="47B81E52" w14:textId="77777777" w:rsidR="00544649" w:rsidRDefault="00000000">
            <w:pPr>
              <w:pStyle w:val="aff3"/>
              <w:spacing w:before="65" w:after="65"/>
              <w:rPr>
                <w:rFonts w:cs="Times New Roman"/>
                <w:kern w:val="21"/>
                <w:szCs w:val="21"/>
              </w:rPr>
            </w:pPr>
            <w:r>
              <w:rPr>
                <w:rFonts w:cs="Times New Roman"/>
                <w:kern w:val="21"/>
                <w:szCs w:val="21"/>
              </w:rPr>
              <w:t>符合</w:t>
            </w:r>
          </w:p>
        </w:tc>
      </w:tr>
      <w:tr w:rsidR="00544649" w14:paraId="11301C44" w14:textId="77777777">
        <w:trPr>
          <w:trHeight w:val="90"/>
          <w:jc w:val="center"/>
        </w:trPr>
        <w:tc>
          <w:tcPr>
            <w:tcW w:w="5375" w:type="dxa"/>
            <w:vAlign w:val="center"/>
          </w:tcPr>
          <w:p w14:paraId="5019C10B" w14:textId="77777777" w:rsidR="00544649" w:rsidRDefault="00000000">
            <w:pPr>
              <w:pStyle w:val="aff3"/>
              <w:spacing w:before="65" w:after="65"/>
              <w:jc w:val="both"/>
              <w:rPr>
                <w:rFonts w:cs="Times New Roman"/>
                <w:b/>
                <w:bCs w:val="0"/>
                <w:kern w:val="21"/>
                <w:szCs w:val="21"/>
              </w:rPr>
            </w:pPr>
            <w:r>
              <w:rPr>
                <w:rFonts w:cs="Times New Roman"/>
                <w:b/>
                <w:bCs w:val="0"/>
                <w:kern w:val="21"/>
                <w:szCs w:val="21"/>
              </w:rPr>
              <w:t>（一）分区分类，优化畜禽养殖布局结构</w:t>
            </w:r>
          </w:p>
          <w:p w14:paraId="070FB4AB"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b/>
                <w:bCs/>
                <w:kern w:val="21"/>
                <w:sz w:val="21"/>
                <w:szCs w:val="21"/>
              </w:rPr>
              <w:t>重点防治类：</w:t>
            </w:r>
            <w:r>
              <w:rPr>
                <w:rFonts w:cs="Times New Roman"/>
                <w:kern w:val="21"/>
                <w:sz w:val="21"/>
                <w:szCs w:val="21"/>
              </w:rPr>
              <w:t>重点防治类地区</w:t>
            </w:r>
            <w:r>
              <w:rPr>
                <w:rFonts w:cs="Times New Roman"/>
                <w:kern w:val="21"/>
                <w:sz w:val="21"/>
                <w:szCs w:val="21"/>
              </w:rPr>
              <w:t>2022</w:t>
            </w:r>
            <w:r>
              <w:rPr>
                <w:rFonts w:cs="Times New Roman"/>
                <w:kern w:val="21"/>
                <w:sz w:val="21"/>
                <w:szCs w:val="21"/>
              </w:rPr>
              <w:t>年</w:t>
            </w:r>
            <w:r>
              <w:rPr>
                <w:rFonts w:cs="Times New Roman"/>
                <w:kern w:val="21"/>
                <w:sz w:val="21"/>
                <w:szCs w:val="21"/>
              </w:rPr>
              <w:t>12</w:t>
            </w:r>
            <w:r>
              <w:rPr>
                <w:rFonts w:cs="Times New Roman"/>
                <w:kern w:val="21"/>
                <w:sz w:val="21"/>
                <w:szCs w:val="21"/>
              </w:rPr>
              <w:t>月底前完成畜禽养殖污染防治规划编制，严格</w:t>
            </w:r>
            <w:proofErr w:type="gramStart"/>
            <w:r>
              <w:rPr>
                <w:rFonts w:cs="Times New Roman"/>
                <w:kern w:val="21"/>
                <w:sz w:val="21"/>
                <w:szCs w:val="21"/>
              </w:rPr>
              <w:t>管控粪污</w:t>
            </w:r>
            <w:proofErr w:type="gramEnd"/>
            <w:r>
              <w:rPr>
                <w:rFonts w:cs="Times New Roman"/>
                <w:kern w:val="21"/>
                <w:sz w:val="21"/>
                <w:szCs w:val="21"/>
              </w:rPr>
              <w:t>排放和综合利用，杜绝未经处置的</w:t>
            </w:r>
            <w:proofErr w:type="gramStart"/>
            <w:r>
              <w:rPr>
                <w:rFonts w:cs="Times New Roman"/>
                <w:kern w:val="21"/>
                <w:sz w:val="21"/>
                <w:szCs w:val="21"/>
              </w:rPr>
              <w:t>粪污借粪肥</w:t>
            </w:r>
            <w:proofErr w:type="gramEnd"/>
            <w:r>
              <w:rPr>
                <w:rFonts w:cs="Times New Roman"/>
                <w:kern w:val="21"/>
                <w:sz w:val="21"/>
                <w:szCs w:val="21"/>
              </w:rPr>
              <w:t>名义漫灌入田现象，推广覆土施肥、沟施及注射式深施等精细化施肥。其中，重点流域水质达标压力大的</w:t>
            </w:r>
            <w:r>
              <w:rPr>
                <w:rFonts w:cs="Times New Roman"/>
                <w:kern w:val="21"/>
                <w:sz w:val="21"/>
                <w:szCs w:val="21"/>
              </w:rPr>
              <w:t>16</w:t>
            </w:r>
            <w:r>
              <w:rPr>
                <w:rFonts w:cs="Times New Roman"/>
                <w:kern w:val="21"/>
                <w:sz w:val="21"/>
                <w:szCs w:val="21"/>
              </w:rPr>
              <w:t>个重点防治</w:t>
            </w:r>
            <w:proofErr w:type="gramStart"/>
            <w:r>
              <w:rPr>
                <w:rFonts w:cs="Times New Roman"/>
                <w:kern w:val="21"/>
                <w:sz w:val="21"/>
                <w:szCs w:val="21"/>
              </w:rPr>
              <w:t>县规模畜禽</w:t>
            </w:r>
            <w:proofErr w:type="gramEnd"/>
            <w:r>
              <w:rPr>
                <w:rFonts w:cs="Times New Roman"/>
                <w:kern w:val="21"/>
                <w:sz w:val="21"/>
                <w:szCs w:val="21"/>
              </w:rPr>
              <w:t>养殖场</w:t>
            </w:r>
            <w:r>
              <w:rPr>
                <w:rFonts w:cs="Times New Roman"/>
                <w:kern w:val="21"/>
                <w:sz w:val="21"/>
                <w:szCs w:val="21"/>
              </w:rPr>
              <w:lastRenderedPageBreak/>
              <w:t>（区）要探索建立以资源化利用与达标排放处理相结合的系统化治理模式，</w:t>
            </w:r>
            <w:r>
              <w:rPr>
                <w:rFonts w:cs="Times New Roman"/>
                <w:b/>
                <w:bCs/>
                <w:kern w:val="21"/>
                <w:sz w:val="21"/>
                <w:szCs w:val="21"/>
              </w:rPr>
              <w:t>其他</w:t>
            </w:r>
            <w:r>
              <w:rPr>
                <w:rFonts w:cs="Times New Roman"/>
                <w:b/>
                <w:bCs/>
                <w:kern w:val="21"/>
                <w:sz w:val="21"/>
                <w:szCs w:val="21"/>
              </w:rPr>
              <w:t>49</w:t>
            </w:r>
            <w:r>
              <w:rPr>
                <w:rFonts w:cs="Times New Roman"/>
                <w:b/>
                <w:bCs/>
                <w:kern w:val="21"/>
                <w:sz w:val="21"/>
                <w:szCs w:val="21"/>
              </w:rPr>
              <w:t>个重点防治类县新建规模养殖场鼓励采用减量化、无害化处理与资源化利用相结合的粪污处理工艺，开展资源化利用时应加强日常监管。</w:t>
            </w:r>
          </w:p>
        </w:tc>
        <w:tc>
          <w:tcPr>
            <w:tcW w:w="2762" w:type="dxa"/>
            <w:vAlign w:val="center"/>
          </w:tcPr>
          <w:p w14:paraId="0092A64B" w14:textId="77777777" w:rsidR="00544649" w:rsidRDefault="00000000">
            <w:pPr>
              <w:pStyle w:val="aff3"/>
              <w:spacing w:before="65" w:after="65"/>
              <w:jc w:val="both"/>
              <w:rPr>
                <w:rFonts w:cs="Times New Roman"/>
                <w:kern w:val="21"/>
                <w:szCs w:val="21"/>
              </w:rPr>
            </w:pPr>
            <w:r>
              <w:rPr>
                <w:rFonts w:cs="Times New Roman" w:hint="eastAsia"/>
                <w:kern w:val="21"/>
                <w:szCs w:val="21"/>
              </w:rPr>
              <w:lastRenderedPageBreak/>
              <w:t>本项目配套建设污水处理站及废水贮存池，生活污水及养殖废水经收集处理达标后用于周边林地灌溉。</w:t>
            </w:r>
            <w:r>
              <w:rPr>
                <w:rFonts w:cs="Times New Roman"/>
                <w:kern w:val="21"/>
                <w:szCs w:val="21"/>
              </w:rPr>
              <w:t>本项目采用干清粪工艺，鸡粪日产</w:t>
            </w:r>
            <w:r>
              <w:rPr>
                <w:rFonts w:cs="Times New Roman"/>
                <w:kern w:val="21"/>
                <w:szCs w:val="21"/>
              </w:rPr>
              <w:lastRenderedPageBreak/>
              <w:t>日清，交由</w:t>
            </w:r>
            <w:r>
              <w:rPr>
                <w:rFonts w:cs="Times New Roman" w:hint="eastAsia"/>
                <w:kern w:val="21"/>
                <w:szCs w:val="21"/>
              </w:rPr>
              <w:t>四川省田宝生物科技有限公司</w:t>
            </w:r>
            <w:r>
              <w:rPr>
                <w:rFonts w:cs="Times New Roman"/>
                <w:kern w:val="21"/>
                <w:szCs w:val="21"/>
              </w:rPr>
              <w:t>进行有机肥生产，项目建设符合区域畜禽养殖污染防治规划要求。</w:t>
            </w:r>
          </w:p>
        </w:tc>
        <w:tc>
          <w:tcPr>
            <w:tcW w:w="918" w:type="dxa"/>
            <w:vAlign w:val="center"/>
          </w:tcPr>
          <w:p w14:paraId="15023822" w14:textId="77777777" w:rsidR="00544649" w:rsidRDefault="00000000">
            <w:pPr>
              <w:pStyle w:val="aff3"/>
              <w:spacing w:before="65" w:after="65"/>
              <w:rPr>
                <w:rFonts w:cs="Times New Roman"/>
                <w:kern w:val="21"/>
                <w:szCs w:val="21"/>
              </w:rPr>
            </w:pPr>
            <w:r>
              <w:rPr>
                <w:rFonts w:cs="Times New Roman"/>
                <w:kern w:val="21"/>
                <w:szCs w:val="21"/>
              </w:rPr>
              <w:lastRenderedPageBreak/>
              <w:t>符合</w:t>
            </w:r>
          </w:p>
        </w:tc>
      </w:tr>
      <w:tr w:rsidR="00544649" w14:paraId="2F03F41C" w14:textId="77777777">
        <w:trPr>
          <w:trHeight w:val="90"/>
          <w:jc w:val="center"/>
        </w:trPr>
        <w:tc>
          <w:tcPr>
            <w:tcW w:w="5375" w:type="dxa"/>
            <w:vAlign w:val="center"/>
          </w:tcPr>
          <w:p w14:paraId="7DB9063F" w14:textId="77777777" w:rsidR="00544649" w:rsidRDefault="00000000">
            <w:pPr>
              <w:pStyle w:val="af5"/>
              <w:widowControl/>
              <w:adjustRightInd w:val="0"/>
              <w:snapToGrid w:val="0"/>
              <w:spacing w:beforeLines="20" w:before="65" w:beforeAutospacing="0" w:afterLines="20" w:after="65" w:afterAutospacing="0" w:line="240" w:lineRule="auto"/>
              <w:ind w:firstLineChars="0" w:firstLine="0"/>
              <w:jc w:val="both"/>
              <w:rPr>
                <w:b/>
                <w:bCs/>
                <w:kern w:val="21"/>
                <w:sz w:val="21"/>
                <w:szCs w:val="21"/>
              </w:rPr>
            </w:pPr>
            <w:r>
              <w:rPr>
                <w:b/>
                <w:bCs/>
                <w:kern w:val="21"/>
                <w:sz w:val="21"/>
                <w:szCs w:val="21"/>
              </w:rPr>
              <w:t>专栏</w:t>
            </w:r>
            <w:r>
              <w:rPr>
                <w:b/>
                <w:bCs/>
                <w:kern w:val="21"/>
                <w:sz w:val="21"/>
                <w:szCs w:val="21"/>
              </w:rPr>
              <w:t>3</w:t>
            </w:r>
            <w:r>
              <w:rPr>
                <w:b/>
                <w:bCs/>
                <w:kern w:val="21"/>
                <w:sz w:val="21"/>
                <w:szCs w:val="21"/>
              </w:rPr>
              <w:t>强化畜禽污染防治能力</w:t>
            </w:r>
          </w:p>
          <w:p w14:paraId="3E31A785"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b/>
                <w:bCs/>
                <w:kern w:val="21"/>
                <w:sz w:val="21"/>
                <w:szCs w:val="21"/>
              </w:rPr>
              <w:t>开展畜禽养殖源头减量工程。</w:t>
            </w:r>
            <w:r>
              <w:rPr>
                <w:rFonts w:cs="Times New Roman"/>
                <w:kern w:val="21"/>
                <w:sz w:val="21"/>
                <w:szCs w:val="21"/>
              </w:rPr>
              <w:t>改造节水工艺，重点改造饮水系统、清粪系统和雨污分离系统。配备节水型饮水器、漏缝地板、清粪机械、雨污分离设备等，最大限度地减少用水量和畜禽粪</w:t>
            </w:r>
            <w:proofErr w:type="gramStart"/>
            <w:r>
              <w:rPr>
                <w:rFonts w:cs="Times New Roman"/>
                <w:kern w:val="21"/>
                <w:sz w:val="21"/>
                <w:szCs w:val="21"/>
              </w:rPr>
              <w:t>污产生</w:t>
            </w:r>
            <w:proofErr w:type="gramEnd"/>
            <w:r>
              <w:rPr>
                <w:rFonts w:cs="Times New Roman"/>
                <w:kern w:val="21"/>
                <w:sz w:val="21"/>
                <w:szCs w:val="21"/>
              </w:rPr>
              <w:t>量，提高畜禽粪污收集率。</w:t>
            </w:r>
          </w:p>
          <w:p w14:paraId="11F46885"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b/>
                <w:bCs/>
                <w:kern w:val="21"/>
                <w:sz w:val="21"/>
                <w:szCs w:val="21"/>
              </w:rPr>
              <w:t>实施畜禽粪污资源化利用整县推进工程。</w:t>
            </w:r>
            <w:r>
              <w:rPr>
                <w:rFonts w:cs="Times New Roman"/>
                <w:kern w:val="21"/>
                <w:sz w:val="21"/>
                <w:szCs w:val="21"/>
              </w:rPr>
              <w:t>支持</w:t>
            </w:r>
            <w:r>
              <w:rPr>
                <w:rFonts w:cs="Times New Roman"/>
                <w:kern w:val="21"/>
                <w:sz w:val="21"/>
                <w:szCs w:val="21"/>
              </w:rPr>
              <w:t>10</w:t>
            </w:r>
            <w:r>
              <w:rPr>
                <w:rFonts w:cs="Times New Roman"/>
                <w:kern w:val="21"/>
                <w:sz w:val="21"/>
                <w:szCs w:val="21"/>
              </w:rPr>
              <w:t>个项目县改造提升粪污处理设施，建设粪肥还田利用示范基地，重点支持畜禽养殖场粪污处理利用设施设备装备提档升级及节水设施改造。</w:t>
            </w:r>
          </w:p>
          <w:p w14:paraId="685A6991"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b/>
                <w:bCs/>
                <w:kern w:val="21"/>
                <w:sz w:val="21"/>
                <w:szCs w:val="21"/>
              </w:rPr>
              <w:t>实施畜禽</w:t>
            </w:r>
            <w:proofErr w:type="gramStart"/>
            <w:r>
              <w:rPr>
                <w:rFonts w:cs="Times New Roman"/>
                <w:b/>
                <w:bCs/>
                <w:kern w:val="21"/>
                <w:sz w:val="21"/>
                <w:szCs w:val="21"/>
              </w:rPr>
              <w:t>粪污收贮运</w:t>
            </w:r>
            <w:proofErr w:type="gramEnd"/>
            <w:r>
              <w:rPr>
                <w:rFonts w:cs="Times New Roman"/>
                <w:b/>
                <w:bCs/>
                <w:kern w:val="21"/>
                <w:sz w:val="21"/>
                <w:szCs w:val="21"/>
              </w:rPr>
              <w:t>工程。</w:t>
            </w:r>
            <w:r>
              <w:rPr>
                <w:rFonts w:cs="Times New Roman"/>
                <w:kern w:val="21"/>
                <w:sz w:val="21"/>
                <w:szCs w:val="21"/>
              </w:rPr>
              <w:t>建设防雨防渗固体粪污暂存设施和堆沤等设施；防渗防</w:t>
            </w:r>
            <w:proofErr w:type="gramStart"/>
            <w:r>
              <w:rPr>
                <w:rFonts w:cs="Times New Roman"/>
                <w:kern w:val="21"/>
                <w:sz w:val="21"/>
                <w:szCs w:val="21"/>
              </w:rPr>
              <w:t>漏液体粪污</w:t>
            </w:r>
            <w:proofErr w:type="gramEnd"/>
            <w:r>
              <w:rPr>
                <w:rFonts w:cs="Times New Roman"/>
                <w:kern w:val="21"/>
                <w:sz w:val="21"/>
                <w:szCs w:val="21"/>
              </w:rPr>
              <w:t>暂存设施、密闭式处理设施、气体收集处理设施等，提高液体粪污收集率，减少粪污贮存和处理过程中的氨气等臭气排放；配备液体粪污抽吸泵、密闭式液体粪污转运车、固体粪污装载车和转运车、施肥机械，建设粪肥还田利用示范基地。</w:t>
            </w:r>
          </w:p>
        </w:tc>
        <w:tc>
          <w:tcPr>
            <w:tcW w:w="2762" w:type="dxa"/>
            <w:vAlign w:val="center"/>
          </w:tcPr>
          <w:p w14:paraId="6F90C2CE" w14:textId="77777777" w:rsidR="00544649" w:rsidRDefault="00000000">
            <w:pPr>
              <w:pStyle w:val="aff3"/>
              <w:spacing w:before="65" w:after="65"/>
              <w:jc w:val="both"/>
              <w:rPr>
                <w:rFonts w:cs="Times New Roman"/>
                <w:kern w:val="21"/>
                <w:szCs w:val="21"/>
              </w:rPr>
            </w:pPr>
            <w:r>
              <w:rPr>
                <w:rFonts w:cs="Times New Roman"/>
                <w:kern w:val="21"/>
                <w:szCs w:val="21"/>
              </w:rPr>
              <w:t>本项目实施雨污分流系统，鸡舍内配备全自动化节水型饮水器、清粪机械等设备，能够减少用水量，实现畜禽粪污</w:t>
            </w:r>
            <w:r>
              <w:rPr>
                <w:rFonts w:cs="Times New Roman"/>
                <w:kern w:val="21"/>
                <w:szCs w:val="21"/>
              </w:rPr>
              <w:t>100%</w:t>
            </w:r>
            <w:r>
              <w:rPr>
                <w:rFonts w:cs="Times New Roman"/>
                <w:kern w:val="21"/>
                <w:szCs w:val="21"/>
              </w:rPr>
              <w:t>收集处理。</w:t>
            </w:r>
            <w:r>
              <w:rPr>
                <w:rFonts w:cs="Times New Roman" w:hint="eastAsia"/>
                <w:kern w:val="21"/>
                <w:szCs w:val="21"/>
              </w:rPr>
              <w:t>本项目场内配套建设污水处理站及废水暂存池，生活污水以及养殖废水经处理达标后用于林地灌溉。</w:t>
            </w:r>
            <w:r>
              <w:rPr>
                <w:rFonts w:cs="Times New Roman"/>
                <w:kern w:val="21"/>
                <w:szCs w:val="21"/>
              </w:rPr>
              <w:t>本项目采用干清粪工艺，鸡粪日产日清，转运至</w:t>
            </w:r>
            <w:r>
              <w:rPr>
                <w:rFonts w:cs="Times New Roman" w:hint="eastAsia"/>
                <w:kern w:val="21"/>
                <w:szCs w:val="21"/>
              </w:rPr>
              <w:t>四川省田宝生物科技有限公司</w:t>
            </w:r>
            <w:r>
              <w:rPr>
                <w:rFonts w:cs="Times New Roman"/>
                <w:kern w:val="21"/>
                <w:szCs w:val="21"/>
              </w:rPr>
              <w:t>进行有机肥生产，不在厂内暂存。</w:t>
            </w:r>
          </w:p>
        </w:tc>
        <w:tc>
          <w:tcPr>
            <w:tcW w:w="918" w:type="dxa"/>
            <w:vAlign w:val="center"/>
          </w:tcPr>
          <w:p w14:paraId="1F8E3E97" w14:textId="77777777" w:rsidR="00544649" w:rsidRDefault="00000000">
            <w:pPr>
              <w:pStyle w:val="aff3"/>
              <w:spacing w:before="65" w:after="65"/>
              <w:rPr>
                <w:rFonts w:cs="Times New Roman"/>
                <w:kern w:val="21"/>
                <w:szCs w:val="21"/>
              </w:rPr>
            </w:pPr>
            <w:r>
              <w:rPr>
                <w:rFonts w:cs="Times New Roman"/>
                <w:kern w:val="21"/>
                <w:szCs w:val="21"/>
              </w:rPr>
              <w:t>符合</w:t>
            </w:r>
          </w:p>
        </w:tc>
      </w:tr>
    </w:tbl>
    <w:p w14:paraId="45B89410" w14:textId="77777777" w:rsidR="00544649" w:rsidRDefault="00000000">
      <w:pPr>
        <w:adjustRightInd w:val="0"/>
        <w:snapToGrid w:val="0"/>
        <w:spacing w:after="0"/>
        <w:ind w:firstLine="480"/>
        <w:rPr>
          <w:rFonts w:cs="Times New Roman"/>
          <w:kern w:val="21"/>
        </w:rPr>
      </w:pPr>
      <w:r>
        <w:rPr>
          <w:rFonts w:cs="Times New Roman"/>
          <w:kern w:val="21"/>
        </w:rPr>
        <w:t>因此，本项目与《四川省畜禽养殖污染防治规划》要求相符。</w:t>
      </w:r>
    </w:p>
    <w:p w14:paraId="55150500" w14:textId="77777777" w:rsidR="00544649" w:rsidRDefault="00000000">
      <w:pPr>
        <w:pStyle w:val="4"/>
        <w:adjustRightInd w:val="0"/>
        <w:snapToGrid w:val="0"/>
        <w:spacing w:after="0"/>
      </w:pPr>
      <w:r>
        <w:t>与《四川省畜禽养殖污染防治技术指南（试行）的通知》（</w:t>
      </w:r>
      <w:proofErr w:type="gramStart"/>
      <w:r>
        <w:t>川农函〔</w:t>
      </w:r>
      <w:r>
        <w:t>2017</w:t>
      </w:r>
      <w:r>
        <w:t>〕</w:t>
      </w:r>
      <w:proofErr w:type="gramEnd"/>
      <w:r>
        <w:t>647</w:t>
      </w:r>
      <w:r>
        <w:t>号）的符合性</w:t>
      </w:r>
    </w:p>
    <w:p w14:paraId="226DAD04" w14:textId="77777777" w:rsidR="00544649" w:rsidRDefault="00000000">
      <w:pPr>
        <w:adjustRightInd w:val="0"/>
        <w:snapToGrid w:val="0"/>
        <w:spacing w:after="0"/>
        <w:ind w:firstLine="480"/>
        <w:rPr>
          <w:rFonts w:cs="Times New Roman"/>
          <w:kern w:val="21"/>
        </w:rPr>
      </w:pPr>
      <w:r>
        <w:rPr>
          <w:rFonts w:cs="Times New Roman"/>
          <w:kern w:val="21"/>
        </w:rPr>
        <w:t>本项目与《四川省畜禽养殖污染防治技术指南（试行）的通知》（</w:t>
      </w:r>
      <w:proofErr w:type="gramStart"/>
      <w:r>
        <w:rPr>
          <w:rFonts w:cs="Times New Roman"/>
          <w:kern w:val="21"/>
        </w:rPr>
        <w:t>川农函〔</w:t>
      </w:r>
      <w:r>
        <w:rPr>
          <w:rFonts w:cs="Times New Roman"/>
          <w:kern w:val="21"/>
        </w:rPr>
        <w:t>2017</w:t>
      </w:r>
      <w:r>
        <w:rPr>
          <w:rFonts w:cs="Times New Roman"/>
          <w:kern w:val="21"/>
        </w:rPr>
        <w:t>〕</w:t>
      </w:r>
      <w:proofErr w:type="gramEnd"/>
      <w:r>
        <w:rPr>
          <w:rFonts w:cs="Times New Roman"/>
          <w:kern w:val="21"/>
        </w:rPr>
        <w:t>647</w:t>
      </w:r>
      <w:r>
        <w:rPr>
          <w:rFonts w:cs="Times New Roman"/>
          <w:kern w:val="21"/>
        </w:rPr>
        <w:t>号）的符合性分析如下：</w:t>
      </w:r>
    </w:p>
    <w:p w14:paraId="64932806" w14:textId="77777777" w:rsidR="00544649" w:rsidRDefault="00000000">
      <w:pPr>
        <w:widowControl/>
        <w:numPr>
          <w:ilvl w:val="0"/>
          <w:numId w:val="13"/>
        </w:numPr>
        <w:adjustRightInd w:val="0"/>
        <w:snapToGrid w:val="0"/>
        <w:spacing w:beforeLines="20" w:before="65" w:afterLines="20" w:after="65" w:line="240" w:lineRule="auto"/>
        <w:ind w:firstLineChars="0"/>
        <w:jc w:val="center"/>
        <w:rPr>
          <w:rFonts w:cs="Times New Roman"/>
          <w:b/>
          <w:kern w:val="21"/>
          <w:sz w:val="21"/>
          <w:szCs w:val="21"/>
        </w:rPr>
      </w:pPr>
      <w:r>
        <w:rPr>
          <w:rFonts w:cs="Times New Roman"/>
          <w:b/>
          <w:kern w:val="21"/>
          <w:sz w:val="21"/>
          <w:szCs w:val="21"/>
        </w:rPr>
        <w:t>本项目与《四川省畜禽养殖污染防治技术指南（试行）的通知》的符合性分析</w:t>
      </w:r>
    </w:p>
    <w:tbl>
      <w:tblPr>
        <w:tblStyle w:val="afc"/>
        <w:tblW w:w="9055" w:type="dxa"/>
        <w:tblLayout w:type="fixed"/>
        <w:tblLook w:val="04A0" w:firstRow="1" w:lastRow="0" w:firstColumn="1" w:lastColumn="0" w:noHBand="0" w:noVBand="1"/>
      </w:tblPr>
      <w:tblGrid>
        <w:gridCol w:w="437"/>
        <w:gridCol w:w="4319"/>
        <w:gridCol w:w="3403"/>
        <w:gridCol w:w="896"/>
      </w:tblGrid>
      <w:tr w:rsidR="00544649" w14:paraId="2F137648" w14:textId="77777777">
        <w:trPr>
          <w:tblHeader/>
        </w:trPr>
        <w:tc>
          <w:tcPr>
            <w:tcW w:w="4756" w:type="dxa"/>
            <w:gridSpan w:val="2"/>
            <w:vAlign w:val="center"/>
          </w:tcPr>
          <w:p w14:paraId="7C736982" w14:textId="77777777" w:rsidR="00544649" w:rsidRDefault="00000000">
            <w:pPr>
              <w:adjustRightInd w:val="0"/>
              <w:snapToGrid w:val="0"/>
              <w:spacing w:beforeLines="20" w:before="65" w:afterLines="20" w:after="65" w:line="240" w:lineRule="auto"/>
              <w:ind w:firstLineChars="0" w:firstLine="0"/>
              <w:jc w:val="center"/>
              <w:rPr>
                <w:rFonts w:cs="Times New Roman"/>
                <w:b/>
                <w:kern w:val="21"/>
                <w:sz w:val="21"/>
                <w:szCs w:val="21"/>
              </w:rPr>
            </w:pPr>
            <w:r>
              <w:rPr>
                <w:rFonts w:cs="Times New Roman"/>
                <w:b/>
                <w:kern w:val="21"/>
                <w:sz w:val="21"/>
                <w:szCs w:val="21"/>
              </w:rPr>
              <w:t>技术指南要求</w:t>
            </w:r>
          </w:p>
        </w:tc>
        <w:tc>
          <w:tcPr>
            <w:tcW w:w="3403" w:type="dxa"/>
            <w:vAlign w:val="center"/>
          </w:tcPr>
          <w:p w14:paraId="72A39FAD" w14:textId="77777777" w:rsidR="00544649" w:rsidRDefault="00000000">
            <w:pPr>
              <w:adjustRightInd w:val="0"/>
              <w:snapToGrid w:val="0"/>
              <w:spacing w:beforeLines="20" w:before="65" w:afterLines="20" w:after="65" w:line="240" w:lineRule="auto"/>
              <w:ind w:firstLineChars="0" w:firstLine="0"/>
              <w:jc w:val="center"/>
              <w:rPr>
                <w:rFonts w:cs="Times New Roman"/>
                <w:b/>
                <w:kern w:val="21"/>
                <w:sz w:val="21"/>
                <w:szCs w:val="21"/>
              </w:rPr>
            </w:pPr>
            <w:r>
              <w:rPr>
                <w:rFonts w:cs="Times New Roman"/>
                <w:b/>
                <w:kern w:val="21"/>
                <w:sz w:val="21"/>
                <w:szCs w:val="21"/>
              </w:rPr>
              <w:t>本项目情况</w:t>
            </w:r>
          </w:p>
        </w:tc>
        <w:tc>
          <w:tcPr>
            <w:tcW w:w="896" w:type="dxa"/>
            <w:vAlign w:val="center"/>
          </w:tcPr>
          <w:p w14:paraId="0A31AF01" w14:textId="77777777" w:rsidR="00544649" w:rsidRDefault="00000000">
            <w:pPr>
              <w:adjustRightInd w:val="0"/>
              <w:snapToGrid w:val="0"/>
              <w:spacing w:beforeLines="20" w:before="65" w:afterLines="20" w:after="65" w:line="240" w:lineRule="auto"/>
              <w:ind w:firstLineChars="0" w:firstLine="0"/>
              <w:jc w:val="center"/>
              <w:rPr>
                <w:rFonts w:cs="Times New Roman"/>
                <w:b/>
                <w:kern w:val="21"/>
                <w:sz w:val="21"/>
                <w:szCs w:val="21"/>
              </w:rPr>
            </w:pPr>
            <w:r>
              <w:rPr>
                <w:rFonts w:cs="Times New Roman"/>
                <w:b/>
                <w:kern w:val="21"/>
                <w:sz w:val="21"/>
                <w:szCs w:val="21"/>
              </w:rPr>
              <w:t>符合性</w:t>
            </w:r>
          </w:p>
        </w:tc>
      </w:tr>
      <w:tr w:rsidR="00544649" w14:paraId="69BC8A42" w14:textId="77777777">
        <w:tc>
          <w:tcPr>
            <w:tcW w:w="437" w:type="dxa"/>
            <w:vMerge w:val="restart"/>
            <w:vAlign w:val="center"/>
          </w:tcPr>
          <w:p w14:paraId="18AD757C"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养殖场及配套设施建设</w:t>
            </w:r>
          </w:p>
        </w:tc>
        <w:tc>
          <w:tcPr>
            <w:tcW w:w="4319" w:type="dxa"/>
            <w:vAlign w:val="center"/>
          </w:tcPr>
          <w:p w14:paraId="5180DAE8"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养殖场（小区）应布局生活管理区、生产区、辅助生产区和资源化利用区（含隔离区）。粪便污水处理设施和畜禽尸体焚烧炉应在养殖场的常年主导风向的下风向或侧风向处；养殖场的排水系统应实行雨水和污水收集输送系统分离，在场区内外设置的污水收集输送系统，不得采取明沟布设。</w:t>
            </w:r>
          </w:p>
        </w:tc>
        <w:tc>
          <w:tcPr>
            <w:tcW w:w="3403" w:type="dxa"/>
            <w:vAlign w:val="center"/>
          </w:tcPr>
          <w:p w14:paraId="575ACD59"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本项目</w:t>
            </w:r>
            <w:r>
              <w:rPr>
                <w:rFonts w:cs="Times New Roman" w:hint="eastAsia"/>
                <w:bCs/>
                <w:kern w:val="21"/>
                <w:sz w:val="21"/>
                <w:szCs w:val="21"/>
              </w:rPr>
              <w:t>场内设置管理区、生产区及辅助生产区，</w:t>
            </w:r>
            <w:r>
              <w:rPr>
                <w:rFonts w:cs="Times New Roman"/>
                <w:bCs/>
                <w:kern w:val="21"/>
                <w:sz w:val="21"/>
                <w:szCs w:val="21"/>
              </w:rPr>
              <w:t>不在场区设置资源化利用区和畜禽尸体焚烧炉</w:t>
            </w:r>
            <w:r>
              <w:rPr>
                <w:rFonts w:cs="Times New Roman" w:hint="eastAsia"/>
                <w:bCs/>
                <w:kern w:val="21"/>
                <w:sz w:val="21"/>
                <w:szCs w:val="21"/>
              </w:rPr>
              <w:t>；场内设置污水处理站，污水收集系统实行雨污分流，污水收集系统管网采取密闭设计，无明沟布设</w:t>
            </w:r>
            <w:r>
              <w:rPr>
                <w:rFonts w:cs="Times New Roman"/>
                <w:bCs/>
                <w:kern w:val="21"/>
                <w:sz w:val="21"/>
                <w:szCs w:val="21"/>
              </w:rPr>
              <w:t>。</w:t>
            </w:r>
          </w:p>
        </w:tc>
        <w:tc>
          <w:tcPr>
            <w:tcW w:w="896" w:type="dxa"/>
            <w:vAlign w:val="center"/>
          </w:tcPr>
          <w:p w14:paraId="5184ABB8"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符合</w:t>
            </w:r>
          </w:p>
        </w:tc>
      </w:tr>
      <w:tr w:rsidR="00544649" w14:paraId="3991F7FA" w14:textId="77777777">
        <w:tc>
          <w:tcPr>
            <w:tcW w:w="437" w:type="dxa"/>
            <w:vMerge/>
            <w:vAlign w:val="center"/>
          </w:tcPr>
          <w:p w14:paraId="0110ECB5" w14:textId="77777777" w:rsidR="00544649" w:rsidRDefault="00544649">
            <w:pPr>
              <w:adjustRightInd w:val="0"/>
              <w:snapToGrid w:val="0"/>
              <w:spacing w:beforeLines="20" w:before="65" w:afterLines="20" w:after="65" w:line="240" w:lineRule="auto"/>
              <w:ind w:firstLineChars="0" w:firstLine="0"/>
              <w:jc w:val="center"/>
              <w:rPr>
                <w:rFonts w:cs="Times New Roman"/>
                <w:bCs/>
                <w:kern w:val="21"/>
                <w:sz w:val="21"/>
                <w:szCs w:val="21"/>
              </w:rPr>
            </w:pPr>
          </w:p>
        </w:tc>
        <w:tc>
          <w:tcPr>
            <w:tcW w:w="4319" w:type="dxa"/>
            <w:vAlign w:val="center"/>
          </w:tcPr>
          <w:p w14:paraId="0155905C"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养殖场（小区）宜采取干法清粪工艺，采取有效措施将粪便和粪渣及时运至贮存或处理场所。粪便和粪渣单独清出，不可与尿、污水混合排出。养殖场（小区）应配套与养殖规模和处理工艺相适应的</w:t>
            </w:r>
            <w:proofErr w:type="gramStart"/>
            <w:r>
              <w:rPr>
                <w:rFonts w:cs="Times New Roman"/>
                <w:bCs/>
                <w:kern w:val="21"/>
                <w:sz w:val="21"/>
                <w:szCs w:val="21"/>
              </w:rPr>
              <w:t>粪污消纳</w:t>
            </w:r>
            <w:proofErr w:type="gramEnd"/>
            <w:r>
              <w:rPr>
                <w:rFonts w:cs="Times New Roman"/>
                <w:bCs/>
                <w:kern w:val="21"/>
                <w:sz w:val="21"/>
                <w:szCs w:val="21"/>
              </w:rPr>
              <w:t>用地，配备必要的粪污收集、贮存、处理、利用和无害化处理设施。对于种养结合的养殖场，畜禽粪便贮存设施的总容积不得低于配套农林作物生产用肥的最大间隔时间内养殖场所产生粪便的总量。</w:t>
            </w:r>
          </w:p>
        </w:tc>
        <w:tc>
          <w:tcPr>
            <w:tcW w:w="3403" w:type="dxa"/>
            <w:vAlign w:val="center"/>
          </w:tcPr>
          <w:p w14:paraId="4A8FBA2B"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本项目采用干法清粪工艺，</w:t>
            </w:r>
            <w:r>
              <w:rPr>
                <w:rFonts w:cs="Times New Roman" w:hint="eastAsia"/>
                <w:bCs/>
                <w:kern w:val="21"/>
                <w:sz w:val="21"/>
                <w:szCs w:val="21"/>
              </w:rPr>
              <w:t>鸡粪日产日清，每日</w:t>
            </w:r>
            <w:r>
              <w:rPr>
                <w:rFonts w:cs="Times New Roman"/>
                <w:bCs/>
                <w:kern w:val="21"/>
                <w:sz w:val="21"/>
                <w:szCs w:val="21"/>
              </w:rPr>
              <w:t>鸡粪通过密闭皮带传输</w:t>
            </w:r>
            <w:proofErr w:type="gramStart"/>
            <w:r>
              <w:rPr>
                <w:rFonts w:cs="Times New Roman"/>
                <w:bCs/>
                <w:kern w:val="21"/>
                <w:sz w:val="21"/>
                <w:szCs w:val="21"/>
              </w:rPr>
              <w:t>机直接</w:t>
            </w:r>
            <w:proofErr w:type="gramEnd"/>
            <w:r>
              <w:rPr>
                <w:rFonts w:cs="Times New Roman"/>
                <w:bCs/>
                <w:kern w:val="21"/>
                <w:sz w:val="21"/>
                <w:szCs w:val="21"/>
              </w:rPr>
              <w:t>运送至密闭鸡粪转运车，转运至</w:t>
            </w:r>
            <w:r>
              <w:rPr>
                <w:rFonts w:cs="Times New Roman" w:hint="eastAsia"/>
                <w:bCs/>
                <w:kern w:val="21"/>
                <w:sz w:val="21"/>
                <w:szCs w:val="21"/>
              </w:rPr>
              <w:t>四川省田宝生物科技有限公司</w:t>
            </w:r>
            <w:r>
              <w:rPr>
                <w:rFonts w:cs="Times New Roman"/>
                <w:bCs/>
                <w:kern w:val="21"/>
                <w:sz w:val="21"/>
                <w:szCs w:val="21"/>
              </w:rPr>
              <w:t>进行有机肥生产，</w:t>
            </w:r>
            <w:r>
              <w:rPr>
                <w:rFonts w:cs="Times New Roman" w:hint="eastAsia"/>
                <w:bCs/>
                <w:kern w:val="21"/>
                <w:sz w:val="21"/>
                <w:szCs w:val="21"/>
              </w:rPr>
              <w:t>不在场内贮存。</w:t>
            </w:r>
          </w:p>
        </w:tc>
        <w:tc>
          <w:tcPr>
            <w:tcW w:w="896" w:type="dxa"/>
            <w:vAlign w:val="center"/>
          </w:tcPr>
          <w:p w14:paraId="06E5D110"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符合</w:t>
            </w:r>
          </w:p>
        </w:tc>
      </w:tr>
      <w:tr w:rsidR="00544649" w14:paraId="722A3461" w14:textId="77777777">
        <w:tc>
          <w:tcPr>
            <w:tcW w:w="437" w:type="dxa"/>
            <w:vMerge w:val="restart"/>
            <w:vAlign w:val="center"/>
          </w:tcPr>
          <w:p w14:paraId="2FE30F42"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lastRenderedPageBreak/>
              <w:t>养殖污染防治</w:t>
            </w:r>
          </w:p>
        </w:tc>
        <w:tc>
          <w:tcPr>
            <w:tcW w:w="4319" w:type="dxa"/>
            <w:vAlign w:val="center"/>
          </w:tcPr>
          <w:p w14:paraId="34CD1DDC"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科学划定养殖区域。按照国家相关法律法规科学划定禁养区，禁养区域应明确具体的区域范围，养殖场选址应完全符合养殖区域规划。</w:t>
            </w:r>
          </w:p>
        </w:tc>
        <w:tc>
          <w:tcPr>
            <w:tcW w:w="3403" w:type="dxa"/>
            <w:vAlign w:val="center"/>
          </w:tcPr>
          <w:p w14:paraId="3BFF5451"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本项目</w:t>
            </w:r>
            <w:r>
              <w:rPr>
                <w:rFonts w:cs="Times New Roman" w:hint="eastAsia"/>
                <w:bCs/>
                <w:kern w:val="21"/>
                <w:sz w:val="21"/>
                <w:szCs w:val="21"/>
              </w:rPr>
              <w:t>选址不属于剑阁</w:t>
            </w:r>
            <w:r>
              <w:rPr>
                <w:rFonts w:cs="Times New Roman"/>
                <w:bCs/>
                <w:kern w:val="21"/>
                <w:sz w:val="21"/>
                <w:szCs w:val="21"/>
              </w:rPr>
              <w:t>县禁养区、限养区范围内，</w:t>
            </w:r>
            <w:r>
              <w:rPr>
                <w:rFonts w:cs="Times New Roman" w:hint="eastAsia"/>
                <w:bCs/>
                <w:kern w:val="21"/>
                <w:sz w:val="21"/>
                <w:szCs w:val="21"/>
              </w:rPr>
              <w:t>属于适养区，项目</w:t>
            </w:r>
            <w:r>
              <w:rPr>
                <w:rFonts w:cs="Times New Roman"/>
                <w:bCs/>
                <w:kern w:val="21"/>
                <w:sz w:val="21"/>
                <w:szCs w:val="21"/>
              </w:rPr>
              <w:t>选址符合区域养殖规划。</w:t>
            </w:r>
          </w:p>
        </w:tc>
        <w:tc>
          <w:tcPr>
            <w:tcW w:w="896" w:type="dxa"/>
            <w:vAlign w:val="center"/>
          </w:tcPr>
          <w:p w14:paraId="4D5287A2"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符合</w:t>
            </w:r>
          </w:p>
        </w:tc>
      </w:tr>
      <w:tr w:rsidR="00544649" w14:paraId="7EB9556B" w14:textId="77777777">
        <w:tc>
          <w:tcPr>
            <w:tcW w:w="437" w:type="dxa"/>
            <w:vMerge/>
            <w:vAlign w:val="center"/>
          </w:tcPr>
          <w:p w14:paraId="582867F8" w14:textId="77777777" w:rsidR="00544649" w:rsidRDefault="00544649">
            <w:pPr>
              <w:adjustRightInd w:val="0"/>
              <w:snapToGrid w:val="0"/>
              <w:spacing w:beforeLines="20" w:before="65" w:afterLines="20" w:after="65" w:line="240" w:lineRule="auto"/>
              <w:ind w:firstLineChars="0" w:firstLine="0"/>
              <w:jc w:val="center"/>
              <w:rPr>
                <w:rFonts w:cs="Times New Roman"/>
                <w:bCs/>
                <w:kern w:val="21"/>
                <w:sz w:val="21"/>
                <w:szCs w:val="21"/>
              </w:rPr>
            </w:pPr>
          </w:p>
        </w:tc>
        <w:tc>
          <w:tcPr>
            <w:tcW w:w="4319" w:type="dxa"/>
            <w:vAlign w:val="center"/>
          </w:tcPr>
          <w:p w14:paraId="21298351"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严禁粪污直接排放。畜禽粪污未经处理达标，不得直接向环境排放</w:t>
            </w:r>
            <w:r>
              <w:rPr>
                <w:rFonts w:cs="Times New Roman" w:hint="eastAsia"/>
                <w:bCs/>
                <w:kern w:val="21"/>
                <w:sz w:val="21"/>
                <w:szCs w:val="21"/>
              </w:rPr>
              <w:t>。</w:t>
            </w:r>
          </w:p>
        </w:tc>
        <w:tc>
          <w:tcPr>
            <w:tcW w:w="3403" w:type="dxa"/>
            <w:vAlign w:val="center"/>
          </w:tcPr>
          <w:p w14:paraId="509F7552"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hint="eastAsia"/>
                <w:bCs/>
                <w:kern w:val="21"/>
                <w:sz w:val="21"/>
                <w:szCs w:val="21"/>
              </w:rPr>
              <w:t>本项目</w:t>
            </w:r>
            <w:r>
              <w:rPr>
                <w:rFonts w:cs="Times New Roman"/>
                <w:bCs/>
                <w:kern w:val="21"/>
                <w:sz w:val="21"/>
                <w:szCs w:val="21"/>
              </w:rPr>
              <w:t>鸡粪外售</w:t>
            </w:r>
            <w:r>
              <w:rPr>
                <w:rFonts w:cs="Times New Roman" w:hint="eastAsia"/>
                <w:bCs/>
                <w:kern w:val="21"/>
                <w:sz w:val="21"/>
                <w:szCs w:val="21"/>
              </w:rPr>
              <w:t>四川省田宝生物科技有限公司</w:t>
            </w:r>
            <w:r>
              <w:rPr>
                <w:rFonts w:cs="Times New Roman"/>
                <w:bCs/>
                <w:kern w:val="21"/>
                <w:sz w:val="21"/>
                <w:szCs w:val="21"/>
              </w:rPr>
              <w:t>用于有机肥加工生产，不外排；</w:t>
            </w:r>
            <w:r>
              <w:rPr>
                <w:rFonts w:cs="Times New Roman" w:hint="eastAsia"/>
                <w:bCs/>
                <w:kern w:val="21"/>
                <w:sz w:val="21"/>
                <w:szCs w:val="21"/>
              </w:rPr>
              <w:t>场内餐厨废水、生活污水、养殖鸡舍清洗废水及蛋品清洗废水等统一收集至污水处理站，经处理达《农田灌溉水质标准》（</w:t>
            </w:r>
            <w:r>
              <w:rPr>
                <w:rFonts w:cs="Times New Roman" w:hint="eastAsia"/>
                <w:bCs/>
                <w:kern w:val="21"/>
                <w:sz w:val="21"/>
                <w:szCs w:val="21"/>
              </w:rPr>
              <w:t>GB5084-2021</w:t>
            </w:r>
            <w:r>
              <w:rPr>
                <w:rFonts w:cs="Times New Roman" w:hint="eastAsia"/>
                <w:bCs/>
                <w:kern w:val="21"/>
                <w:sz w:val="21"/>
                <w:szCs w:val="21"/>
              </w:rPr>
              <w:t>）中旱地作物标准限值，用于林地灌溉，不外排</w:t>
            </w:r>
            <w:r>
              <w:rPr>
                <w:rFonts w:cs="Times New Roman"/>
                <w:bCs/>
                <w:kern w:val="21"/>
                <w:sz w:val="21"/>
                <w:szCs w:val="21"/>
              </w:rPr>
              <w:t>。</w:t>
            </w:r>
          </w:p>
        </w:tc>
        <w:tc>
          <w:tcPr>
            <w:tcW w:w="896" w:type="dxa"/>
            <w:vAlign w:val="center"/>
          </w:tcPr>
          <w:p w14:paraId="10649BCA"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符合</w:t>
            </w:r>
          </w:p>
        </w:tc>
      </w:tr>
      <w:tr w:rsidR="00544649" w14:paraId="26CAB868" w14:textId="77777777">
        <w:trPr>
          <w:trHeight w:val="90"/>
        </w:trPr>
        <w:tc>
          <w:tcPr>
            <w:tcW w:w="437" w:type="dxa"/>
            <w:vMerge/>
            <w:vAlign w:val="center"/>
          </w:tcPr>
          <w:p w14:paraId="270EDD30" w14:textId="77777777" w:rsidR="00544649" w:rsidRDefault="00544649">
            <w:pPr>
              <w:adjustRightInd w:val="0"/>
              <w:snapToGrid w:val="0"/>
              <w:spacing w:beforeLines="20" w:before="65" w:afterLines="20" w:after="65" w:line="240" w:lineRule="auto"/>
              <w:ind w:firstLineChars="0" w:firstLine="0"/>
              <w:jc w:val="center"/>
              <w:rPr>
                <w:rFonts w:cs="Times New Roman"/>
                <w:bCs/>
                <w:kern w:val="21"/>
                <w:sz w:val="21"/>
                <w:szCs w:val="21"/>
              </w:rPr>
            </w:pPr>
          </w:p>
        </w:tc>
        <w:tc>
          <w:tcPr>
            <w:tcW w:w="4319" w:type="dxa"/>
            <w:vAlign w:val="center"/>
          </w:tcPr>
          <w:p w14:paraId="004842E6"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病死畜禽无害化处理。具备自行处理条件的养殖场（户），按照《病死及病害动物无害化处理技术规范》进行处理。不具备自行处理条件的养殖场（户），将病死</w:t>
            </w:r>
            <w:proofErr w:type="gramStart"/>
            <w:r>
              <w:rPr>
                <w:rFonts w:cs="Times New Roman"/>
                <w:bCs/>
                <w:kern w:val="21"/>
                <w:sz w:val="21"/>
                <w:szCs w:val="21"/>
              </w:rPr>
              <w:t>畜禽送</w:t>
            </w:r>
            <w:proofErr w:type="gramEnd"/>
            <w:r>
              <w:rPr>
                <w:rFonts w:cs="Times New Roman"/>
                <w:bCs/>
                <w:kern w:val="21"/>
                <w:sz w:val="21"/>
                <w:szCs w:val="21"/>
              </w:rPr>
              <w:t>无害化处理厂进行集中处理。</w:t>
            </w:r>
          </w:p>
        </w:tc>
        <w:tc>
          <w:tcPr>
            <w:tcW w:w="3403" w:type="dxa"/>
            <w:vAlign w:val="center"/>
          </w:tcPr>
          <w:p w14:paraId="6F3B1777"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本项目病死</w:t>
            </w:r>
            <w:proofErr w:type="gramStart"/>
            <w:r>
              <w:rPr>
                <w:rFonts w:cs="Times New Roman"/>
                <w:bCs/>
                <w:kern w:val="21"/>
                <w:sz w:val="21"/>
                <w:szCs w:val="21"/>
              </w:rPr>
              <w:t>鸡委托</w:t>
            </w:r>
            <w:proofErr w:type="gramEnd"/>
            <w:r>
              <w:rPr>
                <w:rFonts w:cs="Times New Roman" w:hint="eastAsia"/>
                <w:kern w:val="21"/>
                <w:sz w:val="21"/>
                <w:szCs w:val="21"/>
              </w:rPr>
              <w:t>广元</w:t>
            </w:r>
            <w:proofErr w:type="gramStart"/>
            <w:r>
              <w:rPr>
                <w:rFonts w:cs="Times New Roman" w:hint="eastAsia"/>
                <w:kern w:val="21"/>
                <w:sz w:val="21"/>
                <w:szCs w:val="21"/>
              </w:rPr>
              <w:t>市朗坤环保</w:t>
            </w:r>
            <w:proofErr w:type="gramEnd"/>
            <w:r>
              <w:rPr>
                <w:rFonts w:cs="Times New Roman" w:hint="eastAsia"/>
                <w:kern w:val="21"/>
                <w:sz w:val="21"/>
                <w:szCs w:val="21"/>
              </w:rPr>
              <w:t>有限公司</w:t>
            </w:r>
            <w:r>
              <w:rPr>
                <w:rFonts w:cs="Times New Roman" w:hint="eastAsia"/>
                <w:bCs/>
                <w:kern w:val="21"/>
                <w:sz w:val="21"/>
                <w:szCs w:val="21"/>
              </w:rPr>
              <w:t>进行无害化</w:t>
            </w:r>
            <w:r>
              <w:rPr>
                <w:rFonts w:cs="Times New Roman"/>
                <w:bCs/>
                <w:kern w:val="21"/>
                <w:sz w:val="21"/>
                <w:szCs w:val="21"/>
              </w:rPr>
              <w:t>处置，项目不涉及病死鸡填埋、焚烧等处理。</w:t>
            </w:r>
          </w:p>
        </w:tc>
        <w:tc>
          <w:tcPr>
            <w:tcW w:w="896" w:type="dxa"/>
            <w:vAlign w:val="center"/>
          </w:tcPr>
          <w:p w14:paraId="49002CFD"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符合</w:t>
            </w:r>
          </w:p>
        </w:tc>
      </w:tr>
      <w:tr w:rsidR="00544649" w14:paraId="093ADCED" w14:textId="77777777">
        <w:tc>
          <w:tcPr>
            <w:tcW w:w="437" w:type="dxa"/>
            <w:vMerge w:val="restart"/>
            <w:vAlign w:val="center"/>
          </w:tcPr>
          <w:p w14:paraId="4A114718"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粪污处理工艺及应用模式</w:t>
            </w:r>
          </w:p>
        </w:tc>
        <w:tc>
          <w:tcPr>
            <w:tcW w:w="4319" w:type="dxa"/>
            <w:vAlign w:val="center"/>
          </w:tcPr>
          <w:p w14:paraId="13E15158"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干法清粪：干清粪技术是将畜禽粪尿固液分离，单独清除粪便的养殖场清理工艺。根据养殖场规模情况可选择人工或机械清粪工艺。人工清粪指利用清扫工具人工将畜禽舍内的粪便清扫收集。机械清粪指采用专用的机械设备进行清粪，适用于中型及以上规模养殖场。</w:t>
            </w:r>
          </w:p>
        </w:tc>
        <w:tc>
          <w:tcPr>
            <w:tcW w:w="3403" w:type="dxa"/>
            <w:vAlign w:val="center"/>
          </w:tcPr>
          <w:p w14:paraId="45FA467B"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本项目采用干清粪工艺，采用机械清粪的方式，鸡粪日产日清</w:t>
            </w:r>
            <w:r>
              <w:rPr>
                <w:rFonts w:cs="Times New Roman" w:hint="eastAsia"/>
                <w:bCs/>
                <w:kern w:val="21"/>
                <w:sz w:val="21"/>
                <w:szCs w:val="21"/>
              </w:rPr>
              <w:t>，</w:t>
            </w:r>
            <w:r>
              <w:rPr>
                <w:rFonts w:cs="Times New Roman"/>
                <w:bCs/>
                <w:kern w:val="21"/>
                <w:sz w:val="21"/>
                <w:szCs w:val="21"/>
              </w:rPr>
              <w:t>外</w:t>
            </w:r>
            <w:r>
              <w:rPr>
                <w:rFonts w:cs="Times New Roman" w:hint="eastAsia"/>
                <w:bCs/>
                <w:kern w:val="21"/>
                <w:sz w:val="21"/>
                <w:szCs w:val="21"/>
              </w:rPr>
              <w:t>运至四川省田宝生物科技有限公司</w:t>
            </w:r>
            <w:r>
              <w:rPr>
                <w:rFonts w:cs="Times New Roman"/>
                <w:bCs/>
                <w:kern w:val="21"/>
                <w:sz w:val="21"/>
                <w:szCs w:val="21"/>
              </w:rPr>
              <w:t>用于有机肥加工生产。</w:t>
            </w:r>
          </w:p>
        </w:tc>
        <w:tc>
          <w:tcPr>
            <w:tcW w:w="896" w:type="dxa"/>
            <w:vAlign w:val="center"/>
          </w:tcPr>
          <w:p w14:paraId="2D6EA84A"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符合</w:t>
            </w:r>
          </w:p>
        </w:tc>
      </w:tr>
      <w:tr w:rsidR="00544649" w14:paraId="5229FDEE" w14:textId="77777777">
        <w:tc>
          <w:tcPr>
            <w:tcW w:w="437" w:type="dxa"/>
            <w:vMerge/>
            <w:vAlign w:val="center"/>
          </w:tcPr>
          <w:p w14:paraId="323A32DC" w14:textId="77777777" w:rsidR="00544649" w:rsidRDefault="00544649">
            <w:pPr>
              <w:adjustRightInd w:val="0"/>
              <w:snapToGrid w:val="0"/>
              <w:spacing w:beforeLines="20" w:before="65" w:afterLines="20" w:after="65" w:line="240" w:lineRule="auto"/>
              <w:ind w:firstLineChars="0" w:firstLine="0"/>
              <w:jc w:val="center"/>
              <w:rPr>
                <w:rFonts w:cs="Times New Roman"/>
                <w:bCs/>
                <w:kern w:val="21"/>
                <w:sz w:val="21"/>
                <w:szCs w:val="21"/>
              </w:rPr>
            </w:pPr>
          </w:p>
        </w:tc>
        <w:tc>
          <w:tcPr>
            <w:tcW w:w="4319" w:type="dxa"/>
            <w:vAlign w:val="center"/>
          </w:tcPr>
          <w:p w14:paraId="7DBDF5B0"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臭气处理：养殖场臭气的处理可采用物理、化学、生物除臭等多种方式进行处理。</w:t>
            </w:r>
          </w:p>
        </w:tc>
        <w:tc>
          <w:tcPr>
            <w:tcW w:w="3403" w:type="dxa"/>
            <w:vAlign w:val="center"/>
          </w:tcPr>
          <w:p w14:paraId="7B8763FC"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本项目鸡舍采用加强舍内通风、采用节水型饮水器、鸡粪日产日清、喷洒除臭剂、合理使用鸡饲料等措施抑制或减少臭气的产生。</w:t>
            </w:r>
          </w:p>
        </w:tc>
        <w:tc>
          <w:tcPr>
            <w:tcW w:w="896" w:type="dxa"/>
            <w:vAlign w:val="center"/>
          </w:tcPr>
          <w:p w14:paraId="1413AEEA" w14:textId="77777777" w:rsidR="00544649" w:rsidRDefault="00000000">
            <w:pPr>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符合</w:t>
            </w:r>
          </w:p>
        </w:tc>
      </w:tr>
    </w:tbl>
    <w:p w14:paraId="2FFF72C5" w14:textId="77777777" w:rsidR="00544649" w:rsidRDefault="00000000">
      <w:pPr>
        <w:pStyle w:val="afff"/>
        <w:adjustRightInd w:val="0"/>
        <w:snapToGrid w:val="0"/>
        <w:spacing w:after="0"/>
        <w:ind w:firstLine="480"/>
        <w:rPr>
          <w:kern w:val="21"/>
        </w:rPr>
      </w:pPr>
      <w:r>
        <w:rPr>
          <w:rStyle w:val="aa"/>
          <w:rFonts w:hint="eastAsia"/>
        </w:rPr>
        <w:t>综上所述</w:t>
      </w:r>
      <w:r>
        <w:rPr>
          <w:rStyle w:val="aa"/>
        </w:rPr>
        <w:t>，本项目采用干清粪工艺，</w:t>
      </w:r>
      <w:r>
        <w:rPr>
          <w:rStyle w:val="aa"/>
          <w:rFonts w:hint="eastAsia"/>
        </w:rPr>
        <w:t>每栋鸡舍出栏后需对场地进行消杀，会产生鸡舍冲洗废水；蛋品清洗过程会产生清洗废水；鸡舍冲洗废水与蛋品清洗废水经过场内污水站处理后，作为林地灌溉用水；食堂餐厨废水经隔油处理后与生活污水一并进入污水处理站处理达标后用于林地灌溉。</w:t>
      </w:r>
      <w:r>
        <w:rPr>
          <w:rStyle w:val="aa"/>
        </w:rPr>
        <w:t>鸡粪转运至</w:t>
      </w:r>
      <w:r>
        <w:rPr>
          <w:rStyle w:val="aa"/>
          <w:rFonts w:hint="eastAsia"/>
        </w:rPr>
        <w:t>四川省田宝生物科技有限公司</w:t>
      </w:r>
      <w:r>
        <w:rPr>
          <w:rStyle w:val="aa"/>
        </w:rPr>
        <w:t>进行有机肥生产；项目采用科学饲喂，减少污染物产生量；病死</w:t>
      </w:r>
      <w:proofErr w:type="gramStart"/>
      <w:r>
        <w:rPr>
          <w:rStyle w:val="aa"/>
        </w:rPr>
        <w:t>鸡</w:t>
      </w:r>
      <w:r>
        <w:rPr>
          <w:rStyle w:val="aa"/>
          <w:rFonts w:hint="eastAsia"/>
        </w:rPr>
        <w:t>委托</w:t>
      </w:r>
      <w:proofErr w:type="gramEnd"/>
      <w:r>
        <w:rPr>
          <w:rStyle w:val="aa"/>
        </w:rPr>
        <w:t>无害化处置公司统一清运后进行无害化处理</w:t>
      </w:r>
      <w:r>
        <w:rPr>
          <w:rStyle w:val="aa"/>
          <w:rFonts w:hint="eastAsia"/>
        </w:rPr>
        <w:t>，</w:t>
      </w:r>
      <w:r>
        <w:rPr>
          <w:rStyle w:val="aa"/>
        </w:rPr>
        <w:t>与《四川省畜禽养殖污染防治技术指南（试行）的通知》（</w:t>
      </w:r>
      <w:proofErr w:type="gramStart"/>
      <w:r>
        <w:rPr>
          <w:rStyle w:val="aa"/>
        </w:rPr>
        <w:t>川农函〔</w:t>
      </w:r>
      <w:r>
        <w:rPr>
          <w:rStyle w:val="aa"/>
        </w:rPr>
        <w:t>2017</w:t>
      </w:r>
      <w:r>
        <w:rPr>
          <w:rStyle w:val="aa"/>
        </w:rPr>
        <w:t>〕</w:t>
      </w:r>
      <w:proofErr w:type="gramEnd"/>
      <w:r>
        <w:rPr>
          <w:rStyle w:val="aa"/>
        </w:rPr>
        <w:t>647</w:t>
      </w:r>
      <w:r>
        <w:rPr>
          <w:rStyle w:val="aa"/>
        </w:rPr>
        <w:t>号）要求相符</w:t>
      </w:r>
      <w:r>
        <w:rPr>
          <w:kern w:val="21"/>
        </w:rPr>
        <w:t>。</w:t>
      </w:r>
    </w:p>
    <w:p w14:paraId="75E2CB33" w14:textId="77777777" w:rsidR="00544649" w:rsidRDefault="00000000">
      <w:pPr>
        <w:pStyle w:val="4"/>
        <w:adjustRightInd w:val="0"/>
        <w:snapToGrid w:val="0"/>
        <w:spacing w:after="0"/>
      </w:pPr>
      <w:r>
        <w:t>与《</w:t>
      </w:r>
      <w:r>
        <w:rPr>
          <w:rFonts w:hint="eastAsia"/>
        </w:rPr>
        <w:t>广元市“十四五”畜牧业发展规划</w:t>
      </w:r>
      <w:r>
        <w:t>》</w:t>
      </w:r>
      <w:r>
        <w:rPr>
          <w:rFonts w:hint="eastAsia"/>
        </w:rPr>
        <w:t>的</w:t>
      </w:r>
      <w:r>
        <w:t>符合性分析</w:t>
      </w:r>
    </w:p>
    <w:p w14:paraId="189A695A" w14:textId="77777777" w:rsidR="00544649" w:rsidRDefault="00000000">
      <w:pPr>
        <w:adjustRightInd w:val="0"/>
        <w:snapToGrid w:val="0"/>
        <w:spacing w:after="0"/>
        <w:ind w:firstLine="480"/>
      </w:pPr>
      <w:r>
        <w:t>本项目与《</w:t>
      </w:r>
      <w:r>
        <w:rPr>
          <w:rFonts w:hint="eastAsia"/>
        </w:rPr>
        <w:t>广元市“十四五”畜牧业发展规划</w:t>
      </w:r>
      <w:r>
        <w:t>》</w:t>
      </w:r>
      <w:r>
        <w:rPr>
          <w:rFonts w:hint="eastAsia"/>
        </w:rPr>
        <w:t>（</w:t>
      </w:r>
      <w:proofErr w:type="gramStart"/>
      <w:r>
        <w:rPr>
          <w:rFonts w:hint="eastAsia"/>
        </w:rPr>
        <w:t>广农〔</w:t>
      </w:r>
      <w:r>
        <w:rPr>
          <w:rFonts w:hint="eastAsia"/>
        </w:rPr>
        <w:t>2023</w:t>
      </w:r>
      <w:r>
        <w:rPr>
          <w:rFonts w:hint="eastAsia"/>
        </w:rPr>
        <w:t>〕</w:t>
      </w:r>
      <w:proofErr w:type="gramEnd"/>
      <w:r>
        <w:rPr>
          <w:rFonts w:hint="eastAsia"/>
        </w:rPr>
        <w:t>36</w:t>
      </w:r>
      <w:r>
        <w:rPr>
          <w:rFonts w:hint="eastAsia"/>
        </w:rPr>
        <w:t>号）</w:t>
      </w:r>
      <w:r>
        <w:t>的符合性分析</w:t>
      </w:r>
      <w:r>
        <w:rPr>
          <w:rFonts w:hint="eastAsia"/>
        </w:rPr>
        <w:t>见下表。</w:t>
      </w:r>
    </w:p>
    <w:p w14:paraId="76C8650E" w14:textId="77777777" w:rsidR="00544649" w:rsidRDefault="00000000">
      <w:pPr>
        <w:widowControl/>
        <w:numPr>
          <w:ilvl w:val="0"/>
          <w:numId w:val="13"/>
        </w:numPr>
        <w:adjustRightInd w:val="0"/>
        <w:snapToGrid w:val="0"/>
        <w:spacing w:beforeLines="20" w:before="65" w:afterLines="20" w:after="65" w:line="240" w:lineRule="auto"/>
        <w:ind w:firstLineChars="0"/>
        <w:jc w:val="center"/>
        <w:rPr>
          <w:rFonts w:cs="Times New Roman"/>
          <w:b/>
          <w:bCs/>
          <w:kern w:val="21"/>
          <w:sz w:val="21"/>
          <w:szCs w:val="21"/>
        </w:rPr>
      </w:pPr>
      <w:r>
        <w:rPr>
          <w:rFonts w:cs="Times New Roman"/>
          <w:b/>
          <w:bCs/>
          <w:kern w:val="21"/>
          <w:sz w:val="21"/>
          <w:szCs w:val="21"/>
        </w:rPr>
        <w:t>本项目与《</w:t>
      </w:r>
      <w:r>
        <w:rPr>
          <w:rFonts w:cs="Times New Roman" w:hint="eastAsia"/>
          <w:b/>
          <w:bCs/>
          <w:kern w:val="21"/>
          <w:sz w:val="21"/>
          <w:szCs w:val="21"/>
        </w:rPr>
        <w:t>广元市“十四五”畜牧业发展规划</w:t>
      </w:r>
      <w:r>
        <w:rPr>
          <w:rFonts w:cs="Times New Roman"/>
          <w:b/>
          <w:bCs/>
          <w:kern w:val="21"/>
          <w:sz w:val="21"/>
          <w:szCs w:val="21"/>
        </w:rPr>
        <w:t>》的符合性分析</w:t>
      </w:r>
    </w:p>
    <w:tbl>
      <w:tblPr>
        <w:tblStyle w:val="afc"/>
        <w:tblW w:w="9055" w:type="dxa"/>
        <w:jc w:val="center"/>
        <w:tblLayout w:type="fixed"/>
        <w:tblLook w:val="04A0" w:firstRow="1" w:lastRow="0" w:firstColumn="1" w:lastColumn="0" w:noHBand="0" w:noVBand="1"/>
      </w:tblPr>
      <w:tblGrid>
        <w:gridCol w:w="5083"/>
        <w:gridCol w:w="3086"/>
        <w:gridCol w:w="886"/>
      </w:tblGrid>
      <w:tr w:rsidR="00544649" w14:paraId="6965C517" w14:textId="77777777">
        <w:trPr>
          <w:tblHeader/>
          <w:jc w:val="center"/>
        </w:trPr>
        <w:tc>
          <w:tcPr>
            <w:tcW w:w="5083" w:type="dxa"/>
            <w:vAlign w:val="center"/>
          </w:tcPr>
          <w:p w14:paraId="00D9AF3E" w14:textId="77777777" w:rsidR="00544649" w:rsidRDefault="00000000">
            <w:pPr>
              <w:pStyle w:val="aff3"/>
              <w:spacing w:before="65" w:after="65"/>
              <w:rPr>
                <w:rFonts w:cs="Times New Roman"/>
                <w:b/>
                <w:bCs w:val="0"/>
                <w:kern w:val="21"/>
                <w:szCs w:val="21"/>
              </w:rPr>
            </w:pPr>
            <w:r>
              <w:rPr>
                <w:rFonts w:cs="Times New Roman"/>
                <w:b/>
                <w:bCs w:val="0"/>
                <w:kern w:val="21"/>
                <w:szCs w:val="21"/>
              </w:rPr>
              <w:lastRenderedPageBreak/>
              <w:t>规划内容</w:t>
            </w:r>
          </w:p>
        </w:tc>
        <w:tc>
          <w:tcPr>
            <w:tcW w:w="3086" w:type="dxa"/>
            <w:vAlign w:val="center"/>
          </w:tcPr>
          <w:p w14:paraId="3A249964" w14:textId="77777777" w:rsidR="00544649" w:rsidRDefault="00000000">
            <w:pPr>
              <w:pStyle w:val="aff3"/>
              <w:spacing w:before="65" w:after="65"/>
              <w:rPr>
                <w:rFonts w:cs="Times New Roman"/>
                <w:b/>
                <w:bCs w:val="0"/>
                <w:kern w:val="21"/>
                <w:szCs w:val="21"/>
              </w:rPr>
            </w:pPr>
            <w:r>
              <w:rPr>
                <w:rFonts w:cs="Times New Roman"/>
                <w:b/>
                <w:bCs w:val="0"/>
                <w:kern w:val="21"/>
                <w:szCs w:val="21"/>
              </w:rPr>
              <w:t>本项目情况</w:t>
            </w:r>
          </w:p>
        </w:tc>
        <w:tc>
          <w:tcPr>
            <w:tcW w:w="886" w:type="dxa"/>
            <w:vAlign w:val="center"/>
          </w:tcPr>
          <w:p w14:paraId="291D7031" w14:textId="77777777" w:rsidR="00544649" w:rsidRDefault="00000000">
            <w:pPr>
              <w:pStyle w:val="aff3"/>
              <w:spacing w:before="65" w:after="65"/>
              <w:rPr>
                <w:rFonts w:cs="Times New Roman"/>
                <w:b/>
                <w:bCs w:val="0"/>
                <w:kern w:val="21"/>
                <w:szCs w:val="21"/>
              </w:rPr>
            </w:pPr>
            <w:r>
              <w:rPr>
                <w:rFonts w:cs="Times New Roman"/>
                <w:b/>
                <w:bCs w:val="0"/>
                <w:kern w:val="21"/>
                <w:szCs w:val="21"/>
              </w:rPr>
              <w:t>符合性</w:t>
            </w:r>
          </w:p>
        </w:tc>
      </w:tr>
      <w:tr w:rsidR="00544649" w14:paraId="336A0863" w14:textId="77777777">
        <w:trPr>
          <w:jc w:val="center"/>
        </w:trPr>
        <w:tc>
          <w:tcPr>
            <w:tcW w:w="5083" w:type="dxa"/>
            <w:vAlign w:val="center"/>
          </w:tcPr>
          <w:p w14:paraId="0046F387" w14:textId="77777777" w:rsidR="00544649" w:rsidRDefault="00000000">
            <w:pPr>
              <w:widowControl/>
              <w:adjustRightInd w:val="0"/>
              <w:snapToGrid w:val="0"/>
              <w:spacing w:beforeLines="20" w:before="65" w:afterLines="20" w:after="65" w:line="240" w:lineRule="auto"/>
              <w:ind w:firstLineChars="0" w:firstLine="0"/>
              <w:rPr>
                <w:rFonts w:cs="Times New Roman"/>
                <w:kern w:val="21"/>
                <w:sz w:val="21"/>
                <w:szCs w:val="21"/>
              </w:rPr>
            </w:pPr>
            <w:r>
              <w:rPr>
                <w:rFonts w:cs="Times New Roman" w:hint="eastAsia"/>
                <w:kern w:val="21"/>
                <w:sz w:val="21"/>
                <w:szCs w:val="21"/>
                <w:lang w:bidi="ar"/>
              </w:rPr>
              <w:t>规划实施后，随着各具体项目建设，将会对其周边环境空气造成影响。通过畜禽圈舍卫生管理、喷洒除臭剂、改善饲料营养结构和增加清粪次数、设置卫生防护距离、加强绿化以及集中收集处置后有组织排放等措施，可较好地减缓恶臭气体影响，切实落实恶臭气体各项污染防治措施后，对区域环境空气影响在可接受范围。</w:t>
            </w:r>
          </w:p>
        </w:tc>
        <w:tc>
          <w:tcPr>
            <w:tcW w:w="3086" w:type="dxa"/>
            <w:vAlign w:val="center"/>
          </w:tcPr>
          <w:p w14:paraId="3CF9324C" w14:textId="77777777" w:rsidR="00544649" w:rsidRDefault="00000000">
            <w:pPr>
              <w:pStyle w:val="aff3"/>
              <w:spacing w:before="65" w:after="65"/>
              <w:rPr>
                <w:rFonts w:cs="Times New Roman"/>
                <w:kern w:val="21"/>
                <w:szCs w:val="21"/>
              </w:rPr>
            </w:pPr>
            <w:r>
              <w:rPr>
                <w:rFonts w:cs="Times New Roman" w:hint="eastAsia"/>
                <w:kern w:val="21"/>
                <w:szCs w:val="21"/>
              </w:rPr>
              <w:t>本项目采取优化饲料配方、提高饲养技术等措施，从源头减少粪污的产生量，定期对养殖鸡舍进行消毒、喷洒除臭剂，设置绿化隔离带，设置卫生防护距离，污水处理站加盖密闭，定期喷洒除臭剂，污水处理站四周设置绿化区域。</w:t>
            </w:r>
          </w:p>
        </w:tc>
        <w:tc>
          <w:tcPr>
            <w:tcW w:w="886" w:type="dxa"/>
            <w:vAlign w:val="center"/>
          </w:tcPr>
          <w:p w14:paraId="3F0B668D" w14:textId="77777777" w:rsidR="00544649" w:rsidRDefault="00000000">
            <w:pPr>
              <w:pStyle w:val="aff3"/>
              <w:spacing w:before="65" w:after="65"/>
              <w:rPr>
                <w:rFonts w:cs="Times New Roman"/>
                <w:kern w:val="21"/>
                <w:szCs w:val="21"/>
              </w:rPr>
            </w:pPr>
            <w:r>
              <w:rPr>
                <w:rFonts w:cs="Times New Roman"/>
                <w:kern w:val="21"/>
                <w:szCs w:val="21"/>
              </w:rPr>
              <w:t>符合</w:t>
            </w:r>
          </w:p>
        </w:tc>
      </w:tr>
      <w:tr w:rsidR="00544649" w14:paraId="31E39271" w14:textId="77777777">
        <w:trPr>
          <w:jc w:val="center"/>
        </w:trPr>
        <w:tc>
          <w:tcPr>
            <w:tcW w:w="5083" w:type="dxa"/>
            <w:vAlign w:val="center"/>
          </w:tcPr>
          <w:p w14:paraId="05D09DA7" w14:textId="77777777" w:rsidR="00544649" w:rsidRDefault="00000000">
            <w:pPr>
              <w:pStyle w:val="aff3"/>
              <w:spacing w:before="65" w:after="65"/>
              <w:jc w:val="both"/>
              <w:rPr>
                <w:rFonts w:cs="Times New Roman"/>
                <w:kern w:val="21"/>
                <w:szCs w:val="21"/>
              </w:rPr>
            </w:pPr>
            <w:r>
              <w:rPr>
                <w:rFonts w:cs="Times New Roman" w:hint="eastAsia"/>
                <w:kern w:val="21"/>
                <w:szCs w:val="21"/>
              </w:rPr>
              <w:t>畜禽养殖废水或是屠宰废水都为高浓度有机废水，具有高</w:t>
            </w:r>
            <w:r>
              <w:rPr>
                <w:rFonts w:cs="Times New Roman" w:hint="eastAsia"/>
                <w:kern w:val="21"/>
                <w:szCs w:val="21"/>
              </w:rPr>
              <w:t>COD</w:t>
            </w:r>
            <w:r>
              <w:rPr>
                <w:rFonts w:cs="Times New Roman" w:hint="eastAsia"/>
                <w:kern w:val="21"/>
                <w:szCs w:val="21"/>
              </w:rPr>
              <w:t>、高氨氮且含有大肠杆菌、蛔虫卵等致病菌等特点；畜禽养殖废水经处理后用作周边种植业土地施肥，会不可避免造成区域农业面源污染加剧。采取严格环境准入，严格落实环境影响评价制度，提高规模化养殖率，大力发展种养循环，大型规模养殖场配套完善粪污暂存、沼气</w:t>
            </w:r>
            <w:proofErr w:type="gramStart"/>
            <w:r>
              <w:rPr>
                <w:rFonts w:cs="Times New Roman" w:hint="eastAsia"/>
                <w:kern w:val="21"/>
                <w:szCs w:val="21"/>
              </w:rPr>
              <w:t>发酵等粪污</w:t>
            </w:r>
            <w:proofErr w:type="gramEnd"/>
            <w:r>
              <w:rPr>
                <w:rFonts w:cs="Times New Roman" w:hint="eastAsia"/>
                <w:kern w:val="21"/>
                <w:szCs w:val="21"/>
              </w:rPr>
              <w:t>处理设施，建立区域粪肥资源化利用中心，建立一场</w:t>
            </w:r>
            <w:proofErr w:type="gramStart"/>
            <w:r>
              <w:rPr>
                <w:rFonts w:cs="Times New Roman" w:hint="eastAsia"/>
                <w:kern w:val="21"/>
                <w:szCs w:val="21"/>
              </w:rPr>
              <w:t>一</w:t>
            </w:r>
            <w:proofErr w:type="gramEnd"/>
            <w:r>
              <w:rPr>
                <w:rFonts w:cs="Times New Roman" w:hint="eastAsia"/>
                <w:kern w:val="21"/>
                <w:szCs w:val="21"/>
              </w:rPr>
              <w:t>策环境管理体系，加强现有养殖场环境整治，落实畜禽养殖场（户）粪污资源化利用计划和台</w:t>
            </w:r>
            <w:proofErr w:type="gramStart"/>
            <w:r>
              <w:rPr>
                <w:rFonts w:cs="Times New Roman" w:hint="eastAsia"/>
                <w:kern w:val="21"/>
                <w:szCs w:val="21"/>
              </w:rPr>
              <w:t>账管理</w:t>
            </w:r>
            <w:proofErr w:type="gramEnd"/>
            <w:r>
              <w:rPr>
                <w:rFonts w:cs="Times New Roman" w:hint="eastAsia"/>
                <w:kern w:val="21"/>
                <w:szCs w:val="21"/>
              </w:rPr>
              <w:t>等方式加强畜禽养殖粪污防治。畜禽养殖过程中产生的污水，经无害化处理后尽量充分还田，实现污水资源化利用。</w:t>
            </w:r>
          </w:p>
        </w:tc>
        <w:tc>
          <w:tcPr>
            <w:tcW w:w="3086" w:type="dxa"/>
            <w:vAlign w:val="center"/>
          </w:tcPr>
          <w:p w14:paraId="2F3CC16C" w14:textId="77777777" w:rsidR="00544649" w:rsidRDefault="00000000">
            <w:pPr>
              <w:pStyle w:val="aff3"/>
              <w:spacing w:before="65" w:after="65"/>
              <w:rPr>
                <w:rFonts w:cs="Times New Roman"/>
                <w:kern w:val="21"/>
                <w:szCs w:val="21"/>
              </w:rPr>
            </w:pPr>
            <w:r>
              <w:rPr>
                <w:rFonts w:cs="Times New Roman" w:hint="eastAsia"/>
                <w:kern w:val="21"/>
                <w:szCs w:val="21"/>
              </w:rPr>
              <w:t>本项目配套设置污水处理站及废水贮存池，餐厨废水、生活污水、鸡舍清洗废水以及蛋品清洗废水经收集处理达《农田灌溉水质标准》（</w:t>
            </w:r>
            <w:r>
              <w:rPr>
                <w:rFonts w:cs="Times New Roman" w:hint="eastAsia"/>
                <w:kern w:val="21"/>
                <w:szCs w:val="21"/>
              </w:rPr>
              <w:t>GB5084-2021</w:t>
            </w:r>
            <w:r>
              <w:rPr>
                <w:rFonts w:cs="Times New Roman" w:hint="eastAsia"/>
                <w:kern w:val="21"/>
                <w:szCs w:val="21"/>
              </w:rPr>
              <w:t>）</w:t>
            </w:r>
            <w:proofErr w:type="gramStart"/>
            <w:r>
              <w:rPr>
                <w:rFonts w:cs="Times New Roman" w:hint="eastAsia"/>
                <w:kern w:val="21"/>
                <w:szCs w:val="21"/>
              </w:rPr>
              <w:t>中旱作</w:t>
            </w:r>
            <w:proofErr w:type="gramEnd"/>
            <w:r>
              <w:rPr>
                <w:rFonts w:cs="Times New Roman" w:hint="eastAsia"/>
                <w:kern w:val="21"/>
                <w:szCs w:val="21"/>
              </w:rPr>
              <w:t>标准后用于林地灌溉，实现污水资源化利用。</w:t>
            </w:r>
          </w:p>
        </w:tc>
        <w:tc>
          <w:tcPr>
            <w:tcW w:w="886" w:type="dxa"/>
            <w:vAlign w:val="center"/>
          </w:tcPr>
          <w:p w14:paraId="48D51716" w14:textId="77777777" w:rsidR="00544649" w:rsidRDefault="00000000">
            <w:pPr>
              <w:pStyle w:val="aff3"/>
              <w:spacing w:before="65" w:after="65"/>
              <w:rPr>
                <w:rFonts w:cs="Times New Roman"/>
                <w:kern w:val="21"/>
                <w:szCs w:val="21"/>
              </w:rPr>
            </w:pPr>
            <w:r>
              <w:rPr>
                <w:rFonts w:cs="Times New Roman"/>
                <w:kern w:val="21"/>
                <w:szCs w:val="21"/>
              </w:rPr>
              <w:t>符合</w:t>
            </w:r>
          </w:p>
        </w:tc>
      </w:tr>
      <w:tr w:rsidR="00544649" w14:paraId="76ABFA4E" w14:textId="77777777">
        <w:trPr>
          <w:jc w:val="center"/>
        </w:trPr>
        <w:tc>
          <w:tcPr>
            <w:tcW w:w="5083" w:type="dxa"/>
            <w:vAlign w:val="center"/>
          </w:tcPr>
          <w:p w14:paraId="0275BEAA" w14:textId="77777777" w:rsidR="00544649" w:rsidRDefault="00000000">
            <w:pPr>
              <w:pStyle w:val="aff3"/>
              <w:spacing w:before="65" w:after="65"/>
              <w:jc w:val="both"/>
              <w:rPr>
                <w:rFonts w:cs="Times New Roman"/>
                <w:kern w:val="21"/>
                <w:szCs w:val="21"/>
              </w:rPr>
            </w:pPr>
            <w:r>
              <w:rPr>
                <w:rFonts w:cs="Times New Roman" w:hint="eastAsia"/>
                <w:kern w:val="21"/>
                <w:szCs w:val="21"/>
              </w:rPr>
              <w:t>规划实施后，随着具体项目建设，养殖废水、屠宰废水垂直下渗，过量施肥造成土壤中营养元素下渗进入地下水等会对区域地下水环境造成污染。通过在污水处理设施、粪污暂存设施等区域进行重点防渗，科学合理施肥，加强日常巡检等措施可以有效避免畜牧业对地下水产生污染。</w:t>
            </w:r>
          </w:p>
        </w:tc>
        <w:tc>
          <w:tcPr>
            <w:tcW w:w="3086" w:type="dxa"/>
            <w:vAlign w:val="center"/>
          </w:tcPr>
          <w:p w14:paraId="7A20296A" w14:textId="77777777" w:rsidR="00544649" w:rsidRDefault="00000000">
            <w:pPr>
              <w:pStyle w:val="aff3"/>
              <w:spacing w:before="65" w:after="65"/>
              <w:rPr>
                <w:rFonts w:cs="Times New Roman"/>
                <w:kern w:val="21"/>
                <w:szCs w:val="21"/>
              </w:rPr>
            </w:pPr>
            <w:r>
              <w:rPr>
                <w:rFonts w:cs="Times New Roman" w:hint="eastAsia"/>
                <w:kern w:val="21"/>
                <w:szCs w:val="21"/>
              </w:rPr>
              <w:t>本项目污水处理设施、发电机房及柴油储存间、消毒</w:t>
            </w:r>
            <w:proofErr w:type="gramStart"/>
            <w:r>
              <w:rPr>
                <w:rFonts w:cs="Times New Roman" w:hint="eastAsia"/>
                <w:kern w:val="21"/>
                <w:szCs w:val="21"/>
              </w:rPr>
              <w:t>池区域</w:t>
            </w:r>
            <w:proofErr w:type="gramEnd"/>
            <w:r>
              <w:rPr>
                <w:rFonts w:cs="Times New Roman" w:hint="eastAsia"/>
                <w:kern w:val="21"/>
                <w:szCs w:val="21"/>
              </w:rPr>
              <w:t>采取重点防渗处理。</w:t>
            </w:r>
          </w:p>
        </w:tc>
        <w:tc>
          <w:tcPr>
            <w:tcW w:w="886" w:type="dxa"/>
            <w:vAlign w:val="center"/>
          </w:tcPr>
          <w:p w14:paraId="3EE1C76A" w14:textId="77777777" w:rsidR="00544649" w:rsidRDefault="00000000">
            <w:pPr>
              <w:pStyle w:val="aff3"/>
              <w:spacing w:before="65" w:after="65"/>
              <w:rPr>
                <w:rFonts w:cs="Times New Roman"/>
                <w:kern w:val="21"/>
                <w:szCs w:val="21"/>
              </w:rPr>
            </w:pPr>
            <w:r>
              <w:rPr>
                <w:rFonts w:cs="Times New Roman" w:hint="eastAsia"/>
                <w:kern w:val="21"/>
                <w:szCs w:val="21"/>
              </w:rPr>
              <w:t>符合</w:t>
            </w:r>
          </w:p>
        </w:tc>
      </w:tr>
      <w:tr w:rsidR="00544649" w14:paraId="2808BB28" w14:textId="77777777">
        <w:trPr>
          <w:jc w:val="center"/>
        </w:trPr>
        <w:tc>
          <w:tcPr>
            <w:tcW w:w="5083" w:type="dxa"/>
            <w:vAlign w:val="center"/>
          </w:tcPr>
          <w:p w14:paraId="3EAE8982" w14:textId="77777777" w:rsidR="00544649" w:rsidRDefault="00000000">
            <w:pPr>
              <w:pStyle w:val="aff3"/>
              <w:spacing w:before="65" w:after="65"/>
              <w:jc w:val="both"/>
              <w:rPr>
                <w:rFonts w:cs="Times New Roman"/>
                <w:kern w:val="21"/>
                <w:szCs w:val="21"/>
              </w:rPr>
            </w:pPr>
            <w:r>
              <w:rPr>
                <w:rFonts w:cs="Times New Roman" w:hint="eastAsia"/>
                <w:kern w:val="21"/>
                <w:szCs w:val="21"/>
              </w:rPr>
              <w:t>畜禽</w:t>
            </w:r>
            <w:proofErr w:type="gramStart"/>
            <w:r>
              <w:rPr>
                <w:rFonts w:cs="Times New Roman" w:hint="eastAsia"/>
                <w:kern w:val="21"/>
                <w:szCs w:val="21"/>
              </w:rPr>
              <w:t>粪污按相关</w:t>
            </w:r>
            <w:proofErr w:type="gramEnd"/>
            <w:r>
              <w:rPr>
                <w:rFonts w:cs="Times New Roman" w:hint="eastAsia"/>
                <w:kern w:val="21"/>
                <w:szCs w:val="21"/>
              </w:rPr>
              <w:t>技术规范进行熟化处理，按照农田需求进行施肥后，对周边土壤环境影响在可接受范围内；加强监管，优化饲料结构，严禁添加抗生素和微量重金属，必要时，将畜禽粪</w:t>
            </w:r>
            <w:proofErr w:type="gramStart"/>
            <w:r>
              <w:rPr>
                <w:rFonts w:cs="Times New Roman" w:hint="eastAsia"/>
                <w:kern w:val="21"/>
                <w:szCs w:val="21"/>
              </w:rPr>
              <w:t>污送制成</w:t>
            </w:r>
            <w:proofErr w:type="gramEnd"/>
            <w:r>
              <w:rPr>
                <w:rFonts w:cs="Times New Roman" w:hint="eastAsia"/>
                <w:kern w:val="21"/>
                <w:szCs w:val="21"/>
              </w:rPr>
              <w:t>有机肥，暂缓农田施肥。</w:t>
            </w:r>
          </w:p>
        </w:tc>
        <w:tc>
          <w:tcPr>
            <w:tcW w:w="3086" w:type="dxa"/>
            <w:vAlign w:val="center"/>
          </w:tcPr>
          <w:p w14:paraId="48DE0DC7" w14:textId="77777777" w:rsidR="00544649" w:rsidRDefault="00000000">
            <w:pPr>
              <w:pStyle w:val="aff3"/>
              <w:spacing w:before="65" w:after="65"/>
              <w:rPr>
                <w:rFonts w:cs="Times New Roman"/>
                <w:kern w:val="21"/>
                <w:szCs w:val="21"/>
              </w:rPr>
            </w:pPr>
            <w:r>
              <w:rPr>
                <w:rFonts w:cs="Times New Roman"/>
                <w:kern w:val="21"/>
                <w:szCs w:val="21"/>
              </w:rPr>
              <w:t>本项目鸡粪</w:t>
            </w:r>
            <w:r>
              <w:rPr>
                <w:rFonts w:cs="Times New Roman" w:hint="eastAsia"/>
                <w:kern w:val="21"/>
                <w:szCs w:val="21"/>
              </w:rPr>
              <w:t>日产日清，</w:t>
            </w:r>
            <w:r>
              <w:rPr>
                <w:rFonts w:cs="Times New Roman"/>
                <w:kern w:val="21"/>
                <w:szCs w:val="21"/>
              </w:rPr>
              <w:t>交由</w:t>
            </w:r>
            <w:r>
              <w:rPr>
                <w:rFonts w:cs="Times New Roman" w:hint="eastAsia"/>
                <w:kern w:val="21"/>
                <w:szCs w:val="21"/>
              </w:rPr>
              <w:t>四川省田宝生物科技有限公司</w:t>
            </w:r>
            <w:r>
              <w:rPr>
                <w:rFonts w:cs="Times New Roman"/>
                <w:kern w:val="21"/>
                <w:szCs w:val="21"/>
              </w:rPr>
              <w:t>进行有机肥生产</w:t>
            </w:r>
            <w:r>
              <w:rPr>
                <w:rFonts w:cs="Times New Roman" w:hint="eastAsia"/>
                <w:kern w:val="21"/>
                <w:szCs w:val="21"/>
              </w:rPr>
              <w:t>。</w:t>
            </w:r>
          </w:p>
        </w:tc>
        <w:tc>
          <w:tcPr>
            <w:tcW w:w="886" w:type="dxa"/>
            <w:vAlign w:val="center"/>
          </w:tcPr>
          <w:p w14:paraId="09C36510" w14:textId="77777777" w:rsidR="00544649" w:rsidRDefault="00000000">
            <w:pPr>
              <w:pStyle w:val="aff3"/>
              <w:spacing w:before="65" w:after="65"/>
              <w:rPr>
                <w:rFonts w:cs="Times New Roman"/>
                <w:kern w:val="21"/>
                <w:szCs w:val="21"/>
              </w:rPr>
            </w:pPr>
            <w:r>
              <w:rPr>
                <w:rFonts w:cs="Times New Roman" w:hint="eastAsia"/>
                <w:kern w:val="21"/>
                <w:szCs w:val="21"/>
              </w:rPr>
              <w:t>符合</w:t>
            </w:r>
          </w:p>
        </w:tc>
      </w:tr>
      <w:tr w:rsidR="00544649" w14:paraId="7C3E2A71" w14:textId="77777777">
        <w:trPr>
          <w:jc w:val="center"/>
        </w:trPr>
        <w:tc>
          <w:tcPr>
            <w:tcW w:w="5083" w:type="dxa"/>
            <w:vAlign w:val="center"/>
          </w:tcPr>
          <w:p w14:paraId="7200A4AD" w14:textId="77777777" w:rsidR="00544649" w:rsidRDefault="00000000">
            <w:pPr>
              <w:pStyle w:val="aff3"/>
              <w:spacing w:before="65" w:after="65"/>
              <w:jc w:val="both"/>
              <w:rPr>
                <w:rFonts w:cs="Times New Roman"/>
                <w:kern w:val="21"/>
                <w:szCs w:val="21"/>
              </w:rPr>
            </w:pPr>
            <w:r>
              <w:rPr>
                <w:rFonts w:cs="Times New Roman" w:hint="eastAsia"/>
                <w:kern w:val="21"/>
                <w:szCs w:val="21"/>
              </w:rPr>
              <w:t>固体废弃物严格遵循“减量化、资源化、无害化”原则，畜禽粪便等一般固废能进行资源化综合利用，其他无法综合利用的应严格按照《一般工业固体废物贮存和填埋污染控制标准》（</w:t>
            </w:r>
            <w:r>
              <w:rPr>
                <w:rFonts w:cs="Times New Roman" w:hint="eastAsia"/>
                <w:kern w:val="21"/>
                <w:szCs w:val="21"/>
              </w:rPr>
              <w:t>GB18599-2020</w:t>
            </w:r>
            <w:r>
              <w:rPr>
                <w:rFonts w:cs="Times New Roman" w:hint="eastAsia"/>
                <w:kern w:val="21"/>
                <w:szCs w:val="21"/>
              </w:rPr>
              <w:t>）的要求规范处置；医疗废物等危险废物应委托资质单位处理，严格按照《危险废物贮存污染控制标准》</w:t>
            </w:r>
            <w:r>
              <w:rPr>
                <w:rFonts w:cs="Times New Roman" w:hint="eastAsia"/>
                <w:kern w:val="21"/>
                <w:szCs w:val="21"/>
              </w:rPr>
              <w:t>(GB18597-2023)</w:t>
            </w:r>
            <w:r>
              <w:rPr>
                <w:rFonts w:cs="Times New Roman" w:hint="eastAsia"/>
                <w:kern w:val="21"/>
                <w:szCs w:val="21"/>
              </w:rPr>
              <w:t>等相关标准存储、处置；企业应按照《畜禽养殖业污染防治技术规范》要求，对病死畜禽和产生的分娩废物进行安全填埋处理或者送至附近畜禽无害化处</w:t>
            </w:r>
            <w:r>
              <w:rPr>
                <w:rFonts w:cs="Times New Roman" w:hint="eastAsia"/>
                <w:kern w:val="21"/>
                <w:szCs w:val="21"/>
              </w:rPr>
              <w:lastRenderedPageBreak/>
              <w:t>理企业处理；生活垃圾由环卫部门定期清运，规范处置。</w:t>
            </w:r>
          </w:p>
        </w:tc>
        <w:tc>
          <w:tcPr>
            <w:tcW w:w="3086" w:type="dxa"/>
            <w:vAlign w:val="center"/>
          </w:tcPr>
          <w:p w14:paraId="1DBA7510" w14:textId="77777777" w:rsidR="00544649" w:rsidRDefault="00000000">
            <w:pPr>
              <w:pStyle w:val="aff3"/>
              <w:spacing w:before="65" w:after="65"/>
              <w:rPr>
                <w:rFonts w:cs="Times New Roman"/>
                <w:kern w:val="21"/>
                <w:szCs w:val="21"/>
              </w:rPr>
            </w:pPr>
            <w:r>
              <w:rPr>
                <w:rFonts w:cs="Times New Roman"/>
                <w:kern w:val="21"/>
                <w:szCs w:val="21"/>
              </w:rPr>
              <w:lastRenderedPageBreak/>
              <w:t>本项目鸡粪</w:t>
            </w:r>
            <w:r>
              <w:rPr>
                <w:rFonts w:cs="Times New Roman" w:hint="eastAsia"/>
                <w:kern w:val="21"/>
                <w:szCs w:val="21"/>
              </w:rPr>
              <w:t>日产日清，</w:t>
            </w:r>
            <w:r>
              <w:rPr>
                <w:rFonts w:cs="Times New Roman"/>
                <w:kern w:val="21"/>
                <w:szCs w:val="21"/>
              </w:rPr>
              <w:t>交由</w:t>
            </w:r>
            <w:r>
              <w:rPr>
                <w:rFonts w:cs="Times New Roman" w:hint="eastAsia"/>
                <w:kern w:val="21"/>
                <w:szCs w:val="21"/>
              </w:rPr>
              <w:t>四川省田宝生物科技有限公司</w:t>
            </w:r>
            <w:r>
              <w:rPr>
                <w:rFonts w:cs="Times New Roman"/>
                <w:kern w:val="21"/>
                <w:szCs w:val="21"/>
              </w:rPr>
              <w:t>进行有机肥生产</w:t>
            </w:r>
            <w:r>
              <w:rPr>
                <w:rFonts w:cs="Times New Roman" w:hint="eastAsia"/>
                <w:kern w:val="21"/>
                <w:szCs w:val="21"/>
              </w:rPr>
              <w:t>，实现资源化综合利用；病死鸡交由广元</w:t>
            </w:r>
            <w:proofErr w:type="gramStart"/>
            <w:r>
              <w:rPr>
                <w:rFonts w:cs="Times New Roman" w:hint="eastAsia"/>
                <w:kern w:val="21"/>
                <w:szCs w:val="21"/>
              </w:rPr>
              <w:t>市朗坤环保</w:t>
            </w:r>
            <w:proofErr w:type="gramEnd"/>
            <w:r>
              <w:rPr>
                <w:rFonts w:cs="Times New Roman" w:hint="eastAsia"/>
                <w:kern w:val="21"/>
                <w:szCs w:val="21"/>
              </w:rPr>
              <w:t>有限公司清运后进行无害化处置；生活垃圾经垃圾桶收集后，交由当地环卫部门统一清运处理；废润滑油、医疗废物经分类收集，</w:t>
            </w:r>
            <w:proofErr w:type="gramStart"/>
            <w:r>
              <w:rPr>
                <w:rFonts w:cs="Times New Roman" w:hint="eastAsia"/>
                <w:kern w:val="21"/>
                <w:szCs w:val="21"/>
              </w:rPr>
              <w:t>暂存于危废</w:t>
            </w:r>
            <w:r>
              <w:rPr>
                <w:rFonts w:cs="Times New Roman" w:hint="eastAsia"/>
                <w:kern w:val="21"/>
                <w:szCs w:val="21"/>
              </w:rPr>
              <w:lastRenderedPageBreak/>
              <w:t>暂存</w:t>
            </w:r>
            <w:proofErr w:type="gramEnd"/>
            <w:r>
              <w:rPr>
                <w:rFonts w:cs="Times New Roman" w:hint="eastAsia"/>
                <w:kern w:val="21"/>
                <w:szCs w:val="21"/>
              </w:rPr>
              <w:t>间，交由有资质单位进行处置。</w:t>
            </w:r>
          </w:p>
        </w:tc>
        <w:tc>
          <w:tcPr>
            <w:tcW w:w="886" w:type="dxa"/>
            <w:vAlign w:val="center"/>
          </w:tcPr>
          <w:p w14:paraId="1529B62A" w14:textId="77777777" w:rsidR="00544649" w:rsidRDefault="00000000">
            <w:pPr>
              <w:pStyle w:val="aff3"/>
              <w:spacing w:before="65" w:after="65"/>
              <w:rPr>
                <w:rFonts w:cs="Times New Roman"/>
                <w:kern w:val="21"/>
                <w:szCs w:val="21"/>
              </w:rPr>
            </w:pPr>
            <w:r>
              <w:rPr>
                <w:rFonts w:cs="Times New Roman" w:hint="eastAsia"/>
                <w:kern w:val="21"/>
                <w:szCs w:val="21"/>
              </w:rPr>
              <w:lastRenderedPageBreak/>
              <w:t>符合</w:t>
            </w:r>
          </w:p>
        </w:tc>
      </w:tr>
    </w:tbl>
    <w:p w14:paraId="77EF324D" w14:textId="77777777" w:rsidR="00544649" w:rsidRDefault="00000000">
      <w:pPr>
        <w:adjustRightInd w:val="0"/>
        <w:snapToGrid w:val="0"/>
        <w:spacing w:after="0"/>
        <w:ind w:firstLine="480"/>
        <w:rPr>
          <w:rFonts w:cs="Times New Roman"/>
          <w:kern w:val="21"/>
        </w:rPr>
      </w:pPr>
      <w:r>
        <w:rPr>
          <w:rFonts w:cs="Times New Roman"/>
          <w:kern w:val="21"/>
        </w:rPr>
        <w:t>因此，本项目与《</w:t>
      </w:r>
      <w:r>
        <w:rPr>
          <w:rFonts w:cs="Times New Roman" w:hint="eastAsia"/>
          <w:kern w:val="21"/>
        </w:rPr>
        <w:t>广元市“十四五”畜牧业发展规划</w:t>
      </w:r>
      <w:r>
        <w:rPr>
          <w:rFonts w:cs="Times New Roman"/>
          <w:kern w:val="21"/>
        </w:rPr>
        <w:t>》</w:t>
      </w:r>
      <w:r>
        <w:rPr>
          <w:rFonts w:cs="Times New Roman" w:hint="eastAsia"/>
          <w:kern w:val="21"/>
        </w:rPr>
        <w:t>（</w:t>
      </w:r>
      <w:proofErr w:type="gramStart"/>
      <w:r>
        <w:rPr>
          <w:rFonts w:cs="Times New Roman" w:hint="eastAsia"/>
          <w:kern w:val="21"/>
        </w:rPr>
        <w:t>广农〔</w:t>
      </w:r>
      <w:r>
        <w:rPr>
          <w:rFonts w:cs="Times New Roman" w:hint="eastAsia"/>
          <w:kern w:val="21"/>
        </w:rPr>
        <w:t>2023</w:t>
      </w:r>
      <w:r>
        <w:rPr>
          <w:rFonts w:cs="Times New Roman" w:hint="eastAsia"/>
          <w:kern w:val="21"/>
        </w:rPr>
        <w:t>〕</w:t>
      </w:r>
      <w:proofErr w:type="gramEnd"/>
      <w:r>
        <w:rPr>
          <w:rFonts w:cs="Times New Roman" w:hint="eastAsia"/>
          <w:kern w:val="21"/>
        </w:rPr>
        <w:t>36</w:t>
      </w:r>
      <w:r>
        <w:rPr>
          <w:rFonts w:cs="Times New Roman" w:hint="eastAsia"/>
          <w:kern w:val="21"/>
        </w:rPr>
        <w:t>号）</w:t>
      </w:r>
      <w:r>
        <w:rPr>
          <w:rFonts w:cs="Times New Roman"/>
          <w:kern w:val="21"/>
        </w:rPr>
        <w:t>的要求相符。</w:t>
      </w:r>
    </w:p>
    <w:p w14:paraId="2E699A8D" w14:textId="77777777" w:rsidR="00544649" w:rsidRDefault="00000000">
      <w:pPr>
        <w:pStyle w:val="4"/>
        <w:adjustRightInd w:val="0"/>
        <w:snapToGrid w:val="0"/>
        <w:spacing w:after="0"/>
      </w:pPr>
      <w:r>
        <w:rPr>
          <w:rFonts w:hint="eastAsia"/>
        </w:rPr>
        <w:t>与</w:t>
      </w:r>
      <w:r>
        <w:rPr>
          <w:rFonts w:hint="eastAsia"/>
          <w:shd w:val="clear" w:color="auto" w:fill="FFFFFF"/>
        </w:rPr>
        <w:t>《广元市“十四五”推进农业农村现代化规划》</w:t>
      </w:r>
      <w:r>
        <w:rPr>
          <w:rFonts w:hint="eastAsia"/>
        </w:rPr>
        <w:t>的符合性分析</w:t>
      </w:r>
    </w:p>
    <w:p w14:paraId="245AE053" w14:textId="77777777" w:rsidR="00544649" w:rsidRDefault="00000000">
      <w:pPr>
        <w:adjustRightInd w:val="0"/>
        <w:snapToGrid w:val="0"/>
        <w:spacing w:after="0"/>
        <w:ind w:firstLine="480"/>
        <w:rPr>
          <w:rFonts w:cs="Times New Roman"/>
          <w:kern w:val="21"/>
        </w:rPr>
      </w:pPr>
      <w:r>
        <w:rPr>
          <w:rFonts w:cs="Times New Roman"/>
          <w:kern w:val="21"/>
        </w:rPr>
        <w:t>本项目与《</w:t>
      </w:r>
      <w:r>
        <w:rPr>
          <w:rFonts w:cs="Times New Roman" w:hint="eastAsia"/>
          <w:kern w:val="21"/>
        </w:rPr>
        <w:t>广元市“十四五”推进农业农村现代化规划</w:t>
      </w:r>
      <w:r>
        <w:rPr>
          <w:rFonts w:cs="Times New Roman"/>
          <w:kern w:val="21"/>
        </w:rPr>
        <w:t>》（</w:t>
      </w:r>
      <w:r>
        <w:rPr>
          <w:rFonts w:cs="Times New Roman" w:hint="eastAsia"/>
          <w:kern w:val="21"/>
        </w:rPr>
        <w:t>广府发〔</w:t>
      </w:r>
      <w:r>
        <w:rPr>
          <w:rFonts w:cs="Times New Roman" w:hint="eastAsia"/>
          <w:kern w:val="21"/>
        </w:rPr>
        <w:t>2022</w:t>
      </w:r>
      <w:r>
        <w:rPr>
          <w:rFonts w:cs="Times New Roman" w:hint="eastAsia"/>
          <w:kern w:val="21"/>
        </w:rPr>
        <w:t>〕</w:t>
      </w:r>
      <w:r>
        <w:rPr>
          <w:rFonts w:cs="Times New Roman" w:hint="eastAsia"/>
          <w:kern w:val="21"/>
        </w:rPr>
        <w:t>12</w:t>
      </w:r>
      <w:r>
        <w:rPr>
          <w:rFonts w:cs="Times New Roman" w:hint="eastAsia"/>
          <w:kern w:val="21"/>
        </w:rPr>
        <w:t>号</w:t>
      </w:r>
      <w:r>
        <w:rPr>
          <w:rFonts w:cs="Times New Roman"/>
          <w:kern w:val="21"/>
        </w:rPr>
        <w:t>）的符合性分析</w:t>
      </w:r>
      <w:r>
        <w:rPr>
          <w:rFonts w:cs="Times New Roman" w:hint="eastAsia"/>
          <w:kern w:val="21"/>
        </w:rPr>
        <w:t>见下表。</w:t>
      </w:r>
    </w:p>
    <w:p w14:paraId="4D5CA678" w14:textId="77777777" w:rsidR="00544649" w:rsidRDefault="00000000">
      <w:pPr>
        <w:widowControl/>
        <w:numPr>
          <w:ilvl w:val="0"/>
          <w:numId w:val="13"/>
        </w:numPr>
        <w:adjustRightInd w:val="0"/>
        <w:snapToGrid w:val="0"/>
        <w:spacing w:beforeLines="20" w:before="65" w:afterLines="20" w:after="65" w:line="240" w:lineRule="auto"/>
        <w:ind w:firstLineChars="0"/>
        <w:jc w:val="center"/>
        <w:rPr>
          <w:rFonts w:cs="Times New Roman"/>
          <w:b/>
          <w:bCs/>
          <w:kern w:val="21"/>
          <w:sz w:val="21"/>
          <w:szCs w:val="21"/>
        </w:rPr>
      </w:pPr>
      <w:r>
        <w:rPr>
          <w:rFonts w:cs="Times New Roman"/>
          <w:b/>
          <w:bCs/>
          <w:kern w:val="21"/>
          <w:sz w:val="21"/>
          <w:szCs w:val="21"/>
        </w:rPr>
        <w:t>本项目与《</w:t>
      </w:r>
      <w:r>
        <w:rPr>
          <w:rFonts w:cs="Times New Roman" w:hint="eastAsia"/>
          <w:b/>
          <w:bCs/>
          <w:kern w:val="21"/>
          <w:sz w:val="21"/>
          <w:szCs w:val="21"/>
        </w:rPr>
        <w:t>广元市“十四五”推进农业农村现代化规划</w:t>
      </w:r>
      <w:r>
        <w:rPr>
          <w:rFonts w:cs="Times New Roman"/>
          <w:b/>
          <w:bCs/>
          <w:kern w:val="21"/>
          <w:sz w:val="21"/>
          <w:szCs w:val="21"/>
        </w:rPr>
        <w:t>》的符合性分析</w:t>
      </w:r>
    </w:p>
    <w:tbl>
      <w:tblPr>
        <w:tblStyle w:val="afc"/>
        <w:tblW w:w="9060" w:type="dxa"/>
        <w:jc w:val="center"/>
        <w:tblLayout w:type="fixed"/>
        <w:tblLook w:val="04A0" w:firstRow="1" w:lastRow="0" w:firstColumn="1" w:lastColumn="0" w:noHBand="0" w:noVBand="1"/>
      </w:tblPr>
      <w:tblGrid>
        <w:gridCol w:w="959"/>
        <w:gridCol w:w="4394"/>
        <w:gridCol w:w="2977"/>
        <w:gridCol w:w="730"/>
      </w:tblGrid>
      <w:tr w:rsidR="00544649" w14:paraId="689E7E76" w14:textId="77777777">
        <w:trPr>
          <w:tblHeader/>
          <w:jc w:val="center"/>
        </w:trPr>
        <w:tc>
          <w:tcPr>
            <w:tcW w:w="5353" w:type="dxa"/>
            <w:gridSpan w:val="2"/>
            <w:vAlign w:val="center"/>
          </w:tcPr>
          <w:p w14:paraId="766B2D05" w14:textId="77777777" w:rsidR="00544649" w:rsidRDefault="00000000">
            <w:pPr>
              <w:widowControl/>
              <w:adjustRightInd w:val="0"/>
              <w:snapToGrid w:val="0"/>
              <w:spacing w:beforeLines="20" w:before="65" w:afterLines="20" w:after="65" w:line="240" w:lineRule="auto"/>
              <w:ind w:firstLineChars="0" w:firstLine="0"/>
              <w:jc w:val="center"/>
              <w:rPr>
                <w:rFonts w:cs="Times New Roman"/>
                <w:b/>
                <w:kern w:val="21"/>
                <w:sz w:val="21"/>
                <w:szCs w:val="21"/>
              </w:rPr>
            </w:pPr>
            <w:r>
              <w:rPr>
                <w:rFonts w:cs="Times New Roman"/>
                <w:b/>
                <w:kern w:val="21"/>
                <w:sz w:val="21"/>
                <w:szCs w:val="21"/>
              </w:rPr>
              <w:t>《</w:t>
            </w:r>
            <w:r>
              <w:rPr>
                <w:rFonts w:cs="Times New Roman" w:hint="eastAsia"/>
                <w:b/>
                <w:kern w:val="21"/>
                <w:sz w:val="21"/>
                <w:szCs w:val="21"/>
              </w:rPr>
              <w:t>广元市“十四五”推进农业农村现代化规划</w:t>
            </w:r>
            <w:r>
              <w:rPr>
                <w:rFonts w:cs="Times New Roman"/>
                <w:b/>
                <w:kern w:val="21"/>
                <w:sz w:val="21"/>
                <w:szCs w:val="21"/>
              </w:rPr>
              <w:t>》</w:t>
            </w:r>
          </w:p>
        </w:tc>
        <w:tc>
          <w:tcPr>
            <w:tcW w:w="2977" w:type="dxa"/>
            <w:vAlign w:val="center"/>
          </w:tcPr>
          <w:p w14:paraId="08AB1A72" w14:textId="77777777" w:rsidR="00544649" w:rsidRDefault="00000000">
            <w:pPr>
              <w:widowControl/>
              <w:adjustRightInd w:val="0"/>
              <w:snapToGrid w:val="0"/>
              <w:spacing w:beforeLines="20" w:before="65" w:afterLines="20" w:after="65" w:line="240" w:lineRule="auto"/>
              <w:ind w:firstLineChars="0" w:firstLine="0"/>
              <w:jc w:val="center"/>
              <w:rPr>
                <w:rFonts w:cs="Times New Roman"/>
                <w:b/>
                <w:kern w:val="21"/>
                <w:sz w:val="21"/>
                <w:szCs w:val="21"/>
              </w:rPr>
            </w:pPr>
            <w:r>
              <w:rPr>
                <w:rFonts w:cs="Times New Roman"/>
                <w:b/>
                <w:kern w:val="21"/>
                <w:sz w:val="21"/>
                <w:szCs w:val="21"/>
              </w:rPr>
              <w:t>本项目情况</w:t>
            </w:r>
          </w:p>
        </w:tc>
        <w:tc>
          <w:tcPr>
            <w:tcW w:w="730" w:type="dxa"/>
            <w:vAlign w:val="center"/>
          </w:tcPr>
          <w:p w14:paraId="2722442F" w14:textId="77777777" w:rsidR="00544649" w:rsidRDefault="00000000">
            <w:pPr>
              <w:widowControl/>
              <w:adjustRightInd w:val="0"/>
              <w:snapToGrid w:val="0"/>
              <w:spacing w:beforeLines="20" w:before="65" w:afterLines="20" w:after="65" w:line="240" w:lineRule="auto"/>
              <w:ind w:firstLineChars="0" w:firstLine="0"/>
              <w:jc w:val="center"/>
              <w:rPr>
                <w:rFonts w:cs="Times New Roman"/>
                <w:b/>
                <w:kern w:val="21"/>
                <w:sz w:val="21"/>
                <w:szCs w:val="21"/>
              </w:rPr>
            </w:pPr>
            <w:r>
              <w:rPr>
                <w:rFonts w:cs="Times New Roman"/>
                <w:b/>
                <w:kern w:val="21"/>
                <w:sz w:val="21"/>
                <w:szCs w:val="21"/>
              </w:rPr>
              <w:t>符合性</w:t>
            </w:r>
          </w:p>
        </w:tc>
      </w:tr>
      <w:tr w:rsidR="00544649" w14:paraId="34851BAA" w14:textId="77777777">
        <w:trPr>
          <w:jc w:val="center"/>
        </w:trPr>
        <w:tc>
          <w:tcPr>
            <w:tcW w:w="959" w:type="dxa"/>
            <w:vAlign w:val="center"/>
          </w:tcPr>
          <w:p w14:paraId="23666855" w14:textId="77777777" w:rsidR="00544649" w:rsidRDefault="00000000">
            <w:pPr>
              <w:widowControl/>
              <w:adjustRightInd w:val="0"/>
              <w:snapToGrid w:val="0"/>
              <w:spacing w:beforeLines="20" w:before="65" w:afterLines="20" w:after="65" w:line="240" w:lineRule="auto"/>
              <w:ind w:firstLineChars="0" w:firstLine="0"/>
              <w:jc w:val="center"/>
              <w:rPr>
                <w:rFonts w:cs="Times New Roman"/>
                <w:b/>
                <w:kern w:val="21"/>
                <w:sz w:val="21"/>
                <w:szCs w:val="21"/>
              </w:rPr>
            </w:pPr>
            <w:r>
              <w:rPr>
                <w:rFonts w:cs="Times New Roman" w:hint="eastAsia"/>
                <w:b/>
                <w:kern w:val="21"/>
                <w:sz w:val="21"/>
                <w:szCs w:val="21"/>
              </w:rPr>
              <w:t>农村生态文明建设重点工程</w:t>
            </w:r>
          </w:p>
        </w:tc>
        <w:tc>
          <w:tcPr>
            <w:tcW w:w="4394" w:type="dxa"/>
            <w:vAlign w:val="center"/>
          </w:tcPr>
          <w:p w14:paraId="2ABD5B33" w14:textId="77777777" w:rsidR="00544649" w:rsidRDefault="00000000">
            <w:pPr>
              <w:widowControl/>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hint="eastAsia"/>
                <w:b/>
                <w:kern w:val="21"/>
                <w:sz w:val="21"/>
                <w:szCs w:val="21"/>
              </w:rPr>
              <w:t>畜禽</w:t>
            </w:r>
            <w:proofErr w:type="gramStart"/>
            <w:r>
              <w:rPr>
                <w:rFonts w:cs="Times New Roman" w:hint="eastAsia"/>
                <w:b/>
                <w:kern w:val="21"/>
                <w:sz w:val="21"/>
                <w:szCs w:val="21"/>
              </w:rPr>
              <w:t>粪污等农业</w:t>
            </w:r>
            <w:proofErr w:type="gramEnd"/>
            <w:r>
              <w:rPr>
                <w:rFonts w:cs="Times New Roman" w:hint="eastAsia"/>
                <w:b/>
                <w:kern w:val="21"/>
                <w:sz w:val="21"/>
                <w:szCs w:val="21"/>
              </w:rPr>
              <w:t>生产废弃物资源化利用提升工程：</w:t>
            </w:r>
            <w:r>
              <w:rPr>
                <w:rFonts w:cs="Times New Roman" w:hint="eastAsia"/>
                <w:bCs/>
                <w:kern w:val="21"/>
                <w:sz w:val="21"/>
                <w:szCs w:val="21"/>
              </w:rPr>
              <w:t>到</w:t>
            </w:r>
            <w:r>
              <w:rPr>
                <w:rFonts w:cs="Times New Roman" w:hint="eastAsia"/>
                <w:bCs/>
                <w:kern w:val="21"/>
                <w:sz w:val="21"/>
                <w:szCs w:val="21"/>
              </w:rPr>
              <w:t>2025</w:t>
            </w:r>
            <w:r>
              <w:rPr>
                <w:rFonts w:cs="Times New Roman" w:hint="eastAsia"/>
                <w:bCs/>
                <w:kern w:val="21"/>
                <w:sz w:val="21"/>
                <w:szCs w:val="21"/>
              </w:rPr>
              <w:t>年，全市畜禽粪污综合利用率保持在</w:t>
            </w:r>
            <w:r>
              <w:rPr>
                <w:rFonts w:cs="Times New Roman" w:hint="eastAsia"/>
                <w:bCs/>
                <w:kern w:val="21"/>
                <w:sz w:val="21"/>
                <w:szCs w:val="21"/>
              </w:rPr>
              <w:t>90%</w:t>
            </w:r>
            <w:r>
              <w:rPr>
                <w:rFonts w:cs="Times New Roman" w:hint="eastAsia"/>
                <w:bCs/>
                <w:kern w:val="21"/>
                <w:sz w:val="21"/>
                <w:szCs w:val="21"/>
              </w:rPr>
              <w:t>以上，规模养殖场粪污处理设施装备配套率</w:t>
            </w:r>
            <w:r>
              <w:rPr>
                <w:rFonts w:cs="Times New Roman" w:hint="eastAsia"/>
                <w:bCs/>
                <w:kern w:val="21"/>
                <w:sz w:val="21"/>
                <w:szCs w:val="21"/>
              </w:rPr>
              <w:t>100%</w:t>
            </w:r>
            <w:r>
              <w:rPr>
                <w:rFonts w:cs="Times New Roman" w:hint="eastAsia"/>
                <w:bCs/>
                <w:kern w:val="21"/>
                <w:sz w:val="21"/>
                <w:szCs w:val="21"/>
              </w:rPr>
              <w:t>。</w:t>
            </w:r>
          </w:p>
        </w:tc>
        <w:tc>
          <w:tcPr>
            <w:tcW w:w="2977" w:type="dxa"/>
            <w:vAlign w:val="center"/>
          </w:tcPr>
          <w:p w14:paraId="3D607098" w14:textId="77777777" w:rsidR="00544649" w:rsidRDefault="00000000">
            <w:pPr>
              <w:widowControl/>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本项目</w:t>
            </w:r>
            <w:r>
              <w:rPr>
                <w:rFonts w:cs="Times New Roman" w:hint="eastAsia"/>
                <w:bCs/>
                <w:kern w:val="21"/>
                <w:sz w:val="21"/>
                <w:szCs w:val="21"/>
              </w:rPr>
              <w:t>场内配套建设污水处理站及废水储存池，餐厨废水、生活污水及养殖废水经污水处理站处理达标后用于林地灌溉；鸡粪交由四川省田宝生物科技有限公司进行有机肥生产，实现废弃物资源化利用</w:t>
            </w:r>
            <w:r>
              <w:rPr>
                <w:rFonts w:cs="Times New Roman"/>
                <w:bCs/>
                <w:kern w:val="21"/>
                <w:sz w:val="21"/>
                <w:szCs w:val="21"/>
              </w:rPr>
              <w:t>。</w:t>
            </w:r>
          </w:p>
        </w:tc>
        <w:tc>
          <w:tcPr>
            <w:tcW w:w="730" w:type="dxa"/>
            <w:vAlign w:val="center"/>
          </w:tcPr>
          <w:p w14:paraId="37CC527B" w14:textId="77777777" w:rsidR="00544649" w:rsidRDefault="00000000">
            <w:pPr>
              <w:widowControl/>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符合</w:t>
            </w:r>
          </w:p>
        </w:tc>
      </w:tr>
      <w:tr w:rsidR="00544649" w14:paraId="423ECFB0" w14:textId="77777777">
        <w:trPr>
          <w:jc w:val="center"/>
        </w:trPr>
        <w:tc>
          <w:tcPr>
            <w:tcW w:w="959" w:type="dxa"/>
            <w:vAlign w:val="center"/>
          </w:tcPr>
          <w:p w14:paraId="71832092" w14:textId="77777777" w:rsidR="00544649" w:rsidRDefault="00000000">
            <w:pPr>
              <w:widowControl/>
              <w:adjustRightInd w:val="0"/>
              <w:snapToGrid w:val="0"/>
              <w:spacing w:beforeLines="20" w:before="65" w:afterLines="20" w:after="65" w:line="240" w:lineRule="auto"/>
              <w:ind w:firstLineChars="0" w:firstLine="0"/>
              <w:jc w:val="center"/>
              <w:rPr>
                <w:rFonts w:cs="Times New Roman"/>
                <w:b/>
                <w:kern w:val="21"/>
                <w:sz w:val="21"/>
                <w:szCs w:val="21"/>
              </w:rPr>
            </w:pPr>
            <w:r>
              <w:rPr>
                <w:rFonts w:cs="Times New Roman" w:hint="eastAsia"/>
                <w:b/>
                <w:kern w:val="21"/>
                <w:sz w:val="21"/>
                <w:szCs w:val="21"/>
              </w:rPr>
              <w:t>环境影响减缓措施</w:t>
            </w:r>
          </w:p>
        </w:tc>
        <w:tc>
          <w:tcPr>
            <w:tcW w:w="4394" w:type="dxa"/>
            <w:vAlign w:val="center"/>
          </w:tcPr>
          <w:p w14:paraId="4E857CBF" w14:textId="77777777" w:rsidR="00544649" w:rsidRDefault="00000000">
            <w:pPr>
              <w:widowControl/>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hint="eastAsia"/>
                <w:b/>
                <w:kern w:val="21"/>
                <w:sz w:val="21"/>
                <w:szCs w:val="21"/>
              </w:rPr>
              <w:t>缓解养殖业环境影响措施：</w:t>
            </w:r>
            <w:r>
              <w:rPr>
                <w:rFonts w:cs="Times New Roman" w:hint="eastAsia"/>
                <w:bCs/>
                <w:kern w:val="21"/>
                <w:sz w:val="21"/>
                <w:szCs w:val="21"/>
              </w:rPr>
              <w:t>加强畜禽养殖污染防治监管，依法关闭或搬迁禁养区内的畜禽养殖场（小区）和养殖专业户。严格落实规模畜禽养殖场（小区）环保主体责任；督促规模畜禽养殖场</w:t>
            </w:r>
            <w:r>
              <w:rPr>
                <w:rFonts w:cs="Times New Roman" w:hint="eastAsia"/>
                <w:bCs/>
                <w:kern w:val="21"/>
                <w:sz w:val="21"/>
                <w:szCs w:val="21"/>
              </w:rPr>
              <w:t>(</w:t>
            </w:r>
            <w:r>
              <w:rPr>
                <w:rFonts w:cs="Times New Roman" w:hint="eastAsia"/>
                <w:bCs/>
                <w:kern w:val="21"/>
                <w:sz w:val="21"/>
                <w:szCs w:val="21"/>
              </w:rPr>
              <w:t>小区）切实履行污染防治义务，配套完善畜禽粪污贮存、处理、利用设施。严格控制畜禽养殖污染排放。深入推进畜禽粪污处理和资源化利用，建立健全畜禽粪污收集、存储、运输、处理和综合利用全产业链，提高畜禽粪便还田利用率。</w:t>
            </w:r>
          </w:p>
        </w:tc>
        <w:tc>
          <w:tcPr>
            <w:tcW w:w="2977" w:type="dxa"/>
            <w:vAlign w:val="center"/>
          </w:tcPr>
          <w:p w14:paraId="720F8107" w14:textId="77777777" w:rsidR="00544649" w:rsidRDefault="00000000">
            <w:pPr>
              <w:widowControl/>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hint="eastAsia"/>
                <w:bCs/>
                <w:kern w:val="21"/>
                <w:sz w:val="21"/>
                <w:szCs w:val="21"/>
              </w:rPr>
              <w:t>本项目建设位置不属于剑阁县禁养区范围内；本项目配套建设污水处理站及废水贮存池，餐厨废水、生活污水及养殖废水经污水处理站处理达标后用于林地灌溉，不外排；鸡粪经四川省田宝生物科技有限公司清运后用于有机肥生产，实现畜禽粪污资源化利用。</w:t>
            </w:r>
          </w:p>
        </w:tc>
        <w:tc>
          <w:tcPr>
            <w:tcW w:w="730" w:type="dxa"/>
            <w:vAlign w:val="center"/>
          </w:tcPr>
          <w:p w14:paraId="57D5DAFC" w14:textId="77777777" w:rsidR="00544649" w:rsidRDefault="00000000">
            <w:pPr>
              <w:widowControl/>
              <w:adjustRightInd w:val="0"/>
              <w:snapToGrid w:val="0"/>
              <w:spacing w:beforeLines="20" w:before="65" w:afterLines="20" w:after="65" w:line="240" w:lineRule="auto"/>
              <w:ind w:firstLineChars="0" w:firstLine="0"/>
              <w:jc w:val="center"/>
              <w:rPr>
                <w:rFonts w:cs="Times New Roman"/>
                <w:bCs/>
                <w:kern w:val="21"/>
                <w:sz w:val="21"/>
                <w:szCs w:val="21"/>
              </w:rPr>
            </w:pPr>
            <w:r>
              <w:rPr>
                <w:rFonts w:cs="Times New Roman"/>
                <w:bCs/>
                <w:kern w:val="21"/>
                <w:sz w:val="21"/>
                <w:szCs w:val="21"/>
              </w:rPr>
              <w:t>符合</w:t>
            </w:r>
          </w:p>
        </w:tc>
      </w:tr>
    </w:tbl>
    <w:p w14:paraId="7EB25A1E" w14:textId="77777777" w:rsidR="00544649" w:rsidRDefault="00000000">
      <w:pPr>
        <w:adjustRightInd w:val="0"/>
        <w:snapToGrid w:val="0"/>
        <w:spacing w:after="0"/>
        <w:ind w:firstLine="480"/>
        <w:rPr>
          <w:kern w:val="21"/>
        </w:rPr>
      </w:pPr>
      <w:r>
        <w:rPr>
          <w:rFonts w:hint="eastAsia"/>
          <w:kern w:val="21"/>
        </w:rPr>
        <w:t>综上所述</w:t>
      </w:r>
      <w:r>
        <w:rPr>
          <w:kern w:val="21"/>
        </w:rPr>
        <w:t>，</w:t>
      </w:r>
      <w:r>
        <w:rPr>
          <w:rFonts w:hint="eastAsia"/>
          <w:kern w:val="21"/>
        </w:rPr>
        <w:t>本</w:t>
      </w:r>
      <w:r>
        <w:rPr>
          <w:kern w:val="21"/>
        </w:rPr>
        <w:t>项目符合</w:t>
      </w:r>
      <w:r>
        <w:rPr>
          <w:rFonts w:cs="Times New Roman"/>
          <w:kern w:val="21"/>
        </w:rPr>
        <w:t>《</w:t>
      </w:r>
      <w:r>
        <w:rPr>
          <w:rFonts w:cs="Times New Roman" w:hint="eastAsia"/>
          <w:kern w:val="21"/>
        </w:rPr>
        <w:t>广元市“十四五”推进农业农村现代化规划</w:t>
      </w:r>
      <w:r>
        <w:rPr>
          <w:rFonts w:cs="Times New Roman"/>
          <w:kern w:val="21"/>
        </w:rPr>
        <w:t>》（</w:t>
      </w:r>
      <w:r>
        <w:rPr>
          <w:rFonts w:cs="Times New Roman" w:hint="eastAsia"/>
          <w:kern w:val="21"/>
        </w:rPr>
        <w:t>广府发〔</w:t>
      </w:r>
      <w:r>
        <w:rPr>
          <w:rFonts w:cs="Times New Roman" w:hint="eastAsia"/>
          <w:kern w:val="21"/>
        </w:rPr>
        <w:t>2022</w:t>
      </w:r>
      <w:r>
        <w:rPr>
          <w:rFonts w:cs="Times New Roman" w:hint="eastAsia"/>
          <w:kern w:val="21"/>
        </w:rPr>
        <w:t>〕</w:t>
      </w:r>
      <w:r>
        <w:rPr>
          <w:rFonts w:cs="Times New Roman" w:hint="eastAsia"/>
          <w:kern w:val="21"/>
        </w:rPr>
        <w:t>12</w:t>
      </w:r>
      <w:r>
        <w:rPr>
          <w:rFonts w:cs="Times New Roman" w:hint="eastAsia"/>
          <w:kern w:val="21"/>
        </w:rPr>
        <w:t>号</w:t>
      </w:r>
      <w:r>
        <w:rPr>
          <w:rFonts w:cs="Times New Roman"/>
          <w:kern w:val="21"/>
        </w:rPr>
        <w:t>）</w:t>
      </w:r>
      <w:r>
        <w:rPr>
          <w:rFonts w:hint="eastAsia"/>
          <w:kern w:val="21"/>
        </w:rPr>
        <w:t>的</w:t>
      </w:r>
      <w:r>
        <w:rPr>
          <w:kern w:val="21"/>
        </w:rPr>
        <w:t>相关要求。</w:t>
      </w:r>
    </w:p>
    <w:p w14:paraId="1B38202B" w14:textId="77777777" w:rsidR="00544649" w:rsidRDefault="00000000">
      <w:pPr>
        <w:pStyle w:val="4"/>
        <w:adjustRightInd w:val="0"/>
        <w:snapToGrid w:val="0"/>
        <w:spacing w:after="0"/>
      </w:pPr>
      <w:r>
        <w:t>与《</w:t>
      </w:r>
      <w:r>
        <w:rPr>
          <w:rFonts w:hint="eastAsia"/>
        </w:rPr>
        <w:t>剑阁县畜禽养殖禁养区限养区适养区划定方案及</w:t>
      </w:r>
      <w:r>
        <w:rPr>
          <w:rFonts w:hint="eastAsia"/>
        </w:rPr>
        <w:t>1:50000</w:t>
      </w:r>
      <w:r>
        <w:rPr>
          <w:rFonts w:hint="eastAsia"/>
        </w:rPr>
        <w:t>电子分布地图</w:t>
      </w:r>
      <w:r>
        <w:t>》符合性分析</w:t>
      </w:r>
    </w:p>
    <w:p w14:paraId="5336E16B" w14:textId="77777777" w:rsidR="00544649" w:rsidRDefault="00000000">
      <w:pPr>
        <w:adjustRightInd w:val="0"/>
        <w:snapToGrid w:val="0"/>
        <w:spacing w:after="0"/>
        <w:ind w:firstLine="480"/>
        <w:rPr>
          <w:rFonts w:cs="Times New Roman"/>
          <w:kern w:val="21"/>
        </w:rPr>
      </w:pPr>
      <w:r>
        <w:rPr>
          <w:rFonts w:cs="Times New Roman"/>
          <w:kern w:val="21"/>
        </w:rPr>
        <w:t>本项目与《</w:t>
      </w:r>
      <w:r>
        <w:rPr>
          <w:rFonts w:cs="Times New Roman" w:hint="eastAsia"/>
          <w:kern w:val="21"/>
        </w:rPr>
        <w:t>剑阁县畜禽养殖禁养区限养区适养区划定方案及</w:t>
      </w:r>
      <w:r>
        <w:rPr>
          <w:rFonts w:cs="Times New Roman" w:hint="eastAsia"/>
          <w:kern w:val="21"/>
        </w:rPr>
        <w:t>1:50000</w:t>
      </w:r>
      <w:r>
        <w:rPr>
          <w:rFonts w:cs="Times New Roman" w:hint="eastAsia"/>
          <w:kern w:val="21"/>
        </w:rPr>
        <w:t>电子分布地图</w:t>
      </w:r>
      <w:r>
        <w:rPr>
          <w:rFonts w:cs="Times New Roman"/>
          <w:kern w:val="21"/>
        </w:rPr>
        <w:t>》</w:t>
      </w:r>
      <w:r>
        <w:rPr>
          <w:rFonts w:cs="Times New Roman" w:hint="eastAsia"/>
          <w:kern w:val="21"/>
        </w:rPr>
        <w:t>（</w:t>
      </w:r>
      <w:proofErr w:type="gramStart"/>
      <w:r>
        <w:rPr>
          <w:rFonts w:cs="Times New Roman" w:hint="eastAsia"/>
          <w:kern w:val="21"/>
        </w:rPr>
        <w:t>剑府办</w:t>
      </w:r>
      <w:proofErr w:type="gramEnd"/>
      <w:r>
        <w:rPr>
          <w:rFonts w:cs="Times New Roman" w:hint="eastAsia"/>
          <w:kern w:val="21"/>
        </w:rPr>
        <w:t>发〔</w:t>
      </w:r>
      <w:r>
        <w:rPr>
          <w:rFonts w:cs="Times New Roman" w:hint="eastAsia"/>
          <w:kern w:val="21"/>
        </w:rPr>
        <w:t>2018</w:t>
      </w:r>
      <w:r>
        <w:rPr>
          <w:rFonts w:cs="Times New Roman" w:hint="eastAsia"/>
          <w:kern w:val="21"/>
        </w:rPr>
        <w:t>〕</w:t>
      </w:r>
      <w:r>
        <w:rPr>
          <w:rFonts w:cs="Times New Roman" w:hint="eastAsia"/>
          <w:kern w:val="21"/>
        </w:rPr>
        <w:t>71</w:t>
      </w:r>
      <w:r>
        <w:rPr>
          <w:rFonts w:cs="Times New Roman" w:hint="eastAsia"/>
          <w:kern w:val="21"/>
        </w:rPr>
        <w:t>号）</w:t>
      </w:r>
      <w:r>
        <w:rPr>
          <w:rFonts w:cs="Times New Roman"/>
          <w:kern w:val="21"/>
        </w:rPr>
        <w:t>符合性分析见下表。</w:t>
      </w:r>
    </w:p>
    <w:p w14:paraId="7B72B0DE" w14:textId="77777777" w:rsidR="00544649" w:rsidRDefault="00000000">
      <w:pPr>
        <w:widowControl/>
        <w:numPr>
          <w:ilvl w:val="0"/>
          <w:numId w:val="13"/>
        </w:numPr>
        <w:adjustRightInd w:val="0"/>
        <w:snapToGrid w:val="0"/>
        <w:spacing w:beforeLines="20" w:before="65" w:afterLines="20" w:after="65" w:line="240" w:lineRule="auto"/>
        <w:ind w:firstLineChars="0"/>
        <w:jc w:val="center"/>
        <w:rPr>
          <w:rFonts w:cs="Times New Roman"/>
          <w:b/>
          <w:bCs/>
          <w:kern w:val="21"/>
          <w:sz w:val="21"/>
          <w:szCs w:val="21"/>
        </w:rPr>
      </w:pPr>
      <w:r>
        <w:rPr>
          <w:rFonts w:cs="Times New Roman"/>
          <w:b/>
          <w:bCs/>
          <w:kern w:val="21"/>
          <w:sz w:val="21"/>
          <w:szCs w:val="21"/>
        </w:rPr>
        <w:t>本项目与《</w:t>
      </w:r>
      <w:r>
        <w:rPr>
          <w:rFonts w:cs="Times New Roman" w:hint="eastAsia"/>
          <w:b/>
          <w:bCs/>
          <w:kern w:val="21"/>
          <w:sz w:val="21"/>
          <w:szCs w:val="21"/>
        </w:rPr>
        <w:t>剑阁县畜禽养殖禁养区限养区适养区划定方案及</w:t>
      </w:r>
      <w:r>
        <w:rPr>
          <w:rFonts w:cs="Times New Roman" w:hint="eastAsia"/>
          <w:b/>
          <w:bCs/>
          <w:kern w:val="21"/>
          <w:sz w:val="21"/>
          <w:szCs w:val="21"/>
        </w:rPr>
        <w:t>1:50000</w:t>
      </w:r>
      <w:r>
        <w:rPr>
          <w:rFonts w:cs="Times New Roman" w:hint="eastAsia"/>
          <w:b/>
          <w:bCs/>
          <w:kern w:val="21"/>
          <w:sz w:val="21"/>
          <w:szCs w:val="21"/>
        </w:rPr>
        <w:t>电子分布地图</w:t>
      </w:r>
      <w:r>
        <w:rPr>
          <w:rFonts w:cs="Times New Roman"/>
          <w:b/>
          <w:bCs/>
          <w:kern w:val="21"/>
          <w:sz w:val="21"/>
          <w:szCs w:val="21"/>
        </w:rPr>
        <w:t>》符合性分析</w:t>
      </w:r>
    </w:p>
    <w:tbl>
      <w:tblPr>
        <w:tblStyle w:val="afc"/>
        <w:tblW w:w="9055" w:type="dxa"/>
        <w:jc w:val="center"/>
        <w:tblLayout w:type="fixed"/>
        <w:tblLook w:val="04A0" w:firstRow="1" w:lastRow="0" w:firstColumn="1" w:lastColumn="0" w:noHBand="0" w:noVBand="1"/>
      </w:tblPr>
      <w:tblGrid>
        <w:gridCol w:w="405"/>
        <w:gridCol w:w="4046"/>
        <w:gridCol w:w="3517"/>
        <w:gridCol w:w="1087"/>
      </w:tblGrid>
      <w:tr w:rsidR="00544649" w14:paraId="4514DD8C" w14:textId="77777777">
        <w:trPr>
          <w:tblHeader/>
          <w:jc w:val="center"/>
        </w:trPr>
        <w:tc>
          <w:tcPr>
            <w:tcW w:w="4451" w:type="dxa"/>
            <w:gridSpan w:val="2"/>
            <w:vAlign w:val="center"/>
          </w:tcPr>
          <w:p w14:paraId="79F81D2C"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b/>
                <w:bCs/>
                <w:kern w:val="21"/>
                <w:sz w:val="21"/>
                <w:szCs w:val="21"/>
              </w:rPr>
              <w:t>《划定方案》要求</w:t>
            </w:r>
          </w:p>
        </w:tc>
        <w:tc>
          <w:tcPr>
            <w:tcW w:w="3517" w:type="dxa"/>
            <w:vAlign w:val="center"/>
          </w:tcPr>
          <w:p w14:paraId="3E8409CF"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b/>
                <w:bCs/>
                <w:kern w:val="21"/>
                <w:sz w:val="21"/>
                <w:szCs w:val="21"/>
              </w:rPr>
              <w:t>本项目情况</w:t>
            </w:r>
          </w:p>
        </w:tc>
        <w:tc>
          <w:tcPr>
            <w:tcW w:w="1087" w:type="dxa"/>
            <w:vAlign w:val="center"/>
          </w:tcPr>
          <w:p w14:paraId="6A792888" w14:textId="77777777" w:rsidR="00544649" w:rsidRDefault="00000000">
            <w:pPr>
              <w:adjustRightInd w:val="0"/>
              <w:snapToGrid w:val="0"/>
              <w:spacing w:beforeLines="20" w:before="65" w:afterLines="20" w:after="65" w:line="240" w:lineRule="auto"/>
              <w:ind w:firstLineChars="0" w:firstLine="0"/>
              <w:jc w:val="center"/>
              <w:rPr>
                <w:rFonts w:cs="Times New Roman"/>
                <w:b/>
                <w:bCs/>
                <w:kern w:val="21"/>
                <w:sz w:val="21"/>
                <w:szCs w:val="21"/>
              </w:rPr>
            </w:pPr>
            <w:r>
              <w:rPr>
                <w:rFonts w:cs="Times New Roman" w:hint="eastAsia"/>
                <w:b/>
                <w:bCs/>
                <w:kern w:val="21"/>
                <w:sz w:val="21"/>
                <w:szCs w:val="21"/>
              </w:rPr>
              <w:t>是否属于</w:t>
            </w:r>
          </w:p>
        </w:tc>
      </w:tr>
      <w:tr w:rsidR="00544649" w14:paraId="00D38BF7" w14:textId="77777777">
        <w:trPr>
          <w:trHeight w:val="402"/>
          <w:jc w:val="center"/>
        </w:trPr>
        <w:tc>
          <w:tcPr>
            <w:tcW w:w="9055" w:type="dxa"/>
            <w:gridSpan w:val="4"/>
            <w:vAlign w:val="center"/>
          </w:tcPr>
          <w:p w14:paraId="4C840C2A"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hint="eastAsia"/>
                <w:b/>
                <w:bCs/>
                <w:kern w:val="21"/>
                <w:sz w:val="21"/>
                <w:szCs w:val="21"/>
              </w:rPr>
              <w:t>一、</w:t>
            </w:r>
            <w:r>
              <w:rPr>
                <w:rFonts w:cs="Times New Roman"/>
                <w:b/>
                <w:bCs/>
                <w:kern w:val="21"/>
                <w:sz w:val="21"/>
                <w:szCs w:val="21"/>
              </w:rPr>
              <w:t>禁养区</w:t>
            </w:r>
          </w:p>
        </w:tc>
      </w:tr>
      <w:tr w:rsidR="00544649" w14:paraId="75F803DA" w14:textId="77777777">
        <w:trPr>
          <w:trHeight w:val="632"/>
          <w:jc w:val="center"/>
        </w:trPr>
        <w:tc>
          <w:tcPr>
            <w:tcW w:w="405" w:type="dxa"/>
            <w:vAlign w:val="center"/>
          </w:tcPr>
          <w:p w14:paraId="4EAD3B00" w14:textId="77777777" w:rsidR="00544649" w:rsidRDefault="00000000">
            <w:pPr>
              <w:adjustRightInd w:val="0"/>
              <w:snapToGrid w:val="0"/>
              <w:spacing w:beforeLines="20" w:before="65" w:afterLines="20" w:after="65" w:line="240" w:lineRule="auto"/>
              <w:ind w:firstLineChars="0" w:firstLine="0"/>
              <w:jc w:val="center"/>
              <w:rPr>
                <w:kern w:val="21"/>
                <w:sz w:val="21"/>
                <w:szCs w:val="21"/>
              </w:rPr>
            </w:pPr>
            <w:r>
              <w:rPr>
                <w:rFonts w:hint="eastAsia"/>
                <w:kern w:val="21"/>
                <w:sz w:val="21"/>
                <w:szCs w:val="21"/>
              </w:rPr>
              <w:lastRenderedPageBreak/>
              <w:t>1</w:t>
            </w:r>
          </w:p>
        </w:tc>
        <w:tc>
          <w:tcPr>
            <w:tcW w:w="4046" w:type="dxa"/>
            <w:vAlign w:val="center"/>
          </w:tcPr>
          <w:p w14:paraId="66BD58A6"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b/>
                <w:bCs/>
                <w:kern w:val="21"/>
                <w:sz w:val="21"/>
                <w:szCs w:val="21"/>
              </w:rPr>
              <w:t>水源保护区：</w:t>
            </w:r>
            <w:r>
              <w:rPr>
                <w:rFonts w:cs="Times New Roman" w:hint="eastAsia"/>
                <w:kern w:val="21"/>
                <w:sz w:val="21"/>
                <w:szCs w:val="21"/>
              </w:rPr>
              <w:t>饮用水源一级保护区和二级保护区的陆域范围。</w:t>
            </w:r>
          </w:p>
        </w:tc>
        <w:tc>
          <w:tcPr>
            <w:tcW w:w="3517" w:type="dxa"/>
            <w:vAlign w:val="center"/>
          </w:tcPr>
          <w:p w14:paraId="08FEC1F5"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本项目不在</w:t>
            </w:r>
            <w:r>
              <w:rPr>
                <w:rFonts w:cs="Times New Roman" w:hint="eastAsia"/>
                <w:kern w:val="21"/>
                <w:sz w:val="21"/>
                <w:szCs w:val="21"/>
              </w:rPr>
              <w:t>饮用水源一级保护区和二级保护区的陆域范围。</w:t>
            </w:r>
          </w:p>
        </w:tc>
        <w:tc>
          <w:tcPr>
            <w:tcW w:w="1087" w:type="dxa"/>
            <w:vAlign w:val="center"/>
          </w:tcPr>
          <w:p w14:paraId="30638BD4"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不属于</w:t>
            </w:r>
          </w:p>
        </w:tc>
      </w:tr>
      <w:tr w:rsidR="00544649" w14:paraId="10860C6C" w14:textId="77777777">
        <w:trPr>
          <w:trHeight w:val="90"/>
          <w:jc w:val="center"/>
        </w:trPr>
        <w:tc>
          <w:tcPr>
            <w:tcW w:w="405" w:type="dxa"/>
            <w:vAlign w:val="center"/>
          </w:tcPr>
          <w:p w14:paraId="46B8B91B" w14:textId="77777777" w:rsidR="00544649" w:rsidRDefault="00000000">
            <w:pPr>
              <w:adjustRightInd w:val="0"/>
              <w:snapToGrid w:val="0"/>
              <w:spacing w:beforeLines="20" w:before="65" w:afterLines="20" w:after="65" w:line="240" w:lineRule="auto"/>
              <w:ind w:firstLineChars="0" w:firstLine="0"/>
              <w:jc w:val="center"/>
              <w:rPr>
                <w:kern w:val="21"/>
                <w:sz w:val="21"/>
                <w:szCs w:val="21"/>
              </w:rPr>
            </w:pPr>
            <w:r>
              <w:rPr>
                <w:rFonts w:hint="eastAsia"/>
                <w:kern w:val="21"/>
                <w:sz w:val="21"/>
                <w:szCs w:val="21"/>
              </w:rPr>
              <w:t>2</w:t>
            </w:r>
          </w:p>
        </w:tc>
        <w:tc>
          <w:tcPr>
            <w:tcW w:w="4046" w:type="dxa"/>
            <w:vAlign w:val="center"/>
          </w:tcPr>
          <w:p w14:paraId="37A224D7"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b/>
                <w:bCs/>
                <w:kern w:val="21"/>
                <w:sz w:val="21"/>
                <w:szCs w:val="21"/>
              </w:rPr>
              <w:t>风景名胜区、自然保护区：</w:t>
            </w:r>
            <w:r>
              <w:rPr>
                <w:rFonts w:cs="Times New Roman" w:hint="eastAsia"/>
                <w:kern w:val="21"/>
                <w:sz w:val="21"/>
                <w:szCs w:val="21"/>
              </w:rPr>
              <w:t>国家级和省级风景名胜区（剑门蜀道、翠云廊、西河湿地），自然保护区的核心区和缓冲区。</w:t>
            </w:r>
          </w:p>
        </w:tc>
        <w:tc>
          <w:tcPr>
            <w:tcW w:w="3517" w:type="dxa"/>
            <w:vAlign w:val="center"/>
          </w:tcPr>
          <w:p w14:paraId="626C1263"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本项目不在</w:t>
            </w:r>
            <w:r>
              <w:rPr>
                <w:rFonts w:cs="Times New Roman" w:hint="eastAsia"/>
                <w:kern w:val="21"/>
                <w:sz w:val="21"/>
                <w:szCs w:val="21"/>
              </w:rPr>
              <w:t>国家级和省级风景名胜区（剑门蜀道、翠云廊、西河湿地），自然保护区的核心区和缓冲区范围内。</w:t>
            </w:r>
          </w:p>
        </w:tc>
        <w:tc>
          <w:tcPr>
            <w:tcW w:w="1087" w:type="dxa"/>
            <w:vAlign w:val="center"/>
          </w:tcPr>
          <w:p w14:paraId="670A4857"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不属于</w:t>
            </w:r>
          </w:p>
        </w:tc>
      </w:tr>
      <w:tr w:rsidR="00544649" w14:paraId="0242E771" w14:textId="77777777">
        <w:trPr>
          <w:trHeight w:val="90"/>
          <w:jc w:val="center"/>
        </w:trPr>
        <w:tc>
          <w:tcPr>
            <w:tcW w:w="405" w:type="dxa"/>
            <w:vAlign w:val="center"/>
          </w:tcPr>
          <w:p w14:paraId="01974469" w14:textId="77777777" w:rsidR="00544649" w:rsidRDefault="00000000">
            <w:pPr>
              <w:adjustRightInd w:val="0"/>
              <w:snapToGrid w:val="0"/>
              <w:spacing w:beforeLines="20" w:before="65" w:afterLines="20" w:after="65" w:line="240" w:lineRule="auto"/>
              <w:ind w:firstLineChars="0" w:firstLine="0"/>
              <w:jc w:val="center"/>
              <w:rPr>
                <w:kern w:val="21"/>
                <w:sz w:val="21"/>
                <w:szCs w:val="21"/>
              </w:rPr>
            </w:pPr>
            <w:r>
              <w:rPr>
                <w:rFonts w:hint="eastAsia"/>
                <w:kern w:val="21"/>
                <w:sz w:val="21"/>
                <w:szCs w:val="21"/>
              </w:rPr>
              <w:t>3</w:t>
            </w:r>
          </w:p>
        </w:tc>
        <w:tc>
          <w:tcPr>
            <w:tcW w:w="4046" w:type="dxa"/>
            <w:vAlign w:val="center"/>
          </w:tcPr>
          <w:p w14:paraId="232813F6"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b/>
                <w:bCs/>
                <w:kern w:val="21"/>
                <w:sz w:val="21"/>
                <w:szCs w:val="21"/>
              </w:rPr>
              <w:t>城镇居民区和文化教育科学研究区：</w:t>
            </w:r>
            <w:r>
              <w:rPr>
                <w:rFonts w:cs="Times New Roman" w:hint="eastAsia"/>
                <w:kern w:val="21"/>
                <w:sz w:val="21"/>
                <w:szCs w:val="21"/>
              </w:rPr>
              <w:t>城镇规划区边界外延伸</w:t>
            </w:r>
            <w:r>
              <w:rPr>
                <w:rFonts w:cs="Times New Roman" w:hint="eastAsia"/>
                <w:kern w:val="21"/>
                <w:sz w:val="21"/>
                <w:szCs w:val="21"/>
              </w:rPr>
              <w:t>500m</w:t>
            </w:r>
            <w:r>
              <w:rPr>
                <w:rFonts w:cs="Times New Roman" w:hint="eastAsia"/>
                <w:kern w:val="21"/>
                <w:sz w:val="21"/>
                <w:szCs w:val="21"/>
              </w:rPr>
              <w:t>区域、新农村居民区外延</w:t>
            </w:r>
            <w:r>
              <w:rPr>
                <w:rFonts w:cs="Times New Roman" w:hint="eastAsia"/>
                <w:kern w:val="21"/>
                <w:sz w:val="21"/>
                <w:szCs w:val="21"/>
              </w:rPr>
              <w:t>300m</w:t>
            </w:r>
            <w:r>
              <w:rPr>
                <w:rFonts w:cs="Times New Roman" w:hint="eastAsia"/>
                <w:kern w:val="21"/>
                <w:sz w:val="21"/>
                <w:szCs w:val="21"/>
              </w:rPr>
              <w:t>区域，一般居民区（集中居民</w:t>
            </w:r>
            <w:r>
              <w:rPr>
                <w:rFonts w:cs="Times New Roman" w:hint="eastAsia"/>
                <w:kern w:val="21"/>
                <w:sz w:val="21"/>
                <w:szCs w:val="21"/>
              </w:rPr>
              <w:t>15</w:t>
            </w:r>
            <w:r>
              <w:rPr>
                <w:rFonts w:cs="Times New Roman" w:hint="eastAsia"/>
                <w:kern w:val="21"/>
                <w:sz w:val="21"/>
                <w:szCs w:val="21"/>
              </w:rPr>
              <w:t>户以上）外延</w:t>
            </w:r>
            <w:r>
              <w:rPr>
                <w:rFonts w:cs="Times New Roman" w:hint="eastAsia"/>
                <w:kern w:val="21"/>
                <w:sz w:val="21"/>
                <w:szCs w:val="21"/>
              </w:rPr>
              <w:t>100m</w:t>
            </w:r>
            <w:r>
              <w:rPr>
                <w:rFonts w:cs="Times New Roman" w:hint="eastAsia"/>
                <w:kern w:val="21"/>
                <w:sz w:val="21"/>
                <w:szCs w:val="21"/>
              </w:rPr>
              <w:t>区域。盐店镇红花村三组天然气净化厂用地范围。禁养区范围内有山脊（分水岭），则以山脊线作为禁养区边界。</w:t>
            </w:r>
          </w:p>
        </w:tc>
        <w:tc>
          <w:tcPr>
            <w:tcW w:w="3517" w:type="dxa"/>
            <w:vAlign w:val="center"/>
          </w:tcPr>
          <w:p w14:paraId="53929777"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本项目不在</w:t>
            </w:r>
            <w:r>
              <w:rPr>
                <w:rFonts w:cs="Times New Roman" w:hint="eastAsia"/>
                <w:kern w:val="21"/>
                <w:sz w:val="21"/>
                <w:szCs w:val="21"/>
              </w:rPr>
              <w:t>城镇规划区边界外延伸</w:t>
            </w:r>
            <w:r>
              <w:rPr>
                <w:rFonts w:cs="Times New Roman" w:hint="eastAsia"/>
                <w:kern w:val="21"/>
                <w:sz w:val="21"/>
                <w:szCs w:val="21"/>
              </w:rPr>
              <w:t>500m</w:t>
            </w:r>
            <w:r>
              <w:rPr>
                <w:rFonts w:cs="Times New Roman" w:hint="eastAsia"/>
                <w:kern w:val="21"/>
                <w:sz w:val="21"/>
                <w:szCs w:val="21"/>
              </w:rPr>
              <w:t>区域、新农村居民区外延</w:t>
            </w:r>
            <w:r>
              <w:rPr>
                <w:rFonts w:cs="Times New Roman" w:hint="eastAsia"/>
                <w:kern w:val="21"/>
                <w:sz w:val="21"/>
                <w:szCs w:val="21"/>
              </w:rPr>
              <w:t>300m</w:t>
            </w:r>
            <w:r>
              <w:rPr>
                <w:rFonts w:cs="Times New Roman" w:hint="eastAsia"/>
                <w:kern w:val="21"/>
                <w:sz w:val="21"/>
                <w:szCs w:val="21"/>
              </w:rPr>
              <w:t>区域，一般居民区（集中居民</w:t>
            </w:r>
            <w:r>
              <w:rPr>
                <w:rFonts w:cs="Times New Roman" w:hint="eastAsia"/>
                <w:kern w:val="21"/>
                <w:sz w:val="21"/>
                <w:szCs w:val="21"/>
              </w:rPr>
              <w:t>15</w:t>
            </w:r>
            <w:r>
              <w:rPr>
                <w:rFonts w:cs="Times New Roman" w:hint="eastAsia"/>
                <w:kern w:val="21"/>
                <w:sz w:val="21"/>
                <w:szCs w:val="21"/>
              </w:rPr>
              <w:t>户以上）外延</w:t>
            </w:r>
            <w:r>
              <w:rPr>
                <w:rFonts w:cs="Times New Roman" w:hint="eastAsia"/>
                <w:kern w:val="21"/>
                <w:sz w:val="21"/>
                <w:szCs w:val="21"/>
              </w:rPr>
              <w:t>100m</w:t>
            </w:r>
            <w:r>
              <w:rPr>
                <w:rFonts w:cs="Times New Roman" w:hint="eastAsia"/>
                <w:kern w:val="21"/>
                <w:sz w:val="21"/>
                <w:szCs w:val="21"/>
              </w:rPr>
              <w:t>区域。不在盐店镇红花村三组天然气净化厂用地范围</w:t>
            </w:r>
            <w:r>
              <w:rPr>
                <w:rFonts w:cs="Times New Roman"/>
                <w:kern w:val="21"/>
                <w:sz w:val="21"/>
                <w:szCs w:val="21"/>
              </w:rPr>
              <w:t>内</w:t>
            </w:r>
            <w:r>
              <w:rPr>
                <w:rFonts w:cs="Times New Roman" w:hint="eastAsia"/>
                <w:kern w:val="21"/>
                <w:sz w:val="21"/>
                <w:szCs w:val="21"/>
              </w:rPr>
              <w:t>。</w:t>
            </w:r>
          </w:p>
        </w:tc>
        <w:tc>
          <w:tcPr>
            <w:tcW w:w="1087" w:type="dxa"/>
            <w:vAlign w:val="center"/>
          </w:tcPr>
          <w:p w14:paraId="39C98011"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不属于</w:t>
            </w:r>
          </w:p>
        </w:tc>
      </w:tr>
      <w:tr w:rsidR="00544649" w14:paraId="0EF5CA5E" w14:textId="77777777">
        <w:trPr>
          <w:trHeight w:val="90"/>
          <w:jc w:val="center"/>
        </w:trPr>
        <w:tc>
          <w:tcPr>
            <w:tcW w:w="405" w:type="dxa"/>
            <w:vAlign w:val="center"/>
          </w:tcPr>
          <w:p w14:paraId="5BB596AB" w14:textId="77777777" w:rsidR="00544649" w:rsidRDefault="00000000">
            <w:pPr>
              <w:adjustRightInd w:val="0"/>
              <w:snapToGrid w:val="0"/>
              <w:spacing w:beforeLines="20" w:before="65" w:afterLines="20" w:after="65" w:line="240" w:lineRule="auto"/>
              <w:ind w:firstLineChars="0" w:firstLine="0"/>
              <w:jc w:val="center"/>
              <w:rPr>
                <w:kern w:val="21"/>
                <w:sz w:val="21"/>
                <w:szCs w:val="21"/>
              </w:rPr>
            </w:pPr>
            <w:r>
              <w:rPr>
                <w:rFonts w:hint="eastAsia"/>
                <w:kern w:val="21"/>
                <w:sz w:val="21"/>
                <w:szCs w:val="21"/>
              </w:rPr>
              <w:t>4</w:t>
            </w:r>
          </w:p>
        </w:tc>
        <w:tc>
          <w:tcPr>
            <w:tcW w:w="4046" w:type="dxa"/>
            <w:vAlign w:val="center"/>
          </w:tcPr>
          <w:p w14:paraId="6061F5F0"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b/>
                <w:bCs/>
                <w:kern w:val="21"/>
                <w:sz w:val="21"/>
                <w:szCs w:val="21"/>
              </w:rPr>
              <w:t>河流：</w:t>
            </w:r>
            <w:r>
              <w:rPr>
                <w:rFonts w:cs="Times New Roman" w:hint="eastAsia"/>
                <w:kern w:val="21"/>
                <w:sz w:val="21"/>
                <w:szCs w:val="21"/>
              </w:rPr>
              <w:t>嘉陵江、西河、闻溪河、清江河、</w:t>
            </w:r>
            <w:proofErr w:type="gramStart"/>
            <w:r>
              <w:rPr>
                <w:rFonts w:cs="Times New Roman" w:hint="eastAsia"/>
                <w:kern w:val="21"/>
                <w:sz w:val="21"/>
                <w:szCs w:val="21"/>
              </w:rPr>
              <w:t>炭口河</w:t>
            </w:r>
            <w:proofErr w:type="gramEnd"/>
            <w:r>
              <w:rPr>
                <w:rFonts w:cs="Times New Roman" w:hint="eastAsia"/>
                <w:kern w:val="21"/>
                <w:sz w:val="21"/>
                <w:szCs w:val="21"/>
              </w:rPr>
              <w:t>、巩河流域及其重要支流、</w:t>
            </w:r>
            <w:r>
              <w:rPr>
                <w:rFonts w:cs="Times New Roman" w:hint="eastAsia"/>
                <w:kern w:val="21"/>
                <w:sz w:val="21"/>
                <w:szCs w:val="21"/>
              </w:rPr>
              <w:t>21</w:t>
            </w:r>
            <w:r>
              <w:rPr>
                <w:rFonts w:cs="Times New Roman" w:hint="eastAsia"/>
                <w:kern w:val="21"/>
                <w:sz w:val="21"/>
                <w:szCs w:val="21"/>
              </w:rPr>
              <w:t>条中小河流纵深</w:t>
            </w:r>
            <w:r>
              <w:rPr>
                <w:rFonts w:cs="Times New Roman" w:hint="eastAsia"/>
                <w:kern w:val="21"/>
                <w:sz w:val="21"/>
                <w:szCs w:val="21"/>
              </w:rPr>
              <w:t>10m</w:t>
            </w:r>
            <w:r>
              <w:rPr>
                <w:rFonts w:cs="Times New Roman" w:hint="eastAsia"/>
                <w:kern w:val="21"/>
                <w:sz w:val="21"/>
                <w:szCs w:val="21"/>
              </w:rPr>
              <w:t>范围内。禁养区范围内有山脊（分水岭），则以山脊线作为禁养区边界。</w:t>
            </w:r>
          </w:p>
        </w:tc>
        <w:tc>
          <w:tcPr>
            <w:tcW w:w="3517" w:type="dxa"/>
            <w:vAlign w:val="center"/>
          </w:tcPr>
          <w:p w14:paraId="2924E489"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本项目不在</w:t>
            </w:r>
            <w:r>
              <w:rPr>
                <w:rFonts w:cs="Times New Roman" w:hint="eastAsia"/>
                <w:kern w:val="21"/>
                <w:sz w:val="21"/>
                <w:szCs w:val="21"/>
              </w:rPr>
              <w:t>嘉陵江、西河、闻溪河、清江河、</w:t>
            </w:r>
            <w:proofErr w:type="gramStart"/>
            <w:r>
              <w:rPr>
                <w:rFonts w:cs="Times New Roman" w:hint="eastAsia"/>
                <w:kern w:val="21"/>
                <w:sz w:val="21"/>
                <w:szCs w:val="21"/>
              </w:rPr>
              <w:t>炭口河</w:t>
            </w:r>
            <w:proofErr w:type="gramEnd"/>
            <w:r>
              <w:rPr>
                <w:rFonts w:cs="Times New Roman" w:hint="eastAsia"/>
                <w:kern w:val="21"/>
                <w:sz w:val="21"/>
                <w:szCs w:val="21"/>
              </w:rPr>
              <w:t>、巩河流域及其重要支流、</w:t>
            </w:r>
            <w:r>
              <w:rPr>
                <w:rFonts w:cs="Times New Roman" w:hint="eastAsia"/>
                <w:kern w:val="21"/>
                <w:sz w:val="21"/>
                <w:szCs w:val="21"/>
              </w:rPr>
              <w:t>21</w:t>
            </w:r>
            <w:r>
              <w:rPr>
                <w:rFonts w:cs="Times New Roman" w:hint="eastAsia"/>
                <w:kern w:val="21"/>
                <w:sz w:val="21"/>
                <w:szCs w:val="21"/>
              </w:rPr>
              <w:t>条中小河流纵深</w:t>
            </w:r>
            <w:r>
              <w:rPr>
                <w:rFonts w:cs="Times New Roman" w:hint="eastAsia"/>
                <w:kern w:val="21"/>
                <w:sz w:val="21"/>
                <w:szCs w:val="21"/>
              </w:rPr>
              <w:t>10m</w:t>
            </w:r>
            <w:r>
              <w:rPr>
                <w:rFonts w:cs="Times New Roman" w:hint="eastAsia"/>
                <w:kern w:val="21"/>
                <w:sz w:val="21"/>
                <w:szCs w:val="21"/>
              </w:rPr>
              <w:t>范围内。</w:t>
            </w:r>
          </w:p>
        </w:tc>
        <w:tc>
          <w:tcPr>
            <w:tcW w:w="1087" w:type="dxa"/>
            <w:vAlign w:val="center"/>
          </w:tcPr>
          <w:p w14:paraId="07602846"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不属于</w:t>
            </w:r>
          </w:p>
        </w:tc>
      </w:tr>
      <w:tr w:rsidR="00544649" w14:paraId="256568FD" w14:textId="77777777">
        <w:trPr>
          <w:trHeight w:val="90"/>
          <w:jc w:val="center"/>
        </w:trPr>
        <w:tc>
          <w:tcPr>
            <w:tcW w:w="405" w:type="dxa"/>
            <w:vAlign w:val="center"/>
          </w:tcPr>
          <w:p w14:paraId="06612FD3" w14:textId="77777777" w:rsidR="00544649" w:rsidRDefault="00000000">
            <w:pPr>
              <w:adjustRightInd w:val="0"/>
              <w:snapToGrid w:val="0"/>
              <w:spacing w:beforeLines="20" w:before="65" w:afterLines="20" w:after="65" w:line="240" w:lineRule="auto"/>
              <w:ind w:firstLineChars="0" w:firstLine="0"/>
              <w:jc w:val="center"/>
              <w:rPr>
                <w:kern w:val="21"/>
                <w:sz w:val="21"/>
                <w:szCs w:val="21"/>
              </w:rPr>
            </w:pPr>
            <w:r>
              <w:rPr>
                <w:rFonts w:hint="eastAsia"/>
                <w:kern w:val="21"/>
                <w:sz w:val="21"/>
                <w:szCs w:val="21"/>
              </w:rPr>
              <w:t>5</w:t>
            </w:r>
          </w:p>
        </w:tc>
        <w:tc>
          <w:tcPr>
            <w:tcW w:w="4046" w:type="dxa"/>
            <w:vAlign w:val="center"/>
          </w:tcPr>
          <w:p w14:paraId="5974638E"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b/>
                <w:bCs/>
                <w:kern w:val="21"/>
                <w:sz w:val="21"/>
                <w:szCs w:val="21"/>
              </w:rPr>
              <w:t>主要水库：</w:t>
            </w:r>
            <w:proofErr w:type="gramStart"/>
            <w:r>
              <w:rPr>
                <w:rFonts w:cs="Times New Roman" w:hint="eastAsia"/>
                <w:kern w:val="21"/>
                <w:sz w:val="21"/>
                <w:szCs w:val="21"/>
              </w:rPr>
              <w:t>新佳水库</w:t>
            </w:r>
            <w:proofErr w:type="gramEnd"/>
            <w:r>
              <w:rPr>
                <w:rFonts w:cs="Times New Roman" w:hint="eastAsia"/>
                <w:kern w:val="21"/>
                <w:sz w:val="21"/>
                <w:szCs w:val="21"/>
              </w:rPr>
              <w:t>、魏子坪水库、中心水库、马鞍水库、元坝区东风水库等</w:t>
            </w:r>
            <w:r>
              <w:rPr>
                <w:rFonts w:cs="Times New Roman" w:hint="eastAsia"/>
                <w:kern w:val="21"/>
                <w:sz w:val="21"/>
                <w:szCs w:val="21"/>
              </w:rPr>
              <w:t>13</w:t>
            </w:r>
            <w:r>
              <w:rPr>
                <w:rFonts w:cs="Times New Roman" w:hint="eastAsia"/>
                <w:kern w:val="21"/>
                <w:sz w:val="21"/>
                <w:szCs w:val="21"/>
              </w:rPr>
              <w:t>座尚未明确划定保护范围的水库正常蓄水位以下全部水库和取水口</w:t>
            </w:r>
            <w:proofErr w:type="gramStart"/>
            <w:r>
              <w:rPr>
                <w:rFonts w:cs="Times New Roman" w:hint="eastAsia"/>
                <w:kern w:val="21"/>
                <w:sz w:val="21"/>
                <w:szCs w:val="21"/>
              </w:rPr>
              <w:t>侧正常</w:t>
            </w:r>
            <w:proofErr w:type="gramEnd"/>
            <w:r>
              <w:rPr>
                <w:rFonts w:cs="Times New Roman" w:hint="eastAsia"/>
                <w:kern w:val="21"/>
                <w:sz w:val="21"/>
                <w:szCs w:val="21"/>
              </w:rPr>
              <w:t>水位线以上</w:t>
            </w:r>
            <w:r>
              <w:rPr>
                <w:rFonts w:cs="Times New Roman" w:hint="eastAsia"/>
                <w:kern w:val="21"/>
                <w:sz w:val="21"/>
                <w:szCs w:val="21"/>
              </w:rPr>
              <w:t>200m</w:t>
            </w:r>
            <w:r>
              <w:rPr>
                <w:rFonts w:cs="Times New Roman" w:hint="eastAsia"/>
                <w:kern w:val="21"/>
                <w:sz w:val="21"/>
                <w:szCs w:val="21"/>
              </w:rPr>
              <w:t>范围内陆域，禁养区范围内有山脊（分水岭），则以山脊线作为禁养区边界。</w:t>
            </w:r>
          </w:p>
        </w:tc>
        <w:tc>
          <w:tcPr>
            <w:tcW w:w="3517" w:type="dxa"/>
            <w:vAlign w:val="center"/>
          </w:tcPr>
          <w:p w14:paraId="611C1760"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w:t>
            </w:r>
            <w:proofErr w:type="gramStart"/>
            <w:r>
              <w:rPr>
                <w:rFonts w:cs="Times New Roman"/>
                <w:kern w:val="21"/>
                <w:sz w:val="21"/>
                <w:szCs w:val="21"/>
              </w:rPr>
              <w:t>不在</w:t>
            </w:r>
            <w:r>
              <w:rPr>
                <w:rFonts w:cs="Times New Roman" w:hint="eastAsia"/>
                <w:kern w:val="21"/>
                <w:sz w:val="21"/>
                <w:szCs w:val="21"/>
              </w:rPr>
              <w:t>新佳水库</w:t>
            </w:r>
            <w:proofErr w:type="gramEnd"/>
            <w:r>
              <w:rPr>
                <w:rFonts w:cs="Times New Roman" w:hint="eastAsia"/>
                <w:kern w:val="21"/>
                <w:sz w:val="21"/>
                <w:szCs w:val="21"/>
              </w:rPr>
              <w:t>、魏子坪水库、中心水库、马鞍水库、元坝区东风水库等</w:t>
            </w:r>
            <w:r>
              <w:rPr>
                <w:rFonts w:cs="Times New Roman" w:hint="eastAsia"/>
                <w:kern w:val="21"/>
                <w:sz w:val="21"/>
                <w:szCs w:val="21"/>
              </w:rPr>
              <w:t>13</w:t>
            </w:r>
            <w:r>
              <w:rPr>
                <w:rFonts w:cs="Times New Roman" w:hint="eastAsia"/>
                <w:kern w:val="21"/>
                <w:sz w:val="21"/>
                <w:szCs w:val="21"/>
              </w:rPr>
              <w:t>座尚未明确划定保护范围的水库正常蓄水位以下全部水库和取水口</w:t>
            </w:r>
            <w:proofErr w:type="gramStart"/>
            <w:r>
              <w:rPr>
                <w:rFonts w:cs="Times New Roman" w:hint="eastAsia"/>
                <w:kern w:val="21"/>
                <w:sz w:val="21"/>
                <w:szCs w:val="21"/>
              </w:rPr>
              <w:t>侧正常</w:t>
            </w:r>
            <w:proofErr w:type="gramEnd"/>
            <w:r>
              <w:rPr>
                <w:rFonts w:cs="Times New Roman" w:hint="eastAsia"/>
                <w:kern w:val="21"/>
                <w:sz w:val="21"/>
                <w:szCs w:val="21"/>
              </w:rPr>
              <w:t>水位线以上</w:t>
            </w:r>
            <w:r>
              <w:rPr>
                <w:rFonts w:cs="Times New Roman" w:hint="eastAsia"/>
                <w:kern w:val="21"/>
                <w:sz w:val="21"/>
                <w:szCs w:val="21"/>
              </w:rPr>
              <w:t>200m</w:t>
            </w:r>
            <w:r>
              <w:rPr>
                <w:rFonts w:cs="Times New Roman" w:hint="eastAsia"/>
                <w:kern w:val="21"/>
                <w:sz w:val="21"/>
                <w:szCs w:val="21"/>
              </w:rPr>
              <w:t>范围内陆域。</w:t>
            </w:r>
          </w:p>
        </w:tc>
        <w:tc>
          <w:tcPr>
            <w:tcW w:w="1087" w:type="dxa"/>
            <w:vAlign w:val="center"/>
          </w:tcPr>
          <w:p w14:paraId="0DB9A115"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不属于</w:t>
            </w:r>
          </w:p>
        </w:tc>
      </w:tr>
      <w:tr w:rsidR="00544649" w14:paraId="0D6C5C6D" w14:textId="77777777">
        <w:trPr>
          <w:trHeight w:val="90"/>
          <w:jc w:val="center"/>
        </w:trPr>
        <w:tc>
          <w:tcPr>
            <w:tcW w:w="405" w:type="dxa"/>
            <w:vAlign w:val="center"/>
          </w:tcPr>
          <w:p w14:paraId="3E797AE4" w14:textId="77777777" w:rsidR="00544649" w:rsidRDefault="00000000">
            <w:pPr>
              <w:adjustRightInd w:val="0"/>
              <w:snapToGrid w:val="0"/>
              <w:spacing w:beforeLines="20" w:before="65" w:afterLines="20" w:after="65" w:line="240" w:lineRule="auto"/>
              <w:ind w:firstLineChars="0" w:firstLine="0"/>
              <w:jc w:val="center"/>
              <w:rPr>
                <w:kern w:val="21"/>
                <w:sz w:val="21"/>
                <w:szCs w:val="21"/>
              </w:rPr>
            </w:pPr>
            <w:r>
              <w:rPr>
                <w:rFonts w:hint="eastAsia"/>
                <w:kern w:val="21"/>
                <w:sz w:val="21"/>
                <w:szCs w:val="21"/>
              </w:rPr>
              <w:t>6</w:t>
            </w:r>
          </w:p>
        </w:tc>
        <w:tc>
          <w:tcPr>
            <w:tcW w:w="4046" w:type="dxa"/>
            <w:vAlign w:val="center"/>
          </w:tcPr>
          <w:p w14:paraId="556C5385"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b/>
                <w:bCs/>
                <w:kern w:val="21"/>
                <w:sz w:val="21"/>
                <w:szCs w:val="21"/>
              </w:rPr>
              <w:t>地质灾害点：</w:t>
            </w:r>
            <w:r>
              <w:rPr>
                <w:rFonts w:cs="Times New Roman" w:hint="eastAsia"/>
                <w:kern w:val="21"/>
                <w:sz w:val="21"/>
                <w:szCs w:val="21"/>
              </w:rPr>
              <w:t>剑阁县共</w:t>
            </w:r>
            <w:r>
              <w:rPr>
                <w:rFonts w:cs="Times New Roman" w:hint="eastAsia"/>
                <w:kern w:val="21"/>
                <w:sz w:val="21"/>
                <w:szCs w:val="21"/>
              </w:rPr>
              <w:t>216</w:t>
            </w:r>
            <w:r>
              <w:rPr>
                <w:rFonts w:cs="Times New Roman" w:hint="eastAsia"/>
                <w:kern w:val="21"/>
                <w:sz w:val="21"/>
                <w:szCs w:val="21"/>
              </w:rPr>
              <w:t>个地质灾害点区域及其周边</w:t>
            </w:r>
            <w:r>
              <w:rPr>
                <w:rFonts w:cs="Times New Roman" w:hint="eastAsia"/>
                <w:kern w:val="21"/>
                <w:sz w:val="21"/>
                <w:szCs w:val="21"/>
              </w:rPr>
              <w:t>500m</w:t>
            </w:r>
            <w:r>
              <w:rPr>
                <w:rFonts w:cs="Times New Roman" w:hint="eastAsia"/>
                <w:kern w:val="21"/>
                <w:sz w:val="21"/>
                <w:szCs w:val="21"/>
              </w:rPr>
              <w:t>范围。</w:t>
            </w:r>
          </w:p>
        </w:tc>
        <w:tc>
          <w:tcPr>
            <w:tcW w:w="3517" w:type="dxa"/>
            <w:vAlign w:val="center"/>
          </w:tcPr>
          <w:p w14:paraId="37CCF53A"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w:t>
            </w:r>
            <w:r>
              <w:rPr>
                <w:rFonts w:cs="Times New Roman" w:hint="eastAsia"/>
                <w:kern w:val="21"/>
                <w:sz w:val="21"/>
                <w:szCs w:val="21"/>
              </w:rPr>
              <w:t>不在地质灾害点区域及其周边</w:t>
            </w:r>
            <w:r>
              <w:rPr>
                <w:rFonts w:cs="Times New Roman" w:hint="eastAsia"/>
                <w:kern w:val="21"/>
                <w:sz w:val="21"/>
                <w:szCs w:val="21"/>
              </w:rPr>
              <w:t>500m</w:t>
            </w:r>
            <w:r>
              <w:rPr>
                <w:rFonts w:cs="Times New Roman" w:hint="eastAsia"/>
                <w:kern w:val="21"/>
                <w:sz w:val="21"/>
                <w:szCs w:val="21"/>
              </w:rPr>
              <w:t>范围</w:t>
            </w:r>
            <w:r>
              <w:rPr>
                <w:rFonts w:cs="Times New Roman"/>
                <w:kern w:val="21"/>
                <w:sz w:val="21"/>
                <w:szCs w:val="21"/>
              </w:rPr>
              <w:t>内</w:t>
            </w:r>
            <w:r>
              <w:rPr>
                <w:rFonts w:cs="Times New Roman" w:hint="eastAsia"/>
                <w:kern w:val="21"/>
                <w:sz w:val="21"/>
                <w:szCs w:val="21"/>
              </w:rPr>
              <w:t>。</w:t>
            </w:r>
          </w:p>
        </w:tc>
        <w:tc>
          <w:tcPr>
            <w:tcW w:w="1087" w:type="dxa"/>
            <w:vAlign w:val="center"/>
          </w:tcPr>
          <w:p w14:paraId="4CE878BA"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不属于</w:t>
            </w:r>
          </w:p>
        </w:tc>
      </w:tr>
      <w:tr w:rsidR="00544649" w14:paraId="6785BA54" w14:textId="77777777">
        <w:trPr>
          <w:trHeight w:val="1275"/>
          <w:jc w:val="center"/>
        </w:trPr>
        <w:tc>
          <w:tcPr>
            <w:tcW w:w="405" w:type="dxa"/>
            <w:vAlign w:val="center"/>
          </w:tcPr>
          <w:p w14:paraId="112287CF" w14:textId="77777777" w:rsidR="00544649" w:rsidRDefault="00000000">
            <w:pPr>
              <w:adjustRightInd w:val="0"/>
              <w:snapToGrid w:val="0"/>
              <w:spacing w:beforeLines="20" w:before="65" w:afterLines="20" w:after="65" w:line="240" w:lineRule="auto"/>
              <w:ind w:firstLineChars="0" w:firstLine="0"/>
              <w:jc w:val="center"/>
              <w:rPr>
                <w:kern w:val="21"/>
                <w:sz w:val="21"/>
                <w:szCs w:val="21"/>
              </w:rPr>
            </w:pPr>
            <w:r>
              <w:rPr>
                <w:rFonts w:hint="eastAsia"/>
                <w:kern w:val="21"/>
                <w:sz w:val="21"/>
                <w:szCs w:val="21"/>
              </w:rPr>
              <w:t>7</w:t>
            </w:r>
          </w:p>
        </w:tc>
        <w:tc>
          <w:tcPr>
            <w:tcW w:w="4046" w:type="dxa"/>
            <w:vAlign w:val="center"/>
          </w:tcPr>
          <w:p w14:paraId="74C0CB3D"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b/>
                <w:bCs/>
                <w:kern w:val="21"/>
                <w:sz w:val="21"/>
                <w:szCs w:val="21"/>
              </w:rPr>
              <w:t>基本农田保护区：</w:t>
            </w:r>
            <w:r>
              <w:rPr>
                <w:rFonts w:cs="Times New Roman" w:hint="eastAsia"/>
                <w:kern w:val="21"/>
                <w:sz w:val="21"/>
                <w:szCs w:val="21"/>
              </w:rPr>
              <w:t>剑阁县全县基本农田保护区。</w:t>
            </w:r>
          </w:p>
        </w:tc>
        <w:tc>
          <w:tcPr>
            <w:tcW w:w="3517" w:type="dxa"/>
            <w:vAlign w:val="center"/>
          </w:tcPr>
          <w:p w14:paraId="2341E876"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w:t>
            </w:r>
            <w:r>
              <w:rPr>
                <w:rFonts w:cs="Times New Roman" w:hint="eastAsia"/>
                <w:kern w:val="21"/>
                <w:sz w:val="21"/>
                <w:szCs w:val="21"/>
              </w:rPr>
              <w:t>不涉及基本农田保护区</w:t>
            </w:r>
            <w:r>
              <w:rPr>
                <w:rFonts w:cs="Times New Roman"/>
                <w:kern w:val="21"/>
                <w:sz w:val="21"/>
                <w:szCs w:val="21"/>
              </w:rPr>
              <w:t>。</w:t>
            </w:r>
          </w:p>
        </w:tc>
        <w:tc>
          <w:tcPr>
            <w:tcW w:w="1087" w:type="dxa"/>
            <w:vAlign w:val="center"/>
          </w:tcPr>
          <w:p w14:paraId="327FAFBD"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不属于</w:t>
            </w:r>
          </w:p>
        </w:tc>
      </w:tr>
      <w:tr w:rsidR="00544649" w14:paraId="124035F7" w14:textId="77777777">
        <w:trPr>
          <w:trHeight w:val="1275"/>
          <w:jc w:val="center"/>
        </w:trPr>
        <w:tc>
          <w:tcPr>
            <w:tcW w:w="405" w:type="dxa"/>
            <w:vAlign w:val="center"/>
          </w:tcPr>
          <w:p w14:paraId="104A0C19" w14:textId="77777777" w:rsidR="00544649" w:rsidRDefault="00000000">
            <w:pPr>
              <w:adjustRightInd w:val="0"/>
              <w:snapToGrid w:val="0"/>
              <w:spacing w:beforeLines="20" w:before="65" w:afterLines="20" w:after="65" w:line="240" w:lineRule="auto"/>
              <w:ind w:firstLineChars="0" w:firstLine="0"/>
              <w:jc w:val="center"/>
              <w:rPr>
                <w:kern w:val="21"/>
                <w:sz w:val="21"/>
                <w:szCs w:val="21"/>
              </w:rPr>
            </w:pPr>
            <w:r>
              <w:rPr>
                <w:rFonts w:hint="eastAsia"/>
                <w:kern w:val="21"/>
                <w:sz w:val="21"/>
                <w:szCs w:val="21"/>
              </w:rPr>
              <w:t>8</w:t>
            </w:r>
          </w:p>
        </w:tc>
        <w:tc>
          <w:tcPr>
            <w:tcW w:w="4046" w:type="dxa"/>
            <w:vAlign w:val="center"/>
          </w:tcPr>
          <w:p w14:paraId="03BEDDEC"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b/>
                <w:bCs/>
                <w:kern w:val="21"/>
                <w:sz w:val="21"/>
                <w:szCs w:val="21"/>
              </w:rPr>
              <w:t>交通道路：</w:t>
            </w:r>
            <w:r>
              <w:rPr>
                <w:rFonts w:cs="Times New Roman" w:hint="eastAsia"/>
                <w:kern w:val="21"/>
                <w:sz w:val="21"/>
                <w:szCs w:val="21"/>
              </w:rPr>
              <w:t>铁路安全保护区外延</w:t>
            </w:r>
            <w:r>
              <w:rPr>
                <w:rFonts w:cs="Times New Roman" w:hint="eastAsia"/>
                <w:kern w:val="21"/>
                <w:sz w:val="21"/>
                <w:szCs w:val="21"/>
              </w:rPr>
              <w:t>30m</w:t>
            </w:r>
            <w:r>
              <w:rPr>
                <w:rFonts w:cs="Times New Roman" w:hint="eastAsia"/>
                <w:kern w:val="21"/>
                <w:sz w:val="21"/>
                <w:szCs w:val="21"/>
              </w:rPr>
              <w:t>，国道道路及其两侧排水沟边缘以外</w:t>
            </w:r>
            <w:r>
              <w:rPr>
                <w:rFonts w:cs="Times New Roman" w:hint="eastAsia"/>
                <w:kern w:val="21"/>
                <w:sz w:val="21"/>
                <w:szCs w:val="21"/>
              </w:rPr>
              <w:t>30m</w:t>
            </w:r>
            <w:r>
              <w:rPr>
                <w:rFonts w:cs="Times New Roman" w:hint="eastAsia"/>
                <w:kern w:val="21"/>
                <w:sz w:val="21"/>
                <w:szCs w:val="21"/>
              </w:rPr>
              <w:t>、省道道路及两侧排水沟外边缘以外各外延</w:t>
            </w:r>
            <w:r>
              <w:rPr>
                <w:rFonts w:cs="Times New Roman" w:hint="eastAsia"/>
                <w:kern w:val="21"/>
                <w:sz w:val="21"/>
                <w:szCs w:val="21"/>
              </w:rPr>
              <w:t>25m</w:t>
            </w:r>
            <w:r>
              <w:rPr>
                <w:rFonts w:cs="Times New Roman" w:hint="eastAsia"/>
                <w:kern w:val="21"/>
                <w:sz w:val="21"/>
                <w:szCs w:val="21"/>
              </w:rPr>
              <w:t>。如有道路界桩，以界桩为边缘外延。</w:t>
            </w:r>
          </w:p>
        </w:tc>
        <w:tc>
          <w:tcPr>
            <w:tcW w:w="3517" w:type="dxa"/>
            <w:vAlign w:val="center"/>
          </w:tcPr>
          <w:p w14:paraId="4C545B1C"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本项目不涉及铁路安全保护区外延</w:t>
            </w:r>
            <w:r>
              <w:rPr>
                <w:rFonts w:cs="Times New Roman" w:hint="eastAsia"/>
                <w:kern w:val="21"/>
                <w:sz w:val="21"/>
                <w:szCs w:val="21"/>
              </w:rPr>
              <w:t>30m</w:t>
            </w:r>
            <w:r>
              <w:rPr>
                <w:rFonts w:cs="Times New Roman" w:hint="eastAsia"/>
                <w:kern w:val="21"/>
                <w:sz w:val="21"/>
                <w:szCs w:val="21"/>
              </w:rPr>
              <w:t>，国道道路及其两侧排水沟边缘以外</w:t>
            </w:r>
            <w:r>
              <w:rPr>
                <w:rFonts w:cs="Times New Roman" w:hint="eastAsia"/>
                <w:kern w:val="21"/>
                <w:sz w:val="21"/>
                <w:szCs w:val="21"/>
              </w:rPr>
              <w:t>30m</w:t>
            </w:r>
            <w:r>
              <w:rPr>
                <w:rFonts w:cs="Times New Roman" w:hint="eastAsia"/>
                <w:kern w:val="21"/>
                <w:sz w:val="21"/>
                <w:szCs w:val="21"/>
              </w:rPr>
              <w:t>、省道道路及两侧排水沟外边缘以外各外延</w:t>
            </w:r>
            <w:r>
              <w:rPr>
                <w:rFonts w:cs="Times New Roman" w:hint="eastAsia"/>
                <w:kern w:val="21"/>
                <w:sz w:val="21"/>
                <w:szCs w:val="21"/>
              </w:rPr>
              <w:t>25m</w:t>
            </w:r>
            <w:r>
              <w:rPr>
                <w:rFonts w:cs="Times New Roman" w:hint="eastAsia"/>
                <w:kern w:val="21"/>
                <w:sz w:val="21"/>
                <w:szCs w:val="21"/>
              </w:rPr>
              <w:t>范围</w:t>
            </w:r>
          </w:p>
        </w:tc>
        <w:tc>
          <w:tcPr>
            <w:tcW w:w="1087" w:type="dxa"/>
            <w:vAlign w:val="center"/>
          </w:tcPr>
          <w:p w14:paraId="5B3819BC"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不属于</w:t>
            </w:r>
          </w:p>
        </w:tc>
      </w:tr>
      <w:tr w:rsidR="00544649" w14:paraId="6A6E58E9" w14:textId="77777777">
        <w:trPr>
          <w:trHeight w:val="1275"/>
          <w:jc w:val="center"/>
        </w:trPr>
        <w:tc>
          <w:tcPr>
            <w:tcW w:w="405" w:type="dxa"/>
            <w:vAlign w:val="center"/>
          </w:tcPr>
          <w:p w14:paraId="4462F117" w14:textId="77777777" w:rsidR="00544649" w:rsidRDefault="00000000">
            <w:pPr>
              <w:adjustRightInd w:val="0"/>
              <w:snapToGrid w:val="0"/>
              <w:spacing w:beforeLines="20" w:before="65" w:afterLines="20" w:after="65" w:line="240" w:lineRule="auto"/>
              <w:ind w:firstLineChars="0" w:firstLine="0"/>
              <w:jc w:val="center"/>
              <w:rPr>
                <w:kern w:val="21"/>
                <w:sz w:val="21"/>
                <w:szCs w:val="21"/>
              </w:rPr>
            </w:pPr>
            <w:r>
              <w:rPr>
                <w:rFonts w:hint="eastAsia"/>
                <w:kern w:val="21"/>
                <w:sz w:val="21"/>
                <w:szCs w:val="21"/>
              </w:rPr>
              <w:t>9</w:t>
            </w:r>
          </w:p>
        </w:tc>
        <w:tc>
          <w:tcPr>
            <w:tcW w:w="4046" w:type="dxa"/>
            <w:vAlign w:val="center"/>
          </w:tcPr>
          <w:p w14:paraId="22C7C737"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b/>
                <w:bCs/>
                <w:kern w:val="21"/>
                <w:sz w:val="21"/>
                <w:szCs w:val="21"/>
              </w:rPr>
              <w:t>文物：</w:t>
            </w:r>
            <w:r>
              <w:rPr>
                <w:rFonts w:cs="Times New Roman" w:hint="eastAsia"/>
                <w:kern w:val="21"/>
                <w:sz w:val="21"/>
                <w:szCs w:val="21"/>
              </w:rPr>
              <w:t>县级以上文物保护单位的保护范围和建设控制地带。</w:t>
            </w:r>
          </w:p>
        </w:tc>
        <w:tc>
          <w:tcPr>
            <w:tcW w:w="3517" w:type="dxa"/>
            <w:vAlign w:val="center"/>
          </w:tcPr>
          <w:p w14:paraId="653243DF"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本项目不涉及县级以上文物保护单位的保护范围和建设控制地带</w:t>
            </w:r>
          </w:p>
        </w:tc>
        <w:tc>
          <w:tcPr>
            <w:tcW w:w="1087" w:type="dxa"/>
            <w:vAlign w:val="center"/>
          </w:tcPr>
          <w:p w14:paraId="5462B95F"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不属于</w:t>
            </w:r>
          </w:p>
        </w:tc>
      </w:tr>
      <w:tr w:rsidR="00544649" w14:paraId="26471D65" w14:textId="77777777">
        <w:trPr>
          <w:trHeight w:val="1275"/>
          <w:jc w:val="center"/>
        </w:trPr>
        <w:tc>
          <w:tcPr>
            <w:tcW w:w="405" w:type="dxa"/>
            <w:vAlign w:val="center"/>
          </w:tcPr>
          <w:p w14:paraId="2655D5F6" w14:textId="77777777" w:rsidR="00544649" w:rsidRDefault="00000000">
            <w:pPr>
              <w:adjustRightInd w:val="0"/>
              <w:snapToGrid w:val="0"/>
              <w:spacing w:beforeLines="20" w:before="65" w:afterLines="20" w:after="65" w:line="240" w:lineRule="auto"/>
              <w:ind w:firstLineChars="0" w:firstLine="0"/>
              <w:jc w:val="center"/>
              <w:rPr>
                <w:kern w:val="21"/>
                <w:sz w:val="21"/>
                <w:szCs w:val="21"/>
              </w:rPr>
            </w:pPr>
            <w:r>
              <w:rPr>
                <w:rFonts w:hint="eastAsia"/>
                <w:kern w:val="21"/>
                <w:sz w:val="21"/>
                <w:szCs w:val="21"/>
              </w:rPr>
              <w:t>10</w:t>
            </w:r>
          </w:p>
        </w:tc>
        <w:tc>
          <w:tcPr>
            <w:tcW w:w="4046" w:type="dxa"/>
            <w:vAlign w:val="center"/>
          </w:tcPr>
          <w:p w14:paraId="45FE06BF"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b/>
                <w:bCs/>
                <w:kern w:val="21"/>
                <w:sz w:val="21"/>
                <w:szCs w:val="21"/>
              </w:rPr>
              <w:t>工业园区：</w:t>
            </w:r>
            <w:r>
              <w:rPr>
                <w:rFonts w:cs="Times New Roman" w:hint="eastAsia"/>
                <w:kern w:val="21"/>
                <w:sz w:val="21"/>
                <w:szCs w:val="21"/>
              </w:rPr>
              <w:t>工业园区规划用地边界向外延伸</w:t>
            </w:r>
            <w:r>
              <w:rPr>
                <w:rFonts w:cs="Times New Roman" w:hint="eastAsia"/>
                <w:kern w:val="21"/>
                <w:sz w:val="21"/>
                <w:szCs w:val="21"/>
              </w:rPr>
              <w:t>500m</w:t>
            </w:r>
            <w:r>
              <w:rPr>
                <w:rFonts w:cs="Times New Roman" w:hint="eastAsia"/>
                <w:kern w:val="21"/>
                <w:sz w:val="21"/>
                <w:szCs w:val="21"/>
              </w:rPr>
              <w:t>区域，禁养区范围内有山脊（分水岭），则以山脊线作为禁养区边界。</w:t>
            </w:r>
          </w:p>
        </w:tc>
        <w:tc>
          <w:tcPr>
            <w:tcW w:w="3517" w:type="dxa"/>
            <w:vAlign w:val="center"/>
          </w:tcPr>
          <w:p w14:paraId="3D55B90F"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本项目位置位于农村地区，不涉及工业园区，不在工业园区规划用地边界向外延伸</w:t>
            </w:r>
            <w:r>
              <w:rPr>
                <w:rFonts w:cs="Times New Roman" w:hint="eastAsia"/>
                <w:kern w:val="21"/>
                <w:sz w:val="21"/>
                <w:szCs w:val="21"/>
              </w:rPr>
              <w:t>500m</w:t>
            </w:r>
            <w:r>
              <w:rPr>
                <w:rFonts w:cs="Times New Roman" w:hint="eastAsia"/>
                <w:kern w:val="21"/>
                <w:sz w:val="21"/>
                <w:szCs w:val="21"/>
              </w:rPr>
              <w:t>区域</w:t>
            </w:r>
          </w:p>
        </w:tc>
        <w:tc>
          <w:tcPr>
            <w:tcW w:w="1087" w:type="dxa"/>
            <w:vAlign w:val="center"/>
          </w:tcPr>
          <w:p w14:paraId="1CA94EF7"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不属于</w:t>
            </w:r>
          </w:p>
        </w:tc>
      </w:tr>
      <w:tr w:rsidR="00544649" w14:paraId="475264DF" w14:textId="77777777">
        <w:trPr>
          <w:trHeight w:val="234"/>
          <w:jc w:val="center"/>
        </w:trPr>
        <w:tc>
          <w:tcPr>
            <w:tcW w:w="9055" w:type="dxa"/>
            <w:gridSpan w:val="4"/>
            <w:vAlign w:val="center"/>
          </w:tcPr>
          <w:p w14:paraId="113F5FFF" w14:textId="77777777" w:rsidR="00544649" w:rsidRDefault="00000000">
            <w:pPr>
              <w:adjustRightInd w:val="0"/>
              <w:snapToGrid w:val="0"/>
              <w:spacing w:beforeLines="20" w:before="65" w:afterLines="20" w:after="65" w:line="240" w:lineRule="auto"/>
              <w:ind w:firstLineChars="0" w:firstLine="0"/>
              <w:rPr>
                <w:rFonts w:cs="Times New Roman"/>
                <w:kern w:val="21"/>
                <w:sz w:val="21"/>
                <w:szCs w:val="21"/>
              </w:rPr>
            </w:pPr>
            <w:r>
              <w:rPr>
                <w:rFonts w:cs="Times New Roman" w:hint="eastAsia"/>
                <w:b/>
                <w:bCs/>
                <w:kern w:val="21"/>
                <w:sz w:val="21"/>
                <w:szCs w:val="21"/>
              </w:rPr>
              <w:lastRenderedPageBreak/>
              <w:t>二、</w:t>
            </w:r>
            <w:r>
              <w:rPr>
                <w:rFonts w:cs="Times New Roman"/>
                <w:b/>
                <w:bCs/>
                <w:kern w:val="21"/>
                <w:sz w:val="21"/>
                <w:szCs w:val="21"/>
              </w:rPr>
              <w:t>限养区</w:t>
            </w:r>
          </w:p>
        </w:tc>
      </w:tr>
      <w:tr w:rsidR="00544649" w14:paraId="57918525" w14:textId="77777777">
        <w:trPr>
          <w:trHeight w:val="234"/>
          <w:jc w:val="center"/>
        </w:trPr>
        <w:tc>
          <w:tcPr>
            <w:tcW w:w="405" w:type="dxa"/>
            <w:vAlign w:val="center"/>
          </w:tcPr>
          <w:p w14:paraId="3EF4916F"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1</w:t>
            </w:r>
          </w:p>
        </w:tc>
        <w:tc>
          <w:tcPr>
            <w:tcW w:w="4046" w:type="dxa"/>
            <w:vAlign w:val="center"/>
          </w:tcPr>
          <w:p w14:paraId="477C21AC"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b/>
                <w:bCs/>
                <w:kern w:val="21"/>
                <w:sz w:val="21"/>
                <w:szCs w:val="21"/>
              </w:rPr>
              <w:t>水源保护区：</w:t>
            </w:r>
            <w:r>
              <w:rPr>
                <w:rFonts w:cs="Times New Roman" w:hint="eastAsia"/>
                <w:kern w:val="21"/>
                <w:sz w:val="21"/>
                <w:szCs w:val="21"/>
              </w:rPr>
              <w:t>龙王潭饮用水源保护区陆域准保护范围。</w:t>
            </w:r>
          </w:p>
        </w:tc>
        <w:tc>
          <w:tcPr>
            <w:tcW w:w="3517" w:type="dxa"/>
            <w:vAlign w:val="center"/>
          </w:tcPr>
          <w:p w14:paraId="00248EDE"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本项目不在</w:t>
            </w:r>
            <w:r>
              <w:rPr>
                <w:rFonts w:cs="Times New Roman" w:hint="eastAsia"/>
                <w:kern w:val="21"/>
                <w:sz w:val="21"/>
                <w:szCs w:val="21"/>
              </w:rPr>
              <w:t>龙王潭饮用水源保护区陆域准保护范围内。</w:t>
            </w:r>
          </w:p>
        </w:tc>
        <w:tc>
          <w:tcPr>
            <w:tcW w:w="1087" w:type="dxa"/>
            <w:vAlign w:val="center"/>
          </w:tcPr>
          <w:p w14:paraId="158983C9"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不属于</w:t>
            </w:r>
          </w:p>
        </w:tc>
      </w:tr>
      <w:tr w:rsidR="00544649" w14:paraId="5EF8B91C" w14:textId="77777777">
        <w:trPr>
          <w:trHeight w:val="234"/>
          <w:jc w:val="center"/>
        </w:trPr>
        <w:tc>
          <w:tcPr>
            <w:tcW w:w="405" w:type="dxa"/>
            <w:vAlign w:val="center"/>
          </w:tcPr>
          <w:p w14:paraId="04ADBD75"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2</w:t>
            </w:r>
          </w:p>
        </w:tc>
        <w:tc>
          <w:tcPr>
            <w:tcW w:w="4046" w:type="dxa"/>
            <w:vAlign w:val="center"/>
          </w:tcPr>
          <w:p w14:paraId="1849F577"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b/>
                <w:bCs/>
                <w:kern w:val="21"/>
                <w:sz w:val="21"/>
                <w:szCs w:val="21"/>
              </w:rPr>
              <w:t>风景名胜区、自然保护区：</w:t>
            </w:r>
            <w:r>
              <w:rPr>
                <w:rFonts w:cs="Times New Roman" w:hint="eastAsia"/>
                <w:kern w:val="21"/>
                <w:sz w:val="21"/>
                <w:szCs w:val="21"/>
              </w:rPr>
              <w:t>剑门蜀道风景名胜区界线范围内除核心景区以外其他区域，翠云廊古柏自然保护区试验区，西河市级湿地自然保护区试验区。</w:t>
            </w:r>
          </w:p>
        </w:tc>
        <w:tc>
          <w:tcPr>
            <w:tcW w:w="3517" w:type="dxa"/>
            <w:vAlign w:val="center"/>
          </w:tcPr>
          <w:p w14:paraId="685AA667"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本项目不在</w:t>
            </w:r>
            <w:r>
              <w:rPr>
                <w:rFonts w:cs="Times New Roman" w:hint="eastAsia"/>
                <w:kern w:val="21"/>
                <w:sz w:val="21"/>
                <w:szCs w:val="21"/>
              </w:rPr>
              <w:t>剑门蜀道风景名胜区界线范围内除核心景区以外其他区域，翠云廊古柏自然保护区试验区，西河市级湿地自然保护区试验区。</w:t>
            </w:r>
          </w:p>
        </w:tc>
        <w:tc>
          <w:tcPr>
            <w:tcW w:w="1087" w:type="dxa"/>
            <w:vAlign w:val="center"/>
          </w:tcPr>
          <w:p w14:paraId="78AEA4E4"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不属于</w:t>
            </w:r>
          </w:p>
        </w:tc>
      </w:tr>
      <w:tr w:rsidR="00544649" w14:paraId="7DD009CC" w14:textId="77777777">
        <w:trPr>
          <w:trHeight w:val="234"/>
          <w:jc w:val="center"/>
        </w:trPr>
        <w:tc>
          <w:tcPr>
            <w:tcW w:w="405" w:type="dxa"/>
            <w:vAlign w:val="center"/>
          </w:tcPr>
          <w:p w14:paraId="06E251CC"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3</w:t>
            </w:r>
          </w:p>
        </w:tc>
        <w:tc>
          <w:tcPr>
            <w:tcW w:w="4046" w:type="dxa"/>
            <w:vAlign w:val="center"/>
          </w:tcPr>
          <w:p w14:paraId="3368C4CB"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b/>
                <w:bCs/>
                <w:kern w:val="21"/>
                <w:sz w:val="21"/>
                <w:szCs w:val="21"/>
              </w:rPr>
              <w:t>城镇居民区和文化教育科学研究区：</w:t>
            </w:r>
            <w:r>
              <w:rPr>
                <w:rFonts w:cs="Times New Roman" w:hint="eastAsia"/>
                <w:kern w:val="21"/>
                <w:sz w:val="21"/>
                <w:szCs w:val="21"/>
              </w:rPr>
              <w:t>县城及各乡镇规划区边界外延伸</w:t>
            </w:r>
            <w:r>
              <w:rPr>
                <w:rFonts w:cs="Times New Roman" w:hint="eastAsia"/>
                <w:kern w:val="21"/>
                <w:sz w:val="21"/>
                <w:szCs w:val="21"/>
              </w:rPr>
              <w:t>500m</w:t>
            </w:r>
            <w:r>
              <w:rPr>
                <w:rFonts w:cs="Times New Roman" w:hint="eastAsia"/>
                <w:kern w:val="21"/>
                <w:sz w:val="21"/>
                <w:szCs w:val="21"/>
              </w:rPr>
              <w:t>以外</w:t>
            </w:r>
            <w:r>
              <w:rPr>
                <w:rFonts w:cs="Times New Roman" w:hint="eastAsia"/>
                <w:kern w:val="21"/>
                <w:sz w:val="21"/>
                <w:szCs w:val="21"/>
              </w:rPr>
              <w:t>1000m</w:t>
            </w:r>
            <w:r>
              <w:rPr>
                <w:rFonts w:cs="Times New Roman" w:hint="eastAsia"/>
                <w:kern w:val="21"/>
                <w:sz w:val="21"/>
                <w:szCs w:val="21"/>
              </w:rPr>
              <w:t>以内区域、新农村居民区外延</w:t>
            </w:r>
            <w:r>
              <w:rPr>
                <w:rFonts w:cs="Times New Roman" w:hint="eastAsia"/>
                <w:kern w:val="21"/>
                <w:sz w:val="21"/>
                <w:szCs w:val="21"/>
              </w:rPr>
              <w:t>300m</w:t>
            </w:r>
            <w:r>
              <w:rPr>
                <w:rFonts w:cs="Times New Roman" w:hint="eastAsia"/>
                <w:kern w:val="21"/>
                <w:sz w:val="21"/>
                <w:szCs w:val="21"/>
              </w:rPr>
              <w:t>以外</w:t>
            </w:r>
            <w:r>
              <w:rPr>
                <w:rFonts w:cs="Times New Roman" w:hint="eastAsia"/>
                <w:kern w:val="21"/>
                <w:sz w:val="21"/>
                <w:szCs w:val="21"/>
              </w:rPr>
              <w:t>500m</w:t>
            </w:r>
            <w:r>
              <w:rPr>
                <w:rFonts w:cs="Times New Roman" w:hint="eastAsia"/>
                <w:kern w:val="21"/>
                <w:sz w:val="21"/>
                <w:szCs w:val="21"/>
              </w:rPr>
              <w:t>以内区域，一般居民区（集中居民</w:t>
            </w:r>
            <w:r>
              <w:rPr>
                <w:rFonts w:cs="Times New Roman" w:hint="eastAsia"/>
                <w:kern w:val="21"/>
                <w:sz w:val="21"/>
                <w:szCs w:val="21"/>
              </w:rPr>
              <w:t>15</w:t>
            </w:r>
            <w:r>
              <w:rPr>
                <w:rFonts w:cs="Times New Roman" w:hint="eastAsia"/>
                <w:kern w:val="21"/>
                <w:sz w:val="21"/>
                <w:szCs w:val="21"/>
              </w:rPr>
              <w:t>户以上）外延</w:t>
            </w:r>
            <w:r>
              <w:rPr>
                <w:rFonts w:cs="Times New Roman" w:hint="eastAsia"/>
                <w:kern w:val="21"/>
                <w:sz w:val="21"/>
                <w:szCs w:val="21"/>
              </w:rPr>
              <w:t>100m</w:t>
            </w:r>
            <w:r>
              <w:rPr>
                <w:rFonts w:cs="Times New Roman" w:hint="eastAsia"/>
                <w:kern w:val="21"/>
                <w:sz w:val="21"/>
                <w:szCs w:val="21"/>
              </w:rPr>
              <w:t>以外</w:t>
            </w:r>
            <w:r>
              <w:rPr>
                <w:rFonts w:cs="Times New Roman" w:hint="eastAsia"/>
                <w:kern w:val="21"/>
                <w:sz w:val="21"/>
                <w:szCs w:val="21"/>
              </w:rPr>
              <w:t>200m</w:t>
            </w:r>
            <w:r>
              <w:rPr>
                <w:rFonts w:cs="Times New Roman" w:hint="eastAsia"/>
                <w:kern w:val="21"/>
                <w:sz w:val="21"/>
                <w:szCs w:val="21"/>
              </w:rPr>
              <w:t>以内区域。限养区范围内有山脊（分水岭），则以山脊线作为限养区边界。</w:t>
            </w:r>
          </w:p>
        </w:tc>
        <w:tc>
          <w:tcPr>
            <w:tcW w:w="3517" w:type="dxa"/>
            <w:vAlign w:val="center"/>
          </w:tcPr>
          <w:p w14:paraId="555276BD"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kern w:val="21"/>
                <w:sz w:val="21"/>
                <w:szCs w:val="21"/>
              </w:rPr>
              <w:t>本项目不在</w:t>
            </w:r>
            <w:r>
              <w:rPr>
                <w:rFonts w:hint="eastAsia"/>
                <w:kern w:val="21"/>
                <w:sz w:val="21"/>
                <w:szCs w:val="21"/>
              </w:rPr>
              <w:t>县城及各乡镇规划区边界外延伸</w:t>
            </w:r>
            <w:r>
              <w:rPr>
                <w:rFonts w:hint="eastAsia"/>
                <w:kern w:val="21"/>
                <w:sz w:val="21"/>
                <w:szCs w:val="21"/>
              </w:rPr>
              <w:t>500m</w:t>
            </w:r>
            <w:r>
              <w:rPr>
                <w:rFonts w:hint="eastAsia"/>
                <w:kern w:val="21"/>
                <w:sz w:val="21"/>
                <w:szCs w:val="21"/>
              </w:rPr>
              <w:t>以外</w:t>
            </w:r>
            <w:r>
              <w:rPr>
                <w:rFonts w:hint="eastAsia"/>
                <w:kern w:val="21"/>
                <w:sz w:val="21"/>
                <w:szCs w:val="21"/>
              </w:rPr>
              <w:t>1000m</w:t>
            </w:r>
            <w:r>
              <w:rPr>
                <w:rFonts w:hint="eastAsia"/>
                <w:kern w:val="21"/>
                <w:sz w:val="21"/>
                <w:szCs w:val="21"/>
              </w:rPr>
              <w:t>以内区域、新农村居民区外延</w:t>
            </w:r>
            <w:r>
              <w:rPr>
                <w:rFonts w:hint="eastAsia"/>
                <w:kern w:val="21"/>
                <w:sz w:val="21"/>
                <w:szCs w:val="21"/>
              </w:rPr>
              <w:t>300m</w:t>
            </w:r>
            <w:r>
              <w:rPr>
                <w:rFonts w:hint="eastAsia"/>
                <w:kern w:val="21"/>
                <w:sz w:val="21"/>
                <w:szCs w:val="21"/>
              </w:rPr>
              <w:t>以外</w:t>
            </w:r>
            <w:r>
              <w:rPr>
                <w:rFonts w:hint="eastAsia"/>
                <w:kern w:val="21"/>
                <w:sz w:val="21"/>
                <w:szCs w:val="21"/>
              </w:rPr>
              <w:t>500m</w:t>
            </w:r>
            <w:r>
              <w:rPr>
                <w:rFonts w:hint="eastAsia"/>
                <w:kern w:val="21"/>
                <w:sz w:val="21"/>
                <w:szCs w:val="21"/>
              </w:rPr>
              <w:t>以内区域，一般居民区（集中居民</w:t>
            </w:r>
            <w:r>
              <w:rPr>
                <w:rFonts w:hint="eastAsia"/>
                <w:kern w:val="21"/>
                <w:sz w:val="21"/>
                <w:szCs w:val="21"/>
              </w:rPr>
              <w:t>15</w:t>
            </w:r>
            <w:r>
              <w:rPr>
                <w:rFonts w:hint="eastAsia"/>
                <w:kern w:val="21"/>
                <w:sz w:val="21"/>
                <w:szCs w:val="21"/>
              </w:rPr>
              <w:t>户以上）外延</w:t>
            </w:r>
            <w:r>
              <w:rPr>
                <w:rFonts w:hint="eastAsia"/>
                <w:kern w:val="21"/>
                <w:sz w:val="21"/>
                <w:szCs w:val="21"/>
              </w:rPr>
              <w:t>100m</w:t>
            </w:r>
            <w:r>
              <w:rPr>
                <w:rFonts w:hint="eastAsia"/>
                <w:kern w:val="21"/>
                <w:sz w:val="21"/>
                <w:szCs w:val="21"/>
              </w:rPr>
              <w:t>以外</w:t>
            </w:r>
            <w:r>
              <w:rPr>
                <w:rFonts w:hint="eastAsia"/>
                <w:kern w:val="21"/>
                <w:sz w:val="21"/>
                <w:szCs w:val="21"/>
              </w:rPr>
              <w:t>200m</w:t>
            </w:r>
            <w:r>
              <w:rPr>
                <w:rFonts w:hint="eastAsia"/>
                <w:kern w:val="21"/>
                <w:sz w:val="21"/>
                <w:szCs w:val="21"/>
              </w:rPr>
              <w:t>以内区域范围内。</w:t>
            </w:r>
          </w:p>
        </w:tc>
        <w:tc>
          <w:tcPr>
            <w:tcW w:w="1087" w:type="dxa"/>
            <w:vAlign w:val="center"/>
          </w:tcPr>
          <w:p w14:paraId="57A20614"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不属于</w:t>
            </w:r>
          </w:p>
        </w:tc>
      </w:tr>
      <w:tr w:rsidR="00544649" w14:paraId="007E660B" w14:textId="77777777">
        <w:trPr>
          <w:trHeight w:val="234"/>
          <w:jc w:val="center"/>
        </w:trPr>
        <w:tc>
          <w:tcPr>
            <w:tcW w:w="405" w:type="dxa"/>
            <w:vAlign w:val="center"/>
          </w:tcPr>
          <w:p w14:paraId="3114E3D3"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4</w:t>
            </w:r>
          </w:p>
        </w:tc>
        <w:tc>
          <w:tcPr>
            <w:tcW w:w="4046" w:type="dxa"/>
            <w:vAlign w:val="center"/>
          </w:tcPr>
          <w:p w14:paraId="0974F44A"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b/>
                <w:bCs/>
                <w:kern w:val="21"/>
                <w:sz w:val="21"/>
                <w:szCs w:val="21"/>
              </w:rPr>
              <w:t>河流：</w:t>
            </w:r>
            <w:r>
              <w:rPr>
                <w:rFonts w:cs="Times New Roman" w:hint="eastAsia"/>
                <w:kern w:val="21"/>
                <w:sz w:val="21"/>
                <w:szCs w:val="21"/>
              </w:rPr>
              <w:t>嘉陵江、西河、闻溪河、清江河、</w:t>
            </w:r>
            <w:proofErr w:type="gramStart"/>
            <w:r>
              <w:rPr>
                <w:rFonts w:cs="Times New Roman" w:hint="eastAsia"/>
                <w:kern w:val="21"/>
                <w:sz w:val="21"/>
                <w:szCs w:val="21"/>
              </w:rPr>
              <w:t>炭口河</w:t>
            </w:r>
            <w:proofErr w:type="gramEnd"/>
            <w:r>
              <w:rPr>
                <w:rFonts w:cs="Times New Roman" w:hint="eastAsia"/>
                <w:kern w:val="21"/>
                <w:sz w:val="21"/>
                <w:szCs w:val="21"/>
              </w:rPr>
              <w:t>、巩河流域及其重要支流、</w:t>
            </w:r>
            <w:r>
              <w:rPr>
                <w:rFonts w:cs="Times New Roman" w:hint="eastAsia"/>
                <w:kern w:val="21"/>
                <w:sz w:val="21"/>
                <w:szCs w:val="21"/>
              </w:rPr>
              <w:t>21</w:t>
            </w:r>
            <w:r>
              <w:rPr>
                <w:rFonts w:cs="Times New Roman" w:hint="eastAsia"/>
                <w:kern w:val="21"/>
                <w:sz w:val="21"/>
                <w:szCs w:val="21"/>
              </w:rPr>
              <w:t>条中小河流纵深</w:t>
            </w:r>
            <w:r>
              <w:rPr>
                <w:rFonts w:cs="Times New Roman" w:hint="eastAsia"/>
                <w:kern w:val="21"/>
                <w:sz w:val="21"/>
                <w:szCs w:val="21"/>
              </w:rPr>
              <w:t>100m</w:t>
            </w:r>
            <w:r>
              <w:rPr>
                <w:rFonts w:cs="Times New Roman" w:hint="eastAsia"/>
                <w:kern w:val="21"/>
                <w:sz w:val="21"/>
                <w:szCs w:val="21"/>
              </w:rPr>
              <w:t>范围内。限养区范围内有山脊（分水岭），则以山脊线作为限养区边界。</w:t>
            </w:r>
          </w:p>
        </w:tc>
        <w:tc>
          <w:tcPr>
            <w:tcW w:w="3517" w:type="dxa"/>
            <w:vAlign w:val="center"/>
          </w:tcPr>
          <w:p w14:paraId="66CC7E2B"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项目不在</w:t>
            </w:r>
            <w:r>
              <w:rPr>
                <w:rFonts w:cs="Times New Roman" w:hint="eastAsia"/>
                <w:kern w:val="21"/>
                <w:sz w:val="21"/>
                <w:szCs w:val="21"/>
              </w:rPr>
              <w:t>嘉陵江、西河、闻溪河、清江河、</w:t>
            </w:r>
            <w:proofErr w:type="gramStart"/>
            <w:r>
              <w:rPr>
                <w:rFonts w:cs="Times New Roman" w:hint="eastAsia"/>
                <w:kern w:val="21"/>
                <w:sz w:val="21"/>
                <w:szCs w:val="21"/>
              </w:rPr>
              <w:t>炭口河</w:t>
            </w:r>
            <w:proofErr w:type="gramEnd"/>
            <w:r>
              <w:rPr>
                <w:rFonts w:cs="Times New Roman" w:hint="eastAsia"/>
                <w:kern w:val="21"/>
                <w:sz w:val="21"/>
                <w:szCs w:val="21"/>
              </w:rPr>
              <w:t>、巩河流域及其重要支流、</w:t>
            </w:r>
            <w:r>
              <w:rPr>
                <w:rFonts w:cs="Times New Roman" w:hint="eastAsia"/>
                <w:kern w:val="21"/>
                <w:sz w:val="21"/>
                <w:szCs w:val="21"/>
              </w:rPr>
              <w:t>21</w:t>
            </w:r>
            <w:r>
              <w:rPr>
                <w:rFonts w:cs="Times New Roman" w:hint="eastAsia"/>
                <w:kern w:val="21"/>
                <w:sz w:val="21"/>
                <w:szCs w:val="21"/>
              </w:rPr>
              <w:t>条中小河流纵深</w:t>
            </w:r>
            <w:r>
              <w:rPr>
                <w:rFonts w:cs="Times New Roman" w:hint="eastAsia"/>
                <w:kern w:val="21"/>
                <w:sz w:val="21"/>
                <w:szCs w:val="21"/>
              </w:rPr>
              <w:t>100m</w:t>
            </w:r>
            <w:r>
              <w:rPr>
                <w:rFonts w:cs="Times New Roman" w:hint="eastAsia"/>
                <w:kern w:val="21"/>
                <w:sz w:val="21"/>
                <w:szCs w:val="21"/>
              </w:rPr>
              <w:t>范围内。</w:t>
            </w:r>
          </w:p>
        </w:tc>
        <w:tc>
          <w:tcPr>
            <w:tcW w:w="1087" w:type="dxa"/>
            <w:vAlign w:val="center"/>
          </w:tcPr>
          <w:p w14:paraId="4E1115CE"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不属于</w:t>
            </w:r>
          </w:p>
        </w:tc>
      </w:tr>
      <w:tr w:rsidR="00544649" w14:paraId="45E913E1" w14:textId="77777777">
        <w:trPr>
          <w:trHeight w:val="90"/>
          <w:jc w:val="center"/>
        </w:trPr>
        <w:tc>
          <w:tcPr>
            <w:tcW w:w="405" w:type="dxa"/>
            <w:vAlign w:val="center"/>
          </w:tcPr>
          <w:p w14:paraId="0C1D5E2F"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5</w:t>
            </w:r>
          </w:p>
        </w:tc>
        <w:tc>
          <w:tcPr>
            <w:tcW w:w="4046" w:type="dxa"/>
            <w:vAlign w:val="center"/>
          </w:tcPr>
          <w:p w14:paraId="5DB2EEAA"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b/>
                <w:bCs/>
                <w:kern w:val="21"/>
                <w:sz w:val="21"/>
                <w:szCs w:val="21"/>
              </w:rPr>
              <w:t>工业园区：</w:t>
            </w:r>
            <w:r>
              <w:rPr>
                <w:rFonts w:cs="Times New Roman" w:hint="eastAsia"/>
                <w:kern w:val="21"/>
                <w:sz w:val="21"/>
                <w:szCs w:val="21"/>
              </w:rPr>
              <w:t>工业园区规划用地边界向外延伸</w:t>
            </w:r>
            <w:r>
              <w:rPr>
                <w:rFonts w:cs="Times New Roman" w:hint="eastAsia"/>
                <w:kern w:val="21"/>
                <w:sz w:val="21"/>
                <w:szCs w:val="21"/>
              </w:rPr>
              <w:t>500m</w:t>
            </w:r>
            <w:r>
              <w:rPr>
                <w:rFonts w:cs="Times New Roman" w:hint="eastAsia"/>
                <w:kern w:val="21"/>
                <w:sz w:val="21"/>
                <w:szCs w:val="21"/>
              </w:rPr>
              <w:t>以外</w:t>
            </w:r>
            <w:r>
              <w:rPr>
                <w:rFonts w:cs="Times New Roman" w:hint="eastAsia"/>
                <w:kern w:val="21"/>
                <w:sz w:val="21"/>
                <w:szCs w:val="21"/>
              </w:rPr>
              <w:t>1000m</w:t>
            </w:r>
            <w:r>
              <w:rPr>
                <w:rFonts w:cs="Times New Roman" w:hint="eastAsia"/>
                <w:kern w:val="21"/>
                <w:sz w:val="21"/>
                <w:szCs w:val="21"/>
              </w:rPr>
              <w:t>以内区域，限养区范围内有山脊（分水岭），则以山脊线作为限养区边界。</w:t>
            </w:r>
          </w:p>
        </w:tc>
        <w:tc>
          <w:tcPr>
            <w:tcW w:w="3517" w:type="dxa"/>
            <w:vAlign w:val="center"/>
          </w:tcPr>
          <w:p w14:paraId="347AE0F0"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kern w:val="21"/>
                <w:sz w:val="21"/>
                <w:szCs w:val="21"/>
              </w:rPr>
              <w:t>本项目</w:t>
            </w:r>
            <w:r>
              <w:rPr>
                <w:rFonts w:cs="Times New Roman" w:hint="eastAsia"/>
                <w:kern w:val="21"/>
                <w:sz w:val="21"/>
                <w:szCs w:val="21"/>
              </w:rPr>
              <w:t>建设位置位于剑门关镇新龙村六组、双鱼村七组，不涉及工业园区，不在工业园区规划用地边界向外延伸</w:t>
            </w:r>
            <w:r>
              <w:rPr>
                <w:rFonts w:cs="Times New Roman" w:hint="eastAsia"/>
                <w:kern w:val="21"/>
                <w:sz w:val="21"/>
                <w:szCs w:val="21"/>
              </w:rPr>
              <w:t>500m</w:t>
            </w:r>
            <w:r>
              <w:rPr>
                <w:rFonts w:cs="Times New Roman" w:hint="eastAsia"/>
                <w:kern w:val="21"/>
                <w:sz w:val="21"/>
                <w:szCs w:val="21"/>
              </w:rPr>
              <w:t>以外</w:t>
            </w:r>
            <w:r>
              <w:rPr>
                <w:rFonts w:cs="Times New Roman" w:hint="eastAsia"/>
                <w:kern w:val="21"/>
                <w:sz w:val="21"/>
                <w:szCs w:val="21"/>
              </w:rPr>
              <w:t>1000m</w:t>
            </w:r>
            <w:r>
              <w:rPr>
                <w:rFonts w:cs="Times New Roman" w:hint="eastAsia"/>
                <w:kern w:val="21"/>
                <w:sz w:val="21"/>
                <w:szCs w:val="21"/>
              </w:rPr>
              <w:t>以内区域。</w:t>
            </w:r>
          </w:p>
        </w:tc>
        <w:tc>
          <w:tcPr>
            <w:tcW w:w="1087" w:type="dxa"/>
            <w:vAlign w:val="center"/>
          </w:tcPr>
          <w:p w14:paraId="69142C01" w14:textId="77777777" w:rsidR="00544649" w:rsidRDefault="00000000">
            <w:pPr>
              <w:adjustRightInd w:val="0"/>
              <w:snapToGrid w:val="0"/>
              <w:spacing w:beforeLines="20" w:before="65" w:afterLines="20" w:after="65" w:line="240" w:lineRule="auto"/>
              <w:ind w:firstLineChars="0" w:firstLine="0"/>
              <w:jc w:val="center"/>
              <w:rPr>
                <w:rFonts w:cs="Times New Roman"/>
                <w:kern w:val="21"/>
                <w:sz w:val="21"/>
                <w:szCs w:val="21"/>
              </w:rPr>
            </w:pPr>
            <w:r>
              <w:rPr>
                <w:rFonts w:cs="Times New Roman" w:hint="eastAsia"/>
                <w:kern w:val="21"/>
                <w:sz w:val="21"/>
                <w:szCs w:val="21"/>
              </w:rPr>
              <w:t>不属于</w:t>
            </w:r>
          </w:p>
        </w:tc>
      </w:tr>
    </w:tbl>
    <w:p w14:paraId="19AC7FB3" w14:textId="77777777" w:rsidR="00544649" w:rsidRDefault="00000000">
      <w:pPr>
        <w:adjustRightInd w:val="0"/>
        <w:snapToGrid w:val="0"/>
        <w:spacing w:beforeLines="50" w:before="163" w:after="0"/>
        <w:ind w:firstLine="480"/>
        <w:rPr>
          <w:rFonts w:ascii="宋体" w:hAnsi="宋体" w:cs="宋体" w:hint="eastAsia"/>
          <w:kern w:val="21"/>
          <w:szCs w:val="24"/>
          <w:lang w:bidi="ar"/>
        </w:rPr>
      </w:pPr>
      <w:r>
        <w:rPr>
          <w:rFonts w:cs="Times New Roman" w:hint="eastAsia"/>
          <w:kern w:val="21"/>
        </w:rPr>
        <w:t>综上所述，本项目选址不在剑阁县禁养区、限养区范围，位于适养区，符合剑阁县人民政府办公室关于印发《剑阁县畜禽养殖禁养区限养区适养区划定方案及</w:t>
      </w:r>
      <w:r>
        <w:rPr>
          <w:rFonts w:cs="Times New Roman" w:hint="eastAsia"/>
          <w:kern w:val="21"/>
        </w:rPr>
        <w:t>1:50000</w:t>
      </w:r>
      <w:r>
        <w:rPr>
          <w:rFonts w:cs="Times New Roman" w:hint="eastAsia"/>
          <w:kern w:val="21"/>
        </w:rPr>
        <w:t>电子分布地图》（</w:t>
      </w:r>
      <w:proofErr w:type="gramStart"/>
      <w:r>
        <w:rPr>
          <w:rFonts w:cs="Times New Roman" w:hint="eastAsia"/>
          <w:kern w:val="21"/>
        </w:rPr>
        <w:t>剑府办</w:t>
      </w:r>
      <w:proofErr w:type="gramEnd"/>
      <w:r>
        <w:rPr>
          <w:rFonts w:cs="Times New Roman" w:hint="eastAsia"/>
          <w:kern w:val="21"/>
        </w:rPr>
        <w:t>发〔</w:t>
      </w:r>
      <w:r>
        <w:rPr>
          <w:rFonts w:cs="Times New Roman" w:hint="eastAsia"/>
          <w:kern w:val="21"/>
        </w:rPr>
        <w:t>2018</w:t>
      </w:r>
      <w:r>
        <w:rPr>
          <w:rFonts w:cs="Times New Roman" w:hint="eastAsia"/>
          <w:kern w:val="21"/>
        </w:rPr>
        <w:t>〕</w:t>
      </w:r>
      <w:r>
        <w:rPr>
          <w:rFonts w:cs="Times New Roman" w:hint="eastAsia"/>
          <w:kern w:val="21"/>
        </w:rPr>
        <w:t>71</w:t>
      </w:r>
      <w:r>
        <w:rPr>
          <w:rFonts w:cs="Times New Roman" w:hint="eastAsia"/>
          <w:kern w:val="21"/>
        </w:rPr>
        <w:t>号）的通知规定。同时，剑阁县农业农村局已出具证明，证明本项目不在畜禽养殖禁养区范围（见附件）。</w:t>
      </w:r>
    </w:p>
    <w:p w14:paraId="09ABAB28" w14:textId="77777777" w:rsidR="00544649" w:rsidRDefault="00000000">
      <w:pPr>
        <w:keepNext/>
        <w:keepLines/>
        <w:numPr>
          <w:ilvl w:val="2"/>
          <w:numId w:val="2"/>
        </w:numPr>
        <w:adjustRightInd w:val="0"/>
        <w:snapToGrid w:val="0"/>
        <w:spacing w:after="0"/>
        <w:ind w:firstLineChars="0"/>
        <w:outlineLvl w:val="2"/>
        <w:rPr>
          <w:rFonts w:cs="Times New Roman"/>
          <w:b/>
          <w:bCs/>
          <w:kern w:val="21"/>
          <w:sz w:val="28"/>
          <w:szCs w:val="28"/>
        </w:rPr>
      </w:pPr>
      <w:bookmarkStart w:id="88" w:name="_Toc195009793"/>
      <w:r>
        <w:rPr>
          <w:rFonts w:cs="Times New Roman"/>
          <w:b/>
          <w:bCs/>
          <w:kern w:val="21"/>
          <w:sz w:val="28"/>
          <w:szCs w:val="28"/>
        </w:rPr>
        <w:t>与</w:t>
      </w:r>
      <w:r>
        <w:rPr>
          <w:rFonts w:cs="Times New Roman" w:hint="eastAsia"/>
          <w:b/>
          <w:bCs/>
          <w:kern w:val="21"/>
          <w:sz w:val="28"/>
          <w:szCs w:val="28"/>
        </w:rPr>
        <w:t>生态环境分区管</w:t>
      </w:r>
      <w:proofErr w:type="gramStart"/>
      <w:r>
        <w:rPr>
          <w:rFonts w:cs="Times New Roman" w:hint="eastAsia"/>
          <w:b/>
          <w:bCs/>
          <w:kern w:val="21"/>
          <w:sz w:val="28"/>
          <w:szCs w:val="28"/>
        </w:rPr>
        <w:t>控要求</w:t>
      </w:r>
      <w:proofErr w:type="gramEnd"/>
      <w:r>
        <w:rPr>
          <w:rFonts w:cs="Times New Roman"/>
          <w:b/>
          <w:bCs/>
          <w:kern w:val="21"/>
          <w:sz w:val="28"/>
          <w:szCs w:val="28"/>
        </w:rPr>
        <w:t>的符合性分析</w:t>
      </w:r>
      <w:bookmarkEnd w:id="88"/>
    </w:p>
    <w:p w14:paraId="19D1C8B1" w14:textId="77777777" w:rsidR="00544649" w:rsidRDefault="00000000">
      <w:pPr>
        <w:keepNext/>
        <w:keepLines/>
        <w:numPr>
          <w:ilvl w:val="3"/>
          <w:numId w:val="2"/>
        </w:numPr>
        <w:adjustRightInd w:val="0"/>
        <w:snapToGrid w:val="0"/>
        <w:spacing w:after="0"/>
        <w:ind w:firstLineChars="0"/>
        <w:outlineLvl w:val="3"/>
        <w:rPr>
          <w:rFonts w:cs="Times New Roman"/>
          <w:b/>
          <w:bCs/>
          <w:kern w:val="21"/>
        </w:rPr>
      </w:pPr>
      <w:r>
        <w:rPr>
          <w:rFonts w:cs="Times New Roman"/>
          <w:b/>
          <w:bCs/>
          <w:kern w:val="21"/>
        </w:rPr>
        <w:t>与《</w:t>
      </w:r>
      <w:r>
        <w:rPr>
          <w:rFonts w:cs="Times New Roman" w:hint="eastAsia"/>
          <w:b/>
          <w:bCs/>
          <w:kern w:val="21"/>
        </w:rPr>
        <w:t>广元市人民政府办公室关于加强生态环境分区管控的通知</w:t>
      </w:r>
      <w:r>
        <w:rPr>
          <w:rFonts w:cs="Times New Roman"/>
          <w:b/>
          <w:bCs/>
          <w:kern w:val="21"/>
        </w:rPr>
        <w:t>》（</w:t>
      </w:r>
      <w:r>
        <w:rPr>
          <w:rFonts w:cs="Times New Roman" w:hint="eastAsia"/>
          <w:b/>
          <w:bCs/>
          <w:kern w:val="21"/>
        </w:rPr>
        <w:t>广府办函〔</w:t>
      </w:r>
      <w:r>
        <w:rPr>
          <w:rFonts w:cs="Times New Roman" w:hint="eastAsia"/>
          <w:b/>
          <w:bCs/>
          <w:kern w:val="21"/>
        </w:rPr>
        <w:t>2024</w:t>
      </w:r>
      <w:r>
        <w:rPr>
          <w:rFonts w:cs="Times New Roman" w:hint="eastAsia"/>
          <w:b/>
          <w:bCs/>
          <w:kern w:val="21"/>
        </w:rPr>
        <w:t>〕</w:t>
      </w:r>
      <w:r>
        <w:rPr>
          <w:rFonts w:cs="Times New Roman" w:hint="eastAsia"/>
          <w:b/>
          <w:bCs/>
          <w:kern w:val="21"/>
        </w:rPr>
        <w:t>26</w:t>
      </w:r>
      <w:r>
        <w:rPr>
          <w:rFonts w:cs="Times New Roman" w:hint="eastAsia"/>
          <w:b/>
          <w:bCs/>
          <w:kern w:val="21"/>
        </w:rPr>
        <w:t>号</w:t>
      </w:r>
      <w:r>
        <w:rPr>
          <w:rFonts w:cs="Times New Roman"/>
          <w:b/>
          <w:bCs/>
          <w:kern w:val="21"/>
        </w:rPr>
        <w:t>）符合性分析</w:t>
      </w:r>
    </w:p>
    <w:p w14:paraId="200CF9C1" w14:textId="77777777" w:rsidR="00544649" w:rsidRDefault="00000000">
      <w:pPr>
        <w:pStyle w:val="af5"/>
        <w:widowControl/>
        <w:adjustRightInd w:val="0"/>
        <w:snapToGrid w:val="0"/>
        <w:spacing w:beforeAutospacing="0" w:after="0" w:afterAutospacing="0"/>
        <w:ind w:firstLine="482"/>
        <w:jc w:val="both"/>
        <w:rPr>
          <w:b/>
          <w:bCs/>
          <w:kern w:val="21"/>
          <w:szCs w:val="24"/>
        </w:rPr>
      </w:pPr>
      <w:r>
        <w:rPr>
          <w:rFonts w:hint="eastAsia"/>
          <w:b/>
          <w:bCs/>
          <w:kern w:val="21"/>
          <w:szCs w:val="24"/>
        </w:rPr>
        <w:t>①广元市环境管控单元生态环境管控要求</w:t>
      </w:r>
    </w:p>
    <w:p w14:paraId="2CD63795" w14:textId="77777777" w:rsidR="00544649" w:rsidRDefault="00000000">
      <w:pPr>
        <w:pStyle w:val="af5"/>
        <w:widowControl/>
        <w:adjustRightInd w:val="0"/>
        <w:snapToGrid w:val="0"/>
        <w:spacing w:beforeAutospacing="0" w:after="0" w:afterAutospacing="0"/>
        <w:ind w:firstLine="480"/>
        <w:jc w:val="both"/>
        <w:rPr>
          <w:kern w:val="21"/>
          <w:szCs w:val="24"/>
          <w:lang w:bidi="ar"/>
        </w:rPr>
      </w:pPr>
      <w:r>
        <w:rPr>
          <w:rFonts w:hint="eastAsia"/>
          <w:kern w:val="21"/>
          <w:szCs w:val="24"/>
        </w:rPr>
        <w:t>2024</w:t>
      </w:r>
      <w:r>
        <w:rPr>
          <w:rFonts w:hint="eastAsia"/>
          <w:kern w:val="21"/>
          <w:szCs w:val="24"/>
        </w:rPr>
        <w:t>年</w:t>
      </w:r>
      <w:r>
        <w:rPr>
          <w:rFonts w:hint="eastAsia"/>
          <w:kern w:val="21"/>
          <w:szCs w:val="24"/>
        </w:rPr>
        <w:t>11</w:t>
      </w:r>
      <w:r>
        <w:rPr>
          <w:rFonts w:hint="eastAsia"/>
          <w:kern w:val="21"/>
          <w:szCs w:val="24"/>
        </w:rPr>
        <w:t>月</w:t>
      </w:r>
      <w:r>
        <w:rPr>
          <w:rFonts w:hint="eastAsia"/>
          <w:kern w:val="21"/>
          <w:szCs w:val="24"/>
        </w:rPr>
        <w:t>12</w:t>
      </w:r>
      <w:r>
        <w:rPr>
          <w:rFonts w:hint="eastAsia"/>
          <w:kern w:val="21"/>
          <w:szCs w:val="24"/>
        </w:rPr>
        <w:t>日广元市人民政府办公室发布了《广元市人民政府办公室关于加强生态环境分区管控的通知》（广府办函〔</w:t>
      </w:r>
      <w:r>
        <w:rPr>
          <w:rFonts w:hint="eastAsia"/>
          <w:kern w:val="21"/>
          <w:szCs w:val="24"/>
        </w:rPr>
        <w:t>2024</w:t>
      </w:r>
      <w:r>
        <w:rPr>
          <w:rFonts w:hint="eastAsia"/>
          <w:kern w:val="21"/>
          <w:szCs w:val="24"/>
        </w:rPr>
        <w:t>〕</w:t>
      </w:r>
      <w:r>
        <w:rPr>
          <w:rFonts w:hint="eastAsia"/>
          <w:kern w:val="21"/>
          <w:szCs w:val="24"/>
        </w:rPr>
        <w:t>26</w:t>
      </w:r>
      <w:r>
        <w:rPr>
          <w:rFonts w:hint="eastAsia"/>
          <w:kern w:val="21"/>
          <w:szCs w:val="24"/>
        </w:rPr>
        <w:t>号）。</w:t>
      </w:r>
      <w:r>
        <w:rPr>
          <w:rFonts w:cstheme="minorBidi" w:hint="eastAsia"/>
          <w:kern w:val="21"/>
        </w:rPr>
        <w:t>结合</w:t>
      </w:r>
      <w:r>
        <w:rPr>
          <w:kern w:val="21"/>
          <w:szCs w:val="24"/>
          <w:lang w:bidi="ar"/>
        </w:rPr>
        <w:t>四川省生态环境厅办公室《关于印发〈产业园区规划环评</w:t>
      </w:r>
      <w:r>
        <w:rPr>
          <w:rFonts w:hint="eastAsia"/>
          <w:kern w:val="21"/>
          <w:szCs w:val="24"/>
          <w:lang w:bidi="ar"/>
        </w:rPr>
        <w:t>“</w:t>
      </w:r>
      <w:r>
        <w:rPr>
          <w:kern w:val="21"/>
          <w:szCs w:val="24"/>
          <w:lang w:bidi="ar"/>
        </w:rPr>
        <w:t>三线一单</w:t>
      </w:r>
      <w:r>
        <w:rPr>
          <w:rFonts w:hint="eastAsia"/>
          <w:kern w:val="21"/>
          <w:szCs w:val="24"/>
          <w:lang w:bidi="ar"/>
        </w:rPr>
        <w:t>”</w:t>
      </w:r>
      <w:r>
        <w:rPr>
          <w:kern w:val="21"/>
          <w:szCs w:val="24"/>
          <w:lang w:bidi="ar"/>
        </w:rPr>
        <w:t>符合性分析技术要点（试行）〉和</w:t>
      </w:r>
      <w:r>
        <w:rPr>
          <w:kern w:val="21"/>
          <w:szCs w:val="24"/>
          <w:lang w:bidi="ar"/>
        </w:rPr>
        <w:lastRenderedPageBreak/>
        <w:t>〈项目环评</w:t>
      </w:r>
      <w:r>
        <w:rPr>
          <w:rFonts w:hint="eastAsia"/>
          <w:kern w:val="21"/>
          <w:szCs w:val="24"/>
          <w:lang w:bidi="ar"/>
        </w:rPr>
        <w:t>“</w:t>
      </w:r>
      <w:r>
        <w:rPr>
          <w:kern w:val="21"/>
          <w:szCs w:val="24"/>
          <w:lang w:bidi="ar"/>
        </w:rPr>
        <w:t>三线一单</w:t>
      </w:r>
      <w:r>
        <w:rPr>
          <w:rFonts w:hint="eastAsia"/>
          <w:kern w:val="21"/>
          <w:szCs w:val="24"/>
          <w:lang w:bidi="ar"/>
        </w:rPr>
        <w:t>”</w:t>
      </w:r>
      <w:r>
        <w:rPr>
          <w:kern w:val="21"/>
          <w:szCs w:val="24"/>
          <w:lang w:bidi="ar"/>
        </w:rPr>
        <w:t>符合性分析技术要点（试行）〉的通知》（</w:t>
      </w:r>
      <w:proofErr w:type="gramStart"/>
      <w:r>
        <w:rPr>
          <w:kern w:val="21"/>
          <w:szCs w:val="24"/>
          <w:lang w:bidi="ar"/>
        </w:rPr>
        <w:t>川环办</w:t>
      </w:r>
      <w:proofErr w:type="gramEnd"/>
      <w:r>
        <w:rPr>
          <w:kern w:val="21"/>
          <w:szCs w:val="24"/>
          <w:lang w:bidi="ar"/>
        </w:rPr>
        <w:t>函〔</w:t>
      </w:r>
      <w:r>
        <w:rPr>
          <w:kern w:val="21"/>
          <w:szCs w:val="24"/>
          <w:lang w:bidi="ar"/>
        </w:rPr>
        <w:t>2021</w:t>
      </w:r>
      <w:r>
        <w:rPr>
          <w:kern w:val="21"/>
          <w:szCs w:val="24"/>
          <w:lang w:bidi="ar"/>
        </w:rPr>
        <w:t>〕</w:t>
      </w:r>
      <w:r>
        <w:rPr>
          <w:kern w:val="21"/>
          <w:szCs w:val="24"/>
          <w:lang w:bidi="ar"/>
        </w:rPr>
        <w:t>469</w:t>
      </w:r>
      <w:r>
        <w:rPr>
          <w:kern w:val="21"/>
          <w:szCs w:val="24"/>
          <w:lang w:bidi="ar"/>
        </w:rPr>
        <w:t>号）要求，项目与其符合性分析如下。</w:t>
      </w:r>
    </w:p>
    <w:p w14:paraId="311F1A22" w14:textId="77777777" w:rsidR="00544649" w:rsidRDefault="00000000">
      <w:pPr>
        <w:adjustRightInd w:val="0"/>
        <w:snapToGrid w:val="0"/>
        <w:spacing w:after="0"/>
        <w:ind w:firstLine="480"/>
        <w:rPr>
          <w:kern w:val="21"/>
        </w:rPr>
      </w:pPr>
      <w:r>
        <w:rPr>
          <w:rFonts w:hint="eastAsia"/>
          <w:kern w:val="21"/>
        </w:rPr>
        <w:t>根据《广元市人民政府办公室关于加强生态环境分区管控的通知》（广府办函〔</w:t>
      </w:r>
      <w:r>
        <w:rPr>
          <w:rFonts w:hint="eastAsia"/>
          <w:kern w:val="21"/>
        </w:rPr>
        <w:t>2024</w:t>
      </w:r>
      <w:r>
        <w:rPr>
          <w:rFonts w:hint="eastAsia"/>
          <w:kern w:val="21"/>
        </w:rPr>
        <w:t>〕</w:t>
      </w:r>
      <w:r>
        <w:rPr>
          <w:rFonts w:hint="eastAsia"/>
          <w:kern w:val="21"/>
        </w:rPr>
        <w:t>26</w:t>
      </w:r>
      <w:r>
        <w:rPr>
          <w:rFonts w:hint="eastAsia"/>
          <w:kern w:val="21"/>
        </w:rPr>
        <w:t>号）要求：“生态环境管控单元分为优先保护单元、重点管控单元和一般管控单元三类，全市生态环境管控单元总数</w:t>
      </w:r>
      <w:r>
        <w:rPr>
          <w:rFonts w:hint="eastAsia"/>
          <w:kern w:val="21"/>
        </w:rPr>
        <w:t>62</w:t>
      </w:r>
      <w:r>
        <w:rPr>
          <w:rFonts w:hint="eastAsia"/>
          <w:kern w:val="21"/>
        </w:rPr>
        <w:t>个，其中优先保护单元</w:t>
      </w:r>
      <w:r>
        <w:rPr>
          <w:rFonts w:hint="eastAsia"/>
          <w:kern w:val="21"/>
        </w:rPr>
        <w:t>24</w:t>
      </w:r>
      <w:r>
        <w:rPr>
          <w:rFonts w:hint="eastAsia"/>
          <w:kern w:val="21"/>
        </w:rPr>
        <w:t>个、重点管控单元</w:t>
      </w:r>
      <w:r>
        <w:rPr>
          <w:rFonts w:hint="eastAsia"/>
          <w:kern w:val="21"/>
        </w:rPr>
        <w:t>31</w:t>
      </w:r>
      <w:r>
        <w:rPr>
          <w:rFonts w:hint="eastAsia"/>
          <w:kern w:val="21"/>
        </w:rPr>
        <w:t>个、一般管控单元</w:t>
      </w:r>
      <w:r>
        <w:rPr>
          <w:rFonts w:hint="eastAsia"/>
          <w:kern w:val="21"/>
        </w:rPr>
        <w:t>7</w:t>
      </w:r>
      <w:r>
        <w:rPr>
          <w:rFonts w:hint="eastAsia"/>
          <w:kern w:val="21"/>
        </w:rPr>
        <w:t>个。”</w:t>
      </w:r>
    </w:p>
    <w:p w14:paraId="113A5D60" w14:textId="77777777" w:rsidR="00544649" w:rsidRDefault="00000000">
      <w:pPr>
        <w:adjustRightInd w:val="0"/>
        <w:snapToGrid w:val="0"/>
        <w:spacing w:after="0"/>
        <w:ind w:firstLine="480"/>
      </w:pPr>
      <w:r>
        <w:rPr>
          <w:rFonts w:cs="Times New Roman"/>
          <w:kern w:val="21"/>
          <w:szCs w:val="24"/>
        </w:rPr>
        <w:t>本项目与</w:t>
      </w:r>
      <w:r>
        <w:rPr>
          <w:rFonts w:cs="Times New Roman" w:hint="eastAsia"/>
          <w:kern w:val="21"/>
          <w:szCs w:val="24"/>
        </w:rPr>
        <w:t>广元</w:t>
      </w:r>
      <w:r>
        <w:rPr>
          <w:rFonts w:cs="Times New Roman"/>
          <w:kern w:val="21"/>
          <w:szCs w:val="24"/>
        </w:rPr>
        <w:t>市环境管控单元</w:t>
      </w:r>
      <w:r>
        <w:t>生态环境管控划分情况及要求见下表：</w:t>
      </w:r>
    </w:p>
    <w:p w14:paraId="071CE93F" w14:textId="77777777" w:rsidR="00544649" w:rsidRDefault="00000000">
      <w:pPr>
        <w:widowControl/>
        <w:numPr>
          <w:ilvl w:val="0"/>
          <w:numId w:val="13"/>
        </w:numPr>
        <w:adjustRightInd w:val="0"/>
        <w:snapToGrid w:val="0"/>
        <w:spacing w:beforeLines="20" w:before="65" w:afterLines="20" w:after="65" w:line="240" w:lineRule="auto"/>
        <w:ind w:firstLineChars="0"/>
        <w:jc w:val="center"/>
        <w:rPr>
          <w:rFonts w:cs="Times New Roman"/>
          <w:b/>
          <w:bCs/>
          <w:kern w:val="21"/>
          <w:sz w:val="21"/>
          <w:szCs w:val="20"/>
        </w:rPr>
      </w:pPr>
      <w:r>
        <w:rPr>
          <w:rFonts w:cs="Times New Roman" w:hint="eastAsia"/>
          <w:b/>
          <w:bCs/>
          <w:kern w:val="21"/>
          <w:sz w:val="21"/>
          <w:szCs w:val="20"/>
        </w:rPr>
        <w:t>广元市环境管控单元划分情况及管控要求</w:t>
      </w:r>
    </w:p>
    <w:tbl>
      <w:tblPr>
        <w:tblStyle w:val="afc"/>
        <w:tblW w:w="8834" w:type="dxa"/>
        <w:jc w:val="center"/>
        <w:tblLayout w:type="fixed"/>
        <w:tblLook w:val="04A0" w:firstRow="1" w:lastRow="0" w:firstColumn="1" w:lastColumn="0" w:noHBand="0" w:noVBand="1"/>
      </w:tblPr>
      <w:tblGrid>
        <w:gridCol w:w="427"/>
        <w:gridCol w:w="964"/>
        <w:gridCol w:w="850"/>
        <w:gridCol w:w="4017"/>
        <w:gridCol w:w="1687"/>
        <w:gridCol w:w="889"/>
      </w:tblGrid>
      <w:tr w:rsidR="00544649" w14:paraId="2D3D9736" w14:textId="77777777">
        <w:trPr>
          <w:tblHeader/>
          <w:jc w:val="center"/>
        </w:trPr>
        <w:tc>
          <w:tcPr>
            <w:tcW w:w="427" w:type="dxa"/>
            <w:vAlign w:val="center"/>
          </w:tcPr>
          <w:p w14:paraId="7B2CC04B" w14:textId="77777777" w:rsidR="00544649" w:rsidRDefault="00000000">
            <w:pPr>
              <w:pStyle w:val="aff1"/>
              <w:spacing w:after="0"/>
              <w:rPr>
                <w:rFonts w:ascii="Times New Roman" w:cs="Times New Roman"/>
                <w:b/>
                <w:bCs/>
              </w:rPr>
            </w:pPr>
            <w:r>
              <w:rPr>
                <w:rFonts w:ascii="Times New Roman" w:cs="Times New Roman"/>
                <w:b/>
                <w:bCs/>
              </w:rPr>
              <w:t>序号</w:t>
            </w:r>
          </w:p>
        </w:tc>
        <w:tc>
          <w:tcPr>
            <w:tcW w:w="964" w:type="dxa"/>
            <w:vAlign w:val="center"/>
          </w:tcPr>
          <w:p w14:paraId="7ED9F61A" w14:textId="77777777" w:rsidR="00544649" w:rsidRDefault="00000000">
            <w:pPr>
              <w:pStyle w:val="aff1"/>
              <w:spacing w:after="0"/>
              <w:rPr>
                <w:rFonts w:ascii="Times New Roman" w:cs="Times New Roman"/>
                <w:b/>
                <w:bCs/>
              </w:rPr>
            </w:pPr>
            <w:r>
              <w:rPr>
                <w:rFonts w:ascii="Times New Roman" w:cs="Times New Roman"/>
                <w:b/>
                <w:bCs/>
              </w:rPr>
              <w:t>环境管控单元</w:t>
            </w:r>
          </w:p>
        </w:tc>
        <w:tc>
          <w:tcPr>
            <w:tcW w:w="850" w:type="dxa"/>
            <w:vAlign w:val="center"/>
          </w:tcPr>
          <w:p w14:paraId="0AC34334" w14:textId="77777777" w:rsidR="00544649" w:rsidRDefault="00000000">
            <w:pPr>
              <w:pStyle w:val="aff1"/>
              <w:spacing w:after="0"/>
              <w:rPr>
                <w:rFonts w:ascii="Times New Roman" w:cs="Times New Roman"/>
                <w:b/>
                <w:bCs/>
              </w:rPr>
            </w:pPr>
            <w:r>
              <w:rPr>
                <w:rFonts w:ascii="Times New Roman" w:cs="Times New Roman"/>
                <w:b/>
                <w:bCs/>
              </w:rPr>
              <w:t>数量（</w:t>
            </w:r>
            <w:proofErr w:type="gramStart"/>
            <w:r>
              <w:rPr>
                <w:rFonts w:ascii="Times New Roman" w:cs="Times New Roman"/>
                <w:b/>
                <w:bCs/>
              </w:rPr>
              <w:t>个</w:t>
            </w:r>
            <w:proofErr w:type="gramEnd"/>
            <w:r>
              <w:rPr>
                <w:rFonts w:ascii="Times New Roman" w:cs="Times New Roman"/>
                <w:b/>
                <w:bCs/>
              </w:rPr>
              <w:t>）</w:t>
            </w:r>
          </w:p>
        </w:tc>
        <w:tc>
          <w:tcPr>
            <w:tcW w:w="4017" w:type="dxa"/>
            <w:vAlign w:val="center"/>
          </w:tcPr>
          <w:p w14:paraId="7FF5C9D3" w14:textId="77777777" w:rsidR="00544649" w:rsidRDefault="00000000">
            <w:pPr>
              <w:pStyle w:val="aff1"/>
              <w:spacing w:after="0"/>
              <w:rPr>
                <w:rFonts w:ascii="Times New Roman" w:cs="Times New Roman"/>
                <w:b/>
                <w:bCs/>
              </w:rPr>
            </w:pPr>
            <w:r>
              <w:rPr>
                <w:rFonts w:ascii="Times New Roman" w:cs="Times New Roman"/>
                <w:b/>
                <w:bCs/>
              </w:rPr>
              <w:t>管</w:t>
            </w:r>
            <w:proofErr w:type="gramStart"/>
            <w:r>
              <w:rPr>
                <w:rFonts w:ascii="Times New Roman" w:cs="Times New Roman"/>
                <w:b/>
                <w:bCs/>
              </w:rPr>
              <w:t>控要求</w:t>
            </w:r>
            <w:proofErr w:type="gramEnd"/>
          </w:p>
        </w:tc>
        <w:tc>
          <w:tcPr>
            <w:tcW w:w="1687" w:type="dxa"/>
            <w:vAlign w:val="center"/>
          </w:tcPr>
          <w:p w14:paraId="134C9CBD" w14:textId="77777777" w:rsidR="00544649" w:rsidRDefault="00000000">
            <w:pPr>
              <w:pStyle w:val="aff1"/>
              <w:spacing w:after="0"/>
              <w:rPr>
                <w:rFonts w:ascii="Times New Roman" w:cs="Times New Roman"/>
                <w:b/>
                <w:bCs/>
              </w:rPr>
            </w:pPr>
            <w:r>
              <w:rPr>
                <w:rFonts w:cs="Times New Roman"/>
                <w:b/>
                <w:bCs/>
                <w:kern w:val="21"/>
                <w:szCs w:val="21"/>
              </w:rPr>
              <w:t>本项目</w:t>
            </w:r>
          </w:p>
        </w:tc>
        <w:tc>
          <w:tcPr>
            <w:tcW w:w="889" w:type="dxa"/>
            <w:vAlign w:val="center"/>
          </w:tcPr>
          <w:p w14:paraId="7D25C683" w14:textId="77777777" w:rsidR="00544649" w:rsidRDefault="00000000">
            <w:pPr>
              <w:pStyle w:val="aff1"/>
              <w:spacing w:after="0"/>
              <w:rPr>
                <w:rFonts w:ascii="Times New Roman" w:cs="Times New Roman"/>
              </w:rPr>
            </w:pPr>
            <w:r>
              <w:rPr>
                <w:rFonts w:cs="Times New Roman"/>
                <w:b/>
                <w:bCs/>
                <w:kern w:val="21"/>
                <w:szCs w:val="21"/>
              </w:rPr>
              <w:t>符合性</w:t>
            </w:r>
          </w:p>
        </w:tc>
      </w:tr>
      <w:tr w:rsidR="00544649" w14:paraId="7515FDC0" w14:textId="77777777">
        <w:trPr>
          <w:jc w:val="center"/>
        </w:trPr>
        <w:tc>
          <w:tcPr>
            <w:tcW w:w="427" w:type="dxa"/>
            <w:vAlign w:val="center"/>
          </w:tcPr>
          <w:p w14:paraId="2EDEC3C4" w14:textId="77777777" w:rsidR="00544649" w:rsidRDefault="00000000">
            <w:pPr>
              <w:pStyle w:val="aff1"/>
              <w:spacing w:after="0"/>
              <w:rPr>
                <w:rFonts w:ascii="Times New Roman" w:cs="Times New Roman"/>
              </w:rPr>
            </w:pPr>
            <w:r>
              <w:rPr>
                <w:rFonts w:ascii="Times New Roman" w:cs="Times New Roman"/>
              </w:rPr>
              <w:t>1</w:t>
            </w:r>
          </w:p>
        </w:tc>
        <w:tc>
          <w:tcPr>
            <w:tcW w:w="964" w:type="dxa"/>
            <w:vAlign w:val="center"/>
          </w:tcPr>
          <w:p w14:paraId="3309052E" w14:textId="77777777" w:rsidR="00544649" w:rsidRDefault="00000000">
            <w:pPr>
              <w:pStyle w:val="aff1"/>
              <w:spacing w:after="0"/>
              <w:rPr>
                <w:rFonts w:ascii="Times New Roman" w:cs="Times New Roman"/>
              </w:rPr>
            </w:pPr>
            <w:r>
              <w:rPr>
                <w:rFonts w:ascii="Times New Roman" w:cs="Times New Roman"/>
              </w:rPr>
              <w:t>优先保护单元</w:t>
            </w:r>
          </w:p>
        </w:tc>
        <w:tc>
          <w:tcPr>
            <w:tcW w:w="850" w:type="dxa"/>
            <w:vAlign w:val="center"/>
          </w:tcPr>
          <w:p w14:paraId="7C187A6B" w14:textId="77777777" w:rsidR="00544649" w:rsidRDefault="00000000">
            <w:pPr>
              <w:pStyle w:val="aff1"/>
              <w:spacing w:after="0"/>
              <w:rPr>
                <w:rFonts w:ascii="Times New Roman" w:cs="Times New Roman"/>
              </w:rPr>
            </w:pPr>
            <w:r>
              <w:rPr>
                <w:rFonts w:ascii="Times New Roman" w:cs="Times New Roman"/>
              </w:rPr>
              <w:t>24</w:t>
            </w:r>
          </w:p>
        </w:tc>
        <w:tc>
          <w:tcPr>
            <w:tcW w:w="4017" w:type="dxa"/>
            <w:vAlign w:val="center"/>
          </w:tcPr>
          <w:p w14:paraId="521D4A5D" w14:textId="77777777" w:rsidR="00544649" w:rsidRDefault="00000000">
            <w:pPr>
              <w:pStyle w:val="aff1"/>
              <w:spacing w:after="0"/>
              <w:jc w:val="both"/>
              <w:rPr>
                <w:rFonts w:ascii="Times New Roman" w:cs="Times New Roman"/>
              </w:rPr>
            </w:pPr>
            <w:r>
              <w:rPr>
                <w:rFonts w:ascii="Times New Roman" w:cs="Times New Roman"/>
              </w:rPr>
              <w:t>以生态环境保护为主，依法禁止或限制大规模、高强度的工业和城镇建设，在功能受损的优先保护单元优先开展生态保护修复活动，恢复生态系统服务功能。生态保护红线原则上按禁止开发或依现行法律法规规定有条件开发的区域进行管理。严禁不符合国家有关规定的各类开发活动，严禁任意改变用途，严禁任何单位和个人擅自占用和改变用地性质。</w:t>
            </w:r>
          </w:p>
        </w:tc>
        <w:tc>
          <w:tcPr>
            <w:tcW w:w="1687" w:type="dxa"/>
            <w:vAlign w:val="center"/>
          </w:tcPr>
          <w:p w14:paraId="48BAB66A" w14:textId="77777777" w:rsidR="00544649" w:rsidRDefault="00000000">
            <w:pPr>
              <w:pStyle w:val="aff1"/>
              <w:spacing w:after="0"/>
              <w:jc w:val="both"/>
              <w:rPr>
                <w:rFonts w:ascii="Times New Roman" w:cs="Times New Roman"/>
              </w:rPr>
            </w:pPr>
            <w:r>
              <w:rPr>
                <w:rFonts w:cs="Times New Roman"/>
                <w:kern w:val="21"/>
                <w:szCs w:val="21"/>
              </w:rPr>
              <w:t>本项目所在区域不涉及</w:t>
            </w:r>
            <w:r>
              <w:rPr>
                <w:rFonts w:cs="Times New Roman"/>
                <w:kern w:val="21"/>
                <w:szCs w:val="21"/>
                <w:shd w:val="clear" w:color="auto" w:fill="FFFFFF"/>
              </w:rPr>
              <w:t>生态保护红线、饮用水水源保护区、国家公园、湿地公园、自然保护区等，不属于优先保护单元。</w:t>
            </w:r>
          </w:p>
        </w:tc>
        <w:tc>
          <w:tcPr>
            <w:tcW w:w="889" w:type="dxa"/>
            <w:vAlign w:val="center"/>
          </w:tcPr>
          <w:p w14:paraId="3DF4D82D" w14:textId="77777777" w:rsidR="00544649" w:rsidRDefault="00000000">
            <w:pPr>
              <w:pStyle w:val="aff1"/>
              <w:spacing w:after="0"/>
              <w:rPr>
                <w:rFonts w:ascii="Times New Roman" w:cs="Times New Roman"/>
              </w:rPr>
            </w:pPr>
            <w:r>
              <w:rPr>
                <w:rFonts w:ascii="Times New Roman" w:cs="Times New Roman" w:hint="eastAsia"/>
              </w:rPr>
              <w:t>/</w:t>
            </w:r>
          </w:p>
        </w:tc>
      </w:tr>
      <w:tr w:rsidR="00544649" w14:paraId="6AAE2642" w14:textId="77777777">
        <w:trPr>
          <w:jc w:val="center"/>
        </w:trPr>
        <w:tc>
          <w:tcPr>
            <w:tcW w:w="427" w:type="dxa"/>
            <w:vAlign w:val="center"/>
          </w:tcPr>
          <w:p w14:paraId="67B4B2EC" w14:textId="77777777" w:rsidR="00544649" w:rsidRDefault="00000000">
            <w:pPr>
              <w:pStyle w:val="aff1"/>
              <w:spacing w:after="0"/>
              <w:rPr>
                <w:rFonts w:ascii="Times New Roman" w:cs="Times New Roman"/>
              </w:rPr>
            </w:pPr>
            <w:r>
              <w:rPr>
                <w:rFonts w:ascii="Times New Roman" w:cs="Times New Roman"/>
              </w:rPr>
              <w:t>2</w:t>
            </w:r>
          </w:p>
        </w:tc>
        <w:tc>
          <w:tcPr>
            <w:tcW w:w="964" w:type="dxa"/>
            <w:vAlign w:val="center"/>
          </w:tcPr>
          <w:p w14:paraId="1A40F176" w14:textId="77777777" w:rsidR="00544649" w:rsidRDefault="00000000">
            <w:pPr>
              <w:pStyle w:val="aff1"/>
              <w:spacing w:after="0"/>
              <w:rPr>
                <w:rFonts w:ascii="Times New Roman" w:cs="Times New Roman"/>
              </w:rPr>
            </w:pPr>
            <w:r>
              <w:rPr>
                <w:rFonts w:ascii="Times New Roman" w:cs="Times New Roman"/>
              </w:rPr>
              <w:t>重点管控单元</w:t>
            </w:r>
          </w:p>
        </w:tc>
        <w:tc>
          <w:tcPr>
            <w:tcW w:w="850" w:type="dxa"/>
            <w:vAlign w:val="center"/>
          </w:tcPr>
          <w:p w14:paraId="487BFAA8" w14:textId="77777777" w:rsidR="00544649" w:rsidRDefault="00000000">
            <w:pPr>
              <w:pStyle w:val="aff1"/>
              <w:spacing w:after="0"/>
              <w:rPr>
                <w:rFonts w:ascii="Times New Roman" w:cs="Times New Roman"/>
              </w:rPr>
            </w:pPr>
            <w:r>
              <w:rPr>
                <w:rFonts w:ascii="Times New Roman" w:cs="Times New Roman"/>
              </w:rPr>
              <w:t>31</w:t>
            </w:r>
          </w:p>
        </w:tc>
        <w:tc>
          <w:tcPr>
            <w:tcW w:w="4017" w:type="dxa"/>
            <w:vAlign w:val="center"/>
          </w:tcPr>
          <w:p w14:paraId="574BE11C" w14:textId="77777777" w:rsidR="00544649" w:rsidRDefault="00000000">
            <w:pPr>
              <w:pStyle w:val="aff1"/>
              <w:spacing w:after="0"/>
              <w:jc w:val="both"/>
              <w:rPr>
                <w:rFonts w:ascii="Times New Roman" w:cs="Times New Roman"/>
              </w:rPr>
            </w:pPr>
            <w:r>
              <w:rPr>
                <w:rFonts w:ascii="Times New Roman" w:cs="Times New Roman"/>
              </w:rPr>
              <w:t>以环境污染治理和风险防范为主，促进产业转型升级，加强污染排放控制和环境风险防控，不断提升资源利用效率，解决生态环境质量不达标、生态环境风险高等问题，严格落实区域及重点行业污染物允许排放量。其中，城镇重点单元围绕改善人居环境，建设品质宜居城，优化空间布局。禁止新建高污染、高风险工业企业，引导现有企业结合推进新型城镇化、产业结构调整和化解过剩产能等，退城入园，有序搬迁。强化城镇生活污水、大气移动源、扬尘源管控，推动开展污水资源化利用。工业重点单元严格执行相关准入门槛，强化嘉陵江干流一公里范围内企业选址论证，严控水环境风险。加强工业源挥发性有机物治理，提升废气收集率、去除率、治理设施运行率。环境要素重点单元在维护区域生态环境质量的前提下，有针对性地加强污染物和环境风险防控，重点加强农业源、生活源治理。单元内若新布局工业园区、企业，应充分论证环境合理性</w:t>
            </w:r>
          </w:p>
        </w:tc>
        <w:tc>
          <w:tcPr>
            <w:tcW w:w="1687" w:type="dxa"/>
            <w:vAlign w:val="center"/>
          </w:tcPr>
          <w:p w14:paraId="1507E676" w14:textId="77777777" w:rsidR="00544649" w:rsidRDefault="00000000">
            <w:pPr>
              <w:pStyle w:val="aff1"/>
              <w:spacing w:after="0"/>
              <w:jc w:val="both"/>
              <w:rPr>
                <w:rFonts w:ascii="Times New Roman" w:cs="Times New Roman"/>
              </w:rPr>
            </w:pPr>
            <w:r>
              <w:rPr>
                <w:rFonts w:cs="Times New Roman" w:hint="eastAsia"/>
                <w:kern w:val="21"/>
                <w:szCs w:val="21"/>
              </w:rPr>
              <w:t>本项目位于一般管控单元，不涉及城镇重点单元、工业重点单元、环境要素重点单元。</w:t>
            </w:r>
          </w:p>
        </w:tc>
        <w:tc>
          <w:tcPr>
            <w:tcW w:w="889" w:type="dxa"/>
            <w:vAlign w:val="center"/>
          </w:tcPr>
          <w:p w14:paraId="6B20F6EF" w14:textId="77777777" w:rsidR="00544649" w:rsidRDefault="00000000">
            <w:pPr>
              <w:pStyle w:val="aff1"/>
              <w:spacing w:after="0"/>
              <w:rPr>
                <w:rFonts w:ascii="Times New Roman" w:cs="Times New Roman"/>
              </w:rPr>
            </w:pPr>
            <w:r>
              <w:rPr>
                <w:rFonts w:ascii="Times New Roman" w:cs="Times New Roman" w:hint="eastAsia"/>
              </w:rPr>
              <w:t>/</w:t>
            </w:r>
          </w:p>
        </w:tc>
      </w:tr>
      <w:tr w:rsidR="00544649" w14:paraId="253CAA4A" w14:textId="77777777">
        <w:trPr>
          <w:jc w:val="center"/>
        </w:trPr>
        <w:tc>
          <w:tcPr>
            <w:tcW w:w="427" w:type="dxa"/>
            <w:vAlign w:val="center"/>
          </w:tcPr>
          <w:p w14:paraId="35FEA07F" w14:textId="77777777" w:rsidR="00544649" w:rsidRDefault="00000000">
            <w:pPr>
              <w:pStyle w:val="aff1"/>
              <w:spacing w:after="0"/>
              <w:rPr>
                <w:rFonts w:ascii="Times New Roman" w:cs="Times New Roman"/>
              </w:rPr>
            </w:pPr>
            <w:r>
              <w:rPr>
                <w:rFonts w:ascii="Times New Roman" w:cs="Times New Roman"/>
              </w:rPr>
              <w:lastRenderedPageBreak/>
              <w:t>3</w:t>
            </w:r>
          </w:p>
        </w:tc>
        <w:tc>
          <w:tcPr>
            <w:tcW w:w="964" w:type="dxa"/>
            <w:vAlign w:val="center"/>
          </w:tcPr>
          <w:p w14:paraId="045FFEE8" w14:textId="77777777" w:rsidR="00544649" w:rsidRDefault="00000000">
            <w:pPr>
              <w:pStyle w:val="aff1"/>
              <w:spacing w:after="0"/>
              <w:rPr>
                <w:rFonts w:ascii="Times New Roman" w:cs="Times New Roman"/>
              </w:rPr>
            </w:pPr>
            <w:r>
              <w:rPr>
                <w:rFonts w:ascii="Times New Roman" w:cs="Times New Roman"/>
              </w:rPr>
              <w:t>一般管控单元</w:t>
            </w:r>
          </w:p>
        </w:tc>
        <w:tc>
          <w:tcPr>
            <w:tcW w:w="850" w:type="dxa"/>
            <w:vAlign w:val="center"/>
          </w:tcPr>
          <w:p w14:paraId="71C2CACB" w14:textId="77777777" w:rsidR="00544649" w:rsidRDefault="00000000">
            <w:pPr>
              <w:pStyle w:val="aff1"/>
              <w:spacing w:after="0"/>
              <w:rPr>
                <w:rFonts w:ascii="Times New Roman" w:cs="Times New Roman"/>
              </w:rPr>
            </w:pPr>
            <w:r>
              <w:rPr>
                <w:rFonts w:ascii="Times New Roman" w:cs="Times New Roman"/>
              </w:rPr>
              <w:t>7</w:t>
            </w:r>
          </w:p>
        </w:tc>
        <w:tc>
          <w:tcPr>
            <w:tcW w:w="4017" w:type="dxa"/>
            <w:vAlign w:val="center"/>
          </w:tcPr>
          <w:p w14:paraId="58EAB6A5" w14:textId="77777777" w:rsidR="00544649" w:rsidRDefault="00000000">
            <w:pPr>
              <w:pStyle w:val="aff1"/>
              <w:spacing w:after="0"/>
              <w:jc w:val="both"/>
              <w:rPr>
                <w:rFonts w:ascii="Times New Roman" w:cs="Times New Roman"/>
              </w:rPr>
            </w:pPr>
            <w:r>
              <w:rPr>
                <w:rFonts w:ascii="Times New Roman" w:cs="Times New Roman"/>
              </w:rPr>
              <w:t>以生态环境保护与适度开发相结合，开发建设中应落实生态环境保护基本要求。</w:t>
            </w:r>
          </w:p>
        </w:tc>
        <w:tc>
          <w:tcPr>
            <w:tcW w:w="1687" w:type="dxa"/>
            <w:vAlign w:val="center"/>
          </w:tcPr>
          <w:p w14:paraId="3F6DBD2B" w14:textId="77777777" w:rsidR="00544649" w:rsidRDefault="00000000">
            <w:pPr>
              <w:pStyle w:val="aff1"/>
              <w:spacing w:after="0"/>
              <w:rPr>
                <w:rFonts w:ascii="Times New Roman" w:cs="Times New Roman"/>
              </w:rPr>
            </w:pPr>
            <w:r>
              <w:rPr>
                <w:rFonts w:cs="Times New Roman"/>
                <w:kern w:val="21"/>
                <w:szCs w:val="21"/>
              </w:rPr>
              <w:t>本项目所在区域为</w:t>
            </w:r>
            <w:r>
              <w:rPr>
                <w:rFonts w:cs="Times New Roman"/>
                <w:kern w:val="21"/>
                <w:szCs w:val="21"/>
                <w:shd w:val="clear" w:color="auto" w:fill="FFFFFF"/>
              </w:rPr>
              <w:t>一般管控单元</w:t>
            </w:r>
            <w:r>
              <w:rPr>
                <w:rFonts w:cs="Times New Roman"/>
                <w:kern w:val="21"/>
                <w:szCs w:val="21"/>
              </w:rPr>
              <w:t>，</w:t>
            </w:r>
            <w:r>
              <w:rPr>
                <w:rFonts w:cs="Times New Roman" w:hint="eastAsia"/>
                <w:kern w:val="21"/>
                <w:szCs w:val="21"/>
              </w:rPr>
              <w:t>本项目为鸡的养殖，项目在开发建设过程中落实各项生态环境保护措施，符合一般管控单元的要求。</w:t>
            </w:r>
          </w:p>
        </w:tc>
        <w:tc>
          <w:tcPr>
            <w:tcW w:w="889" w:type="dxa"/>
            <w:vAlign w:val="center"/>
          </w:tcPr>
          <w:p w14:paraId="6FFF03AB" w14:textId="77777777" w:rsidR="00544649" w:rsidRDefault="00000000">
            <w:pPr>
              <w:pStyle w:val="aff1"/>
              <w:spacing w:after="0"/>
              <w:rPr>
                <w:rFonts w:ascii="Times New Roman" w:cs="Times New Roman"/>
              </w:rPr>
            </w:pPr>
            <w:r>
              <w:rPr>
                <w:rFonts w:ascii="Times New Roman" w:cs="Times New Roman" w:hint="eastAsia"/>
              </w:rPr>
              <w:t>符合</w:t>
            </w:r>
          </w:p>
        </w:tc>
      </w:tr>
      <w:tr w:rsidR="00544649" w14:paraId="261F0762" w14:textId="77777777">
        <w:trPr>
          <w:jc w:val="center"/>
        </w:trPr>
        <w:tc>
          <w:tcPr>
            <w:tcW w:w="1391" w:type="dxa"/>
            <w:gridSpan w:val="2"/>
            <w:vAlign w:val="center"/>
          </w:tcPr>
          <w:p w14:paraId="235D9367" w14:textId="77777777" w:rsidR="00544649" w:rsidRDefault="00000000">
            <w:pPr>
              <w:pStyle w:val="aff1"/>
              <w:spacing w:after="0"/>
              <w:rPr>
                <w:rFonts w:ascii="Times New Roman" w:cs="Times New Roman"/>
              </w:rPr>
            </w:pPr>
            <w:r>
              <w:rPr>
                <w:rFonts w:ascii="Times New Roman" w:cs="Times New Roman"/>
              </w:rPr>
              <w:t>合计</w:t>
            </w:r>
          </w:p>
        </w:tc>
        <w:tc>
          <w:tcPr>
            <w:tcW w:w="850" w:type="dxa"/>
            <w:vAlign w:val="center"/>
          </w:tcPr>
          <w:p w14:paraId="57ECAAF0" w14:textId="77777777" w:rsidR="00544649" w:rsidRDefault="00000000">
            <w:pPr>
              <w:pStyle w:val="aff1"/>
              <w:spacing w:after="0"/>
              <w:rPr>
                <w:rFonts w:ascii="Times New Roman" w:cs="Times New Roman"/>
              </w:rPr>
            </w:pPr>
            <w:r>
              <w:rPr>
                <w:rFonts w:ascii="Times New Roman" w:cs="Times New Roman"/>
              </w:rPr>
              <w:t>62</w:t>
            </w:r>
          </w:p>
        </w:tc>
        <w:tc>
          <w:tcPr>
            <w:tcW w:w="4017" w:type="dxa"/>
            <w:vAlign w:val="center"/>
          </w:tcPr>
          <w:p w14:paraId="2D668ED5" w14:textId="77777777" w:rsidR="00544649" w:rsidRDefault="00000000">
            <w:pPr>
              <w:pStyle w:val="aff1"/>
              <w:spacing w:after="0"/>
              <w:rPr>
                <w:rFonts w:ascii="Times New Roman" w:cs="Times New Roman"/>
              </w:rPr>
            </w:pPr>
            <w:r>
              <w:rPr>
                <w:rFonts w:ascii="Times New Roman" w:cs="Times New Roman"/>
              </w:rPr>
              <w:t>/</w:t>
            </w:r>
          </w:p>
        </w:tc>
        <w:tc>
          <w:tcPr>
            <w:tcW w:w="1687" w:type="dxa"/>
            <w:vAlign w:val="center"/>
          </w:tcPr>
          <w:p w14:paraId="52824C75" w14:textId="77777777" w:rsidR="00544649" w:rsidRDefault="00000000">
            <w:pPr>
              <w:pStyle w:val="aff1"/>
              <w:spacing w:after="0"/>
              <w:rPr>
                <w:rFonts w:ascii="Times New Roman" w:cs="Times New Roman"/>
              </w:rPr>
            </w:pPr>
            <w:r>
              <w:rPr>
                <w:rFonts w:ascii="Times New Roman" w:cs="Times New Roman" w:hint="eastAsia"/>
              </w:rPr>
              <w:t>/</w:t>
            </w:r>
          </w:p>
        </w:tc>
        <w:tc>
          <w:tcPr>
            <w:tcW w:w="889" w:type="dxa"/>
            <w:vAlign w:val="center"/>
          </w:tcPr>
          <w:p w14:paraId="6BBBFE7E" w14:textId="77777777" w:rsidR="00544649" w:rsidRDefault="00000000">
            <w:pPr>
              <w:pStyle w:val="aff1"/>
              <w:spacing w:after="0"/>
              <w:rPr>
                <w:rFonts w:ascii="Times New Roman" w:cs="Times New Roman"/>
              </w:rPr>
            </w:pPr>
            <w:r>
              <w:rPr>
                <w:rFonts w:ascii="Times New Roman" w:cs="Times New Roman" w:hint="eastAsia"/>
              </w:rPr>
              <w:t>/</w:t>
            </w:r>
          </w:p>
        </w:tc>
      </w:tr>
    </w:tbl>
    <w:p w14:paraId="0F6B0BC1" w14:textId="77777777" w:rsidR="00544649" w:rsidRDefault="00000000">
      <w:pPr>
        <w:adjustRightInd w:val="0"/>
        <w:snapToGrid w:val="0"/>
        <w:spacing w:after="0"/>
        <w:ind w:firstLine="480"/>
        <w:rPr>
          <w:kern w:val="21"/>
        </w:rPr>
      </w:pPr>
      <w:r>
        <w:rPr>
          <w:rFonts w:hint="eastAsia"/>
          <w:kern w:val="21"/>
        </w:rPr>
        <w:t>本项目与广元市环境管控单元位置关系见下图。</w:t>
      </w:r>
    </w:p>
    <w:p w14:paraId="18AE93BA" w14:textId="77777777" w:rsidR="00544649" w:rsidRDefault="00000000">
      <w:pPr>
        <w:pStyle w:val="aff0"/>
        <w:spacing w:after="0"/>
        <w:ind w:firstLineChars="0" w:firstLine="0"/>
        <w:jc w:val="center"/>
        <w:rPr>
          <w:rFonts w:hint="eastAsia"/>
        </w:rPr>
      </w:pPr>
      <w:r>
        <w:rPr>
          <w:noProof/>
          <w:kern w:val="21"/>
        </w:rPr>
        <mc:AlternateContent>
          <mc:Choice Requires="wps">
            <w:drawing>
              <wp:anchor distT="0" distB="0" distL="114300" distR="114300" simplePos="0" relativeHeight="251660288" behindDoc="0" locked="0" layoutInCell="1" allowOverlap="1" wp14:anchorId="7B28852E" wp14:editId="5C8A30E4">
                <wp:simplePos x="0" y="0"/>
                <wp:positionH relativeFrom="column">
                  <wp:posOffset>2514600</wp:posOffset>
                </wp:positionH>
                <wp:positionV relativeFrom="paragraph">
                  <wp:posOffset>2674620</wp:posOffset>
                </wp:positionV>
                <wp:extent cx="1160780" cy="303530"/>
                <wp:effectExtent l="209550" t="361950" r="20320" b="20320"/>
                <wp:wrapNone/>
                <wp:docPr id="66" name="矩形标注 66"/>
                <wp:cNvGraphicFramePr/>
                <a:graphic xmlns:a="http://schemas.openxmlformats.org/drawingml/2006/main">
                  <a:graphicData uri="http://schemas.microsoft.com/office/word/2010/wordprocessingShape">
                    <wps:wsp>
                      <wps:cNvSpPr/>
                      <wps:spPr>
                        <a:xfrm>
                          <a:off x="0" y="0"/>
                          <a:ext cx="1160780" cy="303530"/>
                        </a:xfrm>
                        <a:prstGeom prst="wedgeRectCallout">
                          <a:avLst>
                            <a:gd name="adj1" fmla="val -63457"/>
                            <a:gd name="adj2" fmla="val -158159"/>
                          </a:avLst>
                        </a:prstGeom>
                        <a:solidFill>
                          <a:srgbClr val="FFFFFF"/>
                        </a:solidFill>
                        <a:ln w="12700"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A8FF4F" w14:textId="77777777" w:rsidR="00544649" w:rsidRDefault="00000000">
                            <w:pPr>
                              <w:snapToGrid w:val="0"/>
                              <w:spacing w:line="240" w:lineRule="auto"/>
                              <w:ind w:firstLineChars="0" w:firstLine="0"/>
                              <w:jc w:val="center"/>
                              <w:rPr>
                                <w:rFonts w:ascii="仿宋" w:eastAsia="仿宋" w:hAnsi="仿宋" w:cs="仿宋" w:hint="eastAsia"/>
                                <w:b/>
                                <w:bCs/>
                                <w:color w:val="FF0000"/>
                                <w:szCs w:val="24"/>
                              </w:rPr>
                            </w:pPr>
                            <w:r>
                              <w:rPr>
                                <w:rFonts w:ascii="仿宋" w:eastAsia="仿宋" w:hAnsi="仿宋" w:cs="仿宋" w:hint="eastAsia"/>
                                <w:b/>
                                <w:bCs/>
                                <w:color w:val="FF0000"/>
                                <w:szCs w:val="24"/>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B28852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66" o:spid="_x0000_s1026" type="#_x0000_t61" style="position:absolute;left:0;text-align:left;margin-left:198pt;margin-top:210.6pt;width:91.4pt;height:2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" adj="-2907,-23362" strokecolor="red" strokeweight="1pt">
                <v:textbox>
                  <w:txbxContent>
                    <w:p w14:paraId="7EA8FF4F" w14:textId="77777777" w:rsidR="00544649" w:rsidRDefault="00000000">
                      <w:pPr>
                        <w:snapToGrid w:val="0"/>
                        <w:spacing w:line="240" w:lineRule="auto"/>
                        <w:ind w:firstLineChars="0" w:firstLine="0"/>
                        <w:jc w:val="center"/>
                        <w:rPr>
                          <w:rFonts w:ascii="仿宋" w:eastAsia="仿宋" w:hAnsi="仿宋" w:cs="仿宋" w:hint="eastAsia"/>
                          <w:b/>
                          <w:bCs/>
                          <w:color w:val="FF0000"/>
                          <w:szCs w:val="24"/>
                        </w:rPr>
                      </w:pPr>
                      <w:r>
                        <w:rPr>
                          <w:rFonts w:ascii="仿宋" w:eastAsia="仿宋" w:hAnsi="仿宋" w:cs="仿宋" w:hint="eastAsia"/>
                          <w:b/>
                          <w:bCs/>
                          <w:color w:val="FF0000"/>
                          <w:szCs w:val="24"/>
                        </w:rPr>
                        <w:t>本项目所在地</w:t>
                      </w:r>
                    </w:p>
                  </w:txbxContent>
                </v:textbox>
              </v:shape>
            </w:pict>
          </mc:Fallback>
        </mc:AlternateContent>
      </w:r>
      <w:r>
        <w:rPr>
          <w:noProof/>
          <w:szCs w:val="21"/>
        </w:rPr>
        <w:drawing>
          <wp:inline distT="0" distB="0" distL="0" distR="0" wp14:anchorId="3C828C58" wp14:editId="774EECEC">
            <wp:extent cx="5334000" cy="4025900"/>
            <wp:effectExtent l="0" t="0" r="0" b="12700"/>
            <wp:docPr id="1926848088" name="图片 5" descr="广元市环境管控单元图（2024年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8088" name="图片 5" descr="广元市环境管控单元图（2024年版）"/>
                    <pic:cNvPicPr>
                      <a:picLocks noChangeAspect="1"/>
                    </pic:cNvPicPr>
                  </pic:nvPicPr>
                  <pic:blipFill>
                    <a:blip r:embed="rId24">
                      <a:extLst>
                        <a:ext uri="{28A0092B-C50C-407E-A947-70E740481C1C}">
                          <a14:useLocalDpi xmlns:a14="http://schemas.microsoft.com/office/drawing/2010/main" val="0"/>
                        </a:ext>
                      </a:extLst>
                    </a:blip>
                    <a:srcRect l="1849" t="2729" r="1838" b="2729"/>
                    <a:stretch>
                      <a:fillRect/>
                    </a:stretch>
                  </pic:blipFill>
                  <pic:spPr>
                    <a:xfrm>
                      <a:off x="0" y="0"/>
                      <a:ext cx="5334000" cy="4025900"/>
                    </a:xfrm>
                    <a:prstGeom prst="rect">
                      <a:avLst/>
                    </a:prstGeom>
                    <a:noFill/>
                    <a:ln>
                      <a:noFill/>
                    </a:ln>
                  </pic:spPr>
                </pic:pic>
              </a:graphicData>
            </a:graphic>
          </wp:inline>
        </w:drawing>
      </w:r>
    </w:p>
    <w:p w14:paraId="7C660B47" w14:textId="77777777" w:rsidR="00544649" w:rsidRDefault="00000000">
      <w:pPr>
        <w:numPr>
          <w:ilvl w:val="0"/>
          <w:numId w:val="14"/>
        </w:numPr>
        <w:adjustRightInd w:val="0"/>
        <w:snapToGrid w:val="0"/>
        <w:spacing w:after="0" w:line="240" w:lineRule="auto"/>
        <w:ind w:left="0" w:firstLineChars="0" w:firstLine="0"/>
        <w:jc w:val="center"/>
        <w:rPr>
          <w:rFonts w:cs="Times New Roman"/>
          <w:kern w:val="21"/>
        </w:rPr>
      </w:pPr>
      <w:r>
        <w:rPr>
          <w:rFonts w:cs="Times New Roman"/>
          <w:b/>
          <w:kern w:val="21"/>
          <w:sz w:val="21"/>
          <w:szCs w:val="21"/>
        </w:rPr>
        <w:t>本项目与</w:t>
      </w:r>
      <w:r>
        <w:rPr>
          <w:rFonts w:cs="Times New Roman" w:hint="eastAsia"/>
          <w:b/>
          <w:kern w:val="21"/>
          <w:sz w:val="21"/>
          <w:szCs w:val="21"/>
        </w:rPr>
        <w:t>广元</w:t>
      </w:r>
      <w:r>
        <w:rPr>
          <w:rFonts w:cs="Times New Roman"/>
          <w:b/>
          <w:kern w:val="21"/>
          <w:sz w:val="21"/>
          <w:szCs w:val="21"/>
        </w:rPr>
        <w:t>市环境管控单元位置关系图</w:t>
      </w:r>
    </w:p>
    <w:p w14:paraId="71CB9249" w14:textId="77777777" w:rsidR="00544649" w:rsidRDefault="00000000">
      <w:pPr>
        <w:adjustRightInd w:val="0"/>
        <w:snapToGrid w:val="0"/>
        <w:spacing w:beforeLines="50" w:before="163" w:after="0"/>
        <w:ind w:firstLine="480"/>
        <w:rPr>
          <w:rFonts w:cs="Times New Roman"/>
          <w:kern w:val="21"/>
          <w:szCs w:val="24"/>
        </w:rPr>
      </w:pPr>
      <w:r>
        <w:rPr>
          <w:rFonts w:cs="Times New Roman" w:hint="eastAsia"/>
          <w:kern w:val="21"/>
          <w:szCs w:val="24"/>
        </w:rPr>
        <w:t>由上图可知，本项目位于广元</w:t>
      </w:r>
      <w:proofErr w:type="gramStart"/>
      <w:r>
        <w:rPr>
          <w:rFonts w:cs="Times New Roman" w:hint="eastAsia"/>
          <w:kern w:val="21"/>
          <w:szCs w:val="24"/>
        </w:rPr>
        <w:t>市一般管</w:t>
      </w:r>
      <w:proofErr w:type="gramEnd"/>
      <w:r>
        <w:rPr>
          <w:rFonts w:cs="Times New Roman" w:hint="eastAsia"/>
          <w:kern w:val="21"/>
          <w:szCs w:val="24"/>
        </w:rPr>
        <w:t>控单元。</w:t>
      </w:r>
    </w:p>
    <w:p w14:paraId="29B7DF26" w14:textId="77777777" w:rsidR="00544649" w:rsidRDefault="00000000">
      <w:pPr>
        <w:adjustRightInd w:val="0"/>
        <w:snapToGrid w:val="0"/>
        <w:spacing w:after="0"/>
        <w:ind w:firstLine="482"/>
        <w:rPr>
          <w:rFonts w:cs="Times New Roman"/>
          <w:b/>
          <w:bCs/>
          <w:kern w:val="21"/>
        </w:rPr>
      </w:pPr>
      <w:r>
        <w:rPr>
          <w:rFonts w:cs="Times New Roman" w:hint="eastAsia"/>
          <w:b/>
          <w:bCs/>
          <w:kern w:val="21"/>
        </w:rPr>
        <w:t>②广元市及各县（市、区）总体生态环境管控要求</w:t>
      </w:r>
    </w:p>
    <w:p w14:paraId="0DF88C8D" w14:textId="77777777" w:rsidR="00544649" w:rsidRDefault="00000000">
      <w:pPr>
        <w:adjustRightInd w:val="0"/>
        <w:snapToGrid w:val="0"/>
        <w:spacing w:after="0"/>
        <w:ind w:firstLine="480"/>
        <w:rPr>
          <w:rFonts w:cs="Times New Roman"/>
          <w:kern w:val="21"/>
        </w:rPr>
      </w:pPr>
      <w:r>
        <w:rPr>
          <w:rFonts w:cs="Times New Roman" w:hint="eastAsia"/>
          <w:kern w:val="21"/>
        </w:rPr>
        <w:t>针对划定的分区管控单元提出市、县（区）总体准入要求。本项目与广元市全市及旺苍</w:t>
      </w:r>
      <w:proofErr w:type="gramStart"/>
      <w:r>
        <w:rPr>
          <w:rFonts w:cs="Times New Roman" w:hint="eastAsia"/>
          <w:kern w:val="21"/>
        </w:rPr>
        <w:t>县总体</w:t>
      </w:r>
      <w:proofErr w:type="gramEnd"/>
      <w:r>
        <w:rPr>
          <w:rFonts w:cs="Times New Roman" w:hint="eastAsia"/>
          <w:kern w:val="21"/>
        </w:rPr>
        <w:t>生态环境管</w:t>
      </w:r>
      <w:proofErr w:type="gramStart"/>
      <w:r>
        <w:rPr>
          <w:rFonts w:cs="Times New Roman" w:hint="eastAsia"/>
          <w:kern w:val="21"/>
        </w:rPr>
        <w:t>控要求</w:t>
      </w:r>
      <w:proofErr w:type="gramEnd"/>
      <w:r>
        <w:rPr>
          <w:rFonts w:cs="Times New Roman" w:hint="eastAsia"/>
          <w:kern w:val="21"/>
        </w:rPr>
        <w:t>符合性分析见下表</w:t>
      </w:r>
    </w:p>
    <w:p w14:paraId="1334A53D" w14:textId="77777777" w:rsidR="00544649" w:rsidRDefault="00000000">
      <w:pPr>
        <w:widowControl/>
        <w:numPr>
          <w:ilvl w:val="0"/>
          <w:numId w:val="13"/>
        </w:numPr>
        <w:adjustRightInd w:val="0"/>
        <w:snapToGrid w:val="0"/>
        <w:spacing w:after="0" w:line="240" w:lineRule="auto"/>
        <w:ind w:firstLineChars="0"/>
        <w:jc w:val="center"/>
        <w:rPr>
          <w:rFonts w:cs="Times New Roman"/>
          <w:b/>
          <w:bCs/>
          <w:kern w:val="21"/>
          <w:sz w:val="21"/>
          <w:szCs w:val="20"/>
        </w:rPr>
      </w:pPr>
      <w:r>
        <w:rPr>
          <w:rFonts w:cs="Times New Roman"/>
          <w:b/>
          <w:bCs/>
          <w:kern w:val="21"/>
          <w:sz w:val="21"/>
          <w:szCs w:val="20"/>
        </w:rPr>
        <w:t>本项目与</w:t>
      </w:r>
      <w:r>
        <w:rPr>
          <w:rFonts w:cs="Times New Roman" w:hint="eastAsia"/>
          <w:b/>
          <w:bCs/>
          <w:kern w:val="21"/>
          <w:sz w:val="21"/>
          <w:szCs w:val="20"/>
        </w:rPr>
        <w:t>广元市及剑阁</w:t>
      </w:r>
      <w:proofErr w:type="gramStart"/>
      <w:r>
        <w:rPr>
          <w:rFonts w:cs="Times New Roman" w:hint="eastAsia"/>
          <w:b/>
          <w:bCs/>
          <w:kern w:val="21"/>
          <w:sz w:val="21"/>
          <w:szCs w:val="20"/>
        </w:rPr>
        <w:t>县总体</w:t>
      </w:r>
      <w:proofErr w:type="gramEnd"/>
      <w:r>
        <w:rPr>
          <w:rFonts w:cs="Times New Roman" w:hint="eastAsia"/>
          <w:b/>
          <w:bCs/>
          <w:kern w:val="21"/>
          <w:sz w:val="21"/>
          <w:szCs w:val="20"/>
        </w:rPr>
        <w:t>生态环境管</w:t>
      </w:r>
      <w:proofErr w:type="gramStart"/>
      <w:r>
        <w:rPr>
          <w:rFonts w:cs="Times New Roman" w:hint="eastAsia"/>
          <w:b/>
          <w:bCs/>
          <w:kern w:val="21"/>
          <w:sz w:val="21"/>
          <w:szCs w:val="20"/>
        </w:rPr>
        <w:t>控要求</w:t>
      </w:r>
      <w:proofErr w:type="gramEnd"/>
      <w:r>
        <w:rPr>
          <w:rFonts w:cs="Times New Roman" w:hint="eastAsia"/>
          <w:b/>
          <w:bCs/>
          <w:kern w:val="21"/>
          <w:sz w:val="21"/>
          <w:szCs w:val="20"/>
        </w:rPr>
        <w:t>符合性</w:t>
      </w:r>
      <w:r>
        <w:rPr>
          <w:rFonts w:cs="Times New Roman"/>
          <w:b/>
          <w:bCs/>
          <w:kern w:val="21"/>
          <w:sz w:val="21"/>
          <w:szCs w:val="20"/>
        </w:rPr>
        <w:t>分析</w:t>
      </w:r>
    </w:p>
    <w:tbl>
      <w:tblPr>
        <w:tblStyle w:val="afc"/>
        <w:tblW w:w="8834" w:type="dxa"/>
        <w:jc w:val="center"/>
        <w:tblLayout w:type="fixed"/>
        <w:tblLook w:val="04A0" w:firstRow="1" w:lastRow="0" w:firstColumn="1" w:lastColumn="0" w:noHBand="0" w:noVBand="1"/>
      </w:tblPr>
      <w:tblGrid>
        <w:gridCol w:w="846"/>
        <w:gridCol w:w="4678"/>
        <w:gridCol w:w="2551"/>
        <w:gridCol w:w="759"/>
      </w:tblGrid>
      <w:tr w:rsidR="00544649" w14:paraId="1E730230" w14:textId="77777777">
        <w:trPr>
          <w:jc w:val="center"/>
        </w:trPr>
        <w:tc>
          <w:tcPr>
            <w:tcW w:w="846" w:type="dxa"/>
            <w:vAlign w:val="center"/>
          </w:tcPr>
          <w:p w14:paraId="65B3C87C" w14:textId="77777777" w:rsidR="00544649" w:rsidRDefault="00000000">
            <w:pPr>
              <w:adjustRightInd w:val="0"/>
              <w:snapToGrid w:val="0"/>
              <w:spacing w:after="0" w:line="240" w:lineRule="auto"/>
              <w:ind w:firstLineChars="0" w:firstLine="0"/>
              <w:jc w:val="center"/>
              <w:rPr>
                <w:rFonts w:cs="Times New Roman"/>
                <w:b/>
                <w:bCs/>
                <w:kern w:val="21"/>
                <w:sz w:val="21"/>
                <w:szCs w:val="21"/>
              </w:rPr>
            </w:pPr>
            <w:r>
              <w:rPr>
                <w:rFonts w:cs="Times New Roman"/>
                <w:b/>
                <w:bCs/>
                <w:kern w:val="21"/>
                <w:sz w:val="21"/>
                <w:szCs w:val="21"/>
              </w:rPr>
              <w:t>行政区划</w:t>
            </w:r>
          </w:p>
        </w:tc>
        <w:tc>
          <w:tcPr>
            <w:tcW w:w="4678" w:type="dxa"/>
            <w:vAlign w:val="center"/>
          </w:tcPr>
          <w:p w14:paraId="3D1F2725" w14:textId="77777777" w:rsidR="00544649" w:rsidRDefault="00000000">
            <w:pPr>
              <w:adjustRightInd w:val="0"/>
              <w:snapToGrid w:val="0"/>
              <w:spacing w:after="0" w:line="240" w:lineRule="auto"/>
              <w:ind w:firstLineChars="0" w:firstLine="0"/>
              <w:jc w:val="center"/>
              <w:rPr>
                <w:rFonts w:cs="Times New Roman"/>
                <w:b/>
                <w:bCs/>
                <w:kern w:val="21"/>
                <w:sz w:val="21"/>
                <w:szCs w:val="21"/>
              </w:rPr>
            </w:pPr>
            <w:r>
              <w:rPr>
                <w:rFonts w:cs="Times New Roman" w:hint="eastAsia"/>
                <w:b/>
                <w:bCs/>
                <w:kern w:val="21"/>
                <w:sz w:val="21"/>
                <w:szCs w:val="21"/>
              </w:rPr>
              <w:t>生态环境准入总体要求</w:t>
            </w:r>
          </w:p>
        </w:tc>
        <w:tc>
          <w:tcPr>
            <w:tcW w:w="2551" w:type="dxa"/>
            <w:vAlign w:val="center"/>
          </w:tcPr>
          <w:p w14:paraId="6F2D9812" w14:textId="77777777" w:rsidR="00544649" w:rsidRDefault="00000000">
            <w:pPr>
              <w:adjustRightInd w:val="0"/>
              <w:snapToGrid w:val="0"/>
              <w:spacing w:after="0" w:line="240" w:lineRule="auto"/>
              <w:ind w:firstLineChars="0" w:firstLine="0"/>
              <w:jc w:val="center"/>
              <w:rPr>
                <w:rFonts w:cs="Times New Roman"/>
                <w:b/>
                <w:bCs/>
                <w:kern w:val="21"/>
                <w:sz w:val="21"/>
                <w:szCs w:val="21"/>
              </w:rPr>
            </w:pPr>
            <w:r>
              <w:rPr>
                <w:rFonts w:cs="Times New Roman"/>
                <w:b/>
                <w:bCs/>
                <w:kern w:val="21"/>
                <w:sz w:val="21"/>
                <w:szCs w:val="21"/>
              </w:rPr>
              <w:t>本项目拟建设情况</w:t>
            </w:r>
          </w:p>
        </w:tc>
        <w:tc>
          <w:tcPr>
            <w:tcW w:w="759" w:type="dxa"/>
            <w:vAlign w:val="center"/>
          </w:tcPr>
          <w:p w14:paraId="432FDE61" w14:textId="77777777" w:rsidR="00544649" w:rsidRDefault="00000000">
            <w:pPr>
              <w:adjustRightInd w:val="0"/>
              <w:snapToGrid w:val="0"/>
              <w:spacing w:after="0" w:line="240" w:lineRule="auto"/>
              <w:ind w:firstLineChars="0" w:firstLine="0"/>
              <w:jc w:val="center"/>
              <w:rPr>
                <w:rFonts w:cs="Times New Roman"/>
                <w:b/>
                <w:bCs/>
                <w:kern w:val="21"/>
                <w:sz w:val="21"/>
                <w:szCs w:val="21"/>
              </w:rPr>
            </w:pPr>
            <w:r>
              <w:rPr>
                <w:rFonts w:cs="Times New Roman"/>
                <w:b/>
                <w:bCs/>
                <w:kern w:val="21"/>
                <w:sz w:val="21"/>
                <w:szCs w:val="21"/>
              </w:rPr>
              <w:t>符合性</w:t>
            </w:r>
          </w:p>
        </w:tc>
      </w:tr>
      <w:tr w:rsidR="00544649" w14:paraId="5646D6BB" w14:textId="77777777">
        <w:trPr>
          <w:jc w:val="center"/>
        </w:trPr>
        <w:tc>
          <w:tcPr>
            <w:tcW w:w="846" w:type="dxa"/>
            <w:vAlign w:val="center"/>
          </w:tcPr>
          <w:p w14:paraId="3D27A1D6" w14:textId="77777777" w:rsidR="00544649" w:rsidRDefault="00000000">
            <w:pPr>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广元市</w:t>
            </w:r>
          </w:p>
        </w:tc>
        <w:tc>
          <w:tcPr>
            <w:tcW w:w="4678" w:type="dxa"/>
            <w:vAlign w:val="center"/>
          </w:tcPr>
          <w:p w14:paraId="347863A3"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1.</w:t>
            </w:r>
            <w:r>
              <w:rPr>
                <w:rFonts w:cs="Times New Roman" w:hint="eastAsia"/>
                <w:kern w:val="21"/>
                <w:sz w:val="21"/>
                <w:szCs w:val="21"/>
              </w:rPr>
              <w:t>长江干支流岸线一公里范围内不得新建、扩建</w:t>
            </w:r>
            <w:r>
              <w:rPr>
                <w:rFonts w:cs="Times New Roman" w:hint="eastAsia"/>
                <w:kern w:val="21"/>
                <w:sz w:val="21"/>
                <w:szCs w:val="21"/>
              </w:rPr>
              <w:lastRenderedPageBreak/>
              <w:t>化工园区和化工项目。长江干流岸线三公里范围内和重要支流岸线一公里范围内不得新建、改建、扩建尾矿库。以提升安全、生态环境保护水平为目的的改建除外。</w:t>
            </w:r>
          </w:p>
          <w:p w14:paraId="09933657"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2.</w:t>
            </w:r>
            <w:r>
              <w:rPr>
                <w:rFonts w:cs="Times New Roman" w:hint="eastAsia"/>
                <w:kern w:val="21"/>
                <w:sz w:val="21"/>
                <w:szCs w:val="21"/>
              </w:rPr>
              <w:t>落实《长江流域重点水域禁捕和建立补偿制度实施方案》，长江流域重点水域常年禁捕。</w:t>
            </w:r>
          </w:p>
          <w:p w14:paraId="6F985E13"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3.</w:t>
            </w:r>
            <w:r>
              <w:rPr>
                <w:rFonts w:cs="Times New Roman" w:hint="eastAsia"/>
                <w:kern w:val="21"/>
                <w:sz w:val="21"/>
                <w:szCs w:val="21"/>
              </w:rPr>
              <w:t>结合地区资源环境禀赋，合理布局承接产业，加强环保基础设施建设，确保环境质量不降低。承接钢铁、电解铝等产业转移地区应严格落实生态环境分区管控要求，将环境质量底线作为硬约束。</w:t>
            </w:r>
          </w:p>
          <w:p w14:paraId="435E0121"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4.</w:t>
            </w:r>
            <w:r>
              <w:rPr>
                <w:rFonts w:cs="Times New Roman" w:hint="eastAsia"/>
                <w:kern w:val="21"/>
                <w:sz w:val="21"/>
                <w:szCs w:val="21"/>
              </w:rPr>
              <w:t>大熊猫国家公园严格按照《大熊猫国家公园总体规划（</w:t>
            </w:r>
            <w:r>
              <w:rPr>
                <w:rFonts w:cs="Times New Roman" w:hint="eastAsia"/>
                <w:kern w:val="21"/>
                <w:sz w:val="21"/>
                <w:szCs w:val="21"/>
              </w:rPr>
              <w:t>2023</w:t>
            </w:r>
            <w:r>
              <w:rPr>
                <w:rFonts w:cs="Times New Roman" w:hint="eastAsia"/>
                <w:kern w:val="21"/>
                <w:sz w:val="21"/>
                <w:szCs w:val="21"/>
              </w:rPr>
              <w:t>—</w:t>
            </w:r>
            <w:r>
              <w:rPr>
                <w:rFonts w:cs="Times New Roman" w:hint="eastAsia"/>
                <w:kern w:val="21"/>
                <w:sz w:val="21"/>
                <w:szCs w:val="21"/>
              </w:rPr>
              <w:t>2030</w:t>
            </w:r>
            <w:r>
              <w:rPr>
                <w:rFonts w:cs="Times New Roman" w:hint="eastAsia"/>
                <w:kern w:val="21"/>
                <w:sz w:val="21"/>
                <w:szCs w:val="21"/>
              </w:rPr>
              <w:t>年）》要求进行保护、管理。</w:t>
            </w:r>
          </w:p>
          <w:p w14:paraId="085E1D24"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5.</w:t>
            </w:r>
            <w:r>
              <w:rPr>
                <w:rFonts w:cs="Times New Roman" w:hint="eastAsia"/>
                <w:kern w:val="21"/>
                <w:sz w:val="21"/>
                <w:szCs w:val="21"/>
              </w:rPr>
              <w:t>加强与嘉陵江上游甘肃陇南市、陕西汉中市环境风险联防联控。</w:t>
            </w:r>
          </w:p>
          <w:p w14:paraId="1D90B2DD"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6.</w:t>
            </w:r>
            <w:r>
              <w:rPr>
                <w:rFonts w:cs="Times New Roman" w:hint="eastAsia"/>
                <w:kern w:val="21"/>
                <w:sz w:val="21"/>
                <w:szCs w:val="21"/>
              </w:rPr>
              <w:t>深化成都平原、川南、川东北地区大气污染联防联控工作机制，加强川渝地区联防联控。</w:t>
            </w:r>
            <w:proofErr w:type="gramStart"/>
            <w:r>
              <w:rPr>
                <w:rFonts w:cs="Times New Roman" w:hint="eastAsia"/>
                <w:kern w:val="21"/>
                <w:sz w:val="21"/>
                <w:szCs w:val="21"/>
              </w:rPr>
              <w:t>强化重</w:t>
            </w:r>
            <w:proofErr w:type="gramEnd"/>
            <w:r>
              <w:rPr>
                <w:rFonts w:cs="Times New Roman" w:hint="eastAsia"/>
                <w:kern w:val="21"/>
                <w:sz w:val="21"/>
                <w:szCs w:val="21"/>
              </w:rPr>
              <w:t>污染天气区域应急联动机制，深化区域重污染天气联合应对。</w:t>
            </w:r>
          </w:p>
          <w:p w14:paraId="532A9862"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7.</w:t>
            </w:r>
            <w:r>
              <w:rPr>
                <w:rFonts w:cs="Times New Roman" w:hint="eastAsia"/>
                <w:kern w:val="21"/>
                <w:sz w:val="21"/>
                <w:szCs w:val="21"/>
              </w:rPr>
              <w:t>结合区域生态环境质量现状，合理布局电解铝、再生铝产业。</w:t>
            </w:r>
          </w:p>
          <w:p w14:paraId="2424C81C"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8.</w:t>
            </w:r>
            <w:r>
              <w:rPr>
                <w:rFonts w:cs="Times New Roman" w:hint="eastAsia"/>
                <w:kern w:val="21"/>
                <w:sz w:val="21"/>
                <w:szCs w:val="21"/>
              </w:rPr>
              <w:t>加强对古树名木保护，自然保护地范围内的古树名</w:t>
            </w:r>
            <w:proofErr w:type="gramStart"/>
            <w:r>
              <w:rPr>
                <w:rFonts w:cs="Times New Roman" w:hint="eastAsia"/>
                <w:kern w:val="21"/>
                <w:sz w:val="21"/>
                <w:szCs w:val="21"/>
              </w:rPr>
              <w:t>木严格</w:t>
            </w:r>
            <w:proofErr w:type="gramEnd"/>
            <w:r>
              <w:rPr>
                <w:rFonts w:cs="Times New Roman" w:hint="eastAsia"/>
                <w:kern w:val="21"/>
                <w:sz w:val="21"/>
                <w:szCs w:val="21"/>
              </w:rPr>
              <w:t>落实《四川省自然保护区管理条例》《四川省古树名木保护条例》《广元市剑门蜀道保护条例》《剑阁县翠云廊古柏自然保护区管理办法》等相关保护要求，自然保护地以外的古树名木保护同样严格落实《四川省古树名木保护条例》《进一步全面加强古柏安全防范十九条措施》等相关要求。</w:t>
            </w:r>
          </w:p>
        </w:tc>
        <w:tc>
          <w:tcPr>
            <w:tcW w:w="2551" w:type="dxa"/>
            <w:vAlign w:val="center"/>
          </w:tcPr>
          <w:p w14:paraId="321DB237"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lastRenderedPageBreak/>
              <w:t>1</w:t>
            </w:r>
            <w:r>
              <w:rPr>
                <w:rFonts w:cs="Times New Roman" w:hint="eastAsia"/>
                <w:kern w:val="21"/>
                <w:sz w:val="21"/>
                <w:szCs w:val="21"/>
              </w:rPr>
              <w:t>、本项目不属于新建、扩</w:t>
            </w:r>
            <w:r>
              <w:rPr>
                <w:rFonts w:cs="Times New Roman" w:hint="eastAsia"/>
                <w:kern w:val="21"/>
                <w:sz w:val="21"/>
                <w:szCs w:val="21"/>
              </w:rPr>
              <w:lastRenderedPageBreak/>
              <w:t>建化工园区和化工项目，不涉及新建、改建、扩建尾矿库；</w:t>
            </w:r>
          </w:p>
          <w:p w14:paraId="384AABDE"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2</w:t>
            </w:r>
            <w:r>
              <w:rPr>
                <w:rFonts w:cs="Times New Roman" w:hint="eastAsia"/>
                <w:kern w:val="21"/>
                <w:sz w:val="21"/>
                <w:szCs w:val="21"/>
              </w:rPr>
              <w:t>、本项目不涉及长江流域的捕捞作业；</w:t>
            </w:r>
          </w:p>
          <w:p w14:paraId="23B02CDB"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3</w:t>
            </w:r>
            <w:r>
              <w:rPr>
                <w:rFonts w:cs="Times New Roman" w:hint="eastAsia"/>
                <w:kern w:val="21"/>
                <w:sz w:val="21"/>
                <w:szCs w:val="21"/>
              </w:rPr>
              <w:t>、本项目不属于钢铁、电解铝等产业；</w:t>
            </w:r>
          </w:p>
          <w:p w14:paraId="38B592CB"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4</w:t>
            </w:r>
            <w:r>
              <w:rPr>
                <w:rFonts w:cs="Times New Roman" w:hint="eastAsia"/>
                <w:kern w:val="21"/>
                <w:sz w:val="21"/>
                <w:szCs w:val="21"/>
              </w:rPr>
              <w:t>、本项目不涉及大熊猫国家公园；</w:t>
            </w:r>
          </w:p>
          <w:p w14:paraId="28CD494B"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5</w:t>
            </w:r>
            <w:r>
              <w:rPr>
                <w:rFonts w:cs="Times New Roman" w:hint="eastAsia"/>
                <w:kern w:val="21"/>
                <w:sz w:val="21"/>
                <w:szCs w:val="21"/>
              </w:rPr>
              <w:t>、本项目位于剑阁县，属于嘉陵江流域，环</w:t>
            </w:r>
            <w:proofErr w:type="gramStart"/>
            <w:r>
              <w:rPr>
                <w:rFonts w:cs="Times New Roman" w:hint="eastAsia"/>
                <w:kern w:val="21"/>
                <w:sz w:val="21"/>
                <w:szCs w:val="21"/>
              </w:rPr>
              <w:t>评要求</w:t>
            </w:r>
            <w:proofErr w:type="gramEnd"/>
            <w:r>
              <w:rPr>
                <w:rFonts w:cs="Times New Roman" w:hint="eastAsia"/>
                <w:kern w:val="21"/>
                <w:sz w:val="21"/>
                <w:szCs w:val="21"/>
              </w:rPr>
              <w:t>建设单位严格落实本报告提出的相关环境风险防控措施；</w:t>
            </w:r>
          </w:p>
          <w:p w14:paraId="66818A06"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6</w:t>
            </w:r>
            <w:r>
              <w:rPr>
                <w:rFonts w:cs="Times New Roman" w:hint="eastAsia"/>
                <w:kern w:val="21"/>
                <w:sz w:val="21"/>
                <w:szCs w:val="21"/>
              </w:rPr>
              <w:t>、本项目位于剑阁县，属于川东北地区，项目施工期及运营期间严格落实大气污染防治措施；</w:t>
            </w:r>
          </w:p>
          <w:p w14:paraId="129908D6"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7</w:t>
            </w:r>
            <w:r>
              <w:rPr>
                <w:rFonts w:cs="Times New Roman" w:hint="eastAsia"/>
                <w:kern w:val="21"/>
                <w:sz w:val="21"/>
                <w:szCs w:val="21"/>
              </w:rPr>
              <w:t>、本项目不涉及电解铝、再生铝产业；</w:t>
            </w:r>
          </w:p>
          <w:p w14:paraId="13F4A880"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8</w:t>
            </w:r>
            <w:r>
              <w:rPr>
                <w:rFonts w:cs="Times New Roman" w:hint="eastAsia"/>
                <w:kern w:val="21"/>
                <w:sz w:val="21"/>
                <w:szCs w:val="21"/>
              </w:rPr>
              <w:t>、本项目生态评价范围内不涉及古树名木。</w:t>
            </w:r>
          </w:p>
        </w:tc>
        <w:tc>
          <w:tcPr>
            <w:tcW w:w="759" w:type="dxa"/>
            <w:vAlign w:val="center"/>
          </w:tcPr>
          <w:p w14:paraId="2BF0F72A" w14:textId="77777777" w:rsidR="00544649" w:rsidRDefault="00000000">
            <w:pPr>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lastRenderedPageBreak/>
              <w:t>符合</w:t>
            </w:r>
          </w:p>
        </w:tc>
      </w:tr>
      <w:tr w:rsidR="00544649" w14:paraId="3ED7DD82" w14:textId="77777777">
        <w:trPr>
          <w:jc w:val="center"/>
        </w:trPr>
        <w:tc>
          <w:tcPr>
            <w:tcW w:w="846" w:type="dxa"/>
            <w:vAlign w:val="center"/>
          </w:tcPr>
          <w:p w14:paraId="76A8A0EB" w14:textId="77777777" w:rsidR="00544649" w:rsidRDefault="00000000">
            <w:pPr>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剑阁县</w:t>
            </w:r>
          </w:p>
        </w:tc>
        <w:tc>
          <w:tcPr>
            <w:tcW w:w="4678" w:type="dxa"/>
            <w:vAlign w:val="center"/>
          </w:tcPr>
          <w:p w14:paraId="3E32412C"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1.</w:t>
            </w:r>
            <w:r>
              <w:rPr>
                <w:rFonts w:cs="Times New Roman" w:hint="eastAsia"/>
                <w:kern w:val="21"/>
                <w:sz w:val="21"/>
                <w:szCs w:val="21"/>
              </w:rPr>
              <w:t>剑阁县属于国家层面限制开发区域（农产品主产区），严格控制限制开发区域的农业发展用地、生态用地转变为工业发展和城市建设用地。</w:t>
            </w:r>
          </w:p>
          <w:p w14:paraId="28FAFABF"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2.</w:t>
            </w:r>
            <w:r>
              <w:rPr>
                <w:rFonts w:cs="Times New Roman" w:hint="eastAsia"/>
                <w:kern w:val="21"/>
                <w:sz w:val="21"/>
                <w:szCs w:val="21"/>
              </w:rPr>
              <w:t>推进西河流域水污染整治工程，提升城乡污水收集处理能力，因地制宜推进城镇生活污水处理设施提</w:t>
            </w:r>
            <w:proofErr w:type="gramStart"/>
            <w:r>
              <w:rPr>
                <w:rFonts w:cs="Times New Roman" w:hint="eastAsia"/>
                <w:kern w:val="21"/>
                <w:sz w:val="21"/>
                <w:szCs w:val="21"/>
              </w:rPr>
              <w:t>标改造</w:t>
            </w:r>
            <w:proofErr w:type="gramEnd"/>
            <w:r>
              <w:rPr>
                <w:rFonts w:cs="Times New Roman" w:hint="eastAsia"/>
                <w:kern w:val="21"/>
                <w:sz w:val="21"/>
                <w:szCs w:val="21"/>
              </w:rPr>
              <w:t>工作。</w:t>
            </w:r>
          </w:p>
          <w:p w14:paraId="3F7228FC"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3.</w:t>
            </w:r>
            <w:r>
              <w:rPr>
                <w:rFonts w:cs="Times New Roman" w:hint="eastAsia"/>
                <w:kern w:val="21"/>
                <w:sz w:val="21"/>
                <w:szCs w:val="21"/>
              </w:rPr>
              <w:t>严控水土流失，保护耕地资源，促进和巩固陡坡退耕还林还草，荒山荒坡营造水土保持林。</w:t>
            </w:r>
          </w:p>
          <w:p w14:paraId="199B1CD9"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4.</w:t>
            </w:r>
            <w:r>
              <w:rPr>
                <w:rFonts w:cs="Times New Roman" w:hint="eastAsia"/>
                <w:kern w:val="21"/>
                <w:sz w:val="21"/>
                <w:szCs w:val="21"/>
              </w:rPr>
              <w:t>在自然保护区的外围保护地带建设的项目，不得损害自然保护区内的环境质量。涉及保护区内的部分，严格执行自然保护地中的风景名胜区和自然保护区相关管理要求。</w:t>
            </w:r>
          </w:p>
        </w:tc>
        <w:tc>
          <w:tcPr>
            <w:tcW w:w="2551" w:type="dxa"/>
            <w:vAlign w:val="center"/>
          </w:tcPr>
          <w:p w14:paraId="6EAE6761"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1</w:t>
            </w:r>
            <w:r>
              <w:rPr>
                <w:rFonts w:cs="Times New Roman" w:hint="eastAsia"/>
                <w:kern w:val="21"/>
                <w:sz w:val="21"/>
                <w:szCs w:val="21"/>
              </w:rPr>
              <w:t>、本项目用地不涉及限制开发区域的农业发展用地、生态用地转变为工业发展和城市建设用地，本项目用地性质为设施农用地；</w:t>
            </w:r>
          </w:p>
          <w:p w14:paraId="33C0D712"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2</w:t>
            </w:r>
            <w:r>
              <w:rPr>
                <w:rFonts w:cs="Times New Roman" w:hint="eastAsia"/>
                <w:kern w:val="21"/>
                <w:sz w:val="21"/>
                <w:szCs w:val="21"/>
              </w:rPr>
              <w:t>、本项目不属于西河流域；</w:t>
            </w:r>
          </w:p>
          <w:p w14:paraId="0807977F"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3</w:t>
            </w:r>
            <w:r>
              <w:rPr>
                <w:rFonts w:cs="Times New Roman" w:hint="eastAsia"/>
                <w:kern w:val="21"/>
                <w:sz w:val="21"/>
                <w:szCs w:val="21"/>
              </w:rPr>
              <w:t>、本项目建设采取有效水土保持措施，防止水土流失；</w:t>
            </w:r>
          </w:p>
          <w:p w14:paraId="264BA154"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4</w:t>
            </w:r>
            <w:r>
              <w:rPr>
                <w:rFonts w:cs="Times New Roman" w:hint="eastAsia"/>
                <w:kern w:val="21"/>
                <w:sz w:val="21"/>
                <w:szCs w:val="21"/>
              </w:rPr>
              <w:t>、本项目建设位置位于剑门关镇新龙村六组、双鱼村七组，不在保护区内，不涉及自然保护区外围保护地带。</w:t>
            </w:r>
          </w:p>
        </w:tc>
        <w:tc>
          <w:tcPr>
            <w:tcW w:w="759" w:type="dxa"/>
            <w:vAlign w:val="center"/>
          </w:tcPr>
          <w:p w14:paraId="3E78E437" w14:textId="77777777" w:rsidR="00544649" w:rsidRDefault="00000000">
            <w:pPr>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符合</w:t>
            </w:r>
          </w:p>
        </w:tc>
      </w:tr>
    </w:tbl>
    <w:p w14:paraId="7A59A1A9" w14:textId="77777777" w:rsidR="00544649" w:rsidRDefault="00000000">
      <w:pPr>
        <w:adjustRightInd w:val="0"/>
        <w:snapToGrid w:val="0"/>
        <w:spacing w:after="0"/>
        <w:ind w:firstLine="480"/>
        <w:rPr>
          <w:rFonts w:cs="Times New Roman"/>
          <w:kern w:val="21"/>
        </w:rPr>
      </w:pPr>
      <w:r>
        <w:rPr>
          <w:rFonts w:cs="Times New Roman" w:hint="eastAsia"/>
          <w:kern w:val="21"/>
        </w:rPr>
        <w:t>由上述分析可知，本项目符合《广元市人民政府办公室关于加强生态环境分区管控的通知》（广府办函〔</w:t>
      </w:r>
      <w:r>
        <w:rPr>
          <w:rFonts w:cs="Times New Roman" w:hint="eastAsia"/>
          <w:kern w:val="21"/>
        </w:rPr>
        <w:t>2024</w:t>
      </w:r>
      <w:r>
        <w:rPr>
          <w:rFonts w:cs="Times New Roman" w:hint="eastAsia"/>
          <w:kern w:val="21"/>
        </w:rPr>
        <w:t>〕</w:t>
      </w:r>
      <w:r>
        <w:rPr>
          <w:rFonts w:cs="Times New Roman" w:hint="eastAsia"/>
          <w:kern w:val="21"/>
        </w:rPr>
        <w:t>26</w:t>
      </w:r>
      <w:r>
        <w:rPr>
          <w:rFonts w:cs="Times New Roman" w:hint="eastAsia"/>
          <w:kern w:val="21"/>
        </w:rPr>
        <w:t>号）相关要求。本项目与广元市生态红线位置关系如下图所示。</w:t>
      </w:r>
    </w:p>
    <w:p w14:paraId="5B9BBDA3" w14:textId="77777777" w:rsidR="00544649" w:rsidRDefault="00000000">
      <w:pPr>
        <w:adjustRightInd w:val="0"/>
        <w:snapToGrid w:val="0"/>
        <w:spacing w:after="0"/>
        <w:ind w:firstLineChars="0" w:firstLine="0"/>
        <w:jc w:val="center"/>
        <w:rPr>
          <w:rFonts w:cs="Times New Roman"/>
          <w:kern w:val="21"/>
        </w:rPr>
      </w:pPr>
      <w:r>
        <w:rPr>
          <w:noProof/>
          <w:kern w:val="21"/>
        </w:rPr>
        <w:lastRenderedPageBreak/>
        <mc:AlternateContent>
          <mc:Choice Requires="wps">
            <w:drawing>
              <wp:anchor distT="0" distB="0" distL="114300" distR="114300" simplePos="0" relativeHeight="251661312" behindDoc="0" locked="0" layoutInCell="1" allowOverlap="1" wp14:anchorId="29E41B96" wp14:editId="2F031B17">
                <wp:simplePos x="0" y="0"/>
                <wp:positionH relativeFrom="column">
                  <wp:posOffset>3828415</wp:posOffset>
                </wp:positionH>
                <wp:positionV relativeFrom="paragraph">
                  <wp:posOffset>1358265</wp:posOffset>
                </wp:positionV>
                <wp:extent cx="1162050" cy="303530"/>
                <wp:effectExtent l="0" t="419100" r="19050" b="20320"/>
                <wp:wrapNone/>
                <wp:docPr id="800070894" name="矩形标注 66"/>
                <wp:cNvGraphicFramePr/>
                <a:graphic xmlns:a="http://schemas.openxmlformats.org/drawingml/2006/main">
                  <a:graphicData uri="http://schemas.microsoft.com/office/word/2010/wordprocessingShape">
                    <wps:wsp>
                      <wps:cNvSpPr/>
                      <wps:spPr>
                        <a:xfrm>
                          <a:off x="0" y="0"/>
                          <a:ext cx="1162050" cy="303530"/>
                        </a:xfrm>
                        <a:prstGeom prst="wedgeRectCallout">
                          <a:avLst>
                            <a:gd name="adj1" fmla="val -45405"/>
                            <a:gd name="adj2" fmla="val -176987"/>
                          </a:avLst>
                        </a:prstGeom>
                        <a:solidFill>
                          <a:srgbClr val="FFFFFF"/>
                        </a:solidFill>
                        <a:ln w="12700"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374CBD" w14:textId="77777777" w:rsidR="00544649" w:rsidRDefault="00000000">
                            <w:pPr>
                              <w:snapToGrid w:val="0"/>
                              <w:spacing w:line="240" w:lineRule="auto"/>
                              <w:ind w:firstLineChars="0" w:firstLine="0"/>
                              <w:jc w:val="center"/>
                              <w:rPr>
                                <w:rFonts w:ascii="仿宋" w:eastAsia="仿宋" w:hAnsi="仿宋" w:cs="仿宋" w:hint="eastAsia"/>
                                <w:b/>
                                <w:bCs/>
                                <w:color w:val="FF0000"/>
                                <w:szCs w:val="24"/>
                              </w:rPr>
                            </w:pPr>
                            <w:r>
                              <w:rPr>
                                <w:rFonts w:ascii="仿宋" w:eastAsia="仿宋" w:hAnsi="仿宋" w:cs="仿宋" w:hint="eastAsia"/>
                                <w:b/>
                                <w:bCs/>
                                <w:color w:val="FF0000"/>
                                <w:szCs w:val="24"/>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9E41B96" id="_x0000_s1027" type="#_x0000_t61" style="position:absolute;left:0;text-align:left;margin-left:301.45pt;margin-top:106.95pt;width:91.5pt;height:2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" adj="993,-27429" strokecolor="red" strokeweight="1pt">
                <v:textbox>
                  <w:txbxContent>
                    <w:p w14:paraId="1A374CBD" w14:textId="77777777" w:rsidR="00544649" w:rsidRDefault="00000000">
                      <w:pPr>
                        <w:snapToGrid w:val="0"/>
                        <w:spacing w:line="240" w:lineRule="auto"/>
                        <w:ind w:firstLineChars="0" w:firstLine="0"/>
                        <w:jc w:val="center"/>
                        <w:rPr>
                          <w:rFonts w:ascii="仿宋" w:eastAsia="仿宋" w:hAnsi="仿宋" w:cs="仿宋" w:hint="eastAsia"/>
                          <w:b/>
                          <w:bCs/>
                          <w:color w:val="FF0000"/>
                          <w:szCs w:val="24"/>
                        </w:rPr>
                      </w:pPr>
                      <w:r>
                        <w:rPr>
                          <w:rFonts w:ascii="仿宋" w:eastAsia="仿宋" w:hAnsi="仿宋" w:cs="仿宋" w:hint="eastAsia"/>
                          <w:b/>
                          <w:bCs/>
                          <w:color w:val="FF0000"/>
                          <w:szCs w:val="24"/>
                        </w:rPr>
                        <w:t>本项目所在地</w:t>
                      </w:r>
                    </w:p>
                  </w:txbxContent>
                </v:textbox>
              </v:shape>
            </w:pict>
          </mc:Fallback>
        </mc:AlternateContent>
      </w:r>
      <w:r>
        <w:rPr>
          <w:rFonts w:cs="Times New Roman"/>
          <w:noProof/>
          <w:kern w:val="21"/>
        </w:rPr>
        <w:drawing>
          <wp:inline distT="0" distB="0" distL="0" distR="0" wp14:anchorId="253313C7" wp14:editId="338A8BA4">
            <wp:extent cx="5615940" cy="3393440"/>
            <wp:effectExtent l="0" t="0" r="3810" b="0"/>
            <wp:docPr id="169686965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69655" name="图片 63"/>
                    <pic:cNvPicPr>
                      <a:picLocks noChangeAspect="1" noChangeArrowheads="1"/>
                    </pic:cNvPicPr>
                  </pic:nvPicPr>
                  <pic:blipFill>
                    <a:blip r:embed="rId25" cstate="print">
                      <a:extLst>
                        <a:ext uri="{28A0092B-C50C-407E-A947-70E740481C1C}">
                          <a14:useLocalDpi xmlns:a14="http://schemas.microsoft.com/office/drawing/2010/main" val="0"/>
                        </a:ext>
                      </a:extLst>
                    </a:blip>
                    <a:srcRect t="3902"/>
                    <a:stretch>
                      <a:fillRect/>
                    </a:stretch>
                  </pic:blipFill>
                  <pic:spPr>
                    <a:xfrm>
                      <a:off x="0" y="0"/>
                      <a:ext cx="5615940" cy="3393440"/>
                    </a:xfrm>
                    <a:prstGeom prst="rect">
                      <a:avLst/>
                    </a:prstGeom>
                    <a:noFill/>
                    <a:ln>
                      <a:noFill/>
                    </a:ln>
                  </pic:spPr>
                </pic:pic>
              </a:graphicData>
            </a:graphic>
          </wp:inline>
        </w:drawing>
      </w:r>
    </w:p>
    <w:p w14:paraId="00C71021" w14:textId="77777777" w:rsidR="00544649" w:rsidRDefault="00000000">
      <w:pPr>
        <w:numPr>
          <w:ilvl w:val="0"/>
          <w:numId w:val="14"/>
        </w:numPr>
        <w:adjustRightInd w:val="0"/>
        <w:snapToGrid w:val="0"/>
        <w:spacing w:after="0" w:line="240" w:lineRule="auto"/>
        <w:ind w:left="0" w:firstLineChars="0" w:firstLine="0"/>
        <w:jc w:val="center"/>
        <w:rPr>
          <w:rFonts w:cs="Times New Roman"/>
          <w:kern w:val="21"/>
        </w:rPr>
      </w:pPr>
      <w:r>
        <w:rPr>
          <w:rFonts w:cs="Times New Roman"/>
          <w:b/>
          <w:kern w:val="21"/>
          <w:sz w:val="21"/>
          <w:szCs w:val="21"/>
        </w:rPr>
        <w:t>本项目与</w:t>
      </w:r>
      <w:r>
        <w:rPr>
          <w:rFonts w:cs="Times New Roman" w:hint="eastAsia"/>
          <w:b/>
          <w:kern w:val="21"/>
          <w:sz w:val="21"/>
          <w:szCs w:val="21"/>
        </w:rPr>
        <w:t>四川省生态保护红线</w:t>
      </w:r>
      <w:r>
        <w:rPr>
          <w:rFonts w:cs="Times New Roman"/>
          <w:b/>
          <w:kern w:val="21"/>
          <w:sz w:val="21"/>
          <w:szCs w:val="21"/>
        </w:rPr>
        <w:t>位置关系图</w:t>
      </w:r>
    </w:p>
    <w:p w14:paraId="6FC26367" w14:textId="77777777" w:rsidR="00544649" w:rsidRDefault="00000000">
      <w:pPr>
        <w:keepNext/>
        <w:keepLines/>
        <w:numPr>
          <w:ilvl w:val="3"/>
          <w:numId w:val="2"/>
        </w:numPr>
        <w:adjustRightInd w:val="0"/>
        <w:snapToGrid w:val="0"/>
        <w:spacing w:after="0"/>
        <w:ind w:firstLineChars="0"/>
        <w:outlineLvl w:val="3"/>
        <w:rPr>
          <w:rFonts w:cs="Times New Roman"/>
          <w:b/>
          <w:bCs/>
          <w:kern w:val="21"/>
        </w:rPr>
      </w:pPr>
      <w:r>
        <w:rPr>
          <w:rFonts w:cs="Times New Roman"/>
          <w:b/>
          <w:bCs/>
          <w:kern w:val="21"/>
        </w:rPr>
        <w:t>与</w:t>
      </w:r>
      <w:r>
        <w:rPr>
          <w:rFonts w:cs="Times New Roman" w:hint="eastAsia"/>
          <w:b/>
          <w:bCs/>
          <w:kern w:val="21"/>
        </w:rPr>
        <w:t>四川省生态环境分区管</w:t>
      </w:r>
      <w:proofErr w:type="gramStart"/>
      <w:r>
        <w:rPr>
          <w:rFonts w:cs="Times New Roman" w:hint="eastAsia"/>
          <w:b/>
          <w:bCs/>
          <w:kern w:val="21"/>
        </w:rPr>
        <w:t>控符合</w:t>
      </w:r>
      <w:proofErr w:type="gramEnd"/>
      <w:r>
        <w:rPr>
          <w:rFonts w:cs="Times New Roman" w:hint="eastAsia"/>
          <w:b/>
          <w:bCs/>
          <w:kern w:val="21"/>
        </w:rPr>
        <w:t>性分析</w:t>
      </w:r>
    </w:p>
    <w:p w14:paraId="0F6C6713"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本项目位于四川省广元市剑阁县，</w:t>
      </w:r>
      <w:r>
        <w:rPr>
          <w:rFonts w:cs="Times New Roman"/>
          <w:kern w:val="21"/>
          <w:szCs w:val="24"/>
        </w:rPr>
        <w:t>根据《四川省生态环境厅办公室关于印发〈产业园区规划环评</w:t>
      </w:r>
      <w:r>
        <w:rPr>
          <w:rFonts w:cs="Times New Roman" w:hint="eastAsia"/>
          <w:kern w:val="21"/>
          <w:szCs w:val="24"/>
        </w:rPr>
        <w:t>“</w:t>
      </w:r>
      <w:r>
        <w:rPr>
          <w:rFonts w:cs="Times New Roman"/>
          <w:kern w:val="21"/>
          <w:szCs w:val="24"/>
        </w:rPr>
        <w:t>三线一单</w:t>
      </w:r>
      <w:r>
        <w:rPr>
          <w:rFonts w:cs="Times New Roman" w:hint="eastAsia"/>
          <w:kern w:val="21"/>
          <w:szCs w:val="24"/>
        </w:rPr>
        <w:t>”</w:t>
      </w:r>
      <w:r>
        <w:rPr>
          <w:rFonts w:cs="Times New Roman"/>
          <w:kern w:val="21"/>
          <w:szCs w:val="24"/>
        </w:rPr>
        <w:t>符合性分析技术要点（试行）〉和〈项目环评</w:t>
      </w:r>
      <w:r>
        <w:rPr>
          <w:rFonts w:cs="Times New Roman" w:hint="eastAsia"/>
          <w:kern w:val="21"/>
          <w:szCs w:val="24"/>
        </w:rPr>
        <w:t>“</w:t>
      </w:r>
      <w:r>
        <w:rPr>
          <w:rFonts w:cs="Times New Roman"/>
          <w:kern w:val="21"/>
          <w:szCs w:val="24"/>
        </w:rPr>
        <w:t>三线一单</w:t>
      </w:r>
      <w:r>
        <w:rPr>
          <w:rFonts w:cs="Times New Roman" w:hint="eastAsia"/>
          <w:kern w:val="21"/>
          <w:szCs w:val="24"/>
        </w:rPr>
        <w:t>”</w:t>
      </w:r>
      <w:r>
        <w:rPr>
          <w:rFonts w:cs="Times New Roman"/>
          <w:kern w:val="21"/>
          <w:szCs w:val="24"/>
        </w:rPr>
        <w:t>〉符合性分析技术要点（试行）的通知》（</w:t>
      </w:r>
      <w:proofErr w:type="gramStart"/>
      <w:r>
        <w:rPr>
          <w:rFonts w:cs="Times New Roman"/>
          <w:kern w:val="21"/>
          <w:szCs w:val="24"/>
        </w:rPr>
        <w:t>川环办</w:t>
      </w:r>
      <w:proofErr w:type="gramEnd"/>
      <w:r>
        <w:rPr>
          <w:rFonts w:cs="Times New Roman"/>
          <w:kern w:val="21"/>
          <w:szCs w:val="24"/>
        </w:rPr>
        <w:t>函〔</w:t>
      </w:r>
      <w:r>
        <w:rPr>
          <w:rFonts w:cs="Times New Roman"/>
          <w:kern w:val="21"/>
          <w:szCs w:val="24"/>
        </w:rPr>
        <w:t>2021</w:t>
      </w:r>
      <w:r>
        <w:rPr>
          <w:rFonts w:cs="Times New Roman"/>
          <w:kern w:val="21"/>
          <w:szCs w:val="24"/>
        </w:rPr>
        <w:t>〕</w:t>
      </w:r>
      <w:r>
        <w:rPr>
          <w:rFonts w:cs="Times New Roman"/>
          <w:kern w:val="21"/>
          <w:szCs w:val="24"/>
        </w:rPr>
        <w:t>469</w:t>
      </w:r>
      <w:r>
        <w:rPr>
          <w:rFonts w:cs="Times New Roman"/>
          <w:kern w:val="21"/>
          <w:szCs w:val="24"/>
        </w:rPr>
        <w:t>号）要求，查询四川省生态环境厅三线</w:t>
      </w:r>
      <w:proofErr w:type="gramStart"/>
      <w:r>
        <w:rPr>
          <w:rFonts w:cs="Times New Roman"/>
          <w:kern w:val="21"/>
          <w:szCs w:val="24"/>
        </w:rPr>
        <w:t>一</w:t>
      </w:r>
      <w:proofErr w:type="gramEnd"/>
      <w:r>
        <w:rPr>
          <w:rFonts w:cs="Times New Roman"/>
          <w:kern w:val="21"/>
          <w:szCs w:val="24"/>
        </w:rPr>
        <w:t>单数据分析系统（</w:t>
      </w:r>
      <w:r>
        <w:rPr>
          <w:rFonts w:cs="Times New Roman"/>
          <w:kern w:val="21"/>
          <w:szCs w:val="24"/>
        </w:rPr>
        <w:t>https://www.sczwfw.gov.cn/tftb/hos-server/pub/jmas/jmasbucket/jmopen_files/webapp/html5/sxydctfx/index.html?areaCode=510000000000</w:t>
      </w:r>
      <w:r>
        <w:rPr>
          <w:rFonts w:cs="Times New Roman"/>
          <w:kern w:val="21"/>
          <w:szCs w:val="24"/>
        </w:rPr>
        <w:t>），</w:t>
      </w:r>
      <w:r>
        <w:rPr>
          <w:rFonts w:cs="Times New Roman" w:hint="eastAsia"/>
          <w:kern w:val="21"/>
          <w:szCs w:val="24"/>
        </w:rPr>
        <w:t>项目位于广元市剑阁</w:t>
      </w:r>
      <w:proofErr w:type="gramStart"/>
      <w:r>
        <w:rPr>
          <w:rFonts w:cs="Times New Roman" w:hint="eastAsia"/>
          <w:kern w:val="21"/>
          <w:szCs w:val="24"/>
        </w:rPr>
        <w:t>县环境</w:t>
      </w:r>
      <w:proofErr w:type="gramEnd"/>
      <w:r>
        <w:rPr>
          <w:rFonts w:cs="Times New Roman" w:hint="eastAsia"/>
          <w:kern w:val="21"/>
          <w:szCs w:val="24"/>
        </w:rPr>
        <w:t>综合管控单元一般管控单元（管控单元名称：剑阁</w:t>
      </w:r>
      <w:proofErr w:type="gramStart"/>
      <w:r>
        <w:rPr>
          <w:rFonts w:cs="Times New Roman" w:hint="eastAsia"/>
          <w:kern w:val="21"/>
          <w:szCs w:val="24"/>
        </w:rPr>
        <w:t>县一般管</w:t>
      </w:r>
      <w:proofErr w:type="gramEnd"/>
      <w:r>
        <w:rPr>
          <w:rFonts w:cs="Times New Roman" w:hint="eastAsia"/>
          <w:kern w:val="21"/>
          <w:szCs w:val="24"/>
        </w:rPr>
        <w:t>控单元，管控单元编号：</w:t>
      </w:r>
      <w:r>
        <w:rPr>
          <w:rFonts w:cs="Times New Roman" w:hint="eastAsia"/>
          <w:kern w:val="21"/>
          <w:szCs w:val="24"/>
        </w:rPr>
        <w:t>ZH51082330001</w:t>
      </w:r>
      <w:r>
        <w:rPr>
          <w:rFonts w:cs="Times New Roman" w:hint="eastAsia"/>
          <w:kern w:val="21"/>
          <w:szCs w:val="24"/>
        </w:rPr>
        <w:t>）。</w:t>
      </w:r>
      <w:r>
        <w:rPr>
          <w:rFonts w:cs="Times New Roman"/>
          <w:kern w:val="21"/>
          <w:szCs w:val="24"/>
        </w:rPr>
        <w:t>本项目</w:t>
      </w:r>
      <w:r>
        <w:rPr>
          <w:rFonts w:cs="Times New Roman" w:hint="eastAsia"/>
          <w:kern w:val="21"/>
          <w:szCs w:val="24"/>
        </w:rPr>
        <w:t>与生态环境分区管</w:t>
      </w:r>
      <w:proofErr w:type="gramStart"/>
      <w:r>
        <w:rPr>
          <w:rFonts w:cs="Times New Roman" w:hint="eastAsia"/>
          <w:kern w:val="21"/>
          <w:szCs w:val="24"/>
        </w:rPr>
        <w:t>控要求</w:t>
      </w:r>
      <w:proofErr w:type="gramEnd"/>
      <w:r>
        <w:rPr>
          <w:rFonts w:cs="Times New Roman" w:hint="eastAsia"/>
          <w:kern w:val="21"/>
          <w:szCs w:val="24"/>
        </w:rPr>
        <w:t>的</w:t>
      </w:r>
      <w:r>
        <w:rPr>
          <w:rFonts w:cs="Times New Roman"/>
          <w:kern w:val="21"/>
          <w:szCs w:val="24"/>
        </w:rPr>
        <w:t>符合性分析如下。</w:t>
      </w:r>
    </w:p>
    <w:p w14:paraId="4CBAFE45" w14:textId="77777777" w:rsidR="00544649" w:rsidRDefault="00000000">
      <w:pPr>
        <w:adjustRightInd w:val="0"/>
        <w:snapToGrid w:val="0"/>
        <w:spacing w:after="0" w:line="240" w:lineRule="auto"/>
        <w:ind w:firstLineChars="0" w:firstLine="0"/>
        <w:jc w:val="center"/>
        <w:rPr>
          <w:rFonts w:cs="Times New Roman"/>
          <w:kern w:val="21"/>
        </w:rPr>
      </w:pPr>
      <w:r>
        <w:rPr>
          <w:rFonts w:cs="Times New Roman"/>
          <w:kern w:val="21"/>
          <w:szCs w:val="21"/>
        </w:rPr>
        <w:t>本项目所在地在四川省</w:t>
      </w:r>
      <w:r>
        <w:rPr>
          <w:rFonts w:cs="Times New Roman" w:hint="eastAsia"/>
          <w:kern w:val="21"/>
          <w:szCs w:val="21"/>
        </w:rPr>
        <w:t>生态环境分区管控</w:t>
      </w:r>
      <w:r>
        <w:rPr>
          <w:rFonts w:cs="Times New Roman"/>
          <w:kern w:val="21"/>
          <w:szCs w:val="21"/>
        </w:rPr>
        <w:t>数据分析系统中的位置如下图所示：</w:t>
      </w:r>
      <w:r>
        <w:rPr>
          <w:noProof/>
        </w:rPr>
        <w:lastRenderedPageBreak/>
        <w:drawing>
          <wp:inline distT="0" distB="0" distL="0" distR="0" wp14:anchorId="651BDDF4" wp14:editId="791ECF80">
            <wp:extent cx="5743575" cy="3209925"/>
            <wp:effectExtent l="0" t="0" r="9525" b="0"/>
            <wp:docPr id="140713849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38499" name="图片 62"/>
                    <pic:cNvPicPr>
                      <a:picLocks noChangeAspect="1" noChangeArrowheads="1"/>
                    </pic:cNvPicPr>
                  </pic:nvPicPr>
                  <pic:blipFill>
                    <a:blip r:embed="rId26" cstate="print">
                      <a:extLst>
                        <a:ext uri="{28A0092B-C50C-407E-A947-70E740481C1C}">
                          <a14:useLocalDpi xmlns:a14="http://schemas.microsoft.com/office/drawing/2010/main" val="0"/>
                        </a:ext>
                      </a:extLst>
                    </a:blip>
                    <a:srcRect l="4410" t="12250" r="3323" b="14731"/>
                    <a:stretch>
                      <a:fillRect/>
                    </a:stretch>
                  </pic:blipFill>
                  <pic:spPr>
                    <a:xfrm>
                      <a:off x="0" y="0"/>
                      <a:ext cx="5750017" cy="3213245"/>
                    </a:xfrm>
                    <a:prstGeom prst="rect">
                      <a:avLst/>
                    </a:prstGeom>
                    <a:noFill/>
                    <a:ln>
                      <a:noFill/>
                    </a:ln>
                  </pic:spPr>
                </pic:pic>
              </a:graphicData>
            </a:graphic>
          </wp:inline>
        </w:drawing>
      </w:r>
    </w:p>
    <w:p w14:paraId="3CB98A03" w14:textId="77777777" w:rsidR="00544649" w:rsidRDefault="00000000">
      <w:pPr>
        <w:numPr>
          <w:ilvl w:val="0"/>
          <w:numId w:val="14"/>
        </w:numPr>
        <w:adjustRightInd w:val="0"/>
        <w:snapToGrid w:val="0"/>
        <w:spacing w:beforeLines="20" w:before="65" w:afterLines="20" w:after="65" w:line="240" w:lineRule="auto"/>
        <w:ind w:left="0" w:firstLineChars="0" w:firstLine="0"/>
        <w:jc w:val="center"/>
        <w:rPr>
          <w:rFonts w:cs="Times New Roman"/>
          <w:kern w:val="21"/>
          <w:sz w:val="21"/>
          <w:szCs w:val="21"/>
        </w:rPr>
      </w:pPr>
      <w:r>
        <w:rPr>
          <w:rFonts w:cs="Times New Roman"/>
          <w:b/>
          <w:bCs/>
          <w:kern w:val="21"/>
          <w:sz w:val="21"/>
          <w:szCs w:val="21"/>
        </w:rPr>
        <w:t>本项目</w:t>
      </w:r>
      <w:r>
        <w:rPr>
          <w:rFonts w:cs="Times New Roman" w:hint="eastAsia"/>
          <w:b/>
          <w:kern w:val="21"/>
          <w:sz w:val="21"/>
          <w:szCs w:val="21"/>
        </w:rPr>
        <w:t>范围与生态环境分区管</w:t>
      </w:r>
      <w:proofErr w:type="gramStart"/>
      <w:r>
        <w:rPr>
          <w:rFonts w:cs="Times New Roman" w:hint="eastAsia"/>
          <w:b/>
          <w:kern w:val="21"/>
          <w:sz w:val="21"/>
          <w:szCs w:val="21"/>
        </w:rPr>
        <w:t>控位置</w:t>
      </w:r>
      <w:proofErr w:type="gramEnd"/>
      <w:r>
        <w:rPr>
          <w:rFonts w:cs="Times New Roman" w:hint="eastAsia"/>
          <w:b/>
          <w:kern w:val="21"/>
          <w:sz w:val="21"/>
          <w:szCs w:val="21"/>
        </w:rPr>
        <w:t>关系</w:t>
      </w:r>
    </w:p>
    <w:p w14:paraId="34F072FA" w14:textId="77777777" w:rsidR="00544649" w:rsidRDefault="00000000">
      <w:pPr>
        <w:adjustRightInd w:val="0"/>
        <w:snapToGrid w:val="0"/>
        <w:spacing w:after="0"/>
        <w:ind w:firstLine="480"/>
        <w:rPr>
          <w:rFonts w:cs="Times New Roman"/>
          <w:kern w:val="21"/>
        </w:rPr>
      </w:pPr>
      <w:r>
        <w:rPr>
          <w:rFonts w:cs="Times New Roman" w:hint="eastAsia"/>
          <w:kern w:val="21"/>
        </w:rPr>
        <w:t>根据本项目生态环境分区管</w:t>
      </w:r>
      <w:proofErr w:type="gramStart"/>
      <w:r>
        <w:rPr>
          <w:rFonts w:cs="Times New Roman" w:hint="eastAsia"/>
          <w:kern w:val="21"/>
        </w:rPr>
        <w:t>控符合</w:t>
      </w:r>
      <w:proofErr w:type="gramEnd"/>
      <w:r>
        <w:rPr>
          <w:rFonts w:cs="Times New Roman" w:hint="eastAsia"/>
          <w:kern w:val="21"/>
        </w:rPr>
        <w:t>性分析结果，本项目蛋鸡场、</w:t>
      </w:r>
      <w:proofErr w:type="gramStart"/>
      <w:r>
        <w:rPr>
          <w:rFonts w:cs="Times New Roman" w:hint="eastAsia"/>
          <w:kern w:val="21"/>
        </w:rPr>
        <w:t>育雏场</w:t>
      </w:r>
      <w:proofErr w:type="gramEnd"/>
      <w:r>
        <w:rPr>
          <w:rFonts w:cs="Times New Roman" w:hint="eastAsia"/>
          <w:kern w:val="21"/>
        </w:rPr>
        <w:t>共涉及</w:t>
      </w:r>
      <w:r>
        <w:rPr>
          <w:rFonts w:cs="Times New Roman" w:hint="eastAsia"/>
          <w:kern w:val="21"/>
        </w:rPr>
        <w:t>3</w:t>
      </w:r>
      <w:r>
        <w:rPr>
          <w:rFonts w:cs="Times New Roman" w:hint="eastAsia"/>
          <w:kern w:val="21"/>
        </w:rPr>
        <w:t>个环境管控单元，如下图所示：</w:t>
      </w:r>
    </w:p>
    <w:p w14:paraId="0777AB27" w14:textId="77777777" w:rsidR="00544649" w:rsidRDefault="00000000">
      <w:pPr>
        <w:pStyle w:val="aff2"/>
        <w:adjustRightInd w:val="0"/>
        <w:snapToGrid w:val="0"/>
        <w:spacing w:beforeLines="20" w:before="65" w:afterLines="20" w:after="65" w:line="240" w:lineRule="auto"/>
        <w:ind w:firstLineChars="0" w:firstLine="0"/>
        <w:jc w:val="center"/>
        <w:rPr>
          <w:rFonts w:ascii="Times New Roman" w:hAnsi="Times New Roman" w:cs="Times New Roman"/>
          <w:kern w:val="21"/>
          <w:sz w:val="21"/>
          <w:szCs w:val="21"/>
        </w:rPr>
      </w:pPr>
      <w:r>
        <w:rPr>
          <w:noProof/>
        </w:rPr>
        <w:drawing>
          <wp:inline distT="0" distB="0" distL="0" distR="0" wp14:anchorId="2E0B56FD" wp14:editId="0414FA8F">
            <wp:extent cx="5615940" cy="3933190"/>
            <wp:effectExtent l="0" t="0" r="3810" b="0"/>
            <wp:docPr id="2885970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9709" name="图片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615940" cy="3933190"/>
                    </a:xfrm>
                    <a:prstGeom prst="rect">
                      <a:avLst/>
                    </a:prstGeom>
                    <a:noFill/>
                    <a:ln>
                      <a:noFill/>
                    </a:ln>
                  </pic:spPr>
                </pic:pic>
              </a:graphicData>
            </a:graphic>
          </wp:inline>
        </w:drawing>
      </w:r>
    </w:p>
    <w:p w14:paraId="14EDB1D7" w14:textId="77777777" w:rsidR="00544649" w:rsidRDefault="00000000">
      <w:pPr>
        <w:numPr>
          <w:ilvl w:val="0"/>
          <w:numId w:val="14"/>
        </w:numPr>
        <w:adjustRightInd w:val="0"/>
        <w:snapToGrid w:val="0"/>
        <w:spacing w:beforeLines="20" w:before="65" w:afterLines="20" w:after="65" w:line="240" w:lineRule="auto"/>
        <w:ind w:left="0" w:firstLineChars="0" w:firstLine="0"/>
        <w:jc w:val="center"/>
        <w:rPr>
          <w:rFonts w:cs="Times New Roman"/>
          <w:kern w:val="21"/>
          <w:sz w:val="21"/>
          <w:szCs w:val="21"/>
        </w:rPr>
      </w:pPr>
      <w:r>
        <w:rPr>
          <w:rFonts w:cs="Times New Roman"/>
          <w:b/>
          <w:kern w:val="21"/>
          <w:sz w:val="21"/>
          <w:szCs w:val="21"/>
        </w:rPr>
        <w:t>本项目管控单元涉及情况图</w:t>
      </w:r>
      <w:r>
        <w:rPr>
          <w:rFonts w:cs="Times New Roman" w:hint="eastAsia"/>
          <w:b/>
          <w:kern w:val="21"/>
          <w:sz w:val="21"/>
          <w:szCs w:val="21"/>
        </w:rPr>
        <w:t>（项目蛋鸡场所在位置）</w:t>
      </w:r>
    </w:p>
    <w:p w14:paraId="7DCC4132" w14:textId="77777777" w:rsidR="00544649" w:rsidRDefault="00000000">
      <w:pPr>
        <w:adjustRightInd w:val="0"/>
        <w:snapToGrid w:val="0"/>
        <w:spacing w:after="0"/>
        <w:ind w:firstLineChars="0" w:firstLine="0"/>
        <w:jc w:val="center"/>
        <w:rPr>
          <w:rFonts w:cs="Times New Roman"/>
          <w:kern w:val="21"/>
        </w:rPr>
      </w:pPr>
      <w:r>
        <w:rPr>
          <w:rFonts w:cs="Times New Roman"/>
          <w:noProof/>
          <w:kern w:val="21"/>
        </w:rPr>
        <w:lastRenderedPageBreak/>
        <w:drawing>
          <wp:inline distT="0" distB="0" distL="0" distR="0" wp14:anchorId="33DD00D7" wp14:editId="4075F71F">
            <wp:extent cx="5615940" cy="3949700"/>
            <wp:effectExtent l="0" t="0" r="3810" b="0"/>
            <wp:docPr id="118214136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41369" name="图片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615940" cy="3949700"/>
                    </a:xfrm>
                    <a:prstGeom prst="rect">
                      <a:avLst/>
                    </a:prstGeom>
                    <a:noFill/>
                    <a:ln>
                      <a:noFill/>
                    </a:ln>
                  </pic:spPr>
                </pic:pic>
              </a:graphicData>
            </a:graphic>
          </wp:inline>
        </w:drawing>
      </w:r>
    </w:p>
    <w:p w14:paraId="1FEE0EEE" w14:textId="77777777" w:rsidR="00544649" w:rsidRDefault="00000000">
      <w:pPr>
        <w:numPr>
          <w:ilvl w:val="0"/>
          <w:numId w:val="14"/>
        </w:numPr>
        <w:adjustRightInd w:val="0"/>
        <w:snapToGrid w:val="0"/>
        <w:spacing w:beforeLines="20" w:before="65" w:afterLines="20" w:after="65" w:line="240" w:lineRule="auto"/>
        <w:ind w:left="0" w:firstLineChars="0" w:firstLine="0"/>
        <w:jc w:val="center"/>
        <w:rPr>
          <w:rFonts w:cs="Times New Roman"/>
          <w:kern w:val="21"/>
          <w:sz w:val="21"/>
          <w:szCs w:val="21"/>
        </w:rPr>
      </w:pPr>
      <w:r>
        <w:rPr>
          <w:rFonts w:cs="Times New Roman"/>
          <w:b/>
          <w:kern w:val="21"/>
          <w:sz w:val="21"/>
          <w:szCs w:val="21"/>
        </w:rPr>
        <w:t>本项目管控单元涉及情况图</w:t>
      </w:r>
      <w:r>
        <w:rPr>
          <w:rFonts w:cs="Times New Roman" w:hint="eastAsia"/>
          <w:b/>
          <w:kern w:val="21"/>
          <w:sz w:val="21"/>
          <w:szCs w:val="21"/>
        </w:rPr>
        <w:t>（项目育雏场所在位置）</w:t>
      </w:r>
    </w:p>
    <w:p w14:paraId="0ABF8C5E" w14:textId="77777777" w:rsidR="00544649" w:rsidRDefault="00000000">
      <w:pPr>
        <w:adjustRightInd w:val="0"/>
        <w:snapToGrid w:val="0"/>
        <w:spacing w:after="0"/>
        <w:ind w:firstLine="480"/>
        <w:rPr>
          <w:rFonts w:cs="Times New Roman"/>
          <w:kern w:val="21"/>
        </w:rPr>
      </w:pPr>
      <w:r>
        <w:rPr>
          <w:rFonts w:cs="Times New Roman" w:hint="eastAsia"/>
          <w:kern w:val="21"/>
        </w:rPr>
        <w:t>根据查询结果，本项目</w:t>
      </w:r>
      <w:proofErr w:type="gramStart"/>
      <w:r>
        <w:rPr>
          <w:rFonts w:cs="Times New Roman" w:hint="eastAsia"/>
          <w:kern w:val="21"/>
        </w:rPr>
        <w:t>育雏场</w:t>
      </w:r>
      <w:proofErr w:type="gramEnd"/>
      <w:r>
        <w:rPr>
          <w:rFonts w:cs="Times New Roman" w:hint="eastAsia"/>
          <w:kern w:val="21"/>
        </w:rPr>
        <w:t>及蛋鸡场用地范围分别涉及</w:t>
      </w:r>
      <w:r>
        <w:rPr>
          <w:rFonts w:cs="Times New Roman" w:hint="eastAsia"/>
          <w:kern w:val="21"/>
        </w:rPr>
        <w:t>3</w:t>
      </w:r>
      <w:r>
        <w:rPr>
          <w:rFonts w:cs="Times New Roman" w:hint="eastAsia"/>
          <w:kern w:val="21"/>
        </w:rPr>
        <w:t>个管控单元，具体管控单元编码及名称如下。</w:t>
      </w:r>
    </w:p>
    <w:p w14:paraId="7178A5B2" w14:textId="77777777" w:rsidR="00544649" w:rsidRDefault="00000000">
      <w:pPr>
        <w:widowControl/>
        <w:numPr>
          <w:ilvl w:val="0"/>
          <w:numId w:val="13"/>
        </w:numPr>
        <w:adjustRightInd w:val="0"/>
        <w:snapToGrid w:val="0"/>
        <w:spacing w:after="0" w:line="240" w:lineRule="auto"/>
        <w:ind w:firstLineChars="0"/>
        <w:jc w:val="center"/>
        <w:rPr>
          <w:rFonts w:cs="Times New Roman"/>
          <w:b/>
          <w:bCs/>
          <w:kern w:val="21"/>
          <w:sz w:val="21"/>
          <w:szCs w:val="20"/>
        </w:rPr>
      </w:pPr>
      <w:r>
        <w:rPr>
          <w:rFonts w:cs="Times New Roman" w:hint="eastAsia"/>
          <w:b/>
          <w:bCs/>
          <w:kern w:val="21"/>
          <w:sz w:val="21"/>
          <w:szCs w:val="20"/>
        </w:rPr>
        <w:t>四川省生态环境分区管控数据分析系统查询结果（</w:t>
      </w:r>
      <w:r>
        <w:rPr>
          <w:rFonts w:cs="Times New Roman" w:hint="eastAsia"/>
          <w:b/>
          <w:kern w:val="21"/>
          <w:sz w:val="21"/>
          <w:szCs w:val="21"/>
        </w:rPr>
        <w:t>项目蛋鸡场所在位置</w:t>
      </w:r>
      <w:r>
        <w:rPr>
          <w:rFonts w:cs="Times New Roman" w:hint="eastAsia"/>
          <w:b/>
          <w:bCs/>
          <w:kern w:val="21"/>
          <w:sz w:val="21"/>
          <w:szCs w:val="20"/>
        </w:rPr>
        <w:t>）</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2315"/>
        <w:gridCol w:w="1017"/>
        <w:gridCol w:w="1308"/>
        <w:gridCol w:w="1161"/>
        <w:gridCol w:w="1361"/>
      </w:tblGrid>
      <w:tr w:rsidR="00544649" w14:paraId="6768135C" w14:textId="77777777">
        <w:trPr>
          <w:cantSplit/>
          <w:trHeight w:val="312"/>
          <w:tblHeader/>
          <w:jc w:val="center"/>
        </w:trPr>
        <w:tc>
          <w:tcPr>
            <w:tcW w:w="1898" w:type="dxa"/>
            <w:vAlign w:val="center"/>
          </w:tcPr>
          <w:p w14:paraId="3C799CAB" w14:textId="77777777" w:rsidR="00544649" w:rsidRDefault="00000000">
            <w:pPr>
              <w:widowControl/>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环境管控单元编码</w:t>
            </w:r>
          </w:p>
        </w:tc>
        <w:tc>
          <w:tcPr>
            <w:tcW w:w="2315" w:type="dxa"/>
            <w:vAlign w:val="center"/>
          </w:tcPr>
          <w:p w14:paraId="207C2177" w14:textId="77777777" w:rsidR="00544649" w:rsidRDefault="00000000">
            <w:pPr>
              <w:widowControl/>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环境管控单元名称</w:t>
            </w:r>
          </w:p>
        </w:tc>
        <w:tc>
          <w:tcPr>
            <w:tcW w:w="1017" w:type="dxa"/>
            <w:vAlign w:val="center"/>
          </w:tcPr>
          <w:p w14:paraId="551CA7CC" w14:textId="77777777" w:rsidR="00544649" w:rsidRDefault="00000000">
            <w:pPr>
              <w:widowControl/>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所属市（州）</w:t>
            </w:r>
          </w:p>
        </w:tc>
        <w:tc>
          <w:tcPr>
            <w:tcW w:w="1308" w:type="dxa"/>
            <w:vAlign w:val="center"/>
          </w:tcPr>
          <w:p w14:paraId="475E2795" w14:textId="77777777" w:rsidR="00544649" w:rsidRDefault="00000000">
            <w:pPr>
              <w:widowControl/>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所属区县</w:t>
            </w:r>
          </w:p>
        </w:tc>
        <w:tc>
          <w:tcPr>
            <w:tcW w:w="1161" w:type="dxa"/>
            <w:vAlign w:val="center"/>
          </w:tcPr>
          <w:p w14:paraId="02215D3E" w14:textId="77777777" w:rsidR="00544649" w:rsidRDefault="00000000">
            <w:pPr>
              <w:widowControl/>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准入清单类型</w:t>
            </w:r>
          </w:p>
        </w:tc>
        <w:tc>
          <w:tcPr>
            <w:tcW w:w="1361" w:type="dxa"/>
            <w:vAlign w:val="center"/>
          </w:tcPr>
          <w:p w14:paraId="5502CC65" w14:textId="77777777" w:rsidR="00544649" w:rsidRDefault="00000000">
            <w:pPr>
              <w:widowControl/>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管</w:t>
            </w:r>
            <w:proofErr w:type="gramStart"/>
            <w:r>
              <w:rPr>
                <w:rFonts w:cs="Times New Roman"/>
                <w:b/>
                <w:bCs/>
                <w:kern w:val="0"/>
                <w:sz w:val="21"/>
                <w:szCs w:val="21"/>
              </w:rPr>
              <w:t>控类型</w:t>
            </w:r>
            <w:proofErr w:type="gramEnd"/>
          </w:p>
        </w:tc>
      </w:tr>
      <w:tr w:rsidR="00544649" w14:paraId="5FB4FC49" w14:textId="77777777">
        <w:trPr>
          <w:cantSplit/>
          <w:trHeight w:val="312"/>
          <w:tblHeader/>
          <w:jc w:val="center"/>
        </w:trPr>
        <w:tc>
          <w:tcPr>
            <w:tcW w:w="1898" w:type="dxa"/>
            <w:vAlign w:val="center"/>
          </w:tcPr>
          <w:p w14:paraId="1EBBAB02"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YS5108233210002</w:t>
            </w:r>
          </w:p>
        </w:tc>
        <w:tc>
          <w:tcPr>
            <w:tcW w:w="2315" w:type="dxa"/>
            <w:vAlign w:val="center"/>
          </w:tcPr>
          <w:p w14:paraId="209C2580"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嘉陵江</w:t>
            </w:r>
            <w:r>
              <w:rPr>
                <w:rFonts w:eastAsia="宋体"/>
                <w:sz w:val="21"/>
              </w:rPr>
              <w:t>-</w:t>
            </w:r>
            <w:r>
              <w:rPr>
                <w:rFonts w:eastAsia="宋体"/>
                <w:sz w:val="21"/>
              </w:rPr>
              <w:t>剑阁县</w:t>
            </w:r>
            <w:r>
              <w:rPr>
                <w:rFonts w:eastAsia="宋体"/>
                <w:sz w:val="21"/>
              </w:rPr>
              <w:t>-</w:t>
            </w:r>
            <w:r>
              <w:rPr>
                <w:rFonts w:eastAsia="宋体"/>
                <w:sz w:val="21"/>
              </w:rPr>
              <w:t>金银渡（张家岩）</w:t>
            </w:r>
            <w:r>
              <w:rPr>
                <w:rFonts w:eastAsia="宋体"/>
                <w:sz w:val="21"/>
              </w:rPr>
              <w:t>-</w:t>
            </w:r>
            <w:r>
              <w:rPr>
                <w:rFonts w:eastAsia="宋体"/>
                <w:sz w:val="21"/>
              </w:rPr>
              <w:t>控制单元</w:t>
            </w:r>
          </w:p>
        </w:tc>
        <w:tc>
          <w:tcPr>
            <w:tcW w:w="1017" w:type="dxa"/>
            <w:vAlign w:val="center"/>
          </w:tcPr>
          <w:p w14:paraId="215754B4"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广元市</w:t>
            </w:r>
          </w:p>
        </w:tc>
        <w:tc>
          <w:tcPr>
            <w:tcW w:w="1308" w:type="dxa"/>
            <w:vAlign w:val="center"/>
          </w:tcPr>
          <w:p w14:paraId="2E592F85"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剑阁县</w:t>
            </w:r>
          </w:p>
        </w:tc>
        <w:tc>
          <w:tcPr>
            <w:tcW w:w="1161" w:type="dxa"/>
            <w:vAlign w:val="center"/>
          </w:tcPr>
          <w:p w14:paraId="2E80C8A6"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水环境管控分区</w:t>
            </w:r>
          </w:p>
        </w:tc>
        <w:tc>
          <w:tcPr>
            <w:tcW w:w="1361" w:type="dxa"/>
            <w:vAlign w:val="center"/>
          </w:tcPr>
          <w:p w14:paraId="1D9E5F26"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水环境一般管控区</w:t>
            </w:r>
          </w:p>
        </w:tc>
      </w:tr>
      <w:tr w:rsidR="00544649" w14:paraId="7CCECDC7" w14:textId="77777777">
        <w:trPr>
          <w:cantSplit/>
          <w:trHeight w:val="312"/>
          <w:tblHeader/>
          <w:jc w:val="center"/>
        </w:trPr>
        <w:tc>
          <w:tcPr>
            <w:tcW w:w="1898" w:type="dxa"/>
            <w:vAlign w:val="center"/>
          </w:tcPr>
          <w:p w14:paraId="3D3F614C"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YS5108233310001</w:t>
            </w:r>
          </w:p>
        </w:tc>
        <w:tc>
          <w:tcPr>
            <w:tcW w:w="2315" w:type="dxa"/>
            <w:vAlign w:val="center"/>
          </w:tcPr>
          <w:p w14:paraId="43848636"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剑阁县大气环境一般管控区</w:t>
            </w:r>
          </w:p>
        </w:tc>
        <w:tc>
          <w:tcPr>
            <w:tcW w:w="1017" w:type="dxa"/>
            <w:vAlign w:val="center"/>
          </w:tcPr>
          <w:p w14:paraId="4E1DAB25"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广元市</w:t>
            </w:r>
          </w:p>
        </w:tc>
        <w:tc>
          <w:tcPr>
            <w:tcW w:w="1308" w:type="dxa"/>
            <w:vAlign w:val="center"/>
          </w:tcPr>
          <w:p w14:paraId="633B8900"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剑阁县</w:t>
            </w:r>
          </w:p>
        </w:tc>
        <w:tc>
          <w:tcPr>
            <w:tcW w:w="1161" w:type="dxa"/>
            <w:vAlign w:val="center"/>
          </w:tcPr>
          <w:p w14:paraId="7E03A7AD"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大气环境管控分区</w:t>
            </w:r>
          </w:p>
        </w:tc>
        <w:tc>
          <w:tcPr>
            <w:tcW w:w="1361" w:type="dxa"/>
            <w:vAlign w:val="center"/>
          </w:tcPr>
          <w:p w14:paraId="6D44A084"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大气环境一般管控区</w:t>
            </w:r>
          </w:p>
        </w:tc>
      </w:tr>
      <w:tr w:rsidR="00544649" w14:paraId="01192EF7" w14:textId="77777777">
        <w:trPr>
          <w:cantSplit/>
          <w:trHeight w:val="312"/>
          <w:tblHeader/>
          <w:jc w:val="center"/>
        </w:trPr>
        <w:tc>
          <w:tcPr>
            <w:tcW w:w="1898" w:type="dxa"/>
            <w:vAlign w:val="center"/>
          </w:tcPr>
          <w:p w14:paraId="24B945CD"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ZH51082330001</w:t>
            </w:r>
          </w:p>
        </w:tc>
        <w:tc>
          <w:tcPr>
            <w:tcW w:w="2315" w:type="dxa"/>
            <w:vAlign w:val="center"/>
          </w:tcPr>
          <w:p w14:paraId="72B7A2B6"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剑阁</w:t>
            </w:r>
            <w:proofErr w:type="gramStart"/>
            <w:r>
              <w:rPr>
                <w:rFonts w:eastAsia="宋体"/>
                <w:sz w:val="21"/>
              </w:rPr>
              <w:t>县一般管</w:t>
            </w:r>
            <w:proofErr w:type="gramEnd"/>
            <w:r>
              <w:rPr>
                <w:rFonts w:eastAsia="宋体"/>
                <w:sz w:val="21"/>
              </w:rPr>
              <w:t>控单元</w:t>
            </w:r>
          </w:p>
        </w:tc>
        <w:tc>
          <w:tcPr>
            <w:tcW w:w="1017" w:type="dxa"/>
            <w:vAlign w:val="center"/>
          </w:tcPr>
          <w:p w14:paraId="09EA06C6"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广元市</w:t>
            </w:r>
          </w:p>
        </w:tc>
        <w:tc>
          <w:tcPr>
            <w:tcW w:w="1308" w:type="dxa"/>
            <w:vAlign w:val="center"/>
          </w:tcPr>
          <w:p w14:paraId="721287B5"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剑阁县</w:t>
            </w:r>
          </w:p>
        </w:tc>
        <w:tc>
          <w:tcPr>
            <w:tcW w:w="1161" w:type="dxa"/>
            <w:vAlign w:val="center"/>
          </w:tcPr>
          <w:p w14:paraId="4BED2A48"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环境综合管控单元</w:t>
            </w:r>
          </w:p>
        </w:tc>
        <w:tc>
          <w:tcPr>
            <w:tcW w:w="1361" w:type="dxa"/>
            <w:vAlign w:val="center"/>
          </w:tcPr>
          <w:p w14:paraId="647BEBFD"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环境综合管控单元一般管控单元</w:t>
            </w:r>
          </w:p>
        </w:tc>
      </w:tr>
    </w:tbl>
    <w:p w14:paraId="3E2B7C58" w14:textId="77777777" w:rsidR="00544649" w:rsidRDefault="00000000">
      <w:pPr>
        <w:widowControl/>
        <w:numPr>
          <w:ilvl w:val="0"/>
          <w:numId w:val="13"/>
        </w:numPr>
        <w:adjustRightInd w:val="0"/>
        <w:snapToGrid w:val="0"/>
        <w:spacing w:beforeLines="50" w:before="163" w:after="0" w:line="240" w:lineRule="auto"/>
        <w:ind w:firstLineChars="0"/>
        <w:jc w:val="center"/>
        <w:rPr>
          <w:rFonts w:cs="Times New Roman"/>
          <w:b/>
          <w:bCs/>
          <w:kern w:val="21"/>
          <w:sz w:val="21"/>
          <w:szCs w:val="20"/>
        </w:rPr>
      </w:pPr>
      <w:r>
        <w:rPr>
          <w:rFonts w:cs="Times New Roman" w:hint="eastAsia"/>
          <w:b/>
          <w:bCs/>
          <w:kern w:val="21"/>
          <w:sz w:val="21"/>
          <w:szCs w:val="20"/>
        </w:rPr>
        <w:t>四川省生态环境分区管控数据分析系统查询结果（</w:t>
      </w:r>
      <w:r>
        <w:rPr>
          <w:rFonts w:cs="Times New Roman" w:hint="eastAsia"/>
          <w:b/>
          <w:kern w:val="21"/>
          <w:sz w:val="21"/>
          <w:szCs w:val="21"/>
        </w:rPr>
        <w:t>项目育雏场所在位置</w:t>
      </w:r>
      <w:r>
        <w:rPr>
          <w:rFonts w:cs="Times New Roman" w:hint="eastAsia"/>
          <w:b/>
          <w:bCs/>
          <w:kern w:val="21"/>
          <w:sz w:val="21"/>
          <w:szCs w:val="20"/>
        </w:rPr>
        <w:t>）</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2312"/>
        <w:gridCol w:w="873"/>
        <w:gridCol w:w="1017"/>
        <w:gridCol w:w="1453"/>
        <w:gridCol w:w="1506"/>
      </w:tblGrid>
      <w:tr w:rsidR="00544649" w14:paraId="712FECE7" w14:textId="77777777">
        <w:trPr>
          <w:cantSplit/>
          <w:trHeight w:val="20"/>
          <w:tblHeader/>
          <w:jc w:val="center"/>
        </w:trPr>
        <w:tc>
          <w:tcPr>
            <w:tcW w:w="1899" w:type="dxa"/>
            <w:vAlign w:val="center"/>
          </w:tcPr>
          <w:p w14:paraId="254E01CE" w14:textId="77777777" w:rsidR="00544649" w:rsidRDefault="00000000">
            <w:pPr>
              <w:widowControl/>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环境管控单元编码</w:t>
            </w:r>
          </w:p>
        </w:tc>
        <w:tc>
          <w:tcPr>
            <w:tcW w:w="2312" w:type="dxa"/>
            <w:vAlign w:val="center"/>
          </w:tcPr>
          <w:p w14:paraId="3CA805DE" w14:textId="77777777" w:rsidR="00544649" w:rsidRDefault="00000000">
            <w:pPr>
              <w:widowControl/>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环境管控单元名称</w:t>
            </w:r>
          </w:p>
        </w:tc>
        <w:tc>
          <w:tcPr>
            <w:tcW w:w="873" w:type="dxa"/>
            <w:vAlign w:val="center"/>
          </w:tcPr>
          <w:p w14:paraId="14F5DACF" w14:textId="77777777" w:rsidR="00544649" w:rsidRDefault="00000000">
            <w:pPr>
              <w:widowControl/>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所属市（州）</w:t>
            </w:r>
          </w:p>
        </w:tc>
        <w:tc>
          <w:tcPr>
            <w:tcW w:w="1017" w:type="dxa"/>
            <w:vAlign w:val="center"/>
          </w:tcPr>
          <w:p w14:paraId="36D803C7" w14:textId="77777777" w:rsidR="00544649" w:rsidRDefault="00000000">
            <w:pPr>
              <w:widowControl/>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所属区县</w:t>
            </w:r>
          </w:p>
        </w:tc>
        <w:tc>
          <w:tcPr>
            <w:tcW w:w="1453" w:type="dxa"/>
            <w:vAlign w:val="center"/>
          </w:tcPr>
          <w:p w14:paraId="1815B533" w14:textId="77777777" w:rsidR="00544649" w:rsidRDefault="00000000">
            <w:pPr>
              <w:widowControl/>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准入清单类型</w:t>
            </w:r>
          </w:p>
        </w:tc>
        <w:tc>
          <w:tcPr>
            <w:tcW w:w="1506" w:type="dxa"/>
            <w:vAlign w:val="center"/>
          </w:tcPr>
          <w:p w14:paraId="13D51915" w14:textId="77777777" w:rsidR="00544649" w:rsidRDefault="00000000">
            <w:pPr>
              <w:widowControl/>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管</w:t>
            </w:r>
            <w:proofErr w:type="gramStart"/>
            <w:r>
              <w:rPr>
                <w:rFonts w:cs="Times New Roman"/>
                <w:b/>
                <w:bCs/>
                <w:kern w:val="0"/>
                <w:sz w:val="21"/>
                <w:szCs w:val="21"/>
              </w:rPr>
              <w:t>控类型</w:t>
            </w:r>
            <w:proofErr w:type="gramEnd"/>
          </w:p>
        </w:tc>
      </w:tr>
      <w:tr w:rsidR="00544649" w14:paraId="2DAAC1AA" w14:textId="77777777">
        <w:trPr>
          <w:cantSplit/>
          <w:trHeight w:val="20"/>
          <w:tblHeader/>
          <w:jc w:val="center"/>
        </w:trPr>
        <w:tc>
          <w:tcPr>
            <w:tcW w:w="1899" w:type="dxa"/>
            <w:vAlign w:val="center"/>
          </w:tcPr>
          <w:p w14:paraId="56A0558C"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YS5108233210002</w:t>
            </w:r>
          </w:p>
        </w:tc>
        <w:tc>
          <w:tcPr>
            <w:tcW w:w="2312" w:type="dxa"/>
            <w:vAlign w:val="center"/>
          </w:tcPr>
          <w:p w14:paraId="5FFED0F8"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嘉陵江</w:t>
            </w:r>
            <w:r>
              <w:rPr>
                <w:rFonts w:eastAsia="宋体"/>
                <w:sz w:val="21"/>
              </w:rPr>
              <w:t>-</w:t>
            </w:r>
            <w:r>
              <w:rPr>
                <w:rFonts w:eastAsia="宋体"/>
                <w:sz w:val="21"/>
              </w:rPr>
              <w:t>剑阁县</w:t>
            </w:r>
            <w:r>
              <w:rPr>
                <w:rFonts w:eastAsia="宋体"/>
                <w:sz w:val="21"/>
              </w:rPr>
              <w:t>-</w:t>
            </w:r>
            <w:r>
              <w:rPr>
                <w:rFonts w:eastAsia="宋体"/>
                <w:sz w:val="21"/>
              </w:rPr>
              <w:t>金银渡（张家岩）</w:t>
            </w:r>
            <w:r>
              <w:rPr>
                <w:rFonts w:eastAsia="宋体"/>
                <w:sz w:val="21"/>
              </w:rPr>
              <w:t>-</w:t>
            </w:r>
            <w:r>
              <w:rPr>
                <w:rFonts w:eastAsia="宋体"/>
                <w:sz w:val="21"/>
              </w:rPr>
              <w:t>控制单元</w:t>
            </w:r>
          </w:p>
        </w:tc>
        <w:tc>
          <w:tcPr>
            <w:tcW w:w="873" w:type="dxa"/>
            <w:vAlign w:val="center"/>
          </w:tcPr>
          <w:p w14:paraId="4DA3B6A0"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广元市</w:t>
            </w:r>
          </w:p>
        </w:tc>
        <w:tc>
          <w:tcPr>
            <w:tcW w:w="1017" w:type="dxa"/>
            <w:vAlign w:val="center"/>
          </w:tcPr>
          <w:p w14:paraId="1CA1ED9F"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剑阁县</w:t>
            </w:r>
          </w:p>
        </w:tc>
        <w:tc>
          <w:tcPr>
            <w:tcW w:w="1453" w:type="dxa"/>
            <w:vAlign w:val="center"/>
          </w:tcPr>
          <w:p w14:paraId="0B25A9E8"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水环境管控分区</w:t>
            </w:r>
          </w:p>
        </w:tc>
        <w:tc>
          <w:tcPr>
            <w:tcW w:w="1506" w:type="dxa"/>
            <w:vAlign w:val="center"/>
          </w:tcPr>
          <w:p w14:paraId="3EF3E526"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水环境一般管控区</w:t>
            </w:r>
          </w:p>
        </w:tc>
      </w:tr>
      <w:tr w:rsidR="00544649" w14:paraId="2DC2D3CA" w14:textId="77777777">
        <w:trPr>
          <w:cantSplit/>
          <w:trHeight w:val="20"/>
          <w:tblHeader/>
          <w:jc w:val="center"/>
        </w:trPr>
        <w:tc>
          <w:tcPr>
            <w:tcW w:w="1899" w:type="dxa"/>
            <w:vAlign w:val="center"/>
          </w:tcPr>
          <w:p w14:paraId="0AD46EF4"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YS5108233310001</w:t>
            </w:r>
          </w:p>
        </w:tc>
        <w:tc>
          <w:tcPr>
            <w:tcW w:w="2312" w:type="dxa"/>
            <w:vAlign w:val="center"/>
          </w:tcPr>
          <w:p w14:paraId="12B1321A"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剑阁县大气环境一般管控区</w:t>
            </w:r>
          </w:p>
        </w:tc>
        <w:tc>
          <w:tcPr>
            <w:tcW w:w="873" w:type="dxa"/>
            <w:vAlign w:val="center"/>
          </w:tcPr>
          <w:p w14:paraId="32DBD069"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广元市</w:t>
            </w:r>
          </w:p>
        </w:tc>
        <w:tc>
          <w:tcPr>
            <w:tcW w:w="1017" w:type="dxa"/>
            <w:vAlign w:val="center"/>
          </w:tcPr>
          <w:p w14:paraId="35D71221"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剑阁县</w:t>
            </w:r>
          </w:p>
        </w:tc>
        <w:tc>
          <w:tcPr>
            <w:tcW w:w="1453" w:type="dxa"/>
            <w:vAlign w:val="center"/>
          </w:tcPr>
          <w:p w14:paraId="16DF487E"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大气环境管控分区</w:t>
            </w:r>
          </w:p>
        </w:tc>
        <w:tc>
          <w:tcPr>
            <w:tcW w:w="1506" w:type="dxa"/>
            <w:vAlign w:val="center"/>
          </w:tcPr>
          <w:p w14:paraId="0EECCEB6"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大气环境一般管控区</w:t>
            </w:r>
          </w:p>
        </w:tc>
      </w:tr>
      <w:tr w:rsidR="00544649" w14:paraId="4868F091" w14:textId="77777777">
        <w:trPr>
          <w:cantSplit/>
          <w:trHeight w:val="20"/>
          <w:tblHeader/>
          <w:jc w:val="center"/>
        </w:trPr>
        <w:tc>
          <w:tcPr>
            <w:tcW w:w="1899" w:type="dxa"/>
            <w:vAlign w:val="center"/>
          </w:tcPr>
          <w:p w14:paraId="2643C4A6"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ZH51082330001</w:t>
            </w:r>
          </w:p>
        </w:tc>
        <w:tc>
          <w:tcPr>
            <w:tcW w:w="2312" w:type="dxa"/>
            <w:vAlign w:val="center"/>
          </w:tcPr>
          <w:p w14:paraId="10DBED19"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剑阁</w:t>
            </w:r>
            <w:proofErr w:type="gramStart"/>
            <w:r>
              <w:rPr>
                <w:rFonts w:eastAsia="宋体"/>
                <w:sz w:val="21"/>
              </w:rPr>
              <w:t>县一般管</w:t>
            </w:r>
            <w:proofErr w:type="gramEnd"/>
            <w:r>
              <w:rPr>
                <w:rFonts w:eastAsia="宋体"/>
                <w:sz w:val="21"/>
              </w:rPr>
              <w:t>控单元</w:t>
            </w:r>
          </w:p>
        </w:tc>
        <w:tc>
          <w:tcPr>
            <w:tcW w:w="873" w:type="dxa"/>
            <w:vAlign w:val="center"/>
          </w:tcPr>
          <w:p w14:paraId="602394EC"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广元市</w:t>
            </w:r>
          </w:p>
        </w:tc>
        <w:tc>
          <w:tcPr>
            <w:tcW w:w="1017" w:type="dxa"/>
            <w:vAlign w:val="center"/>
          </w:tcPr>
          <w:p w14:paraId="50150E74"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剑阁县</w:t>
            </w:r>
          </w:p>
        </w:tc>
        <w:tc>
          <w:tcPr>
            <w:tcW w:w="1453" w:type="dxa"/>
            <w:vAlign w:val="center"/>
          </w:tcPr>
          <w:p w14:paraId="52D8677C"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环境综合管控单元</w:t>
            </w:r>
          </w:p>
        </w:tc>
        <w:tc>
          <w:tcPr>
            <w:tcW w:w="1506" w:type="dxa"/>
            <w:vAlign w:val="center"/>
          </w:tcPr>
          <w:p w14:paraId="5306D6BD" w14:textId="77777777" w:rsidR="00544649" w:rsidRDefault="00000000">
            <w:pPr>
              <w:pStyle w:val="Normal0"/>
              <w:widowControl/>
              <w:adjustRightInd w:val="0"/>
              <w:snapToGrid w:val="0"/>
              <w:spacing w:after="0" w:line="240" w:lineRule="auto"/>
              <w:ind w:firstLineChars="0" w:firstLine="0"/>
              <w:jc w:val="center"/>
              <w:rPr>
                <w:rFonts w:eastAsia="宋体"/>
                <w:sz w:val="21"/>
              </w:rPr>
            </w:pPr>
            <w:r>
              <w:rPr>
                <w:rFonts w:eastAsia="宋体"/>
                <w:sz w:val="21"/>
              </w:rPr>
              <w:t>环境综合管控单元一般管控单元</w:t>
            </w:r>
          </w:p>
        </w:tc>
      </w:tr>
    </w:tbl>
    <w:p w14:paraId="7CE1D7B1" w14:textId="77777777" w:rsidR="00544649" w:rsidRDefault="00000000">
      <w:pPr>
        <w:adjustRightInd w:val="0"/>
        <w:snapToGrid w:val="0"/>
        <w:spacing w:after="0"/>
        <w:ind w:firstLine="480"/>
        <w:rPr>
          <w:rFonts w:cs="Times New Roman"/>
          <w:kern w:val="21"/>
        </w:rPr>
        <w:sectPr w:rsidR="00544649">
          <w:footerReference w:type="default" r:id="rId29"/>
          <w:pgSz w:w="11906" w:h="16838"/>
          <w:pgMar w:top="1134" w:right="1531" w:bottom="1134" w:left="1531" w:header="851" w:footer="737" w:gutter="0"/>
          <w:pgNumType w:start="1"/>
          <w:cols w:space="425"/>
          <w:docGrid w:type="lines" w:linePitch="326"/>
        </w:sectPr>
      </w:pPr>
      <w:r>
        <w:rPr>
          <w:rFonts w:cs="Times New Roman" w:hint="eastAsia"/>
          <w:kern w:val="21"/>
          <w:szCs w:val="24"/>
        </w:rPr>
        <w:t>根据表四川省生态环境分区管控数据分析系统查询结果可知，本项目</w:t>
      </w:r>
      <w:proofErr w:type="gramStart"/>
      <w:r>
        <w:rPr>
          <w:rFonts w:cs="Times New Roman" w:hint="eastAsia"/>
          <w:kern w:val="21"/>
          <w:szCs w:val="24"/>
        </w:rPr>
        <w:t>育雏场</w:t>
      </w:r>
      <w:proofErr w:type="gramEnd"/>
      <w:r>
        <w:rPr>
          <w:rFonts w:cs="Times New Roman" w:hint="eastAsia"/>
          <w:kern w:val="21"/>
          <w:szCs w:val="24"/>
        </w:rPr>
        <w:t>及蛋鸡场所在位置涉及环境管控单元及管</w:t>
      </w:r>
      <w:proofErr w:type="gramStart"/>
      <w:r>
        <w:rPr>
          <w:rFonts w:cs="Times New Roman" w:hint="eastAsia"/>
          <w:kern w:val="21"/>
          <w:szCs w:val="24"/>
        </w:rPr>
        <w:t>控要求</w:t>
      </w:r>
      <w:proofErr w:type="gramEnd"/>
      <w:r>
        <w:rPr>
          <w:rFonts w:cs="Times New Roman" w:hint="eastAsia"/>
          <w:kern w:val="21"/>
          <w:szCs w:val="24"/>
        </w:rPr>
        <w:t>均一样，</w:t>
      </w:r>
      <w:r>
        <w:rPr>
          <w:rFonts w:cs="Times New Roman"/>
          <w:kern w:val="21"/>
          <w:szCs w:val="24"/>
        </w:rPr>
        <w:t>本项目与</w:t>
      </w:r>
      <w:r>
        <w:rPr>
          <w:rFonts w:cs="Times New Roman" w:hint="eastAsia"/>
          <w:kern w:val="21"/>
          <w:szCs w:val="24"/>
        </w:rPr>
        <w:t>生态环境分区管</w:t>
      </w:r>
      <w:proofErr w:type="gramStart"/>
      <w:r>
        <w:rPr>
          <w:rFonts w:cs="Times New Roman" w:hint="eastAsia"/>
          <w:kern w:val="21"/>
          <w:szCs w:val="24"/>
        </w:rPr>
        <w:t>控</w:t>
      </w:r>
      <w:r>
        <w:rPr>
          <w:rFonts w:cs="Times New Roman"/>
          <w:kern w:val="21"/>
          <w:szCs w:val="24"/>
        </w:rPr>
        <w:t>要求</w:t>
      </w:r>
      <w:proofErr w:type="gramEnd"/>
      <w:r>
        <w:rPr>
          <w:rFonts w:cs="Times New Roman"/>
          <w:kern w:val="21"/>
          <w:szCs w:val="24"/>
        </w:rPr>
        <w:lastRenderedPageBreak/>
        <w:t>的符合性分析见下表</w:t>
      </w:r>
      <w:r>
        <w:rPr>
          <w:rFonts w:cs="Times New Roman"/>
          <w:kern w:val="21"/>
        </w:rPr>
        <w:t>。</w:t>
      </w:r>
    </w:p>
    <w:p w14:paraId="7F1CAC84" w14:textId="77777777" w:rsidR="00544649" w:rsidRDefault="00000000">
      <w:pPr>
        <w:widowControl/>
        <w:numPr>
          <w:ilvl w:val="0"/>
          <w:numId w:val="13"/>
        </w:numPr>
        <w:adjustRightInd w:val="0"/>
        <w:snapToGrid w:val="0"/>
        <w:spacing w:beforeLines="20" w:before="62" w:afterLines="20" w:after="62" w:line="240" w:lineRule="auto"/>
        <w:ind w:firstLineChars="0"/>
        <w:jc w:val="center"/>
        <w:rPr>
          <w:rStyle w:val="Char"/>
          <w:rFonts w:cs="Times New Roman"/>
          <w:color w:val="auto"/>
          <w:kern w:val="21"/>
        </w:rPr>
      </w:pPr>
      <w:r>
        <w:rPr>
          <w:rStyle w:val="Char"/>
          <w:rFonts w:cs="Times New Roman"/>
          <w:color w:val="auto"/>
          <w:kern w:val="21"/>
        </w:rPr>
        <w:lastRenderedPageBreak/>
        <w:t>本项目与</w:t>
      </w:r>
      <w:r>
        <w:rPr>
          <w:rFonts w:cs="Times New Roman" w:hint="eastAsia"/>
          <w:b/>
          <w:bCs/>
          <w:kern w:val="21"/>
          <w:sz w:val="21"/>
          <w:szCs w:val="18"/>
        </w:rPr>
        <w:t>生态环境分区管</w:t>
      </w:r>
      <w:proofErr w:type="gramStart"/>
      <w:r>
        <w:rPr>
          <w:rFonts w:cs="Times New Roman" w:hint="eastAsia"/>
          <w:b/>
          <w:bCs/>
          <w:kern w:val="21"/>
          <w:sz w:val="21"/>
          <w:szCs w:val="18"/>
        </w:rPr>
        <w:t>控</w:t>
      </w:r>
      <w:r>
        <w:rPr>
          <w:rStyle w:val="Char"/>
          <w:rFonts w:cs="Times New Roman"/>
          <w:color w:val="auto"/>
          <w:kern w:val="21"/>
        </w:rPr>
        <w:t>相关</w:t>
      </w:r>
      <w:proofErr w:type="gramEnd"/>
      <w:r>
        <w:rPr>
          <w:rStyle w:val="Char"/>
          <w:rFonts w:cs="Times New Roman"/>
          <w:color w:val="auto"/>
          <w:kern w:val="21"/>
        </w:rPr>
        <w:t>要求的符合性分析</w:t>
      </w:r>
    </w:p>
    <w:tbl>
      <w:tblPr>
        <w:tblStyle w:val="afc"/>
        <w:tblW w:w="14751" w:type="dxa"/>
        <w:jc w:val="center"/>
        <w:tblLayout w:type="fixed"/>
        <w:tblLook w:val="04A0" w:firstRow="1" w:lastRow="0" w:firstColumn="1" w:lastColumn="0" w:noHBand="0" w:noVBand="1"/>
      </w:tblPr>
      <w:tblGrid>
        <w:gridCol w:w="1003"/>
        <w:gridCol w:w="507"/>
        <w:gridCol w:w="708"/>
        <w:gridCol w:w="6968"/>
        <w:gridCol w:w="4709"/>
        <w:gridCol w:w="856"/>
      </w:tblGrid>
      <w:tr w:rsidR="00544649" w14:paraId="3789C58E" w14:textId="77777777">
        <w:trPr>
          <w:trHeight w:val="90"/>
          <w:tblHeader/>
          <w:jc w:val="center"/>
        </w:trPr>
        <w:tc>
          <w:tcPr>
            <w:tcW w:w="9186" w:type="dxa"/>
            <w:gridSpan w:val="4"/>
            <w:vAlign w:val="center"/>
          </w:tcPr>
          <w:p w14:paraId="0A1330AD"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hint="eastAsia"/>
                <w:b/>
                <w:bCs/>
                <w:kern w:val="21"/>
                <w:sz w:val="21"/>
                <w:szCs w:val="21"/>
              </w:rPr>
              <w:t>生态环境分区管控</w:t>
            </w:r>
            <w:r>
              <w:rPr>
                <w:rFonts w:cs="Times New Roman"/>
                <w:b/>
                <w:bCs/>
                <w:kern w:val="21"/>
                <w:sz w:val="21"/>
                <w:szCs w:val="21"/>
              </w:rPr>
              <w:t>的具体要求</w:t>
            </w:r>
          </w:p>
        </w:tc>
        <w:tc>
          <w:tcPr>
            <w:tcW w:w="4709" w:type="dxa"/>
            <w:vMerge w:val="restart"/>
            <w:vAlign w:val="center"/>
          </w:tcPr>
          <w:p w14:paraId="1D3F25E8"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b/>
                <w:bCs/>
                <w:kern w:val="21"/>
                <w:sz w:val="21"/>
                <w:szCs w:val="21"/>
              </w:rPr>
              <w:t>项目对应情况介绍</w:t>
            </w:r>
          </w:p>
        </w:tc>
        <w:tc>
          <w:tcPr>
            <w:tcW w:w="856" w:type="dxa"/>
            <w:vMerge w:val="restart"/>
            <w:vAlign w:val="center"/>
          </w:tcPr>
          <w:p w14:paraId="1A9DEC95"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b/>
                <w:bCs/>
                <w:kern w:val="21"/>
                <w:sz w:val="21"/>
                <w:szCs w:val="21"/>
              </w:rPr>
              <w:t>符合性分析</w:t>
            </w:r>
          </w:p>
        </w:tc>
      </w:tr>
      <w:tr w:rsidR="00544649" w14:paraId="1C48AB12" w14:textId="77777777">
        <w:trPr>
          <w:trHeight w:val="90"/>
          <w:tblHeader/>
          <w:jc w:val="center"/>
        </w:trPr>
        <w:tc>
          <w:tcPr>
            <w:tcW w:w="2218" w:type="dxa"/>
            <w:gridSpan w:val="3"/>
            <w:vAlign w:val="center"/>
          </w:tcPr>
          <w:p w14:paraId="3B6C9F9E"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b/>
                <w:bCs/>
                <w:kern w:val="21"/>
                <w:sz w:val="21"/>
                <w:szCs w:val="21"/>
              </w:rPr>
              <w:t>类别</w:t>
            </w:r>
          </w:p>
        </w:tc>
        <w:tc>
          <w:tcPr>
            <w:tcW w:w="6968" w:type="dxa"/>
            <w:vAlign w:val="center"/>
          </w:tcPr>
          <w:p w14:paraId="513451BB"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b/>
                <w:bCs/>
                <w:kern w:val="21"/>
                <w:sz w:val="21"/>
                <w:szCs w:val="21"/>
              </w:rPr>
              <w:t>对应管</w:t>
            </w:r>
            <w:proofErr w:type="gramStart"/>
            <w:r>
              <w:rPr>
                <w:rFonts w:cs="Times New Roman"/>
                <w:b/>
                <w:bCs/>
                <w:kern w:val="21"/>
                <w:sz w:val="21"/>
                <w:szCs w:val="21"/>
              </w:rPr>
              <w:t>控要求</w:t>
            </w:r>
            <w:proofErr w:type="gramEnd"/>
          </w:p>
        </w:tc>
        <w:tc>
          <w:tcPr>
            <w:tcW w:w="4709" w:type="dxa"/>
            <w:vMerge/>
            <w:vAlign w:val="center"/>
          </w:tcPr>
          <w:p w14:paraId="5F304AE6"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856" w:type="dxa"/>
            <w:vMerge/>
            <w:vAlign w:val="center"/>
          </w:tcPr>
          <w:p w14:paraId="5AB63CD5"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r>
      <w:tr w:rsidR="00544649" w14:paraId="799AD51C" w14:textId="77777777">
        <w:trPr>
          <w:trHeight w:val="90"/>
          <w:jc w:val="center"/>
        </w:trPr>
        <w:tc>
          <w:tcPr>
            <w:tcW w:w="1003" w:type="dxa"/>
            <w:vMerge w:val="restart"/>
            <w:vAlign w:val="center"/>
          </w:tcPr>
          <w:p w14:paraId="2AD79666"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剑阁</w:t>
            </w:r>
            <w:proofErr w:type="gramStart"/>
            <w:r>
              <w:rPr>
                <w:rFonts w:cs="Times New Roman" w:hint="eastAsia"/>
                <w:kern w:val="21"/>
                <w:sz w:val="21"/>
                <w:szCs w:val="21"/>
              </w:rPr>
              <w:t>县一般管</w:t>
            </w:r>
            <w:proofErr w:type="gramEnd"/>
            <w:r>
              <w:rPr>
                <w:rFonts w:cs="Times New Roman" w:hint="eastAsia"/>
                <w:kern w:val="21"/>
                <w:sz w:val="21"/>
                <w:szCs w:val="21"/>
              </w:rPr>
              <w:t>控单元</w:t>
            </w:r>
          </w:p>
          <w:p w14:paraId="2BB19E1F"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ZH51082330001</w:t>
            </w:r>
          </w:p>
          <w:p w14:paraId="580BE7A6"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hint="eastAsia"/>
                <w:kern w:val="21"/>
                <w:sz w:val="21"/>
                <w:szCs w:val="21"/>
              </w:rPr>
              <w:t>环境综合管控单元一般管控单元</w:t>
            </w:r>
          </w:p>
        </w:tc>
        <w:tc>
          <w:tcPr>
            <w:tcW w:w="507" w:type="dxa"/>
            <w:vMerge w:val="restart"/>
            <w:vAlign w:val="center"/>
          </w:tcPr>
          <w:p w14:paraId="5BC2A3B8"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kern w:val="21"/>
                <w:sz w:val="21"/>
                <w:szCs w:val="21"/>
              </w:rPr>
              <w:t>普适性清单管</w:t>
            </w:r>
            <w:proofErr w:type="gramStart"/>
            <w:r>
              <w:rPr>
                <w:rFonts w:cs="Times New Roman"/>
                <w:kern w:val="21"/>
                <w:sz w:val="21"/>
                <w:szCs w:val="21"/>
              </w:rPr>
              <w:t>控要求</w:t>
            </w:r>
            <w:proofErr w:type="gramEnd"/>
          </w:p>
        </w:tc>
        <w:tc>
          <w:tcPr>
            <w:tcW w:w="708" w:type="dxa"/>
            <w:vMerge w:val="restart"/>
            <w:vAlign w:val="center"/>
          </w:tcPr>
          <w:p w14:paraId="550FB092"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kern w:val="21"/>
                <w:sz w:val="21"/>
                <w:szCs w:val="21"/>
              </w:rPr>
              <w:t>空间布局约束</w:t>
            </w:r>
          </w:p>
        </w:tc>
        <w:tc>
          <w:tcPr>
            <w:tcW w:w="6968" w:type="dxa"/>
            <w:vAlign w:val="center"/>
          </w:tcPr>
          <w:p w14:paraId="55F5AC00" w14:textId="77777777" w:rsidR="00544649" w:rsidRDefault="00000000">
            <w:pPr>
              <w:widowControl/>
              <w:adjustRightInd w:val="0"/>
              <w:snapToGrid w:val="0"/>
              <w:spacing w:after="0" w:line="240" w:lineRule="auto"/>
              <w:ind w:firstLineChars="0" w:firstLine="0"/>
              <w:rPr>
                <w:rFonts w:cs="Times New Roman"/>
                <w:b/>
                <w:bCs/>
                <w:kern w:val="21"/>
                <w:sz w:val="21"/>
                <w:szCs w:val="21"/>
              </w:rPr>
            </w:pPr>
            <w:r>
              <w:rPr>
                <w:rFonts w:cs="Times New Roman"/>
                <w:b/>
                <w:bCs/>
                <w:kern w:val="21"/>
                <w:sz w:val="21"/>
                <w:szCs w:val="21"/>
              </w:rPr>
              <w:t>禁止开发建设活动的要求：</w:t>
            </w:r>
          </w:p>
          <w:p w14:paraId="4CD46978"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1</w:t>
            </w:r>
            <w:r>
              <w:rPr>
                <w:rFonts w:cs="Times New Roman" w:hint="eastAsia"/>
                <w:kern w:val="21"/>
                <w:sz w:val="21"/>
                <w:szCs w:val="21"/>
              </w:rPr>
              <w:t>、禁止在长江干支流岸线一公里范围内新建、扩建化工园区和化工项目。（《中华人民共和国长江保护法》）</w:t>
            </w:r>
          </w:p>
          <w:p w14:paraId="0BDF08E6"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2</w:t>
            </w:r>
            <w:r>
              <w:rPr>
                <w:rFonts w:cs="Times New Roman" w:hint="eastAsia"/>
                <w:kern w:val="21"/>
                <w:sz w:val="21"/>
                <w:szCs w:val="21"/>
              </w:rPr>
              <w:t>、禁止在长江流域开放水域养殖、投放外来物种或者其他非本地物种种质资源。禁止在长江流域禁止采砂区和禁止采砂期从事采砂活动。全面停止小型水电项目开发，已建成的中小型水电站不再扩容。（《中华人民共和国长江保护法》、《四川省人民政府关于进一步加强和规范水电建设管理的意见》）。</w:t>
            </w:r>
          </w:p>
          <w:p w14:paraId="06650D0A"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3</w:t>
            </w:r>
            <w:r>
              <w:rPr>
                <w:rFonts w:cs="Times New Roman" w:hint="eastAsia"/>
                <w:kern w:val="21"/>
                <w:sz w:val="21"/>
                <w:szCs w:val="21"/>
              </w:rPr>
              <w:t>、对全部基本农田按禁止开发的要求进行管理，禁止占用基本农田发展林果业和挖塘养鱼。禁止任何单位和个人在基本农田保护区内建窑、建房、建坟、挖砂、采石、采矿、取土、堆放固体废弃物或者进行其他破坏基本农田的活动。（《中华人民共和国土地管理法》、《基本农田保护条例》、《全国主体功能区规划》）</w:t>
            </w:r>
          </w:p>
          <w:p w14:paraId="6DB1F5EC"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4</w:t>
            </w:r>
            <w:r>
              <w:rPr>
                <w:rFonts w:cs="Times New Roman" w:hint="eastAsia"/>
                <w:kern w:val="21"/>
                <w:sz w:val="21"/>
                <w:szCs w:val="21"/>
              </w:rPr>
              <w:t>、永久基本农田，实行严格保护，确保其面积不减少、土壤环境质量不下降，除法律规定的重点建设项目选址确实无法避让外，其他任何建设不得占用。在永久基本农田集中区域，不得新建可能造成土壤污染的建设项目；已经建成的，应当限期关闭拆除。（《土壤污染防治行动计划》、《中华人民共和国土壤污染防治法》）</w:t>
            </w:r>
          </w:p>
          <w:p w14:paraId="5F344EE7"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5</w:t>
            </w:r>
            <w:r>
              <w:rPr>
                <w:rFonts w:cs="Times New Roman" w:hint="eastAsia"/>
                <w:kern w:val="21"/>
                <w:sz w:val="21"/>
                <w:szCs w:val="21"/>
              </w:rPr>
              <w:t>、畜禽养殖严格按照广元市各区县畜禽养殖区域划定方案执行，依法关闭或搬迁禁养区内的畜禽养殖场（小区）和养殖专业户。禁止在禁采区内开采矿产；禁止土法采、选、</w:t>
            </w:r>
            <w:proofErr w:type="gramStart"/>
            <w:r>
              <w:rPr>
                <w:rFonts w:cs="Times New Roman" w:hint="eastAsia"/>
                <w:kern w:val="21"/>
                <w:sz w:val="21"/>
                <w:szCs w:val="21"/>
              </w:rPr>
              <w:t>冶严重</w:t>
            </w:r>
            <w:proofErr w:type="gramEnd"/>
            <w:r>
              <w:rPr>
                <w:rFonts w:cs="Times New Roman" w:hint="eastAsia"/>
                <w:kern w:val="21"/>
                <w:sz w:val="21"/>
                <w:szCs w:val="21"/>
              </w:rPr>
              <w:t>污染环境的矿产资源。</w:t>
            </w:r>
          </w:p>
          <w:p w14:paraId="74C3CA9B"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6</w:t>
            </w:r>
            <w:r>
              <w:rPr>
                <w:rFonts w:cs="Times New Roman" w:hint="eastAsia"/>
                <w:kern w:val="21"/>
                <w:sz w:val="21"/>
                <w:szCs w:val="21"/>
              </w:rPr>
              <w:t>、禁止在永久基本农田集中区域和其他需要特别保护的区域选址建设尾矿库、冶炼渣库、磷石膏库。</w:t>
            </w:r>
          </w:p>
          <w:p w14:paraId="1640A295" w14:textId="77777777" w:rsidR="00544649" w:rsidRDefault="00000000">
            <w:pPr>
              <w:adjustRightInd w:val="0"/>
              <w:snapToGrid w:val="0"/>
              <w:spacing w:after="0" w:line="240" w:lineRule="auto"/>
              <w:ind w:firstLineChars="0" w:firstLine="0"/>
              <w:rPr>
                <w:rFonts w:cs="Times New Roman"/>
                <w:b/>
                <w:bCs/>
                <w:kern w:val="21"/>
                <w:sz w:val="21"/>
                <w:szCs w:val="21"/>
              </w:rPr>
            </w:pPr>
            <w:r>
              <w:rPr>
                <w:rFonts w:cs="Times New Roman" w:hint="eastAsia"/>
                <w:kern w:val="21"/>
                <w:sz w:val="21"/>
                <w:szCs w:val="21"/>
              </w:rPr>
              <w:t>7</w:t>
            </w:r>
            <w:r>
              <w:rPr>
                <w:rFonts w:cs="Times New Roman" w:hint="eastAsia"/>
                <w:kern w:val="21"/>
                <w:sz w:val="21"/>
                <w:szCs w:val="21"/>
              </w:rPr>
              <w:t>、禁止在长江干流岸线三公里范围内和重要支流岸线一公里范围内新建、改建、扩建尾矿库、冶炼渣库、磷石膏库，以提升安全、生态环境保护水平为目的的改建除外。</w:t>
            </w:r>
          </w:p>
        </w:tc>
        <w:tc>
          <w:tcPr>
            <w:tcW w:w="4709" w:type="dxa"/>
            <w:vAlign w:val="center"/>
          </w:tcPr>
          <w:p w14:paraId="48A9F4C9" w14:textId="77777777" w:rsidR="00544649" w:rsidRDefault="00000000">
            <w:pPr>
              <w:widowControl/>
              <w:numPr>
                <w:ilvl w:val="0"/>
                <w:numId w:val="15"/>
              </w:numPr>
              <w:adjustRightInd w:val="0"/>
              <w:snapToGrid w:val="0"/>
              <w:spacing w:after="0" w:line="240" w:lineRule="auto"/>
              <w:ind w:firstLineChars="0" w:firstLine="0"/>
              <w:rPr>
                <w:rFonts w:cs="Times New Roman"/>
                <w:kern w:val="21"/>
                <w:sz w:val="21"/>
                <w:szCs w:val="21"/>
              </w:rPr>
            </w:pPr>
            <w:r>
              <w:rPr>
                <w:rFonts w:cs="Times New Roman"/>
                <w:kern w:val="21"/>
                <w:sz w:val="21"/>
                <w:szCs w:val="21"/>
              </w:rPr>
              <w:t>本项目不属于新建、扩建化工园区和化工项目；</w:t>
            </w:r>
          </w:p>
          <w:p w14:paraId="3B20A7E0"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kern w:val="21"/>
                <w:sz w:val="21"/>
                <w:szCs w:val="21"/>
              </w:rPr>
              <w:t>2</w:t>
            </w:r>
            <w:r>
              <w:rPr>
                <w:rFonts w:cs="Times New Roman"/>
                <w:kern w:val="21"/>
                <w:sz w:val="21"/>
                <w:szCs w:val="21"/>
              </w:rPr>
              <w:t>、本项目不涉及水域养殖、投放外来物种或者其他非本地物种种质资源，不涉及河道采砂，不属于小水电项目；</w:t>
            </w:r>
          </w:p>
          <w:p w14:paraId="6ED50295"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kern w:val="21"/>
                <w:sz w:val="21"/>
                <w:szCs w:val="21"/>
              </w:rPr>
              <w:t>3</w:t>
            </w:r>
            <w:r>
              <w:rPr>
                <w:rFonts w:cs="Times New Roman"/>
                <w:kern w:val="21"/>
                <w:sz w:val="21"/>
                <w:szCs w:val="21"/>
              </w:rPr>
              <w:t>、本项目</w:t>
            </w:r>
            <w:r>
              <w:rPr>
                <w:rFonts w:cs="Times New Roman" w:hint="eastAsia"/>
                <w:kern w:val="21"/>
                <w:sz w:val="21"/>
                <w:szCs w:val="21"/>
              </w:rPr>
              <w:t>不涉及占用基本农田，不涉及在基本农田保护区内建窑、建房、建坟、挖砂、采石、采矿、取土、堆放固体废弃物或者进行其他破坏基本农田的活动</w:t>
            </w:r>
            <w:r>
              <w:rPr>
                <w:rFonts w:cs="Times New Roman"/>
                <w:kern w:val="21"/>
                <w:sz w:val="21"/>
                <w:szCs w:val="21"/>
              </w:rPr>
              <w:t>；</w:t>
            </w:r>
          </w:p>
          <w:p w14:paraId="7CD0EF88"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kern w:val="21"/>
                <w:sz w:val="21"/>
                <w:szCs w:val="21"/>
              </w:rPr>
              <w:t>4</w:t>
            </w:r>
            <w:r>
              <w:rPr>
                <w:rFonts w:cs="Times New Roman"/>
                <w:kern w:val="21"/>
                <w:sz w:val="21"/>
                <w:szCs w:val="21"/>
              </w:rPr>
              <w:t>、本项目建设地不涉及永久基本农田；</w:t>
            </w:r>
          </w:p>
          <w:p w14:paraId="768239B3"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kern w:val="21"/>
                <w:sz w:val="21"/>
                <w:szCs w:val="21"/>
              </w:rPr>
              <w:t>5</w:t>
            </w:r>
            <w:r>
              <w:rPr>
                <w:rFonts w:cs="Times New Roman"/>
                <w:kern w:val="21"/>
                <w:sz w:val="21"/>
                <w:szCs w:val="21"/>
              </w:rPr>
              <w:t>、</w:t>
            </w:r>
            <w:r>
              <w:rPr>
                <w:rFonts w:cs="Times New Roman" w:hint="eastAsia"/>
                <w:kern w:val="21"/>
                <w:sz w:val="21"/>
                <w:szCs w:val="21"/>
              </w:rPr>
              <w:t>根据《剑阁县畜禽养殖禁养区限养区适养区划定方案及</w:t>
            </w:r>
            <w:r>
              <w:rPr>
                <w:rFonts w:cs="Times New Roman" w:hint="eastAsia"/>
                <w:kern w:val="21"/>
                <w:sz w:val="21"/>
                <w:szCs w:val="21"/>
              </w:rPr>
              <w:t>1:50000</w:t>
            </w:r>
            <w:r>
              <w:rPr>
                <w:rFonts w:cs="Times New Roman" w:hint="eastAsia"/>
                <w:kern w:val="21"/>
                <w:sz w:val="21"/>
                <w:szCs w:val="21"/>
              </w:rPr>
              <w:t>电子分布地图》，</w:t>
            </w:r>
            <w:r>
              <w:rPr>
                <w:rFonts w:cs="Times New Roman"/>
                <w:kern w:val="21"/>
                <w:sz w:val="21"/>
                <w:szCs w:val="21"/>
              </w:rPr>
              <w:t>本项目</w:t>
            </w:r>
            <w:r>
              <w:rPr>
                <w:rFonts w:cs="Times New Roman" w:hint="eastAsia"/>
                <w:kern w:val="21"/>
                <w:sz w:val="21"/>
                <w:szCs w:val="21"/>
              </w:rPr>
              <w:t>建设位置不属于禁养区内</w:t>
            </w:r>
            <w:r>
              <w:rPr>
                <w:rFonts w:cs="Times New Roman"/>
                <w:kern w:val="21"/>
                <w:sz w:val="21"/>
                <w:szCs w:val="21"/>
              </w:rPr>
              <w:t>；</w:t>
            </w:r>
            <w:r>
              <w:rPr>
                <w:rFonts w:cs="Times New Roman" w:hint="eastAsia"/>
                <w:kern w:val="21"/>
                <w:sz w:val="21"/>
                <w:szCs w:val="21"/>
              </w:rPr>
              <w:t>本项目不涉及开采矿产；</w:t>
            </w:r>
          </w:p>
          <w:p w14:paraId="7CEC8D9F"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kern w:val="21"/>
                <w:sz w:val="21"/>
                <w:szCs w:val="21"/>
              </w:rPr>
              <w:t>6</w:t>
            </w:r>
            <w:r>
              <w:rPr>
                <w:rFonts w:cs="Times New Roman"/>
                <w:kern w:val="21"/>
                <w:sz w:val="21"/>
                <w:szCs w:val="21"/>
              </w:rPr>
              <w:t>、本项目</w:t>
            </w:r>
            <w:r>
              <w:rPr>
                <w:rFonts w:cs="Times New Roman" w:hint="eastAsia"/>
                <w:kern w:val="21"/>
                <w:sz w:val="21"/>
                <w:szCs w:val="21"/>
              </w:rPr>
              <w:t>为畜禽养殖，</w:t>
            </w:r>
            <w:r>
              <w:rPr>
                <w:rFonts w:cs="Times New Roman"/>
                <w:kern w:val="21"/>
                <w:sz w:val="21"/>
                <w:szCs w:val="21"/>
              </w:rPr>
              <w:t>不属于</w:t>
            </w:r>
            <w:r>
              <w:rPr>
                <w:rFonts w:cs="Times New Roman" w:hint="eastAsia"/>
                <w:kern w:val="21"/>
                <w:sz w:val="21"/>
                <w:szCs w:val="21"/>
              </w:rPr>
              <w:t>尾矿库、冶炼渣库、磷石膏库；</w:t>
            </w:r>
          </w:p>
          <w:p w14:paraId="1A0207DF"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7</w:t>
            </w:r>
            <w:r>
              <w:rPr>
                <w:rFonts w:cs="Times New Roman" w:hint="eastAsia"/>
                <w:kern w:val="21"/>
                <w:sz w:val="21"/>
                <w:szCs w:val="21"/>
              </w:rPr>
              <w:t>、本项目为畜禽养殖，不属于新建、改建、扩建尾矿库、冶炼渣库、磷石膏库。</w:t>
            </w:r>
          </w:p>
        </w:tc>
        <w:tc>
          <w:tcPr>
            <w:tcW w:w="856" w:type="dxa"/>
            <w:vAlign w:val="center"/>
          </w:tcPr>
          <w:p w14:paraId="5AF4BA45"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7955D402" w14:textId="77777777">
        <w:trPr>
          <w:trHeight w:val="90"/>
          <w:jc w:val="center"/>
        </w:trPr>
        <w:tc>
          <w:tcPr>
            <w:tcW w:w="1003" w:type="dxa"/>
            <w:vMerge/>
            <w:vAlign w:val="center"/>
          </w:tcPr>
          <w:p w14:paraId="43EE9087"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507" w:type="dxa"/>
            <w:vMerge/>
            <w:vAlign w:val="center"/>
          </w:tcPr>
          <w:p w14:paraId="322B608A"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Merge/>
            <w:vAlign w:val="center"/>
          </w:tcPr>
          <w:p w14:paraId="45234B46"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6968" w:type="dxa"/>
            <w:vAlign w:val="center"/>
          </w:tcPr>
          <w:p w14:paraId="760B9EA8" w14:textId="77777777" w:rsidR="00544649" w:rsidRDefault="00000000">
            <w:pPr>
              <w:widowControl/>
              <w:adjustRightInd w:val="0"/>
              <w:snapToGrid w:val="0"/>
              <w:spacing w:after="0" w:line="240" w:lineRule="auto"/>
              <w:ind w:firstLineChars="0" w:firstLine="0"/>
              <w:rPr>
                <w:rFonts w:cs="Times New Roman"/>
                <w:b/>
                <w:bCs/>
                <w:kern w:val="21"/>
                <w:sz w:val="21"/>
                <w:szCs w:val="21"/>
              </w:rPr>
            </w:pPr>
            <w:r>
              <w:rPr>
                <w:rFonts w:cs="Times New Roman"/>
                <w:b/>
                <w:bCs/>
                <w:kern w:val="21"/>
                <w:sz w:val="21"/>
                <w:szCs w:val="21"/>
              </w:rPr>
              <w:t>限制开发建设活动的要求：</w:t>
            </w:r>
          </w:p>
          <w:p w14:paraId="36D29841"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1</w:t>
            </w:r>
            <w:r>
              <w:rPr>
                <w:rFonts w:eastAsia="宋体" w:hint="eastAsia"/>
                <w:kern w:val="21"/>
                <w:sz w:val="21"/>
              </w:rPr>
              <w:t>、对四川省主体功能区划中的限制开发区域（农产品主产区），应限制大</w:t>
            </w:r>
            <w:r>
              <w:rPr>
                <w:rFonts w:eastAsia="宋体" w:hint="eastAsia"/>
                <w:kern w:val="21"/>
                <w:sz w:val="21"/>
              </w:rPr>
              <w:lastRenderedPageBreak/>
              <w:t>规模高强度工业化城镇化开发。</w:t>
            </w:r>
          </w:p>
          <w:p w14:paraId="4827CDF4"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2</w:t>
            </w:r>
            <w:r>
              <w:rPr>
                <w:rFonts w:eastAsia="宋体" w:hint="eastAsia"/>
                <w:kern w:val="21"/>
                <w:sz w:val="21"/>
              </w:rPr>
              <w:t>、配套旅游、基础设施等建设项目，在符合规划和相关保护要求的前提下，应实施生态避让、减缓影响及生态恢复措施。</w:t>
            </w:r>
          </w:p>
          <w:p w14:paraId="3A14E966"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3</w:t>
            </w:r>
            <w:r>
              <w:rPr>
                <w:rFonts w:eastAsia="宋体" w:hint="eastAsia"/>
                <w:kern w:val="21"/>
                <w:sz w:val="21"/>
              </w:rPr>
              <w:t>、现有化工、有色等工业企业，原则上限制发展，污染物排放只降不增，允许以提升安全、生态环境保护水平为目的的改建，引导企业结合产业升级等适时搬迁入园。</w:t>
            </w:r>
          </w:p>
          <w:p w14:paraId="4F4ACD23"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4</w:t>
            </w:r>
            <w:r>
              <w:rPr>
                <w:rFonts w:eastAsia="宋体" w:hint="eastAsia"/>
                <w:kern w:val="21"/>
                <w:sz w:val="21"/>
              </w:rPr>
              <w:t>、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四川省长江经济带发展负面清单实施细则（试行）》）</w:t>
            </w:r>
          </w:p>
          <w:p w14:paraId="03ACA4D0"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5</w:t>
            </w:r>
            <w:r>
              <w:rPr>
                <w:rFonts w:eastAsia="宋体" w:hint="eastAsia"/>
                <w:kern w:val="21"/>
                <w:sz w:val="21"/>
              </w:rPr>
              <w:t>、坚持最严格的耕地保护制度，对全部耕地</w:t>
            </w:r>
            <w:proofErr w:type="gramStart"/>
            <w:r>
              <w:rPr>
                <w:rFonts w:eastAsia="宋体" w:hint="eastAsia"/>
                <w:kern w:val="21"/>
                <w:sz w:val="21"/>
              </w:rPr>
              <w:t>按限制</w:t>
            </w:r>
            <w:proofErr w:type="gramEnd"/>
            <w:r>
              <w:rPr>
                <w:rFonts w:eastAsia="宋体" w:hint="eastAsia"/>
                <w:kern w:val="21"/>
                <w:sz w:val="21"/>
              </w:rPr>
              <w:t>开发的要求进行管理。严格限制农用地转为建设用地，控制建设用地总量，对耕地实行特殊保护。（《中华人民共和国土地管理法</w:t>
            </w:r>
            <w:r>
              <w:rPr>
                <w:rFonts w:eastAsia="宋体" w:hint="eastAsia"/>
                <w:kern w:val="21"/>
                <w:sz w:val="21"/>
              </w:rPr>
              <w:t>(2004</w:t>
            </w:r>
            <w:r>
              <w:rPr>
                <w:rFonts w:eastAsia="宋体" w:hint="eastAsia"/>
                <w:kern w:val="21"/>
                <w:sz w:val="21"/>
              </w:rPr>
              <w:t>修正</w:t>
            </w:r>
            <w:r>
              <w:rPr>
                <w:rFonts w:eastAsia="宋体" w:hint="eastAsia"/>
                <w:kern w:val="21"/>
                <w:sz w:val="21"/>
              </w:rPr>
              <w:t>)</w:t>
            </w:r>
            <w:r>
              <w:rPr>
                <w:rFonts w:eastAsia="宋体" w:hint="eastAsia"/>
                <w:kern w:val="21"/>
                <w:sz w:val="21"/>
              </w:rPr>
              <w:t>》）。</w:t>
            </w:r>
          </w:p>
          <w:p w14:paraId="113B8506"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6</w:t>
            </w:r>
            <w:r>
              <w:rPr>
                <w:rFonts w:eastAsia="宋体" w:hint="eastAsia"/>
                <w:kern w:val="21"/>
                <w:sz w:val="21"/>
              </w:rPr>
              <w:t>、新建大中型水电工程，应当经科学论证，并报国务院或者国务院授权的部门批准。除与生态环境保护相协调的且是国务院及其相关部门、省级人民政府认可的脱贫攻坚项目外，严控新建商业开发的小水电项目。（《中华人民共和国长江保护法》、《关于开展长江经济带小水电清理整改工作的意见》）</w:t>
            </w:r>
          </w:p>
          <w:p w14:paraId="336AF944"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7</w:t>
            </w:r>
            <w:r>
              <w:rPr>
                <w:rFonts w:eastAsia="宋体" w:hint="eastAsia"/>
                <w:kern w:val="21"/>
                <w:sz w:val="21"/>
              </w:rPr>
              <w:t>、长江流域河道采砂应当依法取得国务院水行政主管部门有关流域管理机构或者县级以上地方人民政府水行政主管部门的许可。严格控制采砂区域、采砂总量和采砂区域内的采砂船</w:t>
            </w:r>
            <w:proofErr w:type="gramStart"/>
            <w:r>
              <w:rPr>
                <w:rFonts w:eastAsia="宋体" w:hint="eastAsia"/>
                <w:kern w:val="21"/>
                <w:sz w:val="21"/>
              </w:rPr>
              <w:t>舶</w:t>
            </w:r>
            <w:proofErr w:type="gramEnd"/>
            <w:r>
              <w:rPr>
                <w:rFonts w:eastAsia="宋体" w:hint="eastAsia"/>
                <w:kern w:val="21"/>
                <w:sz w:val="21"/>
              </w:rPr>
              <w:t>数量。（《中华人民共和国长江保护法》）</w:t>
            </w:r>
          </w:p>
          <w:p w14:paraId="29E9877C"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8</w:t>
            </w:r>
            <w:r>
              <w:rPr>
                <w:rFonts w:eastAsia="宋体" w:hint="eastAsia"/>
                <w:kern w:val="21"/>
                <w:sz w:val="21"/>
              </w:rPr>
              <w:t>、大气环境布局敏感重点管控区：（</w:t>
            </w:r>
            <w:r>
              <w:rPr>
                <w:rFonts w:eastAsia="宋体" w:hint="eastAsia"/>
                <w:kern w:val="21"/>
                <w:sz w:val="21"/>
              </w:rPr>
              <w:t>1</w:t>
            </w:r>
            <w:r>
              <w:rPr>
                <w:rFonts w:eastAsia="宋体" w:hint="eastAsia"/>
                <w:kern w:val="21"/>
                <w:sz w:val="21"/>
              </w:rPr>
              <w:t>）坚决遏制高耗能、高排放、低水平项目盲目发展，严格落实国家和四川省产业规划、产业政策、规划环评，以及产能置换、煤炭消费减量替代、区域污染物削减等要求，坚决叫停不符合要求的高耗能、高排放、低水平项目。（</w:t>
            </w:r>
            <w:r>
              <w:rPr>
                <w:rFonts w:eastAsia="宋体" w:hint="eastAsia"/>
                <w:kern w:val="21"/>
                <w:sz w:val="21"/>
              </w:rPr>
              <w:t>2</w:t>
            </w:r>
            <w:r>
              <w:rPr>
                <w:rFonts w:eastAsia="宋体" w:hint="eastAsia"/>
                <w:kern w:val="21"/>
                <w:sz w:val="21"/>
              </w:rPr>
              <w:t>）提升高耗能项目能耗准入标准，能耗、物耗要达到清洁生产先进水平。严禁新增钢铁、焦化、炼油、电解铝、水泥、平板玻璃（不含光伏玻璃）等产能。</w:t>
            </w:r>
          </w:p>
          <w:p w14:paraId="7EFF7B75"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9</w:t>
            </w:r>
            <w:r>
              <w:rPr>
                <w:rFonts w:eastAsia="宋体" w:hint="eastAsia"/>
                <w:kern w:val="21"/>
                <w:sz w:val="21"/>
              </w:rPr>
              <w:t>、大气弱扩散重点管控区：强化落后产能退出机制，对能耗、环保、安全、</w:t>
            </w:r>
            <w:r>
              <w:rPr>
                <w:rFonts w:eastAsia="宋体" w:hint="eastAsia"/>
                <w:kern w:val="21"/>
                <w:sz w:val="21"/>
              </w:rPr>
              <w:lastRenderedPageBreak/>
              <w:t>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w:t>
            </w:r>
            <w:proofErr w:type="gramStart"/>
            <w:r>
              <w:rPr>
                <w:rFonts w:eastAsia="宋体" w:hint="eastAsia"/>
                <w:kern w:val="21"/>
                <w:sz w:val="21"/>
              </w:rPr>
              <w:t>逼竞争</w:t>
            </w:r>
            <w:proofErr w:type="gramEnd"/>
            <w:r>
              <w:rPr>
                <w:rFonts w:eastAsia="宋体" w:hint="eastAsia"/>
                <w:kern w:val="21"/>
                <w:sz w:val="21"/>
              </w:rPr>
              <w:t>乏力的产能退出。支持现有钢铁、水泥、焦化等废气排放量大的产业向有刚性需求、具有资源优势、环境容量允许的地区转移布局。</w:t>
            </w:r>
          </w:p>
          <w:p w14:paraId="2A30286C" w14:textId="77777777" w:rsidR="00544649" w:rsidRDefault="00000000">
            <w:pPr>
              <w:pStyle w:val="Normal00"/>
              <w:adjustRightInd w:val="0"/>
              <w:snapToGrid w:val="0"/>
              <w:spacing w:after="0" w:line="240" w:lineRule="auto"/>
              <w:ind w:firstLineChars="0" w:firstLine="0"/>
              <w:rPr>
                <w:rFonts w:eastAsia="宋体"/>
                <w:b/>
                <w:bCs/>
                <w:kern w:val="21"/>
                <w:sz w:val="21"/>
              </w:rPr>
            </w:pPr>
            <w:r>
              <w:rPr>
                <w:rFonts w:eastAsia="宋体" w:hint="eastAsia"/>
                <w:kern w:val="21"/>
                <w:sz w:val="21"/>
              </w:rPr>
              <w:t>10</w:t>
            </w:r>
            <w:r>
              <w:rPr>
                <w:rFonts w:eastAsia="宋体" w:hint="eastAsia"/>
                <w:kern w:val="21"/>
                <w:sz w:val="21"/>
              </w:rPr>
              <w:t>、水环境农业污染重点管控区：（</w:t>
            </w:r>
            <w:r>
              <w:rPr>
                <w:rFonts w:eastAsia="宋体" w:hint="eastAsia"/>
                <w:kern w:val="21"/>
                <w:sz w:val="21"/>
              </w:rPr>
              <w:t>1</w:t>
            </w:r>
            <w:r>
              <w:rPr>
                <w:rFonts w:eastAsia="宋体" w:hint="eastAsia"/>
                <w:kern w:val="21"/>
                <w:sz w:val="21"/>
              </w:rPr>
              <w:t>）稳步推进建制镇污水处理设施建设，适当预留发展空间，</w:t>
            </w:r>
            <w:proofErr w:type="gramStart"/>
            <w:r>
              <w:rPr>
                <w:rFonts w:eastAsia="宋体" w:hint="eastAsia"/>
                <w:kern w:val="21"/>
                <w:sz w:val="21"/>
              </w:rPr>
              <w:t>宜集中</w:t>
            </w:r>
            <w:proofErr w:type="gramEnd"/>
            <w:r>
              <w:rPr>
                <w:rFonts w:eastAsia="宋体" w:hint="eastAsia"/>
                <w:kern w:val="21"/>
                <w:sz w:val="21"/>
              </w:rPr>
              <w:t>则集中，宜分散则分散。农村生活污水处理设施排水执行《农村生活污水处理设施水污染物排放标准》（</w:t>
            </w:r>
            <w:r>
              <w:rPr>
                <w:rFonts w:eastAsia="宋体" w:hint="eastAsia"/>
                <w:kern w:val="21"/>
                <w:sz w:val="21"/>
              </w:rPr>
              <w:t>DB 51 2626-2019</w:t>
            </w:r>
            <w:r>
              <w:rPr>
                <w:rFonts w:eastAsia="宋体" w:hint="eastAsia"/>
                <w:kern w:val="21"/>
                <w:sz w:val="21"/>
              </w:rPr>
              <w:t>）要求。（</w:t>
            </w:r>
            <w:r>
              <w:rPr>
                <w:rFonts w:eastAsia="宋体" w:hint="eastAsia"/>
                <w:kern w:val="21"/>
                <w:sz w:val="21"/>
              </w:rPr>
              <w:t>2</w:t>
            </w:r>
            <w:r>
              <w:rPr>
                <w:rFonts w:eastAsia="宋体" w:hint="eastAsia"/>
                <w:kern w:val="21"/>
                <w:sz w:val="21"/>
              </w:rPr>
              <w:t>）深入推进化肥减量增效。鼓励以循环利用与生态净化相结合的方式控制种植业污染，农企合作推进测土配方施肥。</w:t>
            </w:r>
          </w:p>
        </w:tc>
        <w:tc>
          <w:tcPr>
            <w:tcW w:w="4709" w:type="dxa"/>
            <w:vAlign w:val="center"/>
          </w:tcPr>
          <w:p w14:paraId="148B86E3" w14:textId="77777777" w:rsidR="00544649" w:rsidRDefault="00000000">
            <w:pPr>
              <w:widowControl/>
              <w:numPr>
                <w:ilvl w:val="0"/>
                <w:numId w:val="16"/>
              </w:num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lastRenderedPageBreak/>
              <w:t>根据《四川省国土空间规划》（</w:t>
            </w:r>
            <w:r>
              <w:rPr>
                <w:rFonts w:cs="Times New Roman" w:hint="eastAsia"/>
                <w:kern w:val="21"/>
                <w:sz w:val="21"/>
                <w:szCs w:val="21"/>
              </w:rPr>
              <w:t>2021-2035</w:t>
            </w:r>
            <w:r>
              <w:rPr>
                <w:rFonts w:cs="Times New Roman" w:hint="eastAsia"/>
                <w:kern w:val="21"/>
                <w:sz w:val="21"/>
                <w:szCs w:val="21"/>
              </w:rPr>
              <w:t>年），本项目所在区域属于农产品主产区，但</w:t>
            </w:r>
            <w:r>
              <w:rPr>
                <w:rFonts w:cs="Times New Roman"/>
                <w:kern w:val="21"/>
                <w:sz w:val="21"/>
                <w:szCs w:val="21"/>
              </w:rPr>
              <w:t>本项目</w:t>
            </w:r>
            <w:r>
              <w:rPr>
                <w:rFonts w:cs="Times New Roman" w:hint="eastAsia"/>
                <w:kern w:val="21"/>
                <w:sz w:val="21"/>
                <w:szCs w:val="21"/>
              </w:rPr>
              <w:t>为</w:t>
            </w:r>
            <w:r>
              <w:rPr>
                <w:rFonts w:cs="Times New Roman" w:hint="eastAsia"/>
                <w:kern w:val="21"/>
                <w:sz w:val="21"/>
                <w:szCs w:val="21"/>
              </w:rPr>
              <w:lastRenderedPageBreak/>
              <w:t>畜禽养殖，</w:t>
            </w:r>
            <w:r>
              <w:rPr>
                <w:rFonts w:cs="Times New Roman"/>
                <w:kern w:val="21"/>
                <w:sz w:val="21"/>
                <w:szCs w:val="21"/>
              </w:rPr>
              <w:t>不属于</w:t>
            </w:r>
            <w:r>
              <w:rPr>
                <w:rFonts w:hint="eastAsia"/>
                <w:kern w:val="21"/>
                <w:sz w:val="21"/>
                <w:szCs w:val="21"/>
              </w:rPr>
              <w:t>大规模高强度工业化城镇化开发</w:t>
            </w:r>
            <w:r>
              <w:rPr>
                <w:rFonts w:cs="Times New Roman"/>
                <w:kern w:val="21"/>
                <w:sz w:val="21"/>
                <w:szCs w:val="21"/>
              </w:rPr>
              <w:t>；</w:t>
            </w:r>
          </w:p>
          <w:p w14:paraId="47C2692A" w14:textId="77777777" w:rsidR="00544649" w:rsidRDefault="00000000">
            <w:pPr>
              <w:widowControl/>
              <w:numPr>
                <w:ilvl w:val="0"/>
                <w:numId w:val="16"/>
              </w:numPr>
              <w:adjustRightInd w:val="0"/>
              <w:snapToGrid w:val="0"/>
              <w:spacing w:after="0" w:line="240" w:lineRule="auto"/>
              <w:ind w:firstLineChars="0" w:firstLine="0"/>
              <w:rPr>
                <w:rFonts w:cs="Times New Roman"/>
                <w:kern w:val="21"/>
                <w:sz w:val="21"/>
                <w:szCs w:val="21"/>
              </w:rPr>
            </w:pPr>
            <w:r>
              <w:rPr>
                <w:rFonts w:cs="Times New Roman"/>
                <w:kern w:val="21"/>
                <w:sz w:val="21"/>
                <w:szCs w:val="21"/>
              </w:rPr>
              <w:t>本项目</w:t>
            </w:r>
            <w:r>
              <w:rPr>
                <w:rFonts w:cs="Times New Roman" w:hint="eastAsia"/>
                <w:kern w:val="21"/>
                <w:sz w:val="21"/>
                <w:szCs w:val="21"/>
              </w:rPr>
              <w:t>不属于</w:t>
            </w:r>
            <w:r>
              <w:rPr>
                <w:rFonts w:hint="eastAsia"/>
                <w:kern w:val="21"/>
                <w:sz w:val="21"/>
                <w:szCs w:val="21"/>
              </w:rPr>
              <w:t>配套旅游、基础设施等建设项目</w:t>
            </w:r>
            <w:r>
              <w:rPr>
                <w:rFonts w:cs="Times New Roman"/>
                <w:kern w:val="21"/>
                <w:sz w:val="21"/>
                <w:szCs w:val="21"/>
              </w:rPr>
              <w:t>；</w:t>
            </w:r>
          </w:p>
          <w:p w14:paraId="08493AAA" w14:textId="77777777" w:rsidR="00544649" w:rsidRDefault="00000000">
            <w:pPr>
              <w:widowControl/>
              <w:numPr>
                <w:ilvl w:val="0"/>
                <w:numId w:val="16"/>
              </w:num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本项目不属于</w:t>
            </w:r>
            <w:r>
              <w:rPr>
                <w:rFonts w:hint="eastAsia"/>
                <w:kern w:val="21"/>
                <w:sz w:val="21"/>
                <w:szCs w:val="21"/>
              </w:rPr>
              <w:t>现有化工、有色等工业企业；</w:t>
            </w:r>
          </w:p>
          <w:p w14:paraId="7C5C4D64" w14:textId="77777777" w:rsidR="00544649" w:rsidRDefault="00000000">
            <w:pPr>
              <w:widowControl/>
              <w:numPr>
                <w:ilvl w:val="0"/>
                <w:numId w:val="16"/>
              </w:numPr>
              <w:adjustRightInd w:val="0"/>
              <w:snapToGrid w:val="0"/>
              <w:spacing w:after="0" w:line="240" w:lineRule="auto"/>
              <w:ind w:firstLineChars="0" w:firstLine="0"/>
              <w:rPr>
                <w:rFonts w:cs="Times New Roman"/>
                <w:kern w:val="21"/>
                <w:sz w:val="21"/>
                <w:szCs w:val="21"/>
              </w:rPr>
            </w:pPr>
            <w:r>
              <w:rPr>
                <w:rFonts w:cs="Times New Roman"/>
                <w:kern w:val="21"/>
                <w:sz w:val="21"/>
                <w:szCs w:val="21"/>
              </w:rPr>
              <w:t>本项目选址不涉及永久基本农田；</w:t>
            </w:r>
          </w:p>
          <w:p w14:paraId="7C11FA06" w14:textId="77777777" w:rsidR="00544649" w:rsidRDefault="00000000">
            <w:pPr>
              <w:widowControl/>
              <w:numPr>
                <w:ilvl w:val="0"/>
                <w:numId w:val="16"/>
              </w:num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根据</w:t>
            </w:r>
            <w:r>
              <w:rPr>
                <w:rFonts w:cs="Times New Roman"/>
                <w:kern w:val="21"/>
                <w:sz w:val="21"/>
                <w:szCs w:val="21"/>
              </w:rPr>
              <w:t>本项目已取得区域人民政府下发的</w:t>
            </w:r>
            <w:r>
              <w:rPr>
                <w:rFonts w:cs="Times New Roman" w:hint="eastAsia"/>
                <w:kern w:val="21"/>
                <w:sz w:val="21"/>
                <w:szCs w:val="21"/>
              </w:rPr>
              <w:t>设施农业用地备案表，项目用地为设施农用地，不涉及</w:t>
            </w:r>
            <w:r>
              <w:rPr>
                <w:rFonts w:hint="eastAsia"/>
                <w:kern w:val="21"/>
                <w:sz w:val="21"/>
              </w:rPr>
              <w:t>农用地转为建设用地</w:t>
            </w:r>
            <w:r>
              <w:rPr>
                <w:rFonts w:cs="Times New Roman"/>
                <w:kern w:val="21"/>
                <w:sz w:val="21"/>
                <w:szCs w:val="21"/>
              </w:rPr>
              <w:t>；</w:t>
            </w:r>
          </w:p>
          <w:p w14:paraId="58B1AC64" w14:textId="77777777" w:rsidR="00544649" w:rsidRDefault="00000000">
            <w:pPr>
              <w:widowControl/>
              <w:numPr>
                <w:ilvl w:val="0"/>
                <w:numId w:val="16"/>
              </w:numPr>
              <w:adjustRightInd w:val="0"/>
              <w:snapToGrid w:val="0"/>
              <w:spacing w:after="0" w:line="240" w:lineRule="auto"/>
              <w:ind w:firstLineChars="0" w:firstLine="0"/>
              <w:rPr>
                <w:rFonts w:cs="Times New Roman"/>
                <w:kern w:val="21"/>
                <w:sz w:val="21"/>
                <w:szCs w:val="21"/>
              </w:rPr>
            </w:pPr>
            <w:r>
              <w:rPr>
                <w:rFonts w:cs="Times New Roman"/>
                <w:kern w:val="21"/>
                <w:sz w:val="21"/>
                <w:szCs w:val="21"/>
              </w:rPr>
              <w:t>本项目建设不属于</w:t>
            </w:r>
            <w:r>
              <w:rPr>
                <w:rFonts w:hint="eastAsia"/>
                <w:kern w:val="21"/>
                <w:sz w:val="21"/>
                <w:szCs w:val="21"/>
              </w:rPr>
              <w:t>新建大中型水电工程</w:t>
            </w:r>
            <w:r>
              <w:rPr>
                <w:rFonts w:cs="Times New Roman"/>
                <w:kern w:val="21"/>
                <w:sz w:val="21"/>
                <w:szCs w:val="21"/>
              </w:rPr>
              <w:t>；</w:t>
            </w:r>
          </w:p>
          <w:p w14:paraId="332F6E0B" w14:textId="77777777" w:rsidR="00544649" w:rsidRDefault="00000000">
            <w:pPr>
              <w:widowControl/>
              <w:numPr>
                <w:ilvl w:val="0"/>
                <w:numId w:val="16"/>
              </w:numPr>
              <w:adjustRightInd w:val="0"/>
              <w:snapToGrid w:val="0"/>
              <w:spacing w:after="0" w:line="240" w:lineRule="auto"/>
              <w:ind w:firstLineChars="0" w:firstLine="0"/>
              <w:rPr>
                <w:rFonts w:cs="Times New Roman"/>
                <w:kern w:val="21"/>
                <w:sz w:val="21"/>
                <w:szCs w:val="21"/>
              </w:rPr>
            </w:pPr>
            <w:r>
              <w:rPr>
                <w:rFonts w:cs="Times New Roman"/>
                <w:kern w:val="21"/>
                <w:sz w:val="21"/>
                <w:szCs w:val="21"/>
              </w:rPr>
              <w:t>本项目建设不涉及河道采砂；</w:t>
            </w:r>
          </w:p>
          <w:p w14:paraId="3D9D5D2F" w14:textId="77777777" w:rsidR="00544649" w:rsidRDefault="00000000">
            <w:pPr>
              <w:widowControl/>
              <w:numPr>
                <w:ilvl w:val="0"/>
                <w:numId w:val="16"/>
              </w:numPr>
              <w:adjustRightInd w:val="0"/>
              <w:snapToGrid w:val="0"/>
              <w:spacing w:after="0" w:line="240" w:lineRule="auto"/>
              <w:ind w:firstLineChars="0" w:firstLine="0"/>
              <w:rPr>
                <w:rFonts w:cs="Times New Roman"/>
                <w:kern w:val="21"/>
                <w:sz w:val="21"/>
                <w:szCs w:val="21"/>
              </w:rPr>
            </w:pPr>
            <w:r>
              <w:rPr>
                <w:rFonts w:cs="Times New Roman"/>
                <w:kern w:val="21"/>
                <w:sz w:val="21"/>
                <w:szCs w:val="21"/>
              </w:rPr>
              <w:t>本项目所在地属于</w:t>
            </w:r>
            <w:r>
              <w:rPr>
                <w:rFonts w:cs="Times New Roman" w:hint="eastAsia"/>
                <w:kern w:val="21"/>
                <w:sz w:val="21"/>
                <w:szCs w:val="21"/>
              </w:rPr>
              <w:t>大气环境一般管控区</w:t>
            </w:r>
            <w:r>
              <w:rPr>
                <w:rFonts w:cs="Times New Roman"/>
                <w:kern w:val="21"/>
                <w:sz w:val="21"/>
                <w:szCs w:val="21"/>
              </w:rPr>
              <w:t>，本项目</w:t>
            </w:r>
            <w:r>
              <w:rPr>
                <w:rFonts w:cs="Times New Roman" w:hint="eastAsia"/>
                <w:kern w:val="21"/>
                <w:sz w:val="21"/>
                <w:szCs w:val="21"/>
              </w:rPr>
              <w:t>为畜禽养殖</w:t>
            </w:r>
            <w:r>
              <w:rPr>
                <w:rFonts w:cs="Times New Roman"/>
                <w:kern w:val="21"/>
                <w:sz w:val="21"/>
                <w:szCs w:val="21"/>
              </w:rPr>
              <w:t>，不属于</w:t>
            </w:r>
            <w:r>
              <w:rPr>
                <w:rFonts w:cs="Times New Roman" w:hint="eastAsia"/>
                <w:kern w:val="21"/>
                <w:sz w:val="21"/>
                <w:szCs w:val="21"/>
              </w:rPr>
              <w:t>高耗能、高排放、低水平项目</w:t>
            </w:r>
            <w:r>
              <w:rPr>
                <w:rFonts w:cs="Times New Roman"/>
                <w:kern w:val="21"/>
                <w:sz w:val="21"/>
                <w:szCs w:val="21"/>
              </w:rPr>
              <w:t>；</w:t>
            </w:r>
            <w:r>
              <w:rPr>
                <w:rFonts w:cs="Times New Roman" w:hint="eastAsia"/>
                <w:kern w:val="21"/>
                <w:sz w:val="21"/>
                <w:szCs w:val="21"/>
              </w:rPr>
              <w:t>不属于</w:t>
            </w:r>
            <w:r>
              <w:rPr>
                <w:rFonts w:hint="eastAsia"/>
                <w:kern w:val="21"/>
                <w:sz w:val="21"/>
                <w:szCs w:val="21"/>
              </w:rPr>
              <w:t>钢铁、焦化、炼油、电解铝、水泥、平板玻璃（不含光伏玻璃）等项目；</w:t>
            </w:r>
          </w:p>
          <w:p w14:paraId="590CAEF6" w14:textId="77777777" w:rsidR="00544649" w:rsidRDefault="00000000">
            <w:pPr>
              <w:widowControl/>
              <w:numPr>
                <w:ilvl w:val="0"/>
                <w:numId w:val="16"/>
              </w:numPr>
              <w:adjustRightInd w:val="0"/>
              <w:snapToGrid w:val="0"/>
              <w:spacing w:after="0" w:line="240" w:lineRule="auto"/>
              <w:ind w:firstLineChars="0" w:firstLine="0"/>
              <w:rPr>
                <w:rFonts w:cs="Times New Roman"/>
                <w:kern w:val="21"/>
                <w:sz w:val="21"/>
                <w:szCs w:val="21"/>
              </w:rPr>
            </w:pPr>
            <w:r>
              <w:rPr>
                <w:rFonts w:cs="Times New Roman"/>
                <w:kern w:val="21"/>
                <w:sz w:val="21"/>
                <w:szCs w:val="21"/>
              </w:rPr>
              <w:t>本项目所在地不属于</w:t>
            </w:r>
            <w:r>
              <w:rPr>
                <w:rFonts w:cs="Times New Roman" w:hint="eastAsia"/>
                <w:kern w:val="21"/>
                <w:sz w:val="21"/>
                <w:szCs w:val="21"/>
              </w:rPr>
              <w:t>大气弱扩散重点管控区；项目不属于</w:t>
            </w:r>
            <w:r>
              <w:rPr>
                <w:rFonts w:hint="eastAsia"/>
                <w:kern w:val="21"/>
                <w:sz w:val="21"/>
                <w:szCs w:val="21"/>
              </w:rPr>
              <w:t>钢铁、水泥、焦化等废气排放量大的产业；</w:t>
            </w:r>
          </w:p>
          <w:p w14:paraId="56A0F9DE" w14:textId="77777777" w:rsidR="00544649" w:rsidRDefault="00000000">
            <w:pPr>
              <w:widowControl/>
              <w:numPr>
                <w:ilvl w:val="0"/>
                <w:numId w:val="16"/>
              </w:num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本项目所在地属于水环境一般管控区，不属于</w:t>
            </w:r>
            <w:r>
              <w:rPr>
                <w:rFonts w:hint="eastAsia"/>
                <w:kern w:val="21"/>
                <w:sz w:val="21"/>
                <w:szCs w:val="21"/>
              </w:rPr>
              <w:t>水环境农业污染重点管控区</w:t>
            </w:r>
            <w:r>
              <w:rPr>
                <w:rFonts w:cs="Times New Roman" w:hint="eastAsia"/>
                <w:kern w:val="21"/>
                <w:sz w:val="21"/>
                <w:szCs w:val="21"/>
              </w:rPr>
              <w:t>。本项目厂内生产、生活污水统一收集后经场内自建污水处理站处理达《农田灌溉水质标准》（</w:t>
            </w:r>
            <w:r>
              <w:rPr>
                <w:rFonts w:cs="Times New Roman" w:hint="eastAsia"/>
                <w:kern w:val="21"/>
                <w:sz w:val="21"/>
                <w:szCs w:val="21"/>
              </w:rPr>
              <w:t>GB5084-2021</w:t>
            </w:r>
            <w:r>
              <w:rPr>
                <w:rFonts w:cs="Times New Roman" w:hint="eastAsia"/>
                <w:kern w:val="21"/>
                <w:sz w:val="21"/>
                <w:szCs w:val="21"/>
              </w:rPr>
              <w:t>）后，用于周边林地灌溉，不外排。</w:t>
            </w:r>
          </w:p>
        </w:tc>
        <w:tc>
          <w:tcPr>
            <w:tcW w:w="856" w:type="dxa"/>
            <w:vAlign w:val="center"/>
          </w:tcPr>
          <w:p w14:paraId="789EA611"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lastRenderedPageBreak/>
              <w:t>符合</w:t>
            </w:r>
          </w:p>
        </w:tc>
      </w:tr>
      <w:tr w:rsidR="00544649" w14:paraId="448AFFE6" w14:textId="77777777">
        <w:trPr>
          <w:trHeight w:val="90"/>
          <w:jc w:val="center"/>
        </w:trPr>
        <w:tc>
          <w:tcPr>
            <w:tcW w:w="1003" w:type="dxa"/>
            <w:vMerge/>
            <w:vAlign w:val="center"/>
          </w:tcPr>
          <w:p w14:paraId="6CB3380D"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507" w:type="dxa"/>
            <w:vMerge/>
            <w:vAlign w:val="center"/>
          </w:tcPr>
          <w:p w14:paraId="327A3725"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Merge/>
            <w:vAlign w:val="center"/>
          </w:tcPr>
          <w:p w14:paraId="15A259FD"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6968" w:type="dxa"/>
            <w:vAlign w:val="center"/>
          </w:tcPr>
          <w:p w14:paraId="106306B2" w14:textId="77777777" w:rsidR="00544649" w:rsidRDefault="00000000">
            <w:pPr>
              <w:pStyle w:val="Normal00"/>
              <w:adjustRightInd w:val="0"/>
              <w:snapToGrid w:val="0"/>
              <w:spacing w:after="0" w:line="240" w:lineRule="auto"/>
              <w:ind w:firstLineChars="0" w:firstLine="0"/>
              <w:rPr>
                <w:rFonts w:eastAsia="宋体"/>
                <w:b/>
                <w:bCs/>
                <w:kern w:val="21"/>
                <w:sz w:val="21"/>
              </w:rPr>
            </w:pPr>
            <w:r>
              <w:rPr>
                <w:rFonts w:eastAsia="宋体"/>
                <w:b/>
                <w:bCs/>
                <w:kern w:val="21"/>
                <w:sz w:val="21"/>
              </w:rPr>
              <w:t>不符合空间布局要求活动的退出要求</w:t>
            </w:r>
          </w:p>
          <w:p w14:paraId="42048E97"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kern w:val="21"/>
                <w:sz w:val="21"/>
              </w:rPr>
              <w:t>1</w:t>
            </w:r>
            <w:r>
              <w:rPr>
                <w:rFonts w:eastAsia="宋体"/>
                <w:kern w:val="21"/>
                <w:sz w:val="21"/>
              </w:rPr>
              <w:t>、对长江流域已建小水电工程，不符合生态保护要求的，县级以上地方人民政府应当组织分类整改或者采取措施逐步退出。（《中华人民共和国长江保护法》）</w:t>
            </w:r>
          </w:p>
          <w:p w14:paraId="43DF0BF9"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kern w:val="21"/>
                <w:sz w:val="21"/>
              </w:rPr>
              <w:t>2</w:t>
            </w:r>
            <w:r>
              <w:rPr>
                <w:rFonts w:eastAsia="宋体"/>
                <w:kern w:val="21"/>
                <w:sz w:val="21"/>
              </w:rPr>
              <w:t>、涉及自然保护区、风景名胜区、森林公园、饮用水源保护区等法定自然保护地，现有不符合相关保护区法律法规和规划的项目，应限期整改或关闭。</w:t>
            </w:r>
          </w:p>
          <w:p w14:paraId="5EDB367B" w14:textId="77777777" w:rsidR="00544649" w:rsidRDefault="00000000">
            <w:pPr>
              <w:pStyle w:val="Normal00"/>
              <w:adjustRightInd w:val="0"/>
              <w:snapToGrid w:val="0"/>
              <w:spacing w:after="0" w:line="240" w:lineRule="auto"/>
              <w:ind w:firstLineChars="0" w:firstLine="0"/>
              <w:rPr>
                <w:kern w:val="21"/>
                <w:sz w:val="21"/>
              </w:rPr>
            </w:pPr>
            <w:r>
              <w:rPr>
                <w:rFonts w:eastAsia="宋体"/>
                <w:kern w:val="21"/>
                <w:sz w:val="21"/>
              </w:rPr>
              <w:t>3</w:t>
            </w:r>
            <w:r>
              <w:rPr>
                <w:rFonts w:eastAsia="宋体"/>
                <w:kern w:val="21"/>
                <w:sz w:val="21"/>
              </w:rPr>
              <w:t>、全面取缔禁养区内规模化畜禽养殖场。嘉陵江岸线延伸至陆域</w:t>
            </w:r>
            <w:r>
              <w:rPr>
                <w:rFonts w:eastAsia="宋体"/>
                <w:kern w:val="21"/>
                <w:sz w:val="21"/>
              </w:rPr>
              <w:t>200</w:t>
            </w:r>
            <w:r>
              <w:rPr>
                <w:rFonts w:eastAsia="宋体"/>
                <w:kern w:val="21"/>
                <w:sz w:val="21"/>
              </w:rPr>
              <w:t>米范围内基本消除畜禽养殖场（小区）。（《水污染防治行动计划》四川省工作方案、《四川省打好长江保护修复攻坚战实施方案》）</w:t>
            </w:r>
          </w:p>
        </w:tc>
        <w:tc>
          <w:tcPr>
            <w:tcW w:w="4709" w:type="dxa"/>
            <w:vAlign w:val="center"/>
          </w:tcPr>
          <w:p w14:paraId="1AC60386" w14:textId="77777777" w:rsidR="00544649" w:rsidRDefault="00000000">
            <w:pPr>
              <w:pStyle w:val="aff2"/>
              <w:numPr>
                <w:ilvl w:val="0"/>
                <w:numId w:val="17"/>
              </w:numPr>
              <w:adjustRightInd w:val="0"/>
              <w:snapToGrid w:val="0"/>
              <w:spacing w:after="0" w:line="240" w:lineRule="auto"/>
              <w:ind w:firstLineChars="0" w:firstLine="0"/>
              <w:rPr>
                <w:rFonts w:ascii="Times New Roman" w:hAnsi="Times New Roman" w:cs="Times New Roman"/>
                <w:kern w:val="21"/>
                <w:sz w:val="21"/>
                <w:szCs w:val="21"/>
              </w:rPr>
            </w:pPr>
            <w:r>
              <w:rPr>
                <w:rFonts w:ascii="Times New Roman" w:hAnsi="Times New Roman" w:cs="Times New Roman"/>
                <w:kern w:val="21"/>
                <w:sz w:val="21"/>
                <w:szCs w:val="21"/>
              </w:rPr>
              <w:t>本项目为新建畜禽养殖项目，不属于已建小水电工程；</w:t>
            </w:r>
          </w:p>
          <w:p w14:paraId="3981E24E" w14:textId="77777777" w:rsidR="00544649" w:rsidRDefault="00000000">
            <w:pPr>
              <w:pStyle w:val="aff2"/>
              <w:numPr>
                <w:ilvl w:val="0"/>
                <w:numId w:val="17"/>
              </w:numPr>
              <w:adjustRightInd w:val="0"/>
              <w:snapToGrid w:val="0"/>
              <w:spacing w:after="0" w:line="240" w:lineRule="auto"/>
              <w:ind w:firstLineChars="0" w:firstLine="0"/>
              <w:rPr>
                <w:rFonts w:ascii="Times New Roman" w:hAnsi="Times New Roman" w:cs="Times New Roman"/>
                <w:kern w:val="21"/>
                <w:sz w:val="21"/>
                <w:szCs w:val="21"/>
              </w:rPr>
            </w:pPr>
            <w:r>
              <w:rPr>
                <w:rFonts w:ascii="Times New Roman" w:hAnsi="Times New Roman" w:cs="Times New Roman"/>
                <w:kern w:val="21"/>
                <w:sz w:val="21"/>
                <w:szCs w:val="21"/>
              </w:rPr>
              <w:t>本项目建设位置不涉及自然保护区、风景名胜区、森林公园、饮用水源保护区等法定自然保护地；</w:t>
            </w:r>
          </w:p>
          <w:p w14:paraId="46D38DC5" w14:textId="77777777" w:rsidR="00544649" w:rsidRDefault="00000000">
            <w:pPr>
              <w:pStyle w:val="aff2"/>
              <w:numPr>
                <w:ilvl w:val="0"/>
                <w:numId w:val="17"/>
              </w:numPr>
              <w:adjustRightInd w:val="0"/>
              <w:snapToGrid w:val="0"/>
              <w:spacing w:after="0" w:line="240" w:lineRule="auto"/>
              <w:ind w:firstLineChars="0" w:firstLine="0"/>
              <w:rPr>
                <w:rFonts w:ascii="Times New Roman" w:hAnsi="Times New Roman" w:cs="Times New Roman"/>
                <w:kern w:val="21"/>
                <w:sz w:val="21"/>
                <w:szCs w:val="21"/>
              </w:rPr>
            </w:pPr>
            <w:r>
              <w:rPr>
                <w:rFonts w:ascii="Times New Roman" w:hAnsi="Times New Roman" w:cs="Times New Roman"/>
                <w:kern w:val="21"/>
                <w:sz w:val="21"/>
                <w:szCs w:val="21"/>
              </w:rPr>
              <w:t>本项目不属于禁养区内；项目建设位置不在嘉陵江岸线延伸至陆域</w:t>
            </w:r>
            <w:r>
              <w:rPr>
                <w:rFonts w:ascii="Times New Roman" w:hAnsi="Times New Roman" w:cs="Times New Roman"/>
                <w:kern w:val="21"/>
                <w:sz w:val="21"/>
                <w:szCs w:val="21"/>
              </w:rPr>
              <w:t>200</w:t>
            </w:r>
            <w:r>
              <w:rPr>
                <w:rFonts w:ascii="Times New Roman" w:hAnsi="Times New Roman" w:cs="Times New Roman"/>
                <w:kern w:val="21"/>
                <w:sz w:val="21"/>
                <w:szCs w:val="21"/>
              </w:rPr>
              <w:t>米范围内</w:t>
            </w:r>
            <w:r>
              <w:rPr>
                <w:rFonts w:ascii="Times New Roman" w:hAnsi="Times New Roman" w:cs="Times New Roman" w:hint="eastAsia"/>
                <w:kern w:val="21"/>
                <w:sz w:val="21"/>
                <w:szCs w:val="21"/>
              </w:rPr>
              <w:t>。</w:t>
            </w:r>
          </w:p>
        </w:tc>
        <w:tc>
          <w:tcPr>
            <w:tcW w:w="856" w:type="dxa"/>
            <w:vAlign w:val="center"/>
          </w:tcPr>
          <w:p w14:paraId="3CF2AAB0"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194DCD5A" w14:textId="77777777">
        <w:trPr>
          <w:trHeight w:val="90"/>
          <w:jc w:val="center"/>
        </w:trPr>
        <w:tc>
          <w:tcPr>
            <w:tcW w:w="1003" w:type="dxa"/>
            <w:vMerge/>
            <w:vAlign w:val="center"/>
          </w:tcPr>
          <w:p w14:paraId="2387EBDB"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507" w:type="dxa"/>
            <w:vMerge/>
            <w:vAlign w:val="center"/>
          </w:tcPr>
          <w:p w14:paraId="306FE71C"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Merge/>
            <w:vAlign w:val="center"/>
          </w:tcPr>
          <w:p w14:paraId="5001D9A3"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6968" w:type="dxa"/>
            <w:vAlign w:val="center"/>
          </w:tcPr>
          <w:p w14:paraId="72073274" w14:textId="77777777" w:rsidR="00544649" w:rsidRDefault="00000000">
            <w:pPr>
              <w:widowControl/>
              <w:adjustRightInd w:val="0"/>
              <w:snapToGrid w:val="0"/>
              <w:spacing w:after="0" w:line="240" w:lineRule="auto"/>
              <w:ind w:firstLineChars="0" w:firstLine="0"/>
              <w:rPr>
                <w:rFonts w:cs="Times New Roman"/>
                <w:b/>
                <w:bCs/>
                <w:kern w:val="21"/>
                <w:sz w:val="21"/>
                <w:szCs w:val="21"/>
              </w:rPr>
            </w:pPr>
            <w:r>
              <w:rPr>
                <w:rFonts w:cs="Times New Roman"/>
                <w:b/>
                <w:bCs/>
                <w:kern w:val="21"/>
                <w:sz w:val="21"/>
                <w:szCs w:val="21"/>
              </w:rPr>
              <w:t>其他空间布局约束要求：</w:t>
            </w:r>
          </w:p>
          <w:p w14:paraId="19279018"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hint="eastAsia"/>
                <w:kern w:val="21"/>
                <w:sz w:val="21"/>
                <w:szCs w:val="21"/>
              </w:rPr>
              <w:t>位于城镇空间外的区外工业企业：①具有合法手续的企业，且污染物排放及环境风险满足管理要求的企业，可继续保留。其中，钢铁、石化、化工、焦化、有色等高污染项目原则上限制发展，要求污染物排放只降不增，并进一步加强日常环保监管；允许以提升安全、生态环境保护水平为目的的改建，以及不增加污染物排放和环境风险的产品升级调整，引导企业结合产业升级、化解过剩产能等，搬迁入园。②不具备合法手续，或污染物排放超标、环境风险不可控的企业，限期进行整改提升，通过环保、安全、</w:t>
            </w:r>
            <w:r>
              <w:rPr>
                <w:rFonts w:hint="eastAsia"/>
                <w:kern w:val="21"/>
                <w:sz w:val="21"/>
                <w:szCs w:val="21"/>
              </w:rPr>
              <w:lastRenderedPageBreak/>
              <w:t>工艺装备升级等落实整改措施并达到相关标准实现合法生产，整改后仍不能达到要求的，属地政府应按相关要求责令关停并退出。</w:t>
            </w:r>
          </w:p>
        </w:tc>
        <w:tc>
          <w:tcPr>
            <w:tcW w:w="4709" w:type="dxa"/>
            <w:vAlign w:val="center"/>
          </w:tcPr>
          <w:p w14:paraId="1DCF9740"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kern w:val="21"/>
                <w:sz w:val="21"/>
                <w:szCs w:val="21"/>
              </w:rPr>
              <w:lastRenderedPageBreak/>
              <w:t>本项目建设具有合法手续，且不属于钢铁、石化、化工、焦化、有色等高污染项目。</w:t>
            </w:r>
          </w:p>
        </w:tc>
        <w:tc>
          <w:tcPr>
            <w:tcW w:w="856" w:type="dxa"/>
            <w:vAlign w:val="center"/>
          </w:tcPr>
          <w:p w14:paraId="3FEA445F"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2BDC1E47" w14:textId="77777777">
        <w:trPr>
          <w:trHeight w:val="309"/>
          <w:jc w:val="center"/>
        </w:trPr>
        <w:tc>
          <w:tcPr>
            <w:tcW w:w="1003" w:type="dxa"/>
            <w:vMerge/>
            <w:vAlign w:val="center"/>
          </w:tcPr>
          <w:p w14:paraId="58CBAB31"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507" w:type="dxa"/>
            <w:vMerge/>
            <w:vAlign w:val="center"/>
          </w:tcPr>
          <w:p w14:paraId="18736B2B"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708" w:type="dxa"/>
            <w:vMerge w:val="restart"/>
            <w:vAlign w:val="center"/>
          </w:tcPr>
          <w:p w14:paraId="1EE30779"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kern w:val="21"/>
                <w:sz w:val="21"/>
                <w:szCs w:val="21"/>
              </w:rPr>
              <w:t>污染物排放管控</w:t>
            </w:r>
          </w:p>
        </w:tc>
        <w:tc>
          <w:tcPr>
            <w:tcW w:w="6968" w:type="dxa"/>
            <w:vAlign w:val="center"/>
          </w:tcPr>
          <w:p w14:paraId="06A25EF0" w14:textId="77777777" w:rsidR="00544649" w:rsidRDefault="00000000">
            <w:pPr>
              <w:widowControl/>
              <w:adjustRightInd w:val="0"/>
              <w:snapToGrid w:val="0"/>
              <w:spacing w:after="0" w:line="240" w:lineRule="auto"/>
              <w:ind w:firstLineChars="0" w:firstLine="0"/>
              <w:rPr>
                <w:rFonts w:cs="Times New Roman"/>
                <w:b/>
                <w:bCs/>
                <w:kern w:val="21"/>
                <w:sz w:val="21"/>
                <w:szCs w:val="21"/>
              </w:rPr>
            </w:pPr>
            <w:r>
              <w:rPr>
                <w:rFonts w:cs="Times New Roman"/>
                <w:b/>
                <w:bCs/>
                <w:kern w:val="21"/>
                <w:sz w:val="21"/>
                <w:szCs w:val="21"/>
              </w:rPr>
              <w:t>现有源提标升级改造：</w:t>
            </w:r>
          </w:p>
          <w:p w14:paraId="1E20D696"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1</w:t>
            </w:r>
            <w:r>
              <w:rPr>
                <w:rFonts w:eastAsia="宋体" w:hint="eastAsia"/>
                <w:kern w:val="21"/>
                <w:sz w:val="21"/>
              </w:rPr>
              <w:t>、水环境：加快城镇污水处理厂工艺升级改造，至</w:t>
            </w:r>
            <w:r>
              <w:rPr>
                <w:rFonts w:eastAsia="宋体" w:hint="eastAsia"/>
                <w:kern w:val="21"/>
                <w:sz w:val="21"/>
              </w:rPr>
              <w:t>2023</w:t>
            </w:r>
            <w:r>
              <w:rPr>
                <w:rFonts w:eastAsia="宋体" w:hint="eastAsia"/>
                <w:kern w:val="21"/>
                <w:sz w:val="21"/>
              </w:rPr>
              <w:t>年，达《城镇污水处理厂污染物排放标准》一级</w:t>
            </w:r>
            <w:r>
              <w:rPr>
                <w:rFonts w:eastAsia="宋体" w:hint="eastAsia"/>
                <w:kern w:val="21"/>
                <w:sz w:val="21"/>
              </w:rPr>
              <w:t>A</w:t>
            </w:r>
            <w:r>
              <w:rPr>
                <w:rFonts w:eastAsia="宋体" w:hint="eastAsia"/>
                <w:kern w:val="21"/>
                <w:sz w:val="21"/>
              </w:rPr>
              <w:t>标或相关规定的水质标准。（依据：《广元市城镇污水处理设施建设三年推进实施方案（</w:t>
            </w:r>
            <w:r>
              <w:rPr>
                <w:rFonts w:eastAsia="宋体" w:hint="eastAsia"/>
                <w:kern w:val="21"/>
                <w:sz w:val="21"/>
              </w:rPr>
              <w:t>2021-2023</w:t>
            </w:r>
            <w:r>
              <w:rPr>
                <w:rFonts w:eastAsia="宋体" w:hint="eastAsia"/>
                <w:kern w:val="21"/>
                <w:sz w:val="21"/>
              </w:rPr>
              <w:t>年）》《四川省打好环保基础设施建设攻坚战实施方案》）</w:t>
            </w:r>
          </w:p>
          <w:p w14:paraId="6CD4F136"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2</w:t>
            </w:r>
            <w:r>
              <w:rPr>
                <w:rFonts w:eastAsia="宋体" w:hint="eastAsia"/>
                <w:kern w:val="21"/>
                <w:sz w:val="21"/>
              </w:rPr>
              <w:t>、大气环境：火电、水泥等行业的燃煤锅炉按相关要求实施大气污染物超低排放。（《四川省打赢蓝天保卫战实施方案》）</w:t>
            </w:r>
          </w:p>
          <w:p w14:paraId="403691B7" w14:textId="77777777" w:rsidR="00544649" w:rsidRDefault="00000000">
            <w:pPr>
              <w:widowControl/>
              <w:adjustRightInd w:val="0"/>
              <w:snapToGrid w:val="0"/>
              <w:spacing w:after="0" w:line="240" w:lineRule="auto"/>
              <w:ind w:firstLineChars="0" w:firstLine="0"/>
              <w:rPr>
                <w:rFonts w:cs="Times New Roman"/>
                <w:b/>
                <w:bCs/>
                <w:kern w:val="21"/>
                <w:sz w:val="21"/>
                <w:szCs w:val="21"/>
              </w:rPr>
            </w:pPr>
            <w:r>
              <w:rPr>
                <w:rFonts w:hint="eastAsia"/>
                <w:kern w:val="21"/>
                <w:sz w:val="21"/>
                <w:szCs w:val="21"/>
              </w:rPr>
              <w:t>3</w:t>
            </w:r>
            <w:r>
              <w:rPr>
                <w:rFonts w:hint="eastAsia"/>
                <w:kern w:val="21"/>
                <w:sz w:val="21"/>
                <w:szCs w:val="21"/>
              </w:rPr>
              <w:t>、砖瓦行业实施脱硫、除尘升级改造，污染物排放达到《砖瓦工业大气污染物排放标准》相关要求。（《四川省大气污染防治行动计划实施细则》、《砖瓦行业大气污染物排放标准》）</w:t>
            </w:r>
          </w:p>
        </w:tc>
        <w:tc>
          <w:tcPr>
            <w:tcW w:w="4709" w:type="dxa"/>
            <w:vAlign w:val="center"/>
          </w:tcPr>
          <w:p w14:paraId="0880DEF1"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kern w:val="21"/>
                <w:sz w:val="21"/>
                <w:szCs w:val="21"/>
              </w:rPr>
              <w:t>1</w:t>
            </w:r>
            <w:r>
              <w:rPr>
                <w:rFonts w:cs="Times New Roman"/>
                <w:kern w:val="21"/>
                <w:sz w:val="21"/>
                <w:szCs w:val="21"/>
              </w:rPr>
              <w:t>、本项目不属于城镇生活污水处理厂；</w:t>
            </w:r>
          </w:p>
          <w:p w14:paraId="52F585A3"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kern w:val="21"/>
                <w:sz w:val="21"/>
                <w:szCs w:val="21"/>
              </w:rPr>
              <w:t>2</w:t>
            </w:r>
            <w:r>
              <w:rPr>
                <w:rFonts w:cs="Times New Roman"/>
                <w:kern w:val="21"/>
                <w:sz w:val="21"/>
                <w:szCs w:val="21"/>
              </w:rPr>
              <w:t>、本项目不属于</w:t>
            </w:r>
            <w:r>
              <w:rPr>
                <w:rFonts w:hint="eastAsia"/>
                <w:kern w:val="21"/>
                <w:sz w:val="21"/>
                <w:szCs w:val="21"/>
              </w:rPr>
              <w:t>火电、水泥等行业</w:t>
            </w:r>
            <w:r>
              <w:rPr>
                <w:rFonts w:cs="Times New Roman"/>
                <w:kern w:val="21"/>
                <w:sz w:val="21"/>
                <w:szCs w:val="21"/>
              </w:rPr>
              <w:t>，</w:t>
            </w:r>
            <w:r>
              <w:rPr>
                <w:rFonts w:cs="Times New Roman" w:hint="eastAsia"/>
                <w:kern w:val="21"/>
                <w:sz w:val="21"/>
                <w:szCs w:val="21"/>
              </w:rPr>
              <w:t>本项目为新建畜禽养殖项目，项目锅炉采用天然气锅炉，</w:t>
            </w:r>
            <w:r>
              <w:rPr>
                <w:rFonts w:cs="Times New Roman"/>
                <w:kern w:val="21"/>
                <w:sz w:val="21"/>
                <w:szCs w:val="21"/>
              </w:rPr>
              <w:t>不涉及</w:t>
            </w:r>
            <w:r>
              <w:rPr>
                <w:rFonts w:cs="Times New Roman" w:hint="eastAsia"/>
                <w:kern w:val="21"/>
                <w:sz w:val="21"/>
                <w:szCs w:val="21"/>
              </w:rPr>
              <w:t>燃煤</w:t>
            </w:r>
            <w:r>
              <w:rPr>
                <w:rFonts w:cs="Times New Roman"/>
                <w:kern w:val="21"/>
                <w:sz w:val="21"/>
                <w:szCs w:val="21"/>
              </w:rPr>
              <w:t>锅炉使用。</w:t>
            </w:r>
          </w:p>
          <w:p w14:paraId="30149FFF"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3</w:t>
            </w:r>
            <w:r>
              <w:rPr>
                <w:rFonts w:cs="Times New Roman" w:hint="eastAsia"/>
                <w:kern w:val="21"/>
                <w:sz w:val="21"/>
                <w:szCs w:val="21"/>
              </w:rPr>
              <w:t>、</w:t>
            </w:r>
            <w:r>
              <w:rPr>
                <w:rFonts w:cs="Times New Roman"/>
                <w:kern w:val="21"/>
                <w:sz w:val="21"/>
                <w:szCs w:val="21"/>
              </w:rPr>
              <w:t>本项目不属于砖瓦行业。</w:t>
            </w:r>
          </w:p>
        </w:tc>
        <w:tc>
          <w:tcPr>
            <w:tcW w:w="856" w:type="dxa"/>
            <w:vAlign w:val="center"/>
          </w:tcPr>
          <w:p w14:paraId="224AD50D"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40D088C7" w14:textId="77777777">
        <w:trPr>
          <w:trHeight w:val="1082"/>
          <w:jc w:val="center"/>
        </w:trPr>
        <w:tc>
          <w:tcPr>
            <w:tcW w:w="1003" w:type="dxa"/>
            <w:vMerge/>
            <w:vAlign w:val="center"/>
          </w:tcPr>
          <w:p w14:paraId="3682595E"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507" w:type="dxa"/>
            <w:vMerge/>
            <w:vAlign w:val="center"/>
          </w:tcPr>
          <w:p w14:paraId="41AB413E"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708" w:type="dxa"/>
            <w:vMerge/>
            <w:vAlign w:val="center"/>
          </w:tcPr>
          <w:p w14:paraId="61F2B60C"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6968" w:type="dxa"/>
            <w:vAlign w:val="center"/>
          </w:tcPr>
          <w:p w14:paraId="373ED1FC" w14:textId="77777777" w:rsidR="00544649" w:rsidRDefault="00000000">
            <w:pPr>
              <w:widowControl/>
              <w:adjustRightInd w:val="0"/>
              <w:snapToGrid w:val="0"/>
              <w:spacing w:after="0" w:line="240" w:lineRule="auto"/>
              <w:ind w:firstLineChars="0" w:firstLine="0"/>
              <w:rPr>
                <w:rFonts w:cs="Times New Roman"/>
                <w:b/>
                <w:bCs/>
                <w:kern w:val="21"/>
                <w:sz w:val="21"/>
                <w:szCs w:val="21"/>
              </w:rPr>
            </w:pPr>
            <w:r>
              <w:rPr>
                <w:rFonts w:cs="Times New Roman"/>
                <w:b/>
                <w:bCs/>
                <w:kern w:val="21"/>
                <w:sz w:val="21"/>
                <w:szCs w:val="21"/>
              </w:rPr>
              <w:t>其他污染物排放管控要求：</w:t>
            </w:r>
          </w:p>
          <w:p w14:paraId="000A9268" w14:textId="77777777" w:rsidR="00544649" w:rsidRDefault="00000000">
            <w:pPr>
              <w:pStyle w:val="Normal00"/>
              <w:adjustRightInd w:val="0"/>
              <w:snapToGrid w:val="0"/>
              <w:spacing w:after="0" w:line="240" w:lineRule="auto"/>
              <w:ind w:firstLineChars="0" w:firstLine="0"/>
              <w:rPr>
                <w:rFonts w:eastAsia="宋体"/>
                <w:b/>
                <w:bCs/>
                <w:kern w:val="21"/>
                <w:sz w:val="21"/>
              </w:rPr>
            </w:pPr>
            <w:r>
              <w:rPr>
                <w:rFonts w:eastAsia="宋体" w:hint="eastAsia"/>
                <w:b/>
                <w:bCs/>
                <w:kern w:val="21"/>
                <w:sz w:val="21"/>
              </w:rPr>
              <w:t>新增源等量或</w:t>
            </w:r>
            <w:proofErr w:type="gramStart"/>
            <w:r>
              <w:rPr>
                <w:rFonts w:eastAsia="宋体" w:hint="eastAsia"/>
                <w:b/>
                <w:bCs/>
                <w:kern w:val="21"/>
                <w:sz w:val="21"/>
              </w:rPr>
              <w:t>倍</w:t>
            </w:r>
            <w:proofErr w:type="gramEnd"/>
            <w:r>
              <w:rPr>
                <w:rFonts w:eastAsia="宋体" w:hint="eastAsia"/>
                <w:b/>
                <w:bCs/>
                <w:kern w:val="21"/>
                <w:sz w:val="21"/>
              </w:rPr>
              <w:t>量替代：</w:t>
            </w:r>
          </w:p>
          <w:p w14:paraId="309F5BCD"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1</w:t>
            </w:r>
            <w:r>
              <w:rPr>
                <w:rFonts w:eastAsia="宋体" w:hint="eastAsia"/>
                <w:kern w:val="21"/>
                <w:sz w:val="21"/>
              </w:rPr>
              <w:t>、若上一年度空气质量年平均浓度不达标、水环境质量未达到要求，则建设项目新增相关污染物按照总量管</w:t>
            </w:r>
            <w:proofErr w:type="gramStart"/>
            <w:r>
              <w:rPr>
                <w:rFonts w:eastAsia="宋体" w:hint="eastAsia"/>
                <w:kern w:val="21"/>
                <w:sz w:val="21"/>
              </w:rPr>
              <w:t>控要求</w:t>
            </w:r>
            <w:proofErr w:type="gramEnd"/>
            <w:r>
              <w:rPr>
                <w:rFonts w:eastAsia="宋体" w:hint="eastAsia"/>
                <w:kern w:val="21"/>
                <w:sz w:val="21"/>
              </w:rPr>
              <w:t>进行</w:t>
            </w:r>
            <w:proofErr w:type="gramStart"/>
            <w:r>
              <w:rPr>
                <w:rFonts w:eastAsia="宋体" w:hint="eastAsia"/>
                <w:kern w:val="21"/>
                <w:sz w:val="21"/>
              </w:rPr>
              <w:t>倍</w:t>
            </w:r>
            <w:proofErr w:type="gramEnd"/>
            <w:r>
              <w:rPr>
                <w:rFonts w:eastAsia="宋体" w:hint="eastAsia"/>
                <w:kern w:val="21"/>
                <w:sz w:val="21"/>
              </w:rPr>
              <w:t>量削减替代。（依据：《建设项目主要污染物排放总量指标审核及管理暂行办法》）</w:t>
            </w:r>
          </w:p>
          <w:p w14:paraId="6C918DE7"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2</w:t>
            </w:r>
            <w:r>
              <w:rPr>
                <w:rFonts w:eastAsia="宋体" w:hint="eastAsia"/>
                <w:kern w:val="21"/>
                <w:sz w:val="21"/>
              </w:rPr>
              <w:t>、若上一年度空气环境质量、水环境质量达标，则建设项目新增相关污染物按照总量管</w:t>
            </w:r>
            <w:proofErr w:type="gramStart"/>
            <w:r>
              <w:rPr>
                <w:rFonts w:eastAsia="宋体" w:hint="eastAsia"/>
                <w:kern w:val="21"/>
                <w:sz w:val="21"/>
              </w:rPr>
              <w:t>控要求</w:t>
            </w:r>
            <w:proofErr w:type="gramEnd"/>
            <w:r>
              <w:rPr>
                <w:rFonts w:eastAsia="宋体" w:hint="eastAsia"/>
                <w:kern w:val="21"/>
                <w:sz w:val="21"/>
              </w:rPr>
              <w:t>进行等量替代。</w:t>
            </w:r>
          </w:p>
          <w:p w14:paraId="26FDDADE"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3</w:t>
            </w:r>
            <w:r>
              <w:rPr>
                <w:rFonts w:eastAsia="宋体" w:hint="eastAsia"/>
                <w:kern w:val="21"/>
                <w:sz w:val="21"/>
              </w:rPr>
              <w:t>、新增</w:t>
            </w:r>
            <w:r>
              <w:rPr>
                <w:rFonts w:eastAsia="宋体" w:hint="eastAsia"/>
                <w:kern w:val="21"/>
                <w:sz w:val="21"/>
              </w:rPr>
              <w:t>VOCs</w:t>
            </w:r>
            <w:r>
              <w:rPr>
                <w:rFonts w:eastAsia="宋体" w:hint="eastAsia"/>
                <w:kern w:val="21"/>
                <w:sz w:val="21"/>
              </w:rPr>
              <w:t>排放的建设项目实行等量替代。（《四川省打赢蓝天保卫战实施方案》）</w:t>
            </w:r>
          </w:p>
          <w:p w14:paraId="73C24B8A" w14:textId="77777777" w:rsidR="00544649" w:rsidRDefault="00000000">
            <w:pPr>
              <w:pStyle w:val="Normal00"/>
              <w:adjustRightInd w:val="0"/>
              <w:snapToGrid w:val="0"/>
              <w:spacing w:after="0" w:line="240" w:lineRule="auto"/>
              <w:ind w:firstLineChars="0" w:firstLine="0"/>
              <w:rPr>
                <w:rFonts w:eastAsia="宋体"/>
                <w:b/>
                <w:bCs/>
                <w:kern w:val="21"/>
                <w:sz w:val="21"/>
              </w:rPr>
            </w:pPr>
            <w:r>
              <w:rPr>
                <w:rFonts w:eastAsia="宋体" w:hint="eastAsia"/>
                <w:b/>
                <w:bCs/>
                <w:kern w:val="21"/>
                <w:sz w:val="21"/>
              </w:rPr>
              <w:t>污染物排放绩效水平准入要求：</w:t>
            </w:r>
          </w:p>
          <w:p w14:paraId="7FD8E59D"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水环境污染物：</w:t>
            </w:r>
          </w:p>
          <w:p w14:paraId="3EEDBB3C"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4</w:t>
            </w:r>
            <w:r>
              <w:rPr>
                <w:rFonts w:eastAsia="宋体" w:hint="eastAsia"/>
                <w:kern w:val="21"/>
                <w:sz w:val="21"/>
              </w:rPr>
              <w:t>、到</w:t>
            </w:r>
            <w:r>
              <w:rPr>
                <w:rFonts w:eastAsia="宋体" w:hint="eastAsia"/>
                <w:kern w:val="21"/>
                <w:sz w:val="21"/>
              </w:rPr>
              <w:t>2023</w:t>
            </w:r>
            <w:r>
              <w:rPr>
                <w:rFonts w:eastAsia="宋体" w:hint="eastAsia"/>
                <w:kern w:val="21"/>
                <w:sz w:val="21"/>
              </w:rPr>
              <w:t>年底，所有建制镇具备污水处理能力。（《广元市城镇污水处理设施建设三年推进实施方案（</w:t>
            </w:r>
            <w:r>
              <w:rPr>
                <w:rFonts w:eastAsia="宋体" w:hint="eastAsia"/>
                <w:kern w:val="21"/>
                <w:sz w:val="21"/>
              </w:rPr>
              <w:t>2021-2023</w:t>
            </w:r>
            <w:r>
              <w:rPr>
                <w:rFonts w:eastAsia="宋体" w:hint="eastAsia"/>
                <w:kern w:val="21"/>
                <w:sz w:val="21"/>
              </w:rPr>
              <w:t>年）》）</w:t>
            </w:r>
          </w:p>
          <w:p w14:paraId="4134C8BC"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5</w:t>
            </w:r>
            <w:r>
              <w:rPr>
                <w:rFonts w:eastAsia="宋体" w:hint="eastAsia"/>
                <w:kern w:val="21"/>
                <w:sz w:val="21"/>
              </w:rPr>
              <w:t>、鼓励畜禽粪污还田利用。</w:t>
            </w:r>
            <w:proofErr w:type="gramStart"/>
            <w:r>
              <w:rPr>
                <w:rFonts w:eastAsia="宋体" w:hint="eastAsia"/>
                <w:kern w:val="21"/>
                <w:sz w:val="21"/>
              </w:rPr>
              <w:t>粪污经无害</w:t>
            </w:r>
            <w:proofErr w:type="gramEnd"/>
            <w:r>
              <w:rPr>
                <w:rFonts w:eastAsia="宋体" w:hint="eastAsia"/>
                <w:kern w:val="21"/>
                <w:sz w:val="21"/>
              </w:rPr>
              <w:t>化处理后还田利用具体要求及限量应符合《畜禽粪便无害化处理技术规范》、《畜禽粪便还田技术规范》、《畜禽粪污土地承载力测算技术指南》。用于农田灌溉的，应符合《农田灌溉水质标准》（</w:t>
            </w:r>
            <w:r>
              <w:rPr>
                <w:rFonts w:hint="eastAsia"/>
                <w:kern w:val="21"/>
                <w:sz w:val="21"/>
              </w:rPr>
              <w:t>GB</w:t>
            </w:r>
            <w:r>
              <w:rPr>
                <w:kern w:val="21"/>
                <w:sz w:val="21"/>
              </w:rPr>
              <w:t>5084—2021</w:t>
            </w:r>
            <w:r>
              <w:rPr>
                <w:rFonts w:eastAsia="宋体" w:hint="eastAsia"/>
                <w:kern w:val="21"/>
                <w:sz w:val="21"/>
              </w:rPr>
              <w:t>）。（《关于进一步明确畜禽粪污还田利用要求强化养殖污染监管的通知》）</w:t>
            </w:r>
          </w:p>
          <w:p w14:paraId="2105A945"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lastRenderedPageBreak/>
              <w:t>6</w:t>
            </w:r>
            <w:r>
              <w:rPr>
                <w:rFonts w:eastAsia="宋体" w:hint="eastAsia"/>
                <w:kern w:val="21"/>
                <w:sz w:val="21"/>
              </w:rPr>
              <w:t>、屠宰项目应配套污水处理设施或进入城镇污水管网。鼓励新、改扩白酒酿造企业满足《四川省白酒产业环境准入指标体系分析》中提出的相应区域污染物排放约束性管控指标。</w:t>
            </w:r>
          </w:p>
          <w:p w14:paraId="713B6ECA"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大气环境：</w:t>
            </w:r>
          </w:p>
          <w:p w14:paraId="10163A77"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7</w:t>
            </w:r>
            <w:r>
              <w:rPr>
                <w:rFonts w:eastAsia="宋体" w:hint="eastAsia"/>
                <w:kern w:val="21"/>
                <w:sz w:val="21"/>
              </w:rPr>
              <w:t>、严格控制道路扬尘。</w:t>
            </w:r>
            <w:proofErr w:type="gramStart"/>
            <w:r>
              <w:rPr>
                <w:rFonts w:eastAsia="宋体" w:hint="eastAsia"/>
                <w:kern w:val="21"/>
                <w:sz w:val="21"/>
              </w:rPr>
              <w:t>国省道路</w:t>
            </w:r>
            <w:proofErr w:type="gramEnd"/>
            <w:r>
              <w:rPr>
                <w:rFonts w:eastAsia="宋体" w:hint="eastAsia"/>
                <w:kern w:val="21"/>
                <w:sz w:val="21"/>
              </w:rPr>
              <w:t>、高速路连接线等重点通行线路和建成区城乡接合部每天机械化清扫、冲洗不少于</w:t>
            </w:r>
            <w:r>
              <w:rPr>
                <w:rFonts w:eastAsia="宋体" w:hint="eastAsia"/>
                <w:kern w:val="21"/>
                <w:sz w:val="21"/>
              </w:rPr>
              <w:t>1</w:t>
            </w:r>
            <w:r>
              <w:rPr>
                <w:rFonts w:eastAsia="宋体" w:hint="eastAsia"/>
                <w:kern w:val="21"/>
                <w:sz w:val="21"/>
              </w:rPr>
              <w:t>次。强化城郊结合部扬尘污染管控。重点抓好重点交通建筑工地扬尘治理，切实加强城郊结合部重点货车绕行道路扬尘治理。严控城市垃圾、落叶露天焚烧。（《四川省机动车和非道路移动机械排气污染防治办法》）</w:t>
            </w:r>
          </w:p>
          <w:p w14:paraId="3FCD9D1B"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固体废物：</w:t>
            </w:r>
          </w:p>
          <w:p w14:paraId="4E10DF49"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8</w:t>
            </w:r>
            <w:r>
              <w:rPr>
                <w:rFonts w:eastAsia="宋体" w:hint="eastAsia"/>
                <w:kern w:val="21"/>
                <w:sz w:val="21"/>
              </w:rPr>
              <w:t>、到</w:t>
            </w:r>
            <w:r>
              <w:rPr>
                <w:rFonts w:eastAsia="宋体" w:hint="eastAsia"/>
                <w:kern w:val="21"/>
                <w:sz w:val="21"/>
              </w:rPr>
              <w:t>2023</w:t>
            </w:r>
            <w:r>
              <w:rPr>
                <w:rFonts w:eastAsia="宋体" w:hint="eastAsia"/>
                <w:kern w:val="21"/>
                <w:sz w:val="21"/>
              </w:rPr>
              <w:t>年底，乡镇及行政村生活垃圾收转运处置体系基本实现全覆盖。大力推进农村生活垃圾就地分类减量和资源化利用，因地制宜选择农村生活垃圾治理模式。建制镇污水处理设施产生的污泥原则上应纳入城市集中无害化处置范围。（广元市城乡生活垃圾处理设施建设三年推进实施方案（</w:t>
            </w:r>
            <w:r>
              <w:rPr>
                <w:rFonts w:eastAsia="宋体" w:hint="eastAsia"/>
                <w:kern w:val="21"/>
                <w:sz w:val="21"/>
              </w:rPr>
              <w:t>2021-2023</w:t>
            </w:r>
            <w:r>
              <w:rPr>
                <w:rFonts w:eastAsia="宋体" w:hint="eastAsia"/>
                <w:kern w:val="21"/>
                <w:sz w:val="21"/>
              </w:rPr>
              <w:t>年））</w:t>
            </w:r>
          </w:p>
          <w:p w14:paraId="7852E27C"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hint="eastAsia"/>
                <w:kern w:val="21"/>
                <w:sz w:val="21"/>
                <w:szCs w:val="21"/>
              </w:rPr>
              <w:t>9</w:t>
            </w:r>
            <w:r>
              <w:rPr>
                <w:rFonts w:hint="eastAsia"/>
                <w:kern w:val="21"/>
                <w:sz w:val="21"/>
                <w:szCs w:val="21"/>
              </w:rPr>
              <w:t>、力争</w:t>
            </w:r>
            <w:r>
              <w:rPr>
                <w:rFonts w:hint="eastAsia"/>
                <w:kern w:val="21"/>
                <w:sz w:val="21"/>
                <w:szCs w:val="21"/>
              </w:rPr>
              <w:t>2025</w:t>
            </w:r>
            <w:r>
              <w:rPr>
                <w:rFonts w:hint="eastAsia"/>
                <w:kern w:val="21"/>
                <w:sz w:val="21"/>
                <w:szCs w:val="21"/>
              </w:rPr>
              <w:t>年大中型矿山达到绿色矿山标准，引导小型矿山按照绿色矿山标准规范发展；加强矿山采选废水的处理和综合利用工作，选矿废水全部综合利用，不外排，采矿废水应</w:t>
            </w:r>
            <w:proofErr w:type="gramStart"/>
            <w:r>
              <w:rPr>
                <w:rFonts w:hint="eastAsia"/>
                <w:kern w:val="21"/>
                <w:sz w:val="21"/>
                <w:szCs w:val="21"/>
              </w:rPr>
              <w:t>尽量回</w:t>
            </w:r>
            <w:proofErr w:type="gramEnd"/>
            <w:r>
              <w:rPr>
                <w:rFonts w:hint="eastAsia"/>
                <w:kern w:val="21"/>
                <w:sz w:val="21"/>
                <w:szCs w:val="21"/>
              </w:rPr>
              <w:t>用。（《国家绿色矿山建设规范》、《土壤污染防治行动计划》）。</w:t>
            </w:r>
          </w:p>
        </w:tc>
        <w:tc>
          <w:tcPr>
            <w:tcW w:w="4709" w:type="dxa"/>
            <w:vAlign w:val="center"/>
          </w:tcPr>
          <w:p w14:paraId="1EC7AFA0" w14:textId="77777777" w:rsidR="00544649" w:rsidRDefault="00000000">
            <w:pPr>
              <w:widowControl/>
              <w:numPr>
                <w:ilvl w:val="0"/>
                <w:numId w:val="18"/>
              </w:numPr>
              <w:adjustRightInd w:val="0"/>
              <w:snapToGrid w:val="0"/>
              <w:spacing w:after="0" w:line="240" w:lineRule="auto"/>
              <w:ind w:firstLineChars="0" w:firstLine="0"/>
              <w:rPr>
                <w:rFonts w:cs="Times New Roman"/>
                <w:kern w:val="21"/>
                <w:sz w:val="21"/>
                <w:szCs w:val="21"/>
              </w:rPr>
            </w:pPr>
            <w:r>
              <w:rPr>
                <w:rFonts w:cs="Times New Roman"/>
                <w:kern w:val="21"/>
                <w:sz w:val="21"/>
                <w:szCs w:val="21"/>
              </w:rPr>
              <w:lastRenderedPageBreak/>
              <w:t>本项目所在区域属于水环境、空气质量达标区</w:t>
            </w:r>
          </w:p>
          <w:p w14:paraId="6DA95B46" w14:textId="77777777" w:rsidR="00544649" w:rsidRDefault="00000000">
            <w:pPr>
              <w:widowControl/>
              <w:numPr>
                <w:ilvl w:val="0"/>
                <w:numId w:val="18"/>
              </w:numPr>
              <w:adjustRightInd w:val="0"/>
              <w:snapToGrid w:val="0"/>
              <w:spacing w:after="0" w:line="240" w:lineRule="auto"/>
              <w:ind w:firstLineChars="0" w:firstLine="0"/>
              <w:rPr>
                <w:rFonts w:cs="Times New Roman"/>
                <w:kern w:val="21"/>
                <w:sz w:val="21"/>
                <w:szCs w:val="21"/>
              </w:rPr>
            </w:pPr>
            <w:r>
              <w:rPr>
                <w:rFonts w:cs="Times New Roman"/>
                <w:kern w:val="21"/>
                <w:sz w:val="21"/>
                <w:szCs w:val="21"/>
              </w:rPr>
              <w:t>本项目</w:t>
            </w:r>
            <w:r>
              <w:rPr>
                <w:rFonts w:hint="eastAsia"/>
                <w:kern w:val="21"/>
                <w:sz w:val="21"/>
                <w:szCs w:val="21"/>
              </w:rPr>
              <w:t>新增污染物按照总量管</w:t>
            </w:r>
            <w:proofErr w:type="gramStart"/>
            <w:r>
              <w:rPr>
                <w:rFonts w:hint="eastAsia"/>
                <w:kern w:val="21"/>
                <w:sz w:val="21"/>
                <w:szCs w:val="21"/>
              </w:rPr>
              <w:t>控要求</w:t>
            </w:r>
            <w:proofErr w:type="gramEnd"/>
            <w:r>
              <w:rPr>
                <w:rFonts w:hint="eastAsia"/>
                <w:kern w:val="21"/>
                <w:sz w:val="21"/>
                <w:szCs w:val="21"/>
              </w:rPr>
              <w:t>进行等量替代</w:t>
            </w:r>
            <w:r>
              <w:rPr>
                <w:rFonts w:cs="Times New Roman"/>
                <w:kern w:val="21"/>
                <w:sz w:val="21"/>
                <w:szCs w:val="21"/>
              </w:rPr>
              <w:t>；</w:t>
            </w:r>
          </w:p>
          <w:p w14:paraId="151F7795" w14:textId="77777777" w:rsidR="00544649" w:rsidRDefault="00000000">
            <w:pPr>
              <w:widowControl/>
              <w:numPr>
                <w:ilvl w:val="0"/>
                <w:numId w:val="18"/>
              </w:numPr>
              <w:adjustRightInd w:val="0"/>
              <w:snapToGrid w:val="0"/>
              <w:spacing w:after="0" w:line="240" w:lineRule="auto"/>
              <w:ind w:firstLineChars="0" w:firstLine="0"/>
              <w:rPr>
                <w:rFonts w:cs="Times New Roman"/>
                <w:kern w:val="21"/>
                <w:sz w:val="21"/>
                <w:szCs w:val="21"/>
              </w:rPr>
            </w:pPr>
            <w:r>
              <w:rPr>
                <w:rFonts w:cs="Times New Roman"/>
                <w:kern w:val="21"/>
                <w:sz w:val="21"/>
                <w:szCs w:val="21"/>
              </w:rPr>
              <w:t>本项目</w:t>
            </w:r>
            <w:r>
              <w:rPr>
                <w:rFonts w:cs="Times New Roman" w:hint="eastAsia"/>
                <w:kern w:val="21"/>
                <w:sz w:val="21"/>
                <w:szCs w:val="21"/>
              </w:rPr>
              <w:t>不涉及</w:t>
            </w:r>
            <w:r>
              <w:rPr>
                <w:rFonts w:hint="eastAsia"/>
                <w:kern w:val="21"/>
                <w:sz w:val="21"/>
                <w:szCs w:val="21"/>
              </w:rPr>
              <w:t>VOCs</w:t>
            </w:r>
            <w:r>
              <w:rPr>
                <w:rFonts w:hint="eastAsia"/>
                <w:kern w:val="21"/>
                <w:sz w:val="21"/>
                <w:szCs w:val="21"/>
              </w:rPr>
              <w:t>排放</w:t>
            </w:r>
            <w:r>
              <w:rPr>
                <w:rFonts w:cs="Times New Roman"/>
                <w:kern w:val="21"/>
                <w:sz w:val="21"/>
                <w:szCs w:val="21"/>
              </w:rPr>
              <w:t>；</w:t>
            </w:r>
          </w:p>
          <w:p w14:paraId="733B3903" w14:textId="77777777" w:rsidR="00544649" w:rsidRDefault="00000000">
            <w:pPr>
              <w:widowControl/>
              <w:numPr>
                <w:ilvl w:val="0"/>
                <w:numId w:val="18"/>
              </w:numPr>
              <w:adjustRightInd w:val="0"/>
              <w:snapToGrid w:val="0"/>
              <w:spacing w:after="0" w:line="240" w:lineRule="auto"/>
              <w:ind w:firstLineChars="0" w:firstLine="0"/>
              <w:rPr>
                <w:rFonts w:cs="Times New Roman"/>
                <w:kern w:val="21"/>
                <w:sz w:val="21"/>
                <w:szCs w:val="21"/>
              </w:rPr>
            </w:pPr>
            <w:r>
              <w:rPr>
                <w:rFonts w:cs="Times New Roman"/>
                <w:kern w:val="21"/>
                <w:sz w:val="21"/>
                <w:szCs w:val="21"/>
              </w:rPr>
              <w:t>本项目</w:t>
            </w:r>
            <w:r>
              <w:rPr>
                <w:rFonts w:cs="Times New Roman" w:hint="eastAsia"/>
                <w:kern w:val="21"/>
                <w:sz w:val="21"/>
                <w:szCs w:val="21"/>
              </w:rPr>
              <w:t>不涉及建制镇污水处理</w:t>
            </w:r>
            <w:r>
              <w:rPr>
                <w:rFonts w:cs="Times New Roman"/>
                <w:kern w:val="21"/>
                <w:sz w:val="21"/>
                <w:szCs w:val="21"/>
              </w:rPr>
              <w:t>；</w:t>
            </w:r>
          </w:p>
          <w:p w14:paraId="42071689" w14:textId="77777777" w:rsidR="00544649" w:rsidRDefault="00000000">
            <w:pPr>
              <w:widowControl/>
              <w:numPr>
                <w:ilvl w:val="0"/>
                <w:numId w:val="18"/>
              </w:numPr>
              <w:adjustRightInd w:val="0"/>
              <w:snapToGrid w:val="0"/>
              <w:spacing w:after="0" w:line="240" w:lineRule="auto"/>
              <w:ind w:firstLineChars="0" w:firstLine="0"/>
              <w:rPr>
                <w:rFonts w:cs="Times New Roman"/>
                <w:kern w:val="21"/>
                <w:sz w:val="21"/>
                <w:szCs w:val="21"/>
              </w:rPr>
            </w:pPr>
            <w:r>
              <w:rPr>
                <w:rFonts w:cs="Times New Roman"/>
                <w:kern w:val="21"/>
                <w:sz w:val="21"/>
                <w:szCs w:val="21"/>
              </w:rPr>
              <w:t>本项目</w:t>
            </w:r>
            <w:r>
              <w:rPr>
                <w:rFonts w:cs="Times New Roman" w:hint="eastAsia"/>
                <w:kern w:val="21"/>
                <w:sz w:val="21"/>
                <w:szCs w:val="21"/>
              </w:rPr>
              <w:t>废水经污水处理站处理达</w:t>
            </w:r>
            <w:r>
              <w:rPr>
                <w:rFonts w:hint="eastAsia"/>
                <w:kern w:val="21"/>
                <w:sz w:val="21"/>
                <w:szCs w:val="21"/>
              </w:rPr>
              <w:t>《农田灌溉水质标准》（</w:t>
            </w:r>
            <w:r>
              <w:rPr>
                <w:rFonts w:hint="eastAsia"/>
                <w:kern w:val="21"/>
                <w:sz w:val="21"/>
                <w:szCs w:val="21"/>
              </w:rPr>
              <w:t>GB</w:t>
            </w:r>
            <w:r>
              <w:rPr>
                <w:kern w:val="21"/>
                <w:sz w:val="21"/>
                <w:szCs w:val="21"/>
              </w:rPr>
              <w:t>5084—2021</w:t>
            </w:r>
            <w:r>
              <w:rPr>
                <w:rFonts w:hint="eastAsia"/>
                <w:kern w:val="21"/>
                <w:sz w:val="21"/>
                <w:szCs w:val="21"/>
              </w:rPr>
              <w:t>）后，用于周边林地灌溉；鸡粪交由</w:t>
            </w:r>
            <w:r>
              <w:rPr>
                <w:rFonts w:cs="Times New Roman" w:hint="eastAsia"/>
                <w:kern w:val="21"/>
                <w:sz w:val="21"/>
                <w:szCs w:val="21"/>
              </w:rPr>
              <w:t>四川省田宝生物科技有限公司</w:t>
            </w:r>
            <w:r>
              <w:rPr>
                <w:rFonts w:cs="Times New Roman"/>
                <w:kern w:val="21"/>
                <w:sz w:val="21"/>
                <w:szCs w:val="21"/>
              </w:rPr>
              <w:t>进行资源化利用</w:t>
            </w:r>
            <w:r>
              <w:rPr>
                <w:rFonts w:cs="Times New Roman" w:hint="eastAsia"/>
                <w:kern w:val="21"/>
                <w:sz w:val="21"/>
                <w:szCs w:val="21"/>
              </w:rPr>
              <w:t>；</w:t>
            </w:r>
          </w:p>
          <w:p w14:paraId="24F855B8" w14:textId="77777777" w:rsidR="00544649" w:rsidRDefault="00000000">
            <w:pPr>
              <w:widowControl/>
              <w:numPr>
                <w:ilvl w:val="0"/>
                <w:numId w:val="18"/>
              </w:numPr>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本项目不属于屠宰项目</w:t>
            </w:r>
            <w:r>
              <w:rPr>
                <w:rFonts w:cs="Times New Roman"/>
                <w:kern w:val="21"/>
                <w:sz w:val="21"/>
                <w:szCs w:val="21"/>
              </w:rPr>
              <w:t>；</w:t>
            </w:r>
            <w:r>
              <w:rPr>
                <w:rFonts w:cs="Times New Roman" w:hint="eastAsia"/>
                <w:kern w:val="21"/>
                <w:sz w:val="21"/>
                <w:szCs w:val="21"/>
              </w:rPr>
              <w:t>不属于</w:t>
            </w:r>
            <w:r>
              <w:rPr>
                <w:rFonts w:hint="eastAsia"/>
                <w:kern w:val="21"/>
                <w:sz w:val="21"/>
                <w:szCs w:val="21"/>
              </w:rPr>
              <w:t>新、改扩白酒酿造项目；</w:t>
            </w:r>
          </w:p>
          <w:p w14:paraId="65FD466A" w14:textId="77777777" w:rsidR="00544649" w:rsidRDefault="00000000">
            <w:pPr>
              <w:widowControl/>
              <w:numPr>
                <w:ilvl w:val="0"/>
                <w:numId w:val="18"/>
              </w:numPr>
              <w:adjustRightInd w:val="0"/>
              <w:snapToGrid w:val="0"/>
              <w:spacing w:after="0" w:line="240" w:lineRule="auto"/>
              <w:ind w:firstLineChars="0" w:firstLine="0"/>
              <w:rPr>
                <w:rFonts w:cs="Times New Roman"/>
                <w:kern w:val="21"/>
                <w:sz w:val="21"/>
                <w:szCs w:val="21"/>
                <w:shd w:val="clear" w:color="auto" w:fill="FFFFFF"/>
              </w:rPr>
            </w:pPr>
            <w:r>
              <w:rPr>
                <w:rFonts w:cs="Times New Roman"/>
                <w:kern w:val="21"/>
                <w:sz w:val="21"/>
                <w:szCs w:val="21"/>
              </w:rPr>
              <w:t>本项目不属于交通建筑工地</w:t>
            </w:r>
            <w:r>
              <w:rPr>
                <w:rFonts w:cs="Times New Roman" w:hint="eastAsia"/>
                <w:kern w:val="21"/>
                <w:sz w:val="21"/>
                <w:szCs w:val="21"/>
              </w:rPr>
              <w:t>；</w:t>
            </w:r>
            <w:r>
              <w:rPr>
                <w:rFonts w:cs="Times New Roman"/>
                <w:kern w:val="21"/>
                <w:sz w:val="21"/>
                <w:szCs w:val="21"/>
              </w:rPr>
              <w:t>不涉及垃圾、落叶露天焚烧</w:t>
            </w:r>
            <w:r>
              <w:rPr>
                <w:rFonts w:cs="Times New Roman"/>
                <w:kern w:val="21"/>
                <w:sz w:val="21"/>
                <w:szCs w:val="21"/>
                <w:shd w:val="clear" w:color="auto" w:fill="FFFFFF"/>
              </w:rPr>
              <w:t>；</w:t>
            </w:r>
          </w:p>
          <w:p w14:paraId="408330CA" w14:textId="77777777" w:rsidR="00544649" w:rsidRDefault="00000000">
            <w:pPr>
              <w:widowControl/>
              <w:numPr>
                <w:ilvl w:val="0"/>
                <w:numId w:val="18"/>
              </w:numPr>
              <w:adjustRightInd w:val="0"/>
              <w:snapToGrid w:val="0"/>
              <w:spacing w:after="0" w:line="240" w:lineRule="auto"/>
              <w:ind w:firstLineChars="0" w:firstLine="0"/>
              <w:rPr>
                <w:rFonts w:cs="Times New Roman"/>
                <w:kern w:val="21"/>
                <w:sz w:val="21"/>
                <w:szCs w:val="21"/>
                <w:shd w:val="clear" w:color="auto" w:fill="FFFFFF"/>
              </w:rPr>
            </w:pPr>
            <w:r>
              <w:rPr>
                <w:rFonts w:cs="Times New Roman"/>
                <w:kern w:val="21"/>
                <w:sz w:val="21"/>
                <w:szCs w:val="21"/>
              </w:rPr>
              <w:t>本项目生活垃圾由环卫部门定期清运。</w:t>
            </w:r>
          </w:p>
          <w:p w14:paraId="03F39EE3" w14:textId="77777777" w:rsidR="00544649" w:rsidRDefault="00000000">
            <w:pPr>
              <w:widowControl/>
              <w:numPr>
                <w:ilvl w:val="0"/>
                <w:numId w:val="18"/>
              </w:numPr>
              <w:adjustRightInd w:val="0"/>
              <w:snapToGrid w:val="0"/>
              <w:spacing w:after="0" w:line="240" w:lineRule="auto"/>
              <w:ind w:firstLineChars="0" w:firstLine="0"/>
              <w:rPr>
                <w:rFonts w:cs="Times New Roman"/>
                <w:kern w:val="21"/>
                <w:sz w:val="21"/>
                <w:szCs w:val="21"/>
                <w:shd w:val="clear" w:color="auto" w:fill="FFFFFF"/>
              </w:rPr>
            </w:pPr>
            <w:r>
              <w:rPr>
                <w:rFonts w:cs="Times New Roman" w:hint="eastAsia"/>
                <w:kern w:val="21"/>
                <w:sz w:val="21"/>
                <w:szCs w:val="21"/>
                <w:shd w:val="clear" w:color="auto" w:fill="FFFFFF"/>
              </w:rPr>
              <w:t>本项目不属于矿山项目。</w:t>
            </w:r>
          </w:p>
        </w:tc>
        <w:tc>
          <w:tcPr>
            <w:tcW w:w="856" w:type="dxa"/>
            <w:vAlign w:val="center"/>
          </w:tcPr>
          <w:p w14:paraId="3423145A"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763FCE7F" w14:textId="77777777">
        <w:trPr>
          <w:trHeight w:val="90"/>
          <w:jc w:val="center"/>
        </w:trPr>
        <w:tc>
          <w:tcPr>
            <w:tcW w:w="1003" w:type="dxa"/>
            <w:vMerge/>
            <w:vAlign w:val="center"/>
          </w:tcPr>
          <w:p w14:paraId="1B1C0A18"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507" w:type="dxa"/>
            <w:vMerge/>
            <w:vAlign w:val="center"/>
          </w:tcPr>
          <w:p w14:paraId="1DBBFF5B"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708" w:type="dxa"/>
            <w:vMerge w:val="restart"/>
            <w:vAlign w:val="center"/>
          </w:tcPr>
          <w:p w14:paraId="50400838"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环境风险防控</w:t>
            </w:r>
          </w:p>
        </w:tc>
        <w:tc>
          <w:tcPr>
            <w:tcW w:w="6968" w:type="dxa"/>
            <w:vAlign w:val="center"/>
          </w:tcPr>
          <w:p w14:paraId="43883518" w14:textId="77777777" w:rsidR="00544649" w:rsidRDefault="00000000">
            <w:pPr>
              <w:pStyle w:val="Normal00"/>
              <w:adjustRightInd w:val="0"/>
              <w:snapToGrid w:val="0"/>
              <w:spacing w:after="0" w:line="240" w:lineRule="auto"/>
              <w:ind w:firstLineChars="0" w:firstLine="0"/>
              <w:rPr>
                <w:rFonts w:eastAsia="宋体"/>
                <w:b/>
                <w:bCs/>
                <w:kern w:val="21"/>
                <w:sz w:val="21"/>
              </w:rPr>
            </w:pPr>
            <w:r>
              <w:rPr>
                <w:rFonts w:eastAsia="宋体"/>
                <w:b/>
                <w:bCs/>
                <w:kern w:val="21"/>
                <w:sz w:val="21"/>
              </w:rPr>
              <w:t>联防联控要求：</w:t>
            </w:r>
          </w:p>
          <w:p w14:paraId="5B69B102"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加强与嘉陵江上游甘肃陇南市、陕西汉中市环境风险联防联控</w:t>
            </w:r>
          </w:p>
        </w:tc>
        <w:tc>
          <w:tcPr>
            <w:tcW w:w="4709" w:type="dxa"/>
            <w:vAlign w:val="center"/>
          </w:tcPr>
          <w:p w14:paraId="00B88B06" w14:textId="77777777" w:rsidR="00544649" w:rsidRDefault="00000000">
            <w:pPr>
              <w:widowControl/>
              <w:adjustRightInd w:val="0"/>
              <w:snapToGrid w:val="0"/>
              <w:spacing w:after="0" w:line="240" w:lineRule="auto"/>
              <w:ind w:firstLineChars="0" w:firstLine="0"/>
              <w:rPr>
                <w:rFonts w:cs="Times New Roman"/>
                <w:kern w:val="21"/>
                <w:sz w:val="21"/>
                <w:szCs w:val="21"/>
                <w:shd w:val="clear" w:color="auto" w:fill="FFFFFF"/>
              </w:rPr>
            </w:pPr>
            <w:r>
              <w:rPr>
                <w:rFonts w:cs="Times New Roman"/>
                <w:kern w:val="21"/>
                <w:sz w:val="21"/>
                <w:szCs w:val="21"/>
                <w:shd w:val="clear" w:color="auto" w:fill="FFFFFF"/>
              </w:rPr>
              <w:t>本项目不涉及。</w:t>
            </w:r>
          </w:p>
        </w:tc>
        <w:tc>
          <w:tcPr>
            <w:tcW w:w="856" w:type="dxa"/>
            <w:vAlign w:val="center"/>
          </w:tcPr>
          <w:p w14:paraId="42BA0ADE"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37070180" w14:textId="77777777">
        <w:trPr>
          <w:trHeight w:val="416"/>
          <w:jc w:val="center"/>
        </w:trPr>
        <w:tc>
          <w:tcPr>
            <w:tcW w:w="1003" w:type="dxa"/>
            <w:vMerge/>
            <w:vAlign w:val="center"/>
          </w:tcPr>
          <w:p w14:paraId="08E1E05E"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507" w:type="dxa"/>
            <w:vMerge/>
            <w:vAlign w:val="center"/>
          </w:tcPr>
          <w:p w14:paraId="5C691DEF"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708" w:type="dxa"/>
            <w:vMerge/>
            <w:vAlign w:val="center"/>
          </w:tcPr>
          <w:p w14:paraId="47AE44F9"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6968" w:type="dxa"/>
            <w:vAlign w:val="center"/>
          </w:tcPr>
          <w:p w14:paraId="0398D48F" w14:textId="77777777" w:rsidR="00544649" w:rsidRDefault="00000000">
            <w:pPr>
              <w:widowControl/>
              <w:adjustRightInd w:val="0"/>
              <w:snapToGrid w:val="0"/>
              <w:spacing w:after="0" w:line="240" w:lineRule="auto"/>
              <w:ind w:firstLineChars="0" w:firstLine="0"/>
              <w:rPr>
                <w:rFonts w:cs="Times New Roman"/>
                <w:b/>
                <w:bCs/>
                <w:kern w:val="21"/>
                <w:sz w:val="21"/>
                <w:szCs w:val="21"/>
              </w:rPr>
            </w:pPr>
            <w:r>
              <w:rPr>
                <w:rFonts w:cs="Times New Roman"/>
                <w:b/>
                <w:bCs/>
                <w:kern w:val="21"/>
                <w:sz w:val="21"/>
                <w:szCs w:val="21"/>
              </w:rPr>
              <w:t>其他环境风险防控要求：</w:t>
            </w:r>
          </w:p>
          <w:p w14:paraId="191F2C19"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企业环境风险防控要求：</w:t>
            </w:r>
          </w:p>
          <w:p w14:paraId="5BEB6CC2"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1</w:t>
            </w:r>
            <w:r>
              <w:rPr>
                <w:rFonts w:eastAsia="宋体" w:hint="eastAsia"/>
                <w:kern w:val="21"/>
                <w:sz w:val="21"/>
              </w:rPr>
              <w:t>、工业企业退出用地，应按相关要求进行评估、修复，满足相应用地功能后，方可改变用途。（《土壤污染防治行动计划》）</w:t>
            </w:r>
          </w:p>
          <w:p w14:paraId="71B838B9"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2</w:t>
            </w:r>
            <w:r>
              <w:rPr>
                <w:rFonts w:eastAsia="宋体" w:hint="eastAsia"/>
                <w:kern w:val="21"/>
                <w:sz w:val="21"/>
              </w:rPr>
              <w:t>、加强“散乱污”企业环境风险防控。（《四川省打好“散乱污”企业整治攻坚战实施方案》）</w:t>
            </w:r>
          </w:p>
          <w:p w14:paraId="436500C6" w14:textId="77777777" w:rsidR="00544649" w:rsidRDefault="00000000">
            <w:pPr>
              <w:widowControl/>
              <w:adjustRightInd w:val="0"/>
              <w:snapToGrid w:val="0"/>
              <w:spacing w:after="0" w:line="240" w:lineRule="auto"/>
              <w:ind w:firstLineChars="0" w:firstLine="0"/>
              <w:rPr>
                <w:rFonts w:cs="Times New Roman"/>
                <w:b/>
                <w:bCs/>
                <w:kern w:val="21"/>
                <w:sz w:val="21"/>
                <w:szCs w:val="21"/>
              </w:rPr>
            </w:pPr>
            <w:r>
              <w:rPr>
                <w:rFonts w:hint="eastAsia"/>
                <w:kern w:val="21"/>
                <w:sz w:val="21"/>
                <w:szCs w:val="21"/>
              </w:rPr>
              <w:t>3</w:t>
            </w:r>
            <w:r>
              <w:rPr>
                <w:rFonts w:hint="eastAsia"/>
                <w:kern w:val="21"/>
                <w:sz w:val="21"/>
                <w:szCs w:val="21"/>
              </w:rPr>
              <w:t>、严禁新增铅、汞、镉、铬、砷五类重金属污染物排放，引导现有排放重金属企业结合产业升级等适时搬迁入园。</w:t>
            </w:r>
          </w:p>
        </w:tc>
        <w:tc>
          <w:tcPr>
            <w:tcW w:w="4709" w:type="dxa"/>
            <w:vAlign w:val="center"/>
          </w:tcPr>
          <w:p w14:paraId="14DB979B"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kern w:val="21"/>
                <w:sz w:val="21"/>
                <w:szCs w:val="21"/>
              </w:rPr>
              <w:t>1</w:t>
            </w:r>
            <w:r>
              <w:rPr>
                <w:rFonts w:cs="Times New Roman"/>
                <w:kern w:val="21"/>
                <w:sz w:val="21"/>
                <w:szCs w:val="21"/>
              </w:rPr>
              <w:t>、本项目不涉及</w:t>
            </w:r>
            <w:r>
              <w:rPr>
                <w:rFonts w:cs="Times New Roman" w:hint="eastAsia"/>
                <w:kern w:val="21"/>
                <w:sz w:val="21"/>
                <w:szCs w:val="21"/>
              </w:rPr>
              <w:t>工业企业退出用地</w:t>
            </w:r>
            <w:r>
              <w:rPr>
                <w:rFonts w:cs="Times New Roman"/>
                <w:kern w:val="21"/>
                <w:sz w:val="21"/>
                <w:szCs w:val="21"/>
              </w:rPr>
              <w:t>；</w:t>
            </w:r>
          </w:p>
          <w:p w14:paraId="4753C975"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kern w:val="21"/>
                <w:sz w:val="21"/>
                <w:szCs w:val="21"/>
              </w:rPr>
              <w:t>2</w:t>
            </w:r>
            <w:r>
              <w:rPr>
                <w:rFonts w:cs="Times New Roman"/>
                <w:kern w:val="21"/>
                <w:sz w:val="21"/>
                <w:szCs w:val="21"/>
              </w:rPr>
              <w:t>、本项目不</w:t>
            </w:r>
            <w:r>
              <w:rPr>
                <w:rFonts w:cs="Times New Roman" w:hint="eastAsia"/>
                <w:kern w:val="21"/>
                <w:sz w:val="21"/>
                <w:szCs w:val="21"/>
              </w:rPr>
              <w:t>属于</w:t>
            </w:r>
            <w:r>
              <w:rPr>
                <w:rFonts w:hint="eastAsia"/>
                <w:kern w:val="21"/>
                <w:sz w:val="21"/>
                <w:szCs w:val="21"/>
              </w:rPr>
              <w:t>“散乱污”企业；</w:t>
            </w:r>
          </w:p>
          <w:p w14:paraId="74647786"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kern w:val="21"/>
                <w:sz w:val="21"/>
                <w:szCs w:val="21"/>
              </w:rPr>
              <w:t>3</w:t>
            </w:r>
            <w:r>
              <w:rPr>
                <w:rFonts w:cs="Times New Roman"/>
                <w:kern w:val="21"/>
                <w:sz w:val="21"/>
                <w:szCs w:val="21"/>
              </w:rPr>
              <w:t>、本项目</w:t>
            </w:r>
            <w:proofErr w:type="gramStart"/>
            <w:r>
              <w:rPr>
                <w:rFonts w:cs="Times New Roman" w:hint="eastAsia"/>
                <w:kern w:val="21"/>
                <w:sz w:val="21"/>
                <w:szCs w:val="21"/>
              </w:rPr>
              <w:t>不</w:t>
            </w:r>
            <w:proofErr w:type="gramEnd"/>
            <w:r>
              <w:rPr>
                <w:rFonts w:cs="Times New Roman" w:hint="eastAsia"/>
                <w:kern w:val="21"/>
                <w:sz w:val="21"/>
                <w:szCs w:val="21"/>
              </w:rPr>
              <w:t>新增铅、汞、镉、铬、砷五类重金属污染物排放</w:t>
            </w:r>
            <w:r>
              <w:rPr>
                <w:rFonts w:cs="Times New Roman"/>
                <w:kern w:val="21"/>
                <w:sz w:val="21"/>
                <w:szCs w:val="21"/>
              </w:rPr>
              <w:t>。</w:t>
            </w:r>
          </w:p>
        </w:tc>
        <w:tc>
          <w:tcPr>
            <w:tcW w:w="856" w:type="dxa"/>
            <w:vAlign w:val="center"/>
          </w:tcPr>
          <w:p w14:paraId="4D4A50B5"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4A10931B" w14:textId="77777777">
        <w:trPr>
          <w:trHeight w:val="416"/>
          <w:jc w:val="center"/>
        </w:trPr>
        <w:tc>
          <w:tcPr>
            <w:tcW w:w="1003" w:type="dxa"/>
            <w:vMerge/>
            <w:vAlign w:val="center"/>
          </w:tcPr>
          <w:p w14:paraId="22D16BDC"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507" w:type="dxa"/>
            <w:vMerge/>
            <w:vAlign w:val="center"/>
          </w:tcPr>
          <w:p w14:paraId="5723A106"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708" w:type="dxa"/>
            <w:vMerge/>
            <w:vAlign w:val="center"/>
          </w:tcPr>
          <w:p w14:paraId="0CE555AC"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6968" w:type="dxa"/>
            <w:vAlign w:val="center"/>
          </w:tcPr>
          <w:p w14:paraId="55146FF0" w14:textId="77777777" w:rsidR="00544649" w:rsidRDefault="00000000">
            <w:pPr>
              <w:widowControl/>
              <w:adjustRightInd w:val="0"/>
              <w:snapToGrid w:val="0"/>
              <w:spacing w:after="0" w:line="240" w:lineRule="auto"/>
              <w:ind w:firstLineChars="0" w:firstLine="0"/>
              <w:rPr>
                <w:rFonts w:cs="Times New Roman"/>
                <w:b/>
                <w:bCs/>
                <w:kern w:val="21"/>
                <w:sz w:val="21"/>
                <w:szCs w:val="21"/>
              </w:rPr>
            </w:pPr>
            <w:r>
              <w:rPr>
                <w:rFonts w:cs="Times New Roman" w:hint="eastAsia"/>
                <w:b/>
                <w:bCs/>
                <w:kern w:val="21"/>
                <w:sz w:val="21"/>
                <w:szCs w:val="21"/>
              </w:rPr>
              <w:t>用地环境风险防控要求</w:t>
            </w:r>
            <w:r>
              <w:rPr>
                <w:rFonts w:cs="Times New Roman" w:hint="eastAsia"/>
                <w:b/>
                <w:bCs/>
                <w:kern w:val="21"/>
                <w:sz w:val="21"/>
                <w:szCs w:val="21"/>
              </w:rPr>
              <w:t>:</w:t>
            </w:r>
          </w:p>
          <w:p w14:paraId="0C173CD5" w14:textId="77777777" w:rsidR="00544649" w:rsidRDefault="00000000">
            <w:pPr>
              <w:widowControl/>
              <w:adjustRightInd w:val="0"/>
              <w:snapToGrid w:val="0"/>
              <w:spacing w:after="0" w:line="240" w:lineRule="auto"/>
              <w:ind w:firstLineChars="0" w:firstLine="0"/>
              <w:rPr>
                <w:rFonts w:cs="Times New Roman"/>
                <w:b/>
                <w:bCs/>
                <w:kern w:val="21"/>
                <w:sz w:val="21"/>
                <w:szCs w:val="21"/>
              </w:rPr>
            </w:pPr>
            <w:r>
              <w:rPr>
                <w:rFonts w:cs="Times New Roman" w:hint="eastAsia"/>
                <w:b/>
                <w:bCs/>
                <w:kern w:val="21"/>
                <w:sz w:val="21"/>
                <w:szCs w:val="21"/>
              </w:rPr>
              <w:t>建设用地：</w:t>
            </w:r>
          </w:p>
          <w:p w14:paraId="72856768"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1</w:t>
            </w:r>
            <w:r>
              <w:rPr>
                <w:rFonts w:cs="Times New Roman" w:hint="eastAsia"/>
                <w:kern w:val="21"/>
                <w:sz w:val="21"/>
                <w:szCs w:val="21"/>
              </w:rPr>
              <w:t>、对拟收回土地使用权的有色金属矿采选、有色金属冶炼、石油加工、化工、焦化、电镀、制革、天然（页岩）气开采、铅蓄电池、汽车制造、农药、</w:t>
            </w:r>
            <w:proofErr w:type="gramStart"/>
            <w:r>
              <w:rPr>
                <w:rFonts w:cs="Times New Roman" w:hint="eastAsia"/>
                <w:kern w:val="21"/>
                <w:sz w:val="21"/>
                <w:szCs w:val="21"/>
              </w:rPr>
              <w:t>危废处置</w:t>
            </w:r>
            <w:proofErr w:type="gramEnd"/>
            <w:r>
              <w:rPr>
                <w:rFonts w:cs="Times New Roman" w:hint="eastAsia"/>
                <w:kern w:val="21"/>
                <w:sz w:val="21"/>
                <w:szCs w:val="21"/>
              </w:rPr>
              <w:t>、电子拆解等行业企业用地，以及用途拟变更为居住和商业、学校、医疗、养老机构等公共设施的上述企业用地，由土地使用权人按照国家发布的建设用地土壤环境调查评估技术规定，开展土壤环境状况调查评估，符合相应规划用地土壤环境质量要求的地块，可进入用地程序。（《土壤污染防治行动计划广元市工作方案》）</w:t>
            </w:r>
          </w:p>
          <w:p w14:paraId="02DCEB2F"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农用地：</w:t>
            </w:r>
          </w:p>
          <w:p w14:paraId="70371ADA"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2</w:t>
            </w:r>
            <w:r>
              <w:rPr>
                <w:rFonts w:cs="Times New Roman" w:hint="eastAsia"/>
                <w:kern w:val="21"/>
                <w:sz w:val="21"/>
                <w:szCs w:val="21"/>
              </w:rPr>
              <w:t>、到</w:t>
            </w:r>
            <w:r>
              <w:rPr>
                <w:rFonts w:cs="Times New Roman" w:hint="eastAsia"/>
                <w:kern w:val="21"/>
                <w:sz w:val="21"/>
                <w:szCs w:val="21"/>
              </w:rPr>
              <w:t>2035</w:t>
            </w:r>
            <w:r>
              <w:rPr>
                <w:rFonts w:cs="Times New Roman" w:hint="eastAsia"/>
                <w:kern w:val="21"/>
                <w:sz w:val="21"/>
                <w:szCs w:val="21"/>
              </w:rPr>
              <w:t>年，全市受污染耕地安全利用率得到有效保障，污染地块安全利用率得到有效保障。严禁将城镇生活垃圾、污泥、工业废物直接用作肥料，禁止处理不达标的污泥进入耕地；禁止在农用地排放、倾倒、使用污泥、清淤底泥、尾矿（渣）等可能对土壤造成污染的固体废物。（《土壤污染防治行动计划》）</w:t>
            </w:r>
          </w:p>
          <w:p w14:paraId="0D0E008E" w14:textId="77777777" w:rsidR="00544649" w:rsidRDefault="00000000">
            <w:pPr>
              <w:widowControl/>
              <w:adjustRightInd w:val="0"/>
              <w:snapToGrid w:val="0"/>
              <w:spacing w:after="0" w:line="240" w:lineRule="auto"/>
              <w:ind w:firstLineChars="0" w:firstLine="0"/>
              <w:rPr>
                <w:rFonts w:cs="Times New Roman"/>
                <w:b/>
                <w:bCs/>
                <w:kern w:val="21"/>
                <w:sz w:val="21"/>
                <w:szCs w:val="21"/>
              </w:rPr>
            </w:pPr>
            <w:r>
              <w:rPr>
                <w:rFonts w:cs="Times New Roman" w:hint="eastAsia"/>
                <w:kern w:val="21"/>
                <w:sz w:val="21"/>
                <w:szCs w:val="21"/>
              </w:rPr>
              <w:t>3</w:t>
            </w:r>
            <w:r>
              <w:rPr>
                <w:rFonts w:cs="Times New Roman" w:hint="eastAsia"/>
                <w:kern w:val="21"/>
                <w:sz w:val="21"/>
                <w:szCs w:val="21"/>
              </w:rPr>
              <w:t>、严格控制在优先保护类耕地集中的区县新建有色金属矿采选、有色金属冶炼、石油加工、化工、焦化、电镀、制革、天然（页岩）气开采、铅蓄电池、汽车制造、农药、</w:t>
            </w:r>
            <w:proofErr w:type="gramStart"/>
            <w:r>
              <w:rPr>
                <w:rFonts w:cs="Times New Roman" w:hint="eastAsia"/>
                <w:kern w:val="21"/>
                <w:sz w:val="21"/>
                <w:szCs w:val="21"/>
              </w:rPr>
              <w:t>危废处置</w:t>
            </w:r>
            <w:proofErr w:type="gramEnd"/>
            <w:r>
              <w:rPr>
                <w:rFonts w:cs="Times New Roman" w:hint="eastAsia"/>
                <w:kern w:val="21"/>
                <w:sz w:val="21"/>
                <w:szCs w:val="21"/>
              </w:rPr>
              <w:t>、电子拆解、</w:t>
            </w:r>
            <w:proofErr w:type="gramStart"/>
            <w:r>
              <w:rPr>
                <w:rFonts w:cs="Times New Roman" w:hint="eastAsia"/>
                <w:kern w:val="21"/>
                <w:sz w:val="21"/>
                <w:szCs w:val="21"/>
              </w:rPr>
              <w:t>涉重等</w:t>
            </w:r>
            <w:proofErr w:type="gramEnd"/>
            <w:r>
              <w:rPr>
                <w:rFonts w:cs="Times New Roman" w:hint="eastAsia"/>
                <w:kern w:val="21"/>
                <w:sz w:val="21"/>
                <w:szCs w:val="21"/>
              </w:rPr>
              <w:t>行业企业。严格控制林地、草地、园地的农药使用量，禁止使用高毒、高残留农药。（《土壤污染防治行动计划》、《土壤污染防治行动计划广元市工作方案》</w:t>
            </w:r>
          </w:p>
        </w:tc>
        <w:tc>
          <w:tcPr>
            <w:tcW w:w="4709" w:type="dxa"/>
            <w:vAlign w:val="center"/>
          </w:tcPr>
          <w:p w14:paraId="6D380C98"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1</w:t>
            </w:r>
            <w:r>
              <w:rPr>
                <w:rFonts w:cs="Times New Roman" w:hint="eastAsia"/>
                <w:kern w:val="21"/>
                <w:sz w:val="21"/>
                <w:szCs w:val="21"/>
              </w:rPr>
              <w:t>、本项目不属于有色金属矿采选、有色金属冶炼、石油加工、化工、焦化、电镀、制革、天然（页岩）气开采、铅蓄电池、汽车制造、农药、</w:t>
            </w:r>
            <w:proofErr w:type="gramStart"/>
            <w:r>
              <w:rPr>
                <w:rFonts w:cs="Times New Roman" w:hint="eastAsia"/>
                <w:kern w:val="21"/>
                <w:sz w:val="21"/>
                <w:szCs w:val="21"/>
              </w:rPr>
              <w:t>危废处置</w:t>
            </w:r>
            <w:proofErr w:type="gramEnd"/>
            <w:r>
              <w:rPr>
                <w:rFonts w:cs="Times New Roman" w:hint="eastAsia"/>
                <w:kern w:val="21"/>
                <w:sz w:val="21"/>
                <w:szCs w:val="21"/>
              </w:rPr>
              <w:t>、电子拆解等行业；</w:t>
            </w:r>
          </w:p>
          <w:p w14:paraId="1A48083A"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2</w:t>
            </w:r>
            <w:r>
              <w:rPr>
                <w:rFonts w:cs="Times New Roman" w:hint="eastAsia"/>
                <w:kern w:val="21"/>
                <w:sz w:val="21"/>
                <w:szCs w:val="21"/>
              </w:rPr>
              <w:t>、本项目不涉及将城镇生活垃圾、污泥、工业废物直接用作肥料，不涉及在农用地排放、倾倒、使用污泥、清淤底泥、尾矿（渣）等固体废物；</w:t>
            </w:r>
          </w:p>
          <w:p w14:paraId="587046DA"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3</w:t>
            </w:r>
            <w:r>
              <w:rPr>
                <w:rFonts w:cs="Times New Roman" w:hint="eastAsia"/>
                <w:kern w:val="21"/>
                <w:sz w:val="21"/>
                <w:szCs w:val="21"/>
              </w:rPr>
              <w:t>、本项目不属于新建有色金属矿采选、有色金属冶炼、石油加工、化工、焦化、电镀、制革、天然（页岩）气开采、铅蓄电池、汽车制造、农药、</w:t>
            </w:r>
            <w:proofErr w:type="gramStart"/>
            <w:r>
              <w:rPr>
                <w:rFonts w:cs="Times New Roman" w:hint="eastAsia"/>
                <w:kern w:val="21"/>
                <w:sz w:val="21"/>
                <w:szCs w:val="21"/>
              </w:rPr>
              <w:t>危废处置</w:t>
            </w:r>
            <w:proofErr w:type="gramEnd"/>
            <w:r>
              <w:rPr>
                <w:rFonts w:cs="Times New Roman" w:hint="eastAsia"/>
                <w:kern w:val="21"/>
                <w:sz w:val="21"/>
                <w:szCs w:val="21"/>
              </w:rPr>
              <w:t>、电子拆解、</w:t>
            </w:r>
            <w:proofErr w:type="gramStart"/>
            <w:r>
              <w:rPr>
                <w:rFonts w:cs="Times New Roman" w:hint="eastAsia"/>
                <w:kern w:val="21"/>
                <w:sz w:val="21"/>
                <w:szCs w:val="21"/>
              </w:rPr>
              <w:t>涉重等</w:t>
            </w:r>
            <w:proofErr w:type="gramEnd"/>
            <w:r>
              <w:rPr>
                <w:rFonts w:cs="Times New Roman" w:hint="eastAsia"/>
                <w:kern w:val="21"/>
                <w:sz w:val="21"/>
                <w:szCs w:val="21"/>
              </w:rPr>
              <w:t>行业；本项目不涉及高毒、高残留农药使用。</w:t>
            </w:r>
          </w:p>
        </w:tc>
        <w:tc>
          <w:tcPr>
            <w:tcW w:w="856" w:type="dxa"/>
            <w:vAlign w:val="center"/>
          </w:tcPr>
          <w:p w14:paraId="665AF25C"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符合</w:t>
            </w:r>
          </w:p>
        </w:tc>
      </w:tr>
      <w:tr w:rsidR="00544649" w14:paraId="5C2798F2" w14:textId="77777777">
        <w:trPr>
          <w:trHeight w:val="90"/>
          <w:jc w:val="center"/>
        </w:trPr>
        <w:tc>
          <w:tcPr>
            <w:tcW w:w="1003" w:type="dxa"/>
            <w:vMerge/>
            <w:vAlign w:val="center"/>
          </w:tcPr>
          <w:p w14:paraId="78E84AEC"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507" w:type="dxa"/>
            <w:vMerge/>
            <w:vAlign w:val="center"/>
          </w:tcPr>
          <w:p w14:paraId="028F30F5"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708" w:type="dxa"/>
            <w:vMerge w:val="restart"/>
            <w:vAlign w:val="center"/>
          </w:tcPr>
          <w:p w14:paraId="4A55C5CD"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资源开发利用效率要求</w:t>
            </w:r>
          </w:p>
        </w:tc>
        <w:tc>
          <w:tcPr>
            <w:tcW w:w="6968" w:type="dxa"/>
            <w:vAlign w:val="center"/>
          </w:tcPr>
          <w:p w14:paraId="5792160D" w14:textId="77777777" w:rsidR="00544649" w:rsidRDefault="00000000">
            <w:pPr>
              <w:widowControl/>
              <w:adjustRightInd w:val="0"/>
              <w:snapToGrid w:val="0"/>
              <w:spacing w:after="0" w:line="240" w:lineRule="auto"/>
              <w:ind w:firstLineChars="0" w:firstLine="0"/>
              <w:rPr>
                <w:rFonts w:cs="Times New Roman"/>
                <w:b/>
                <w:bCs/>
                <w:kern w:val="21"/>
                <w:sz w:val="21"/>
                <w:szCs w:val="21"/>
              </w:rPr>
            </w:pPr>
            <w:r>
              <w:rPr>
                <w:rFonts w:cs="Times New Roman"/>
                <w:b/>
                <w:bCs/>
                <w:kern w:val="21"/>
                <w:sz w:val="21"/>
                <w:szCs w:val="21"/>
              </w:rPr>
              <w:t>水资源利用总量要求：</w:t>
            </w:r>
          </w:p>
          <w:p w14:paraId="1A64D3A1" w14:textId="77777777" w:rsidR="00544649" w:rsidRDefault="00000000">
            <w:pPr>
              <w:pStyle w:val="Normal00"/>
              <w:adjustRightInd w:val="0"/>
              <w:snapToGrid w:val="0"/>
              <w:spacing w:after="0" w:line="240" w:lineRule="auto"/>
              <w:ind w:firstLineChars="0" w:firstLine="0"/>
              <w:rPr>
                <w:rFonts w:eastAsia="宋体"/>
                <w:b/>
                <w:bCs/>
                <w:kern w:val="21"/>
                <w:sz w:val="21"/>
              </w:rPr>
            </w:pPr>
            <w:r>
              <w:rPr>
                <w:rFonts w:eastAsia="宋体" w:hint="eastAsia"/>
                <w:kern w:val="21"/>
                <w:sz w:val="21"/>
              </w:rPr>
              <w:t>加强农业灌溉管理，发展喷灌、微灌、管道输水灌溉、水肥一体化等高效农业节水灌溉方式和农耕农艺节水技术，提高输配水效率和调度水平。发展节水渔业、牧业，组织实施规模养殖场节水建设和改造，推行节水型畜禽养殖技术和方式。（《四川省节约用水办法》）</w:t>
            </w:r>
            <w:r>
              <w:rPr>
                <w:rFonts w:eastAsia="宋体"/>
                <w:kern w:val="21"/>
                <w:sz w:val="21"/>
              </w:rPr>
              <w:t>。</w:t>
            </w:r>
          </w:p>
        </w:tc>
        <w:tc>
          <w:tcPr>
            <w:tcW w:w="4709" w:type="dxa"/>
            <w:vAlign w:val="center"/>
          </w:tcPr>
          <w:p w14:paraId="29179856"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kern w:val="21"/>
                <w:sz w:val="21"/>
                <w:szCs w:val="21"/>
              </w:rPr>
              <w:t>本项目不涉及农业灌溉；本项目</w:t>
            </w:r>
            <w:r>
              <w:rPr>
                <w:rFonts w:cs="Times New Roman" w:hint="eastAsia"/>
                <w:kern w:val="21"/>
                <w:sz w:val="21"/>
                <w:szCs w:val="21"/>
              </w:rPr>
              <w:t>为规模化蛋鸡养殖场，</w:t>
            </w:r>
            <w:r>
              <w:rPr>
                <w:rFonts w:cs="Times New Roman"/>
                <w:kern w:val="21"/>
                <w:sz w:val="21"/>
                <w:szCs w:val="21"/>
              </w:rPr>
              <w:t>建设实行节水型畜禽养殖技术和方式。</w:t>
            </w:r>
          </w:p>
        </w:tc>
        <w:tc>
          <w:tcPr>
            <w:tcW w:w="856" w:type="dxa"/>
            <w:vAlign w:val="center"/>
          </w:tcPr>
          <w:p w14:paraId="093BF4B6"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51F22659" w14:textId="77777777">
        <w:trPr>
          <w:trHeight w:val="90"/>
          <w:jc w:val="center"/>
        </w:trPr>
        <w:tc>
          <w:tcPr>
            <w:tcW w:w="1003" w:type="dxa"/>
            <w:vMerge/>
            <w:vAlign w:val="center"/>
          </w:tcPr>
          <w:p w14:paraId="762369E8"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507" w:type="dxa"/>
            <w:vMerge/>
            <w:vAlign w:val="center"/>
          </w:tcPr>
          <w:p w14:paraId="47A2DBFF"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708" w:type="dxa"/>
            <w:vMerge/>
            <w:vAlign w:val="center"/>
          </w:tcPr>
          <w:p w14:paraId="4DDEA312"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6968" w:type="dxa"/>
            <w:vAlign w:val="center"/>
          </w:tcPr>
          <w:p w14:paraId="7122D6C8" w14:textId="77777777" w:rsidR="00544649" w:rsidRDefault="00000000">
            <w:pPr>
              <w:pStyle w:val="Normal00"/>
              <w:adjustRightInd w:val="0"/>
              <w:snapToGrid w:val="0"/>
              <w:spacing w:after="0" w:line="240" w:lineRule="auto"/>
              <w:ind w:firstLineChars="0" w:firstLine="0"/>
              <w:rPr>
                <w:rFonts w:eastAsia="宋体"/>
                <w:b/>
                <w:bCs/>
                <w:kern w:val="21"/>
                <w:sz w:val="21"/>
              </w:rPr>
            </w:pPr>
            <w:r>
              <w:rPr>
                <w:rFonts w:eastAsia="宋体"/>
                <w:b/>
                <w:bCs/>
                <w:kern w:val="21"/>
                <w:sz w:val="21"/>
              </w:rPr>
              <w:t>地下水开采要求：</w:t>
            </w:r>
          </w:p>
          <w:p w14:paraId="6096B06A" w14:textId="77777777" w:rsidR="00544649" w:rsidRDefault="00000000">
            <w:pPr>
              <w:pStyle w:val="Normal00"/>
              <w:adjustRightInd w:val="0"/>
              <w:snapToGrid w:val="0"/>
              <w:spacing w:after="0" w:line="240" w:lineRule="auto"/>
              <w:ind w:firstLineChars="0" w:firstLine="0"/>
              <w:rPr>
                <w:rFonts w:eastAsia="宋体"/>
                <w:kern w:val="21"/>
                <w:sz w:val="21"/>
              </w:rPr>
            </w:pPr>
            <w:r>
              <w:rPr>
                <w:rFonts w:eastAsia="宋体" w:hint="eastAsia"/>
                <w:kern w:val="21"/>
                <w:sz w:val="21"/>
              </w:rPr>
              <w:t>参照现行法律法规执行</w:t>
            </w:r>
            <w:r>
              <w:rPr>
                <w:rFonts w:eastAsia="宋体"/>
                <w:kern w:val="21"/>
                <w:sz w:val="21"/>
              </w:rPr>
              <w:t>。</w:t>
            </w:r>
          </w:p>
        </w:tc>
        <w:tc>
          <w:tcPr>
            <w:tcW w:w="4709" w:type="dxa"/>
            <w:vAlign w:val="center"/>
          </w:tcPr>
          <w:p w14:paraId="0FFAB2CB"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kern w:val="21"/>
                <w:sz w:val="21"/>
                <w:szCs w:val="21"/>
              </w:rPr>
              <w:t>本项目</w:t>
            </w:r>
            <w:r>
              <w:rPr>
                <w:rFonts w:cs="Times New Roman" w:hint="eastAsia"/>
                <w:kern w:val="21"/>
                <w:sz w:val="21"/>
                <w:szCs w:val="21"/>
              </w:rPr>
              <w:t>生产、生活用水采用自来水，不涉及</w:t>
            </w:r>
            <w:r>
              <w:rPr>
                <w:rFonts w:cs="Times New Roman"/>
                <w:kern w:val="21"/>
                <w:sz w:val="21"/>
                <w:szCs w:val="21"/>
              </w:rPr>
              <w:t>地下水开采。</w:t>
            </w:r>
          </w:p>
        </w:tc>
        <w:tc>
          <w:tcPr>
            <w:tcW w:w="856" w:type="dxa"/>
            <w:vAlign w:val="center"/>
          </w:tcPr>
          <w:p w14:paraId="1FA9D8E2"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7B245CDE" w14:textId="77777777">
        <w:trPr>
          <w:trHeight w:val="90"/>
          <w:jc w:val="center"/>
        </w:trPr>
        <w:tc>
          <w:tcPr>
            <w:tcW w:w="1003" w:type="dxa"/>
            <w:vMerge/>
            <w:vAlign w:val="center"/>
          </w:tcPr>
          <w:p w14:paraId="51B612C7"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507" w:type="dxa"/>
            <w:vMerge/>
            <w:vAlign w:val="center"/>
          </w:tcPr>
          <w:p w14:paraId="50FB2C17"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708" w:type="dxa"/>
            <w:vMerge/>
            <w:vAlign w:val="center"/>
          </w:tcPr>
          <w:p w14:paraId="4ED7595A"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6968" w:type="dxa"/>
            <w:vAlign w:val="center"/>
          </w:tcPr>
          <w:p w14:paraId="368BBA39" w14:textId="77777777" w:rsidR="00544649" w:rsidRDefault="00000000">
            <w:pPr>
              <w:widowControl/>
              <w:adjustRightInd w:val="0"/>
              <w:snapToGrid w:val="0"/>
              <w:spacing w:after="0" w:line="240" w:lineRule="auto"/>
              <w:ind w:firstLineChars="0" w:firstLine="0"/>
              <w:rPr>
                <w:rFonts w:cs="Times New Roman"/>
                <w:b/>
                <w:bCs/>
                <w:kern w:val="21"/>
                <w:sz w:val="21"/>
                <w:szCs w:val="21"/>
              </w:rPr>
            </w:pPr>
            <w:r>
              <w:rPr>
                <w:rFonts w:cs="Times New Roman"/>
                <w:b/>
                <w:bCs/>
                <w:kern w:val="21"/>
                <w:sz w:val="21"/>
                <w:szCs w:val="21"/>
              </w:rPr>
              <w:t>能源利用总量及效率要求：</w:t>
            </w:r>
          </w:p>
          <w:p w14:paraId="2973DF18"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w:t>
            </w:r>
          </w:p>
        </w:tc>
        <w:tc>
          <w:tcPr>
            <w:tcW w:w="4709" w:type="dxa"/>
            <w:vAlign w:val="center"/>
          </w:tcPr>
          <w:p w14:paraId="5D427302"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w:t>
            </w:r>
          </w:p>
        </w:tc>
        <w:tc>
          <w:tcPr>
            <w:tcW w:w="856" w:type="dxa"/>
            <w:vAlign w:val="center"/>
          </w:tcPr>
          <w:p w14:paraId="59430504"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0B00800C" w14:textId="77777777">
        <w:trPr>
          <w:trHeight w:val="90"/>
          <w:jc w:val="center"/>
        </w:trPr>
        <w:tc>
          <w:tcPr>
            <w:tcW w:w="1003" w:type="dxa"/>
            <w:vMerge w:val="restart"/>
            <w:vAlign w:val="center"/>
          </w:tcPr>
          <w:p w14:paraId="3D0B9880"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lastRenderedPageBreak/>
              <w:t>嘉陵江</w:t>
            </w:r>
            <w:r>
              <w:rPr>
                <w:rFonts w:cs="Times New Roman" w:hint="eastAsia"/>
                <w:kern w:val="21"/>
                <w:sz w:val="21"/>
                <w:szCs w:val="21"/>
              </w:rPr>
              <w:t>-</w:t>
            </w:r>
            <w:r>
              <w:rPr>
                <w:rFonts w:cs="Times New Roman" w:hint="eastAsia"/>
                <w:kern w:val="21"/>
                <w:sz w:val="21"/>
                <w:szCs w:val="21"/>
              </w:rPr>
              <w:t>剑阁县</w:t>
            </w:r>
            <w:r>
              <w:rPr>
                <w:rFonts w:cs="Times New Roman" w:hint="eastAsia"/>
                <w:kern w:val="21"/>
                <w:sz w:val="21"/>
                <w:szCs w:val="21"/>
              </w:rPr>
              <w:t>-</w:t>
            </w:r>
            <w:r>
              <w:rPr>
                <w:rFonts w:cs="Times New Roman" w:hint="eastAsia"/>
                <w:kern w:val="21"/>
                <w:sz w:val="21"/>
                <w:szCs w:val="21"/>
              </w:rPr>
              <w:t>金银渡（张家岩）</w:t>
            </w:r>
            <w:r>
              <w:rPr>
                <w:rFonts w:cs="Times New Roman" w:hint="eastAsia"/>
                <w:kern w:val="21"/>
                <w:sz w:val="21"/>
                <w:szCs w:val="21"/>
              </w:rPr>
              <w:t>-</w:t>
            </w:r>
            <w:r>
              <w:rPr>
                <w:rFonts w:cs="Times New Roman" w:hint="eastAsia"/>
                <w:kern w:val="21"/>
                <w:sz w:val="21"/>
                <w:szCs w:val="21"/>
              </w:rPr>
              <w:t>控制单元</w:t>
            </w:r>
          </w:p>
          <w:p w14:paraId="00E6370D"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YS5108233210002</w:t>
            </w:r>
          </w:p>
          <w:p w14:paraId="1ADAAB51"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hint="eastAsia"/>
                <w:kern w:val="21"/>
                <w:sz w:val="21"/>
                <w:szCs w:val="21"/>
              </w:rPr>
              <w:t>水环境一般管控区</w:t>
            </w:r>
          </w:p>
        </w:tc>
        <w:tc>
          <w:tcPr>
            <w:tcW w:w="507" w:type="dxa"/>
            <w:vMerge/>
            <w:vAlign w:val="center"/>
          </w:tcPr>
          <w:p w14:paraId="51EB01BE"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708" w:type="dxa"/>
            <w:vAlign w:val="center"/>
          </w:tcPr>
          <w:p w14:paraId="3FAEA7A8"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b/>
                <w:bCs/>
                <w:kern w:val="21"/>
                <w:sz w:val="21"/>
                <w:szCs w:val="21"/>
              </w:rPr>
              <w:t>空间布局约束：</w:t>
            </w:r>
          </w:p>
        </w:tc>
        <w:tc>
          <w:tcPr>
            <w:tcW w:w="6968" w:type="dxa"/>
            <w:vAlign w:val="center"/>
          </w:tcPr>
          <w:p w14:paraId="2A62C115"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禁止开发建设活动的要求</w:t>
            </w:r>
          </w:p>
          <w:p w14:paraId="29960F6F"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暂无</w:t>
            </w:r>
          </w:p>
          <w:p w14:paraId="7CDACFC4"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限制开发建设活动的要求</w:t>
            </w:r>
          </w:p>
          <w:p w14:paraId="7161861D"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暂无</w:t>
            </w:r>
          </w:p>
          <w:p w14:paraId="456306BD"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不符合空间布局要求活动的退出要求</w:t>
            </w:r>
          </w:p>
          <w:p w14:paraId="03065269"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暂无</w:t>
            </w:r>
          </w:p>
          <w:p w14:paraId="24944024"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其他空间布局约束要求</w:t>
            </w:r>
          </w:p>
          <w:p w14:paraId="666D6F2F" w14:textId="77777777" w:rsidR="00544649" w:rsidRDefault="00000000">
            <w:pPr>
              <w:widowControl/>
              <w:adjustRightInd w:val="0"/>
              <w:snapToGrid w:val="0"/>
              <w:spacing w:after="0" w:line="240" w:lineRule="auto"/>
              <w:ind w:firstLineChars="0" w:firstLine="0"/>
              <w:rPr>
                <w:rFonts w:cs="Times New Roman"/>
                <w:b/>
                <w:bCs/>
                <w:kern w:val="21"/>
                <w:sz w:val="21"/>
                <w:szCs w:val="21"/>
              </w:rPr>
            </w:pPr>
            <w:r>
              <w:rPr>
                <w:rFonts w:cs="Times New Roman" w:hint="eastAsia"/>
                <w:kern w:val="21"/>
                <w:sz w:val="21"/>
                <w:szCs w:val="21"/>
              </w:rPr>
              <w:t>暂无</w:t>
            </w:r>
          </w:p>
        </w:tc>
        <w:tc>
          <w:tcPr>
            <w:tcW w:w="4709" w:type="dxa"/>
            <w:vAlign w:val="center"/>
          </w:tcPr>
          <w:p w14:paraId="0F4F4135"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w:t>
            </w:r>
          </w:p>
        </w:tc>
        <w:tc>
          <w:tcPr>
            <w:tcW w:w="856" w:type="dxa"/>
            <w:vAlign w:val="center"/>
          </w:tcPr>
          <w:p w14:paraId="6E854DA4"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w:t>
            </w:r>
          </w:p>
        </w:tc>
      </w:tr>
      <w:tr w:rsidR="00544649" w14:paraId="3DDFD318" w14:textId="77777777">
        <w:trPr>
          <w:trHeight w:val="90"/>
          <w:jc w:val="center"/>
        </w:trPr>
        <w:tc>
          <w:tcPr>
            <w:tcW w:w="1003" w:type="dxa"/>
            <w:vMerge/>
            <w:vAlign w:val="center"/>
          </w:tcPr>
          <w:p w14:paraId="2D3CFC64"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507" w:type="dxa"/>
            <w:vMerge/>
            <w:vAlign w:val="center"/>
          </w:tcPr>
          <w:p w14:paraId="17AB4C5E"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708" w:type="dxa"/>
            <w:vAlign w:val="center"/>
          </w:tcPr>
          <w:p w14:paraId="219D62EE"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hint="eastAsia"/>
                <w:b/>
                <w:bCs/>
                <w:kern w:val="21"/>
                <w:sz w:val="21"/>
                <w:szCs w:val="21"/>
              </w:rPr>
              <w:t>污染物排放管控：</w:t>
            </w:r>
          </w:p>
        </w:tc>
        <w:tc>
          <w:tcPr>
            <w:tcW w:w="6968" w:type="dxa"/>
            <w:vAlign w:val="center"/>
          </w:tcPr>
          <w:p w14:paraId="2DE90174"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允许排放量要求</w:t>
            </w:r>
          </w:p>
          <w:p w14:paraId="5EE9936F"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暂无</w:t>
            </w:r>
          </w:p>
          <w:p w14:paraId="41C9F06D"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现有源提标升级改造</w:t>
            </w:r>
          </w:p>
          <w:p w14:paraId="7B195D09"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暂无</w:t>
            </w:r>
          </w:p>
          <w:p w14:paraId="17132180"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其他污染物排放管控要求</w:t>
            </w:r>
          </w:p>
          <w:p w14:paraId="53F8EF76"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暂无</w:t>
            </w:r>
          </w:p>
        </w:tc>
        <w:tc>
          <w:tcPr>
            <w:tcW w:w="4709" w:type="dxa"/>
            <w:vAlign w:val="center"/>
          </w:tcPr>
          <w:p w14:paraId="1007520B"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w:t>
            </w:r>
          </w:p>
        </w:tc>
        <w:tc>
          <w:tcPr>
            <w:tcW w:w="856" w:type="dxa"/>
            <w:vAlign w:val="center"/>
          </w:tcPr>
          <w:p w14:paraId="03E3311D"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w:t>
            </w:r>
          </w:p>
        </w:tc>
      </w:tr>
      <w:tr w:rsidR="00544649" w14:paraId="4E3408AC" w14:textId="77777777">
        <w:trPr>
          <w:trHeight w:val="90"/>
          <w:jc w:val="center"/>
        </w:trPr>
        <w:tc>
          <w:tcPr>
            <w:tcW w:w="1003" w:type="dxa"/>
            <w:vMerge w:val="restart"/>
            <w:vAlign w:val="center"/>
          </w:tcPr>
          <w:p w14:paraId="4EB203FA"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剑阁县大气环境一般管控区</w:t>
            </w:r>
          </w:p>
          <w:p w14:paraId="1E4F79DF"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YS5108233310001</w:t>
            </w:r>
          </w:p>
          <w:p w14:paraId="6A0310A3" w14:textId="77777777" w:rsidR="00544649" w:rsidRDefault="00000000">
            <w:pPr>
              <w:adjustRightInd w:val="0"/>
              <w:snapToGrid w:val="0"/>
              <w:spacing w:after="0" w:line="240" w:lineRule="auto"/>
              <w:ind w:firstLineChars="0" w:firstLine="0"/>
              <w:jc w:val="center"/>
              <w:rPr>
                <w:rFonts w:cs="Times New Roman"/>
                <w:b/>
                <w:bCs/>
                <w:kern w:val="21"/>
                <w:sz w:val="21"/>
                <w:szCs w:val="21"/>
              </w:rPr>
            </w:pPr>
            <w:r>
              <w:rPr>
                <w:rFonts w:cs="Times New Roman" w:hint="eastAsia"/>
                <w:kern w:val="21"/>
                <w:sz w:val="21"/>
                <w:szCs w:val="21"/>
              </w:rPr>
              <w:t>大气环境一般管控区</w:t>
            </w:r>
          </w:p>
        </w:tc>
        <w:tc>
          <w:tcPr>
            <w:tcW w:w="507" w:type="dxa"/>
            <w:vMerge/>
            <w:vAlign w:val="center"/>
          </w:tcPr>
          <w:p w14:paraId="12A23900"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708" w:type="dxa"/>
            <w:vAlign w:val="center"/>
          </w:tcPr>
          <w:p w14:paraId="74716B2C"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hint="eastAsia"/>
                <w:b/>
                <w:bCs/>
                <w:kern w:val="21"/>
                <w:sz w:val="21"/>
                <w:szCs w:val="21"/>
              </w:rPr>
              <w:t>环境风险防控：</w:t>
            </w:r>
          </w:p>
        </w:tc>
        <w:tc>
          <w:tcPr>
            <w:tcW w:w="6968" w:type="dxa"/>
            <w:vAlign w:val="center"/>
          </w:tcPr>
          <w:p w14:paraId="3E295D56"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联防联控要求</w:t>
            </w:r>
          </w:p>
          <w:p w14:paraId="53EE8AE0"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暂无</w:t>
            </w:r>
          </w:p>
          <w:p w14:paraId="01529D07"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其他环境风险防控要求</w:t>
            </w:r>
          </w:p>
          <w:p w14:paraId="595ECD5D"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暂无</w:t>
            </w:r>
          </w:p>
        </w:tc>
        <w:tc>
          <w:tcPr>
            <w:tcW w:w="4709" w:type="dxa"/>
            <w:vAlign w:val="center"/>
          </w:tcPr>
          <w:p w14:paraId="24F94EFE"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w:t>
            </w:r>
          </w:p>
        </w:tc>
        <w:tc>
          <w:tcPr>
            <w:tcW w:w="856" w:type="dxa"/>
            <w:vAlign w:val="center"/>
          </w:tcPr>
          <w:p w14:paraId="0B581BED"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w:t>
            </w:r>
          </w:p>
        </w:tc>
      </w:tr>
      <w:tr w:rsidR="00544649" w14:paraId="19A5D13E" w14:textId="77777777">
        <w:trPr>
          <w:trHeight w:val="2723"/>
          <w:jc w:val="center"/>
        </w:trPr>
        <w:tc>
          <w:tcPr>
            <w:tcW w:w="1003" w:type="dxa"/>
            <w:vMerge/>
            <w:tcBorders>
              <w:bottom w:val="single" w:sz="4" w:space="0" w:color="auto"/>
            </w:tcBorders>
            <w:vAlign w:val="center"/>
          </w:tcPr>
          <w:p w14:paraId="3D3D8374" w14:textId="77777777" w:rsidR="00544649" w:rsidRDefault="00544649">
            <w:pPr>
              <w:adjustRightInd w:val="0"/>
              <w:snapToGrid w:val="0"/>
              <w:spacing w:after="0" w:line="240" w:lineRule="auto"/>
              <w:ind w:firstLineChars="0" w:firstLine="0"/>
              <w:jc w:val="center"/>
              <w:rPr>
                <w:rFonts w:cs="Times New Roman"/>
                <w:kern w:val="21"/>
                <w:sz w:val="21"/>
                <w:szCs w:val="21"/>
              </w:rPr>
            </w:pPr>
          </w:p>
        </w:tc>
        <w:tc>
          <w:tcPr>
            <w:tcW w:w="507" w:type="dxa"/>
            <w:vMerge/>
            <w:tcBorders>
              <w:bottom w:val="single" w:sz="4" w:space="0" w:color="auto"/>
            </w:tcBorders>
            <w:vAlign w:val="center"/>
          </w:tcPr>
          <w:p w14:paraId="7BE8D23A" w14:textId="77777777" w:rsidR="00544649" w:rsidRDefault="00544649">
            <w:pPr>
              <w:widowControl/>
              <w:adjustRightInd w:val="0"/>
              <w:snapToGrid w:val="0"/>
              <w:spacing w:after="0" w:line="240" w:lineRule="auto"/>
              <w:ind w:firstLineChars="0" w:firstLine="0"/>
              <w:jc w:val="center"/>
              <w:rPr>
                <w:rFonts w:cs="Times New Roman"/>
                <w:b/>
                <w:bCs/>
                <w:kern w:val="21"/>
                <w:sz w:val="21"/>
                <w:szCs w:val="21"/>
              </w:rPr>
            </w:pPr>
          </w:p>
        </w:tc>
        <w:tc>
          <w:tcPr>
            <w:tcW w:w="708" w:type="dxa"/>
            <w:tcBorders>
              <w:bottom w:val="single" w:sz="4" w:space="0" w:color="auto"/>
            </w:tcBorders>
            <w:vAlign w:val="center"/>
          </w:tcPr>
          <w:p w14:paraId="2DD5FA26"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b/>
                <w:bCs/>
                <w:kern w:val="21"/>
                <w:sz w:val="21"/>
                <w:szCs w:val="21"/>
              </w:rPr>
              <w:t>资源开发利用效率要求：</w:t>
            </w:r>
          </w:p>
        </w:tc>
        <w:tc>
          <w:tcPr>
            <w:tcW w:w="6968" w:type="dxa"/>
            <w:tcBorders>
              <w:bottom w:val="single" w:sz="4" w:space="0" w:color="auto"/>
            </w:tcBorders>
            <w:vAlign w:val="center"/>
          </w:tcPr>
          <w:p w14:paraId="04EA600C"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水资源利用总量要求</w:t>
            </w:r>
          </w:p>
          <w:p w14:paraId="2E73507A"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暂无</w:t>
            </w:r>
          </w:p>
          <w:p w14:paraId="18E320EE"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地下水开采要求</w:t>
            </w:r>
          </w:p>
          <w:p w14:paraId="5C72FE4F"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暂无</w:t>
            </w:r>
          </w:p>
          <w:p w14:paraId="42931136"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能源利用总量及效率要求</w:t>
            </w:r>
          </w:p>
          <w:p w14:paraId="1F082FC4"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暂无</w:t>
            </w:r>
          </w:p>
          <w:p w14:paraId="181D424E"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禁燃区要求</w:t>
            </w:r>
          </w:p>
          <w:p w14:paraId="3585647B"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暂无</w:t>
            </w:r>
          </w:p>
          <w:p w14:paraId="596C9AB9"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其他资源利用效率要求</w:t>
            </w:r>
          </w:p>
          <w:p w14:paraId="36789575" w14:textId="77777777" w:rsidR="00544649" w:rsidRDefault="00000000">
            <w:pPr>
              <w:adjustRightInd w:val="0"/>
              <w:snapToGrid w:val="0"/>
              <w:spacing w:after="0" w:line="240" w:lineRule="auto"/>
              <w:ind w:firstLineChars="0" w:firstLine="0"/>
              <w:rPr>
                <w:rFonts w:cs="Times New Roman"/>
                <w:b/>
                <w:bCs/>
                <w:kern w:val="21"/>
                <w:sz w:val="21"/>
                <w:szCs w:val="21"/>
              </w:rPr>
            </w:pPr>
            <w:r>
              <w:rPr>
                <w:rFonts w:cs="Times New Roman" w:hint="eastAsia"/>
                <w:kern w:val="21"/>
                <w:sz w:val="21"/>
                <w:szCs w:val="21"/>
              </w:rPr>
              <w:t>暂无</w:t>
            </w:r>
          </w:p>
        </w:tc>
        <w:tc>
          <w:tcPr>
            <w:tcW w:w="4709" w:type="dxa"/>
            <w:tcBorders>
              <w:bottom w:val="single" w:sz="4" w:space="0" w:color="auto"/>
            </w:tcBorders>
            <w:vAlign w:val="center"/>
          </w:tcPr>
          <w:p w14:paraId="4B0A72B5"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w:t>
            </w:r>
          </w:p>
        </w:tc>
        <w:tc>
          <w:tcPr>
            <w:tcW w:w="856" w:type="dxa"/>
            <w:tcBorders>
              <w:bottom w:val="single" w:sz="4" w:space="0" w:color="auto"/>
            </w:tcBorders>
            <w:vAlign w:val="center"/>
          </w:tcPr>
          <w:p w14:paraId="6ADF7559"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w:t>
            </w:r>
          </w:p>
        </w:tc>
      </w:tr>
      <w:tr w:rsidR="00544649" w14:paraId="662F6984" w14:textId="77777777">
        <w:trPr>
          <w:trHeight w:val="90"/>
          <w:jc w:val="center"/>
        </w:trPr>
        <w:tc>
          <w:tcPr>
            <w:tcW w:w="1003" w:type="dxa"/>
            <w:vMerge w:val="restart"/>
            <w:vAlign w:val="center"/>
          </w:tcPr>
          <w:p w14:paraId="0958FF62"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lastRenderedPageBreak/>
              <w:t>剑阁</w:t>
            </w:r>
            <w:proofErr w:type="gramStart"/>
            <w:r>
              <w:rPr>
                <w:rFonts w:cs="Times New Roman" w:hint="eastAsia"/>
                <w:kern w:val="21"/>
                <w:sz w:val="21"/>
                <w:szCs w:val="21"/>
              </w:rPr>
              <w:t>县一般管</w:t>
            </w:r>
            <w:proofErr w:type="gramEnd"/>
            <w:r>
              <w:rPr>
                <w:rFonts w:cs="Times New Roman" w:hint="eastAsia"/>
                <w:kern w:val="21"/>
                <w:sz w:val="21"/>
                <w:szCs w:val="21"/>
              </w:rPr>
              <w:t>控单元</w:t>
            </w:r>
          </w:p>
          <w:p w14:paraId="364A0D7F"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ZH51082330001</w:t>
            </w:r>
          </w:p>
          <w:p w14:paraId="51F49222"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环境综合管控单元一般管控单元</w:t>
            </w:r>
          </w:p>
        </w:tc>
        <w:tc>
          <w:tcPr>
            <w:tcW w:w="507" w:type="dxa"/>
            <w:vMerge w:val="restart"/>
            <w:vAlign w:val="center"/>
          </w:tcPr>
          <w:p w14:paraId="2E9709C1"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单元级清单管</w:t>
            </w:r>
            <w:proofErr w:type="gramStart"/>
            <w:r>
              <w:rPr>
                <w:rFonts w:cs="Times New Roman"/>
                <w:kern w:val="21"/>
                <w:sz w:val="21"/>
                <w:szCs w:val="21"/>
              </w:rPr>
              <w:t>控要求</w:t>
            </w:r>
            <w:proofErr w:type="gramEnd"/>
          </w:p>
        </w:tc>
        <w:tc>
          <w:tcPr>
            <w:tcW w:w="708" w:type="dxa"/>
            <w:vAlign w:val="center"/>
          </w:tcPr>
          <w:p w14:paraId="735DFE10"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空间布局约束</w:t>
            </w:r>
          </w:p>
        </w:tc>
        <w:tc>
          <w:tcPr>
            <w:tcW w:w="6968" w:type="dxa"/>
            <w:vAlign w:val="center"/>
          </w:tcPr>
          <w:p w14:paraId="77E89A8E"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禁止开发建设活动的要求</w:t>
            </w:r>
          </w:p>
          <w:p w14:paraId="317E2569"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同一般管控单元总体准入要求</w:t>
            </w:r>
          </w:p>
          <w:p w14:paraId="4F6DEF4E"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限制开发建设活动的要求</w:t>
            </w:r>
          </w:p>
          <w:p w14:paraId="47826C16"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大气弱扩散重点管控区，严格项目引入政策，严控新建水泥厂、</w:t>
            </w:r>
            <w:proofErr w:type="gramStart"/>
            <w:r>
              <w:rPr>
                <w:rFonts w:cs="Times New Roman" w:hint="eastAsia"/>
                <w:kern w:val="21"/>
                <w:sz w:val="21"/>
                <w:szCs w:val="21"/>
              </w:rPr>
              <w:t>危废焚烧</w:t>
            </w:r>
            <w:proofErr w:type="gramEnd"/>
            <w:r>
              <w:rPr>
                <w:rFonts w:cs="Times New Roman" w:hint="eastAsia"/>
                <w:kern w:val="21"/>
                <w:sz w:val="21"/>
                <w:szCs w:val="21"/>
              </w:rPr>
              <w:t>、陶瓷厂等以大气污染为主的企业</w:t>
            </w:r>
          </w:p>
          <w:p w14:paraId="71795F48"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其他同一般管控单元总体准入要求</w:t>
            </w:r>
          </w:p>
          <w:p w14:paraId="58493E72"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允许开发建设活动的要求</w:t>
            </w:r>
          </w:p>
          <w:p w14:paraId="0CED8DD5"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同一般管控单元总体准入要求</w:t>
            </w:r>
          </w:p>
          <w:p w14:paraId="1066E5DF"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不符合空间布局要求活动的退出要求</w:t>
            </w:r>
          </w:p>
          <w:p w14:paraId="568D460C"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同一般管控单元总体准入要求</w:t>
            </w:r>
          </w:p>
          <w:p w14:paraId="04C51062"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其他空间布局约束要求</w:t>
            </w:r>
          </w:p>
        </w:tc>
        <w:tc>
          <w:tcPr>
            <w:tcW w:w="4709" w:type="dxa"/>
            <w:vAlign w:val="center"/>
          </w:tcPr>
          <w:p w14:paraId="171220CC"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1</w:t>
            </w:r>
            <w:r>
              <w:rPr>
                <w:rFonts w:cs="Times New Roman" w:hint="eastAsia"/>
                <w:kern w:val="21"/>
                <w:sz w:val="21"/>
                <w:szCs w:val="21"/>
              </w:rPr>
              <w:t>、</w:t>
            </w:r>
            <w:r>
              <w:rPr>
                <w:rFonts w:cs="Times New Roman"/>
                <w:kern w:val="21"/>
                <w:sz w:val="21"/>
                <w:szCs w:val="21"/>
              </w:rPr>
              <w:t>本项目建设严格执行</w:t>
            </w:r>
            <w:r>
              <w:rPr>
                <w:rFonts w:cs="Times New Roman" w:hint="eastAsia"/>
                <w:kern w:val="21"/>
                <w:sz w:val="21"/>
                <w:szCs w:val="21"/>
              </w:rPr>
              <w:t>剑阁</w:t>
            </w:r>
            <w:proofErr w:type="gramStart"/>
            <w:r>
              <w:rPr>
                <w:rFonts w:cs="Times New Roman" w:hint="eastAsia"/>
                <w:kern w:val="21"/>
                <w:sz w:val="21"/>
                <w:szCs w:val="21"/>
              </w:rPr>
              <w:t>县</w:t>
            </w:r>
            <w:r>
              <w:rPr>
                <w:rFonts w:cs="Times New Roman"/>
                <w:kern w:val="21"/>
                <w:sz w:val="21"/>
                <w:szCs w:val="21"/>
              </w:rPr>
              <w:t>一般管</w:t>
            </w:r>
            <w:proofErr w:type="gramEnd"/>
            <w:r>
              <w:rPr>
                <w:rFonts w:cs="Times New Roman"/>
                <w:kern w:val="21"/>
                <w:sz w:val="21"/>
                <w:szCs w:val="21"/>
              </w:rPr>
              <w:t>控单元总体准入要求。</w:t>
            </w:r>
          </w:p>
          <w:p w14:paraId="2D80F77F" w14:textId="77777777" w:rsidR="00544649" w:rsidRDefault="00000000">
            <w:pPr>
              <w:pStyle w:val="Normal00"/>
              <w:widowControl/>
              <w:shd w:val="clear" w:color="auto" w:fill="FFFFFF"/>
              <w:adjustRightInd w:val="0"/>
              <w:snapToGrid w:val="0"/>
              <w:spacing w:after="0" w:line="240" w:lineRule="auto"/>
              <w:ind w:firstLineChars="0" w:firstLine="0"/>
              <w:jc w:val="left"/>
              <w:rPr>
                <w:kern w:val="21"/>
                <w:sz w:val="21"/>
              </w:rPr>
            </w:pPr>
            <w:r>
              <w:rPr>
                <w:rFonts w:eastAsia="宋体" w:hint="eastAsia"/>
                <w:kern w:val="21"/>
                <w:sz w:val="21"/>
              </w:rPr>
              <w:t>2</w:t>
            </w:r>
            <w:r>
              <w:rPr>
                <w:rFonts w:eastAsia="宋体" w:hint="eastAsia"/>
                <w:kern w:val="21"/>
                <w:sz w:val="21"/>
              </w:rPr>
              <w:t>、</w:t>
            </w:r>
            <w:r>
              <w:rPr>
                <w:rFonts w:eastAsia="宋体"/>
                <w:kern w:val="21"/>
                <w:sz w:val="21"/>
              </w:rPr>
              <w:t>本项目</w:t>
            </w:r>
            <w:r>
              <w:rPr>
                <w:rFonts w:eastAsia="宋体" w:hint="eastAsia"/>
                <w:kern w:val="21"/>
                <w:sz w:val="21"/>
              </w:rPr>
              <w:t>建设地属于</w:t>
            </w:r>
            <w:r>
              <w:rPr>
                <w:rFonts w:ascii="宋体" w:eastAsia="宋体" w:hAnsi="宋体" w:hint="eastAsia"/>
                <w:sz w:val="21"/>
              </w:rPr>
              <w:t>大气环境一般管控区；项目不属于</w:t>
            </w:r>
            <w:r>
              <w:rPr>
                <w:rFonts w:eastAsia="宋体" w:hint="eastAsia"/>
                <w:kern w:val="21"/>
                <w:sz w:val="21"/>
              </w:rPr>
              <w:t>新建水泥厂、</w:t>
            </w:r>
            <w:proofErr w:type="gramStart"/>
            <w:r>
              <w:rPr>
                <w:rFonts w:eastAsia="宋体" w:hint="eastAsia"/>
                <w:kern w:val="21"/>
                <w:sz w:val="21"/>
              </w:rPr>
              <w:t>危废焚烧</w:t>
            </w:r>
            <w:proofErr w:type="gramEnd"/>
            <w:r>
              <w:rPr>
                <w:rFonts w:eastAsia="宋体" w:hint="eastAsia"/>
                <w:kern w:val="21"/>
                <w:sz w:val="21"/>
              </w:rPr>
              <w:t>、陶瓷厂等以大气污染为主的企业。</w:t>
            </w:r>
          </w:p>
        </w:tc>
        <w:tc>
          <w:tcPr>
            <w:tcW w:w="856" w:type="dxa"/>
            <w:vAlign w:val="center"/>
          </w:tcPr>
          <w:p w14:paraId="47A37E41" w14:textId="77777777" w:rsidR="00544649" w:rsidRDefault="00000000">
            <w:pPr>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1A181473" w14:textId="77777777">
        <w:trPr>
          <w:trHeight w:val="3782"/>
          <w:jc w:val="center"/>
        </w:trPr>
        <w:tc>
          <w:tcPr>
            <w:tcW w:w="1003" w:type="dxa"/>
            <w:vMerge/>
            <w:vAlign w:val="center"/>
          </w:tcPr>
          <w:p w14:paraId="43EFC7FE" w14:textId="77777777" w:rsidR="00544649" w:rsidRDefault="00544649">
            <w:pPr>
              <w:adjustRightInd w:val="0"/>
              <w:snapToGrid w:val="0"/>
              <w:spacing w:after="0" w:line="240" w:lineRule="auto"/>
              <w:ind w:firstLineChars="0" w:firstLine="0"/>
              <w:jc w:val="center"/>
              <w:rPr>
                <w:rFonts w:cs="Times New Roman"/>
                <w:kern w:val="21"/>
                <w:sz w:val="21"/>
                <w:szCs w:val="21"/>
              </w:rPr>
            </w:pPr>
          </w:p>
        </w:tc>
        <w:tc>
          <w:tcPr>
            <w:tcW w:w="507" w:type="dxa"/>
            <w:vMerge/>
            <w:vAlign w:val="center"/>
          </w:tcPr>
          <w:p w14:paraId="60D82959"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Align w:val="center"/>
          </w:tcPr>
          <w:p w14:paraId="5FB71F82"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污染物排放管控</w:t>
            </w:r>
          </w:p>
        </w:tc>
        <w:tc>
          <w:tcPr>
            <w:tcW w:w="6968" w:type="dxa"/>
            <w:vAlign w:val="center"/>
          </w:tcPr>
          <w:p w14:paraId="0F40B8D0"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现有源提标升级改造</w:t>
            </w:r>
          </w:p>
          <w:p w14:paraId="40FEBD55"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同一般管控单元总体准入要求。单元内的大气重点管控区执行要素重点管控要求。</w:t>
            </w:r>
          </w:p>
          <w:p w14:paraId="07B24172"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新增源等量或</w:t>
            </w:r>
            <w:proofErr w:type="gramStart"/>
            <w:r>
              <w:rPr>
                <w:rFonts w:cs="Times New Roman" w:hint="eastAsia"/>
                <w:kern w:val="21"/>
                <w:sz w:val="21"/>
                <w:szCs w:val="21"/>
              </w:rPr>
              <w:t>倍</w:t>
            </w:r>
            <w:proofErr w:type="gramEnd"/>
            <w:r>
              <w:rPr>
                <w:rFonts w:cs="Times New Roman" w:hint="eastAsia"/>
                <w:kern w:val="21"/>
                <w:sz w:val="21"/>
                <w:szCs w:val="21"/>
              </w:rPr>
              <w:t>量替代</w:t>
            </w:r>
          </w:p>
          <w:p w14:paraId="5C85648A"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同一般管控单元总体准入要求。单元内的大气重点管控区执行要素重点管控要求。</w:t>
            </w:r>
          </w:p>
          <w:p w14:paraId="046EEFD5"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新增源排放标准限值</w:t>
            </w:r>
          </w:p>
          <w:p w14:paraId="2EF36EDC"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w:t>
            </w:r>
          </w:p>
          <w:p w14:paraId="4BF0B567"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污染物排放绩效水平准入要求</w:t>
            </w:r>
          </w:p>
          <w:p w14:paraId="6C6C1532"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同一般管控单元总体准入要求。单元内的大气重点管控区执行要素重点管控要求。</w:t>
            </w:r>
          </w:p>
          <w:p w14:paraId="097604C5"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其他污染物排放管控要求</w:t>
            </w:r>
          </w:p>
          <w:p w14:paraId="0FA1B8BC"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同一般管控单元总体准入要求。单元内的大气重点管控区执行要素重点管控要求。</w:t>
            </w:r>
          </w:p>
        </w:tc>
        <w:tc>
          <w:tcPr>
            <w:tcW w:w="4709" w:type="dxa"/>
            <w:vAlign w:val="center"/>
          </w:tcPr>
          <w:p w14:paraId="4A38BC7E" w14:textId="77777777" w:rsidR="00544649" w:rsidRDefault="00000000">
            <w:pPr>
              <w:adjustRightInd w:val="0"/>
              <w:snapToGrid w:val="0"/>
              <w:spacing w:after="0" w:line="240" w:lineRule="auto"/>
              <w:ind w:firstLineChars="0" w:firstLine="0"/>
              <w:rPr>
                <w:rFonts w:cs="Times New Roman"/>
                <w:kern w:val="21"/>
                <w:sz w:val="21"/>
                <w:szCs w:val="21"/>
              </w:rPr>
            </w:pPr>
            <w:r>
              <w:rPr>
                <w:rFonts w:cs="Times New Roman"/>
                <w:kern w:val="21"/>
                <w:sz w:val="21"/>
                <w:szCs w:val="21"/>
              </w:rPr>
              <w:t>本项目建设严格执行</w:t>
            </w:r>
            <w:r>
              <w:rPr>
                <w:rFonts w:cs="Times New Roman" w:hint="eastAsia"/>
                <w:kern w:val="21"/>
                <w:sz w:val="21"/>
                <w:szCs w:val="21"/>
              </w:rPr>
              <w:t>剑阁</w:t>
            </w:r>
            <w:proofErr w:type="gramStart"/>
            <w:r>
              <w:rPr>
                <w:rFonts w:cs="Times New Roman" w:hint="eastAsia"/>
                <w:kern w:val="21"/>
                <w:sz w:val="21"/>
                <w:szCs w:val="21"/>
              </w:rPr>
              <w:t>县</w:t>
            </w:r>
            <w:r>
              <w:rPr>
                <w:rFonts w:cs="Times New Roman"/>
                <w:kern w:val="21"/>
                <w:sz w:val="21"/>
                <w:szCs w:val="21"/>
              </w:rPr>
              <w:t>一般管</w:t>
            </w:r>
            <w:proofErr w:type="gramEnd"/>
            <w:r>
              <w:rPr>
                <w:rFonts w:cs="Times New Roman"/>
                <w:kern w:val="21"/>
                <w:sz w:val="21"/>
                <w:szCs w:val="21"/>
              </w:rPr>
              <w:t>控单元总体准入要求。</w:t>
            </w:r>
          </w:p>
        </w:tc>
        <w:tc>
          <w:tcPr>
            <w:tcW w:w="856" w:type="dxa"/>
            <w:vAlign w:val="center"/>
          </w:tcPr>
          <w:p w14:paraId="7DA41073" w14:textId="77777777" w:rsidR="00544649" w:rsidRDefault="00000000">
            <w:pPr>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37E3ACBF" w14:textId="77777777">
        <w:trPr>
          <w:trHeight w:val="90"/>
          <w:jc w:val="center"/>
        </w:trPr>
        <w:tc>
          <w:tcPr>
            <w:tcW w:w="1003" w:type="dxa"/>
            <w:vMerge/>
            <w:vAlign w:val="center"/>
          </w:tcPr>
          <w:p w14:paraId="28D53F3E"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507" w:type="dxa"/>
            <w:vMerge/>
            <w:vAlign w:val="center"/>
          </w:tcPr>
          <w:p w14:paraId="17E80199"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Align w:val="center"/>
          </w:tcPr>
          <w:p w14:paraId="3A91F66A"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环境风险防控</w:t>
            </w:r>
          </w:p>
        </w:tc>
        <w:tc>
          <w:tcPr>
            <w:tcW w:w="6968" w:type="dxa"/>
            <w:vAlign w:val="center"/>
          </w:tcPr>
          <w:p w14:paraId="0CA72451"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严格</w:t>
            </w:r>
            <w:proofErr w:type="gramStart"/>
            <w:r>
              <w:rPr>
                <w:rFonts w:cs="Times New Roman" w:hint="eastAsia"/>
                <w:kern w:val="21"/>
                <w:sz w:val="21"/>
                <w:szCs w:val="21"/>
              </w:rPr>
              <w:t>管控类农用</w:t>
            </w:r>
            <w:proofErr w:type="gramEnd"/>
            <w:r>
              <w:rPr>
                <w:rFonts w:cs="Times New Roman" w:hint="eastAsia"/>
                <w:kern w:val="21"/>
                <w:sz w:val="21"/>
                <w:szCs w:val="21"/>
              </w:rPr>
              <w:t>地管控要求</w:t>
            </w:r>
          </w:p>
          <w:p w14:paraId="0328E8CF"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同一般管控单元总体准入要求。单元内的土壤优先保护区执行土壤要素优先保护管控要求。</w:t>
            </w:r>
          </w:p>
          <w:p w14:paraId="5377F536"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安全利用类农用地管控要求</w:t>
            </w:r>
          </w:p>
          <w:p w14:paraId="3C06F24F"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lastRenderedPageBreak/>
              <w:t>同一般管控单元总体准入要求。单元内的土壤优先保护区执行土壤要素优先保护管控要求。</w:t>
            </w:r>
          </w:p>
          <w:p w14:paraId="718A9B6F"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污染地块管控要求</w:t>
            </w:r>
          </w:p>
          <w:p w14:paraId="6D79F040"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同一般管控单元总体准入要求。单元内的土壤优先保护区执行土壤要素优先保护管控要求。</w:t>
            </w:r>
          </w:p>
          <w:p w14:paraId="7A02BC0F"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园区环境风险防控要求</w:t>
            </w:r>
          </w:p>
          <w:p w14:paraId="55F5928B"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w:t>
            </w:r>
          </w:p>
          <w:p w14:paraId="4903CB84"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企业环境风险防控要求</w:t>
            </w:r>
          </w:p>
          <w:p w14:paraId="31A36BCF"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w:t>
            </w:r>
          </w:p>
          <w:p w14:paraId="656BAA68"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其他环境风险防控要求</w:t>
            </w:r>
          </w:p>
        </w:tc>
        <w:tc>
          <w:tcPr>
            <w:tcW w:w="4709" w:type="dxa"/>
            <w:vAlign w:val="center"/>
          </w:tcPr>
          <w:p w14:paraId="6E75392F" w14:textId="77777777" w:rsidR="00544649" w:rsidRDefault="00000000">
            <w:pPr>
              <w:adjustRightInd w:val="0"/>
              <w:snapToGrid w:val="0"/>
              <w:spacing w:after="0" w:line="240" w:lineRule="auto"/>
              <w:ind w:firstLineChars="0" w:firstLine="0"/>
              <w:rPr>
                <w:rFonts w:cs="Times New Roman"/>
                <w:kern w:val="21"/>
                <w:sz w:val="21"/>
                <w:szCs w:val="21"/>
                <w:lang w:bidi="ar"/>
              </w:rPr>
            </w:pPr>
            <w:r>
              <w:rPr>
                <w:rFonts w:cs="Times New Roman"/>
                <w:kern w:val="21"/>
                <w:sz w:val="21"/>
                <w:szCs w:val="21"/>
              </w:rPr>
              <w:lastRenderedPageBreak/>
              <w:t>本项目建设严格执行</w:t>
            </w:r>
            <w:r>
              <w:rPr>
                <w:rFonts w:cs="Times New Roman" w:hint="eastAsia"/>
                <w:kern w:val="21"/>
                <w:sz w:val="21"/>
                <w:szCs w:val="21"/>
              </w:rPr>
              <w:t>剑阁</w:t>
            </w:r>
            <w:proofErr w:type="gramStart"/>
            <w:r>
              <w:rPr>
                <w:rFonts w:cs="Times New Roman" w:hint="eastAsia"/>
                <w:kern w:val="21"/>
                <w:sz w:val="21"/>
                <w:szCs w:val="21"/>
              </w:rPr>
              <w:t>县</w:t>
            </w:r>
            <w:r>
              <w:rPr>
                <w:rFonts w:cs="Times New Roman"/>
                <w:kern w:val="21"/>
                <w:sz w:val="21"/>
                <w:szCs w:val="21"/>
              </w:rPr>
              <w:t>一般管</w:t>
            </w:r>
            <w:proofErr w:type="gramEnd"/>
            <w:r>
              <w:rPr>
                <w:rFonts w:cs="Times New Roman"/>
                <w:kern w:val="21"/>
                <w:sz w:val="21"/>
                <w:szCs w:val="21"/>
              </w:rPr>
              <w:t>控单元总体准入要求。</w:t>
            </w:r>
          </w:p>
        </w:tc>
        <w:tc>
          <w:tcPr>
            <w:tcW w:w="856" w:type="dxa"/>
            <w:vAlign w:val="center"/>
          </w:tcPr>
          <w:p w14:paraId="221FC560" w14:textId="77777777" w:rsidR="00544649" w:rsidRDefault="00000000">
            <w:pPr>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2860DBBE" w14:textId="77777777">
        <w:trPr>
          <w:trHeight w:val="90"/>
          <w:jc w:val="center"/>
        </w:trPr>
        <w:tc>
          <w:tcPr>
            <w:tcW w:w="1003" w:type="dxa"/>
            <w:vMerge/>
            <w:vAlign w:val="center"/>
          </w:tcPr>
          <w:p w14:paraId="3466F00F"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507" w:type="dxa"/>
            <w:vMerge/>
            <w:vAlign w:val="center"/>
          </w:tcPr>
          <w:p w14:paraId="6C142CAA"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Align w:val="center"/>
          </w:tcPr>
          <w:p w14:paraId="5D025EF5"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资源开发利用效率</w:t>
            </w:r>
            <w:r>
              <w:rPr>
                <w:rFonts w:cs="Times New Roman" w:hint="eastAsia"/>
                <w:kern w:val="21"/>
                <w:sz w:val="21"/>
                <w:szCs w:val="21"/>
              </w:rPr>
              <w:t>要求</w:t>
            </w:r>
          </w:p>
        </w:tc>
        <w:tc>
          <w:tcPr>
            <w:tcW w:w="6968" w:type="dxa"/>
            <w:vAlign w:val="center"/>
          </w:tcPr>
          <w:p w14:paraId="3F01B7BE"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水资源利用效率要求</w:t>
            </w:r>
          </w:p>
          <w:p w14:paraId="3FF2CC97"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同广元市、剑阁</w:t>
            </w:r>
            <w:proofErr w:type="gramStart"/>
            <w:r>
              <w:rPr>
                <w:rFonts w:cs="Times New Roman" w:hint="eastAsia"/>
                <w:kern w:val="21"/>
                <w:sz w:val="21"/>
                <w:szCs w:val="21"/>
              </w:rPr>
              <w:t>县总体</w:t>
            </w:r>
            <w:proofErr w:type="gramEnd"/>
            <w:r>
              <w:rPr>
                <w:rFonts w:cs="Times New Roman" w:hint="eastAsia"/>
                <w:kern w:val="21"/>
                <w:sz w:val="21"/>
                <w:szCs w:val="21"/>
              </w:rPr>
              <w:t>准入要求。</w:t>
            </w:r>
          </w:p>
          <w:p w14:paraId="609F8B27"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地下水开采要求</w:t>
            </w:r>
          </w:p>
          <w:p w14:paraId="63AA5040"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w:t>
            </w:r>
          </w:p>
          <w:p w14:paraId="17D59579"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能源利用效率要求</w:t>
            </w:r>
          </w:p>
          <w:p w14:paraId="77D3FDD9"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w:t>
            </w:r>
          </w:p>
          <w:p w14:paraId="1ABE6532"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其他资源利用效率要求</w:t>
            </w:r>
          </w:p>
        </w:tc>
        <w:tc>
          <w:tcPr>
            <w:tcW w:w="4709" w:type="dxa"/>
            <w:vAlign w:val="center"/>
          </w:tcPr>
          <w:p w14:paraId="153CF048" w14:textId="77777777" w:rsidR="00544649" w:rsidRDefault="00000000">
            <w:pPr>
              <w:widowControl/>
              <w:adjustRightInd w:val="0"/>
              <w:snapToGrid w:val="0"/>
              <w:spacing w:after="0" w:line="240" w:lineRule="auto"/>
              <w:ind w:firstLineChars="0" w:firstLine="0"/>
              <w:rPr>
                <w:rFonts w:cs="Times New Roman"/>
                <w:kern w:val="21"/>
                <w:sz w:val="21"/>
                <w:szCs w:val="21"/>
                <w:lang w:bidi="ar"/>
              </w:rPr>
            </w:pPr>
            <w:r>
              <w:rPr>
                <w:rFonts w:cs="Times New Roman"/>
                <w:kern w:val="21"/>
                <w:sz w:val="21"/>
                <w:szCs w:val="21"/>
              </w:rPr>
              <w:t>本项目建设严格执行</w:t>
            </w:r>
            <w:r>
              <w:rPr>
                <w:rFonts w:cs="Times New Roman" w:hint="eastAsia"/>
                <w:kern w:val="21"/>
                <w:sz w:val="21"/>
                <w:szCs w:val="21"/>
              </w:rPr>
              <w:t>广元市、剑阁</w:t>
            </w:r>
            <w:proofErr w:type="gramStart"/>
            <w:r>
              <w:rPr>
                <w:rFonts w:cs="Times New Roman" w:hint="eastAsia"/>
                <w:kern w:val="21"/>
                <w:sz w:val="21"/>
                <w:szCs w:val="21"/>
              </w:rPr>
              <w:t>县</w:t>
            </w:r>
            <w:r>
              <w:rPr>
                <w:rFonts w:cs="Times New Roman"/>
                <w:kern w:val="21"/>
                <w:sz w:val="21"/>
                <w:szCs w:val="21"/>
              </w:rPr>
              <w:t>总体</w:t>
            </w:r>
            <w:proofErr w:type="gramEnd"/>
            <w:r>
              <w:rPr>
                <w:rFonts w:cs="Times New Roman"/>
                <w:kern w:val="21"/>
                <w:sz w:val="21"/>
                <w:szCs w:val="21"/>
              </w:rPr>
              <w:t>准入要求。</w:t>
            </w:r>
          </w:p>
        </w:tc>
        <w:tc>
          <w:tcPr>
            <w:tcW w:w="856" w:type="dxa"/>
            <w:vAlign w:val="center"/>
          </w:tcPr>
          <w:p w14:paraId="5DDAA7B6"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34D57772" w14:textId="77777777">
        <w:trPr>
          <w:trHeight w:val="90"/>
          <w:jc w:val="center"/>
        </w:trPr>
        <w:tc>
          <w:tcPr>
            <w:tcW w:w="1003" w:type="dxa"/>
            <w:vMerge w:val="restart"/>
            <w:vAlign w:val="center"/>
          </w:tcPr>
          <w:p w14:paraId="26DACDB5"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嘉陵江</w:t>
            </w:r>
            <w:r>
              <w:rPr>
                <w:rFonts w:cs="Times New Roman" w:hint="eastAsia"/>
                <w:kern w:val="21"/>
                <w:sz w:val="21"/>
                <w:szCs w:val="21"/>
              </w:rPr>
              <w:t>-</w:t>
            </w:r>
            <w:r>
              <w:rPr>
                <w:rFonts w:cs="Times New Roman" w:hint="eastAsia"/>
                <w:kern w:val="21"/>
                <w:sz w:val="21"/>
                <w:szCs w:val="21"/>
              </w:rPr>
              <w:t>剑阁县</w:t>
            </w:r>
            <w:r>
              <w:rPr>
                <w:rFonts w:cs="Times New Roman" w:hint="eastAsia"/>
                <w:kern w:val="21"/>
                <w:sz w:val="21"/>
                <w:szCs w:val="21"/>
              </w:rPr>
              <w:t>-</w:t>
            </w:r>
            <w:r>
              <w:rPr>
                <w:rFonts w:cs="Times New Roman" w:hint="eastAsia"/>
                <w:kern w:val="21"/>
                <w:sz w:val="21"/>
                <w:szCs w:val="21"/>
              </w:rPr>
              <w:t>金银渡（张家岩）</w:t>
            </w:r>
            <w:r>
              <w:rPr>
                <w:rFonts w:cs="Times New Roman" w:hint="eastAsia"/>
                <w:kern w:val="21"/>
                <w:sz w:val="21"/>
                <w:szCs w:val="21"/>
              </w:rPr>
              <w:t>-</w:t>
            </w:r>
            <w:r>
              <w:rPr>
                <w:rFonts w:cs="Times New Roman" w:hint="eastAsia"/>
                <w:kern w:val="21"/>
                <w:sz w:val="21"/>
                <w:szCs w:val="21"/>
              </w:rPr>
              <w:t>控制单元</w:t>
            </w:r>
          </w:p>
          <w:p w14:paraId="33126FBF"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YS5108233210002</w:t>
            </w:r>
          </w:p>
          <w:p w14:paraId="6555C7CE"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水环境一般管控区</w:t>
            </w:r>
          </w:p>
        </w:tc>
        <w:tc>
          <w:tcPr>
            <w:tcW w:w="507" w:type="dxa"/>
            <w:vMerge/>
            <w:vAlign w:val="center"/>
          </w:tcPr>
          <w:p w14:paraId="26DF0660"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Align w:val="center"/>
          </w:tcPr>
          <w:p w14:paraId="550450DD"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空间布局约束</w:t>
            </w:r>
          </w:p>
        </w:tc>
        <w:tc>
          <w:tcPr>
            <w:tcW w:w="6968" w:type="dxa"/>
            <w:vAlign w:val="center"/>
          </w:tcPr>
          <w:p w14:paraId="219F0CC6"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禁止开发建设活动的要求</w:t>
            </w:r>
          </w:p>
          <w:p w14:paraId="6DB9BD47"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不再新建、改扩建开采规模在</w:t>
            </w:r>
            <w:r>
              <w:rPr>
                <w:rFonts w:cs="Times New Roman" w:hint="eastAsia"/>
                <w:kern w:val="21"/>
                <w:sz w:val="21"/>
                <w:szCs w:val="21"/>
              </w:rPr>
              <w:t>50</w:t>
            </w:r>
            <w:r>
              <w:rPr>
                <w:rFonts w:cs="Times New Roman" w:hint="eastAsia"/>
                <w:kern w:val="21"/>
                <w:sz w:val="21"/>
                <w:szCs w:val="21"/>
              </w:rPr>
              <w:t>万吨</w:t>
            </w:r>
            <w:r>
              <w:rPr>
                <w:rFonts w:cs="Times New Roman" w:hint="eastAsia"/>
                <w:kern w:val="21"/>
                <w:sz w:val="21"/>
                <w:szCs w:val="21"/>
              </w:rPr>
              <w:t>/</w:t>
            </w:r>
            <w:r>
              <w:rPr>
                <w:rFonts w:cs="Times New Roman" w:hint="eastAsia"/>
                <w:kern w:val="21"/>
                <w:sz w:val="21"/>
                <w:szCs w:val="21"/>
              </w:rPr>
              <w:t>年以下的磷矿，不再新建露天磷矿</w:t>
            </w:r>
          </w:p>
          <w:p w14:paraId="099F3339"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限制开发建设活动的要求</w:t>
            </w:r>
          </w:p>
          <w:p w14:paraId="3B7CD0DF"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w:t>
            </w:r>
          </w:p>
          <w:p w14:paraId="3E65D992"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允许开发建设活动的要求</w:t>
            </w:r>
          </w:p>
          <w:p w14:paraId="645898B8"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w:t>
            </w:r>
          </w:p>
          <w:p w14:paraId="35E7AD27"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不符合空间布局要求活动的退出要求</w:t>
            </w:r>
          </w:p>
          <w:p w14:paraId="13EA70A3"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w:t>
            </w:r>
          </w:p>
          <w:p w14:paraId="23EFCAEC"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其他空间布局约束要求</w:t>
            </w:r>
          </w:p>
        </w:tc>
        <w:tc>
          <w:tcPr>
            <w:tcW w:w="4709" w:type="dxa"/>
            <w:vAlign w:val="center"/>
          </w:tcPr>
          <w:p w14:paraId="414891EE" w14:textId="77777777" w:rsidR="00544649" w:rsidRDefault="00000000">
            <w:pPr>
              <w:widowControl/>
              <w:adjustRightInd w:val="0"/>
              <w:snapToGrid w:val="0"/>
              <w:spacing w:after="0" w:line="240" w:lineRule="auto"/>
              <w:ind w:firstLineChars="0" w:firstLine="0"/>
              <w:rPr>
                <w:rFonts w:cs="Times New Roman"/>
                <w:kern w:val="21"/>
                <w:sz w:val="21"/>
                <w:szCs w:val="21"/>
                <w:lang w:bidi="ar"/>
              </w:rPr>
            </w:pPr>
            <w:r>
              <w:rPr>
                <w:rFonts w:cs="Times New Roman"/>
                <w:kern w:val="21"/>
                <w:sz w:val="21"/>
                <w:szCs w:val="21"/>
                <w:lang w:bidi="ar"/>
              </w:rPr>
              <w:t>本项目不属于新建、</w:t>
            </w:r>
            <w:r>
              <w:rPr>
                <w:rFonts w:cs="Times New Roman" w:hint="eastAsia"/>
                <w:kern w:val="21"/>
                <w:sz w:val="21"/>
                <w:szCs w:val="21"/>
                <w:lang w:bidi="ar"/>
              </w:rPr>
              <w:t>改</w:t>
            </w:r>
            <w:r>
              <w:rPr>
                <w:rFonts w:cs="Times New Roman"/>
                <w:kern w:val="21"/>
                <w:sz w:val="21"/>
                <w:szCs w:val="21"/>
                <w:lang w:bidi="ar"/>
              </w:rPr>
              <w:t>扩建磷矿项目。</w:t>
            </w:r>
          </w:p>
        </w:tc>
        <w:tc>
          <w:tcPr>
            <w:tcW w:w="856" w:type="dxa"/>
            <w:vAlign w:val="center"/>
          </w:tcPr>
          <w:p w14:paraId="18133B45"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69B2E72B" w14:textId="77777777">
        <w:trPr>
          <w:trHeight w:val="90"/>
          <w:jc w:val="center"/>
        </w:trPr>
        <w:tc>
          <w:tcPr>
            <w:tcW w:w="1003" w:type="dxa"/>
            <w:vMerge/>
            <w:vAlign w:val="center"/>
          </w:tcPr>
          <w:p w14:paraId="7C541EC9"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507" w:type="dxa"/>
            <w:vMerge/>
            <w:vAlign w:val="center"/>
          </w:tcPr>
          <w:p w14:paraId="422E0512"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Merge w:val="restart"/>
            <w:vAlign w:val="center"/>
          </w:tcPr>
          <w:p w14:paraId="7A856DB6"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污染物排放管控</w:t>
            </w:r>
          </w:p>
        </w:tc>
        <w:tc>
          <w:tcPr>
            <w:tcW w:w="6968" w:type="dxa"/>
            <w:vAlign w:val="center"/>
          </w:tcPr>
          <w:p w14:paraId="6BCEC7B7" w14:textId="77777777" w:rsidR="00544649" w:rsidRDefault="00000000">
            <w:pPr>
              <w:widowControl/>
              <w:shd w:val="clear" w:color="auto" w:fill="FFFFFF"/>
              <w:adjustRightInd w:val="0"/>
              <w:snapToGrid w:val="0"/>
              <w:spacing w:after="0" w:line="240" w:lineRule="auto"/>
              <w:ind w:firstLineChars="0" w:firstLine="0"/>
              <w:rPr>
                <w:rFonts w:cs="Times New Roman"/>
                <w:b/>
                <w:bCs/>
                <w:kern w:val="21"/>
                <w:sz w:val="21"/>
                <w:szCs w:val="21"/>
              </w:rPr>
            </w:pPr>
            <w:r>
              <w:rPr>
                <w:rFonts w:cs="Times New Roman"/>
                <w:b/>
                <w:bCs/>
                <w:kern w:val="21"/>
                <w:sz w:val="21"/>
                <w:szCs w:val="21"/>
              </w:rPr>
              <w:t>城镇</w:t>
            </w:r>
            <w:proofErr w:type="gramStart"/>
            <w:r>
              <w:rPr>
                <w:rFonts w:cs="Times New Roman"/>
                <w:b/>
                <w:bCs/>
                <w:kern w:val="21"/>
                <w:sz w:val="21"/>
                <w:szCs w:val="21"/>
              </w:rPr>
              <w:t>污</w:t>
            </w:r>
            <w:proofErr w:type="gramEnd"/>
            <w:r>
              <w:rPr>
                <w:rFonts w:cs="Times New Roman"/>
                <w:b/>
                <w:bCs/>
                <w:kern w:val="21"/>
                <w:sz w:val="21"/>
                <w:szCs w:val="21"/>
              </w:rPr>
              <w:t>水污染控制措施要求：</w:t>
            </w:r>
          </w:p>
          <w:p w14:paraId="76D0A732" w14:textId="77777777" w:rsidR="00544649" w:rsidRDefault="00000000">
            <w:pPr>
              <w:widowControl/>
              <w:shd w:val="clear" w:color="auto" w:fill="FFFFFF"/>
              <w:adjustRightInd w:val="0"/>
              <w:snapToGrid w:val="0"/>
              <w:spacing w:after="0" w:line="240" w:lineRule="auto"/>
              <w:ind w:firstLineChars="0" w:firstLine="0"/>
              <w:jc w:val="left"/>
              <w:rPr>
                <w:rFonts w:cs="Times New Roman"/>
                <w:kern w:val="21"/>
                <w:sz w:val="21"/>
                <w:szCs w:val="21"/>
              </w:rPr>
            </w:pPr>
            <w:r>
              <w:rPr>
                <w:rFonts w:cs="Times New Roman" w:hint="eastAsia"/>
                <w:kern w:val="21"/>
                <w:sz w:val="21"/>
                <w:szCs w:val="21"/>
              </w:rPr>
              <w:t>1</w:t>
            </w:r>
            <w:r>
              <w:rPr>
                <w:rFonts w:cs="Times New Roman" w:hint="eastAsia"/>
                <w:kern w:val="21"/>
                <w:sz w:val="21"/>
                <w:szCs w:val="21"/>
              </w:rPr>
              <w:t>、持续推进环保基础设施补短板，完善污水收集处理系统。</w:t>
            </w:r>
            <w:r>
              <w:rPr>
                <w:rFonts w:cs="Times New Roman" w:hint="eastAsia"/>
                <w:kern w:val="21"/>
                <w:sz w:val="21"/>
                <w:szCs w:val="21"/>
              </w:rPr>
              <w:t>2</w:t>
            </w:r>
            <w:r>
              <w:rPr>
                <w:rFonts w:cs="Times New Roman" w:hint="eastAsia"/>
                <w:kern w:val="21"/>
                <w:sz w:val="21"/>
                <w:szCs w:val="21"/>
              </w:rPr>
              <w:t>、保障乡镇污水收集处理设施顺畅运行。</w:t>
            </w:r>
            <w:r>
              <w:rPr>
                <w:rFonts w:cs="Times New Roman" w:hint="eastAsia"/>
                <w:kern w:val="21"/>
                <w:sz w:val="21"/>
                <w:szCs w:val="21"/>
              </w:rPr>
              <w:t>3</w:t>
            </w:r>
            <w:r>
              <w:rPr>
                <w:rFonts w:cs="Times New Roman" w:hint="eastAsia"/>
                <w:kern w:val="21"/>
                <w:sz w:val="21"/>
                <w:szCs w:val="21"/>
              </w:rPr>
              <w:t>、推进污水直排口排查与整治，落实“一口一策”整改措施。</w:t>
            </w:r>
          </w:p>
        </w:tc>
        <w:tc>
          <w:tcPr>
            <w:tcW w:w="4709" w:type="dxa"/>
            <w:vAlign w:val="center"/>
          </w:tcPr>
          <w:p w14:paraId="3DAB22C6" w14:textId="77777777" w:rsidR="00544649" w:rsidRDefault="00000000">
            <w:pPr>
              <w:widowControl/>
              <w:adjustRightInd w:val="0"/>
              <w:snapToGrid w:val="0"/>
              <w:spacing w:after="0" w:line="240" w:lineRule="auto"/>
              <w:ind w:firstLineChars="0" w:firstLine="0"/>
              <w:rPr>
                <w:rFonts w:cs="Times New Roman"/>
                <w:kern w:val="21"/>
                <w:sz w:val="21"/>
                <w:szCs w:val="21"/>
                <w:lang w:bidi="ar"/>
              </w:rPr>
            </w:pPr>
            <w:r>
              <w:rPr>
                <w:rFonts w:cs="Times New Roman"/>
                <w:kern w:val="21"/>
                <w:sz w:val="21"/>
                <w:szCs w:val="21"/>
                <w:lang w:bidi="ar"/>
              </w:rPr>
              <w:t>本项目不属于城镇污水处理厂建设项目，本项目</w:t>
            </w:r>
            <w:r>
              <w:rPr>
                <w:rFonts w:cs="Times New Roman" w:hint="eastAsia"/>
                <w:kern w:val="21"/>
                <w:sz w:val="21"/>
                <w:szCs w:val="21"/>
                <w:lang w:bidi="ar"/>
              </w:rPr>
              <w:t>废水经污水处理站处理达标后用于林地灌溉，废水不外排</w:t>
            </w:r>
            <w:r>
              <w:rPr>
                <w:rFonts w:cs="Times New Roman"/>
                <w:kern w:val="21"/>
                <w:sz w:val="21"/>
                <w:szCs w:val="21"/>
                <w:lang w:bidi="ar"/>
              </w:rPr>
              <w:t>。</w:t>
            </w:r>
          </w:p>
        </w:tc>
        <w:tc>
          <w:tcPr>
            <w:tcW w:w="856" w:type="dxa"/>
            <w:vAlign w:val="center"/>
          </w:tcPr>
          <w:p w14:paraId="6961D846"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0C20B054" w14:textId="77777777">
        <w:trPr>
          <w:trHeight w:val="90"/>
          <w:jc w:val="center"/>
        </w:trPr>
        <w:tc>
          <w:tcPr>
            <w:tcW w:w="1003" w:type="dxa"/>
            <w:vMerge/>
            <w:vAlign w:val="center"/>
          </w:tcPr>
          <w:p w14:paraId="0F5B527D"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507" w:type="dxa"/>
            <w:vMerge/>
            <w:vAlign w:val="center"/>
          </w:tcPr>
          <w:p w14:paraId="3D782E2C"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Merge/>
            <w:vAlign w:val="center"/>
          </w:tcPr>
          <w:p w14:paraId="469020A1"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6968" w:type="dxa"/>
            <w:vAlign w:val="center"/>
          </w:tcPr>
          <w:p w14:paraId="2240A7BE" w14:textId="77777777" w:rsidR="00544649" w:rsidRDefault="00000000">
            <w:pPr>
              <w:pStyle w:val="Normal00"/>
              <w:widowControl/>
              <w:shd w:val="clear" w:color="auto" w:fill="FFFFFF"/>
              <w:adjustRightInd w:val="0"/>
              <w:snapToGrid w:val="0"/>
              <w:spacing w:after="0" w:line="240" w:lineRule="auto"/>
              <w:ind w:firstLineChars="0" w:firstLine="0"/>
              <w:jc w:val="left"/>
              <w:rPr>
                <w:rFonts w:eastAsia="宋体"/>
                <w:b/>
                <w:bCs/>
                <w:kern w:val="21"/>
                <w:sz w:val="21"/>
              </w:rPr>
            </w:pPr>
            <w:r>
              <w:rPr>
                <w:rFonts w:eastAsia="宋体"/>
                <w:b/>
                <w:bCs/>
                <w:kern w:val="21"/>
                <w:sz w:val="21"/>
              </w:rPr>
              <w:t>工业废水污染控制措施要求</w:t>
            </w:r>
          </w:p>
          <w:p w14:paraId="256FE30A"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1</w:t>
            </w:r>
            <w:r>
              <w:rPr>
                <w:rFonts w:cs="Times New Roman" w:hint="eastAsia"/>
                <w:kern w:val="21"/>
                <w:sz w:val="21"/>
                <w:szCs w:val="21"/>
              </w:rPr>
              <w:t>、落实主要污染物排放总量指标控制要求，加强入河排污口登记、审批和监督管理。</w:t>
            </w:r>
            <w:r>
              <w:rPr>
                <w:rFonts w:cs="Times New Roman" w:hint="eastAsia"/>
                <w:kern w:val="21"/>
                <w:sz w:val="21"/>
                <w:szCs w:val="21"/>
              </w:rPr>
              <w:t>2</w:t>
            </w:r>
            <w:r>
              <w:rPr>
                <w:rFonts w:cs="Times New Roman" w:hint="eastAsia"/>
                <w:kern w:val="21"/>
                <w:sz w:val="21"/>
                <w:szCs w:val="21"/>
              </w:rPr>
              <w:t>、强化流域内工业点源、规模化畜禽养殖场运行监管，避免偷排、漏排。</w:t>
            </w:r>
          </w:p>
        </w:tc>
        <w:tc>
          <w:tcPr>
            <w:tcW w:w="4709" w:type="dxa"/>
            <w:vAlign w:val="center"/>
          </w:tcPr>
          <w:p w14:paraId="5065C741" w14:textId="77777777" w:rsidR="00544649" w:rsidRDefault="00000000">
            <w:pPr>
              <w:widowControl/>
              <w:adjustRightInd w:val="0"/>
              <w:snapToGrid w:val="0"/>
              <w:spacing w:after="0" w:line="240" w:lineRule="auto"/>
              <w:ind w:firstLineChars="0" w:firstLine="0"/>
              <w:rPr>
                <w:rFonts w:cs="Times New Roman"/>
                <w:kern w:val="21"/>
                <w:sz w:val="21"/>
                <w:szCs w:val="21"/>
                <w:lang w:bidi="ar"/>
              </w:rPr>
            </w:pPr>
            <w:r>
              <w:rPr>
                <w:rFonts w:cs="Times New Roman"/>
                <w:kern w:val="21"/>
                <w:sz w:val="21"/>
                <w:szCs w:val="21"/>
                <w:lang w:bidi="ar"/>
              </w:rPr>
              <w:t>本项目不涉及工业废水排放。</w:t>
            </w:r>
          </w:p>
        </w:tc>
        <w:tc>
          <w:tcPr>
            <w:tcW w:w="856" w:type="dxa"/>
            <w:vAlign w:val="center"/>
          </w:tcPr>
          <w:p w14:paraId="6B99F389"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3F72F554" w14:textId="77777777">
        <w:trPr>
          <w:trHeight w:val="90"/>
          <w:jc w:val="center"/>
        </w:trPr>
        <w:tc>
          <w:tcPr>
            <w:tcW w:w="1003" w:type="dxa"/>
            <w:vMerge/>
            <w:vAlign w:val="center"/>
          </w:tcPr>
          <w:p w14:paraId="5D194D2C"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507" w:type="dxa"/>
            <w:vMerge/>
            <w:vAlign w:val="center"/>
          </w:tcPr>
          <w:p w14:paraId="2EB275D7"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Merge/>
            <w:vAlign w:val="center"/>
          </w:tcPr>
          <w:p w14:paraId="0F5F7F51"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6968" w:type="dxa"/>
            <w:vAlign w:val="center"/>
          </w:tcPr>
          <w:p w14:paraId="5DA40178" w14:textId="77777777" w:rsidR="00544649" w:rsidRDefault="00000000">
            <w:pPr>
              <w:pStyle w:val="Normal00"/>
              <w:widowControl/>
              <w:shd w:val="clear" w:color="auto" w:fill="FFFFFF"/>
              <w:adjustRightInd w:val="0"/>
              <w:snapToGrid w:val="0"/>
              <w:spacing w:after="0" w:line="240" w:lineRule="auto"/>
              <w:ind w:firstLineChars="0" w:firstLine="0"/>
              <w:jc w:val="left"/>
              <w:rPr>
                <w:rFonts w:eastAsia="宋体"/>
                <w:b/>
                <w:bCs/>
                <w:kern w:val="21"/>
                <w:sz w:val="21"/>
              </w:rPr>
            </w:pPr>
            <w:r>
              <w:rPr>
                <w:rFonts w:eastAsia="宋体"/>
                <w:b/>
                <w:bCs/>
                <w:kern w:val="21"/>
                <w:sz w:val="21"/>
              </w:rPr>
              <w:t>农业面源水污染控制措施要求</w:t>
            </w:r>
          </w:p>
          <w:p w14:paraId="77D93786"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1</w:t>
            </w:r>
            <w:r>
              <w:rPr>
                <w:rFonts w:cs="Times New Roman" w:hint="eastAsia"/>
                <w:kern w:val="21"/>
                <w:sz w:val="21"/>
                <w:szCs w:val="21"/>
              </w:rPr>
              <w:t>、推进农村污染治理，稳步农村污水处理设施建设，适当预留发展空间，</w:t>
            </w:r>
            <w:proofErr w:type="gramStart"/>
            <w:r>
              <w:rPr>
                <w:rFonts w:cs="Times New Roman" w:hint="eastAsia"/>
                <w:kern w:val="21"/>
                <w:sz w:val="21"/>
                <w:szCs w:val="21"/>
              </w:rPr>
              <w:t>宜集中</w:t>
            </w:r>
            <w:proofErr w:type="gramEnd"/>
            <w:r>
              <w:rPr>
                <w:rFonts w:cs="Times New Roman" w:hint="eastAsia"/>
                <w:kern w:val="21"/>
                <w:sz w:val="21"/>
                <w:szCs w:val="21"/>
              </w:rPr>
              <w:t>则集中，宜分散则分散。大力推进农村生活垃圾就地分类减量和资源化利用，因地制宜选择农村生活垃圾治理模式。严格做好“农家乐”、种植采摘园等范围内的生活及农产品产生污水及垃圾治理。</w:t>
            </w:r>
            <w:r>
              <w:rPr>
                <w:rFonts w:cs="Times New Roman" w:hint="eastAsia"/>
                <w:kern w:val="21"/>
                <w:sz w:val="21"/>
                <w:szCs w:val="21"/>
              </w:rPr>
              <w:t>2</w:t>
            </w:r>
            <w:r>
              <w:rPr>
                <w:rFonts w:cs="Times New Roman" w:hint="eastAsia"/>
                <w:kern w:val="21"/>
                <w:sz w:val="21"/>
                <w:szCs w:val="21"/>
              </w:rPr>
              <w:t>、以环境承载能力为约束，合理规划水产养殖空间及规模；推进水产生态健康养殖，加强渔业生产过程中抗菌药物使用管控。推进水产养殖治理，水产养殖废水应处理达到《四川省水产养殖业水污染物排放标准》后排放；实施池塘标准化改造，完善循环水和进排水处理设施；推进养殖尾水节水减排。</w:t>
            </w:r>
            <w:r>
              <w:rPr>
                <w:rFonts w:cs="Times New Roman" w:hint="eastAsia"/>
                <w:kern w:val="21"/>
                <w:sz w:val="21"/>
                <w:szCs w:val="21"/>
              </w:rPr>
              <w:t>3</w:t>
            </w:r>
            <w:r>
              <w:rPr>
                <w:rFonts w:cs="Times New Roman" w:hint="eastAsia"/>
                <w:kern w:val="21"/>
                <w:sz w:val="21"/>
                <w:szCs w:val="21"/>
              </w:rPr>
              <w:t>、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w:t>
            </w:r>
            <w:r>
              <w:rPr>
                <w:rFonts w:cs="Times New Roman" w:hint="eastAsia"/>
                <w:kern w:val="21"/>
                <w:sz w:val="21"/>
                <w:szCs w:val="21"/>
              </w:rPr>
              <w:t>4</w:t>
            </w:r>
            <w:r>
              <w:rPr>
                <w:rFonts w:cs="Times New Roman" w:hint="eastAsia"/>
                <w:kern w:val="21"/>
                <w:sz w:val="21"/>
                <w:szCs w:val="21"/>
              </w:rPr>
              <w:t>、推进化肥、农药使用量“零增长”，逐步推进农田径流拦截及治理。</w:t>
            </w:r>
          </w:p>
        </w:tc>
        <w:tc>
          <w:tcPr>
            <w:tcW w:w="4709" w:type="dxa"/>
            <w:vAlign w:val="center"/>
          </w:tcPr>
          <w:p w14:paraId="63341533" w14:textId="77777777" w:rsidR="00544649" w:rsidRDefault="00000000">
            <w:pPr>
              <w:widowControl/>
              <w:adjustRightInd w:val="0"/>
              <w:snapToGrid w:val="0"/>
              <w:spacing w:after="0" w:line="240" w:lineRule="auto"/>
              <w:ind w:firstLineChars="0" w:firstLine="0"/>
              <w:rPr>
                <w:rFonts w:cs="Times New Roman"/>
                <w:kern w:val="21"/>
                <w:sz w:val="21"/>
                <w:szCs w:val="21"/>
                <w:lang w:bidi="ar"/>
              </w:rPr>
            </w:pPr>
            <w:r>
              <w:rPr>
                <w:rFonts w:cs="Times New Roman"/>
                <w:kern w:val="21"/>
                <w:sz w:val="21"/>
                <w:szCs w:val="21"/>
                <w:lang w:bidi="ar"/>
              </w:rPr>
              <w:t>1</w:t>
            </w:r>
            <w:r>
              <w:rPr>
                <w:rFonts w:cs="Times New Roman"/>
                <w:kern w:val="21"/>
                <w:sz w:val="21"/>
                <w:szCs w:val="21"/>
                <w:lang w:bidi="ar"/>
              </w:rPr>
              <w:t>、本项目</w:t>
            </w:r>
            <w:r>
              <w:rPr>
                <w:rFonts w:cs="Times New Roman" w:hint="eastAsia"/>
                <w:kern w:val="21"/>
                <w:sz w:val="21"/>
                <w:szCs w:val="21"/>
                <w:lang w:bidi="ar"/>
              </w:rPr>
              <w:t>废水经污水处理站处理达标后用于林地灌溉，废水不外排</w:t>
            </w:r>
            <w:r>
              <w:rPr>
                <w:rFonts w:cs="Times New Roman"/>
                <w:kern w:val="21"/>
                <w:sz w:val="21"/>
                <w:szCs w:val="21"/>
                <w:lang w:bidi="ar"/>
              </w:rPr>
              <w:t>；</w:t>
            </w:r>
            <w:r>
              <w:rPr>
                <w:rFonts w:cs="Times New Roman" w:hint="eastAsia"/>
                <w:kern w:val="21"/>
                <w:sz w:val="21"/>
                <w:szCs w:val="21"/>
                <w:lang w:bidi="ar"/>
              </w:rPr>
              <w:t>项目生活垃圾经收集后统一交由当地环卫部门清运处置；</w:t>
            </w:r>
          </w:p>
          <w:p w14:paraId="601E39BD" w14:textId="77777777" w:rsidR="00544649" w:rsidRDefault="00000000">
            <w:pPr>
              <w:widowControl/>
              <w:adjustRightInd w:val="0"/>
              <w:snapToGrid w:val="0"/>
              <w:spacing w:after="0" w:line="240" w:lineRule="auto"/>
              <w:ind w:firstLineChars="0" w:firstLine="0"/>
              <w:rPr>
                <w:rFonts w:cs="Times New Roman"/>
                <w:kern w:val="21"/>
                <w:sz w:val="21"/>
                <w:szCs w:val="21"/>
                <w:lang w:bidi="ar"/>
              </w:rPr>
            </w:pPr>
            <w:r>
              <w:rPr>
                <w:rFonts w:cs="Times New Roman"/>
                <w:kern w:val="21"/>
                <w:sz w:val="21"/>
                <w:szCs w:val="21"/>
                <w:lang w:bidi="ar"/>
              </w:rPr>
              <w:t>2</w:t>
            </w:r>
            <w:r>
              <w:rPr>
                <w:rFonts w:cs="Times New Roman"/>
                <w:kern w:val="21"/>
                <w:sz w:val="21"/>
                <w:szCs w:val="21"/>
                <w:lang w:bidi="ar"/>
              </w:rPr>
              <w:t>、本项目不属于水产养殖项目；</w:t>
            </w:r>
          </w:p>
          <w:p w14:paraId="0299FD4D"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kern w:val="21"/>
                <w:sz w:val="21"/>
                <w:szCs w:val="21"/>
                <w:lang w:bidi="ar"/>
              </w:rPr>
              <w:t>3</w:t>
            </w:r>
            <w:r>
              <w:rPr>
                <w:rFonts w:cs="Times New Roman"/>
                <w:kern w:val="21"/>
                <w:sz w:val="21"/>
                <w:szCs w:val="21"/>
                <w:lang w:bidi="ar"/>
              </w:rPr>
              <w:t>、本项目鸡粪</w:t>
            </w:r>
            <w:r>
              <w:rPr>
                <w:rFonts w:cs="Times New Roman"/>
                <w:kern w:val="21"/>
                <w:sz w:val="21"/>
                <w:szCs w:val="21"/>
              </w:rPr>
              <w:t>日产日清，每日清运至</w:t>
            </w:r>
            <w:r>
              <w:rPr>
                <w:rFonts w:cs="Times New Roman" w:hint="eastAsia"/>
                <w:kern w:val="21"/>
                <w:sz w:val="21"/>
                <w:szCs w:val="21"/>
              </w:rPr>
              <w:t>四川省田宝生物科技有限公司</w:t>
            </w:r>
            <w:r>
              <w:rPr>
                <w:rFonts w:cs="Times New Roman"/>
                <w:kern w:val="21"/>
                <w:sz w:val="21"/>
                <w:szCs w:val="21"/>
              </w:rPr>
              <w:t>进行有机肥生产，不在场内贮存；</w:t>
            </w:r>
            <w:r>
              <w:rPr>
                <w:rFonts w:cs="Times New Roman" w:hint="eastAsia"/>
                <w:kern w:val="21"/>
                <w:sz w:val="21"/>
                <w:szCs w:val="21"/>
              </w:rPr>
              <w:t>废水经污水处理站处理达标后用于林地灌溉，废水不外排；</w:t>
            </w:r>
          </w:p>
          <w:p w14:paraId="68972D31"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kern w:val="21"/>
                <w:sz w:val="21"/>
                <w:szCs w:val="21"/>
              </w:rPr>
              <w:t>4</w:t>
            </w:r>
            <w:r>
              <w:rPr>
                <w:rFonts w:cs="Times New Roman"/>
                <w:kern w:val="21"/>
                <w:sz w:val="21"/>
                <w:szCs w:val="21"/>
              </w:rPr>
              <w:t>、本项目不涉及化肥、农药使用。</w:t>
            </w:r>
          </w:p>
        </w:tc>
        <w:tc>
          <w:tcPr>
            <w:tcW w:w="856" w:type="dxa"/>
            <w:vAlign w:val="center"/>
          </w:tcPr>
          <w:p w14:paraId="0AAD8FD1"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129078F1" w14:textId="77777777">
        <w:trPr>
          <w:trHeight w:val="90"/>
          <w:jc w:val="center"/>
        </w:trPr>
        <w:tc>
          <w:tcPr>
            <w:tcW w:w="1003" w:type="dxa"/>
            <w:vMerge/>
            <w:vAlign w:val="center"/>
          </w:tcPr>
          <w:p w14:paraId="383A7E65"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507" w:type="dxa"/>
            <w:vMerge/>
            <w:vAlign w:val="center"/>
          </w:tcPr>
          <w:p w14:paraId="370FAB3B"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Align w:val="center"/>
          </w:tcPr>
          <w:p w14:paraId="6F28B54C"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环境风险防控</w:t>
            </w:r>
          </w:p>
        </w:tc>
        <w:tc>
          <w:tcPr>
            <w:tcW w:w="6968" w:type="dxa"/>
            <w:vAlign w:val="center"/>
          </w:tcPr>
          <w:p w14:paraId="07C00DAA"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进一步完善工业企业和矿山环境风险防范和管理体系建设，开展企业风险隐患排查与风险评估，增强企业的环境风险意识，守住环境安全底线。落实“一河</w:t>
            </w:r>
            <w:proofErr w:type="gramStart"/>
            <w:r>
              <w:rPr>
                <w:rFonts w:cs="Times New Roman" w:hint="eastAsia"/>
                <w:kern w:val="21"/>
                <w:sz w:val="21"/>
                <w:szCs w:val="21"/>
              </w:rPr>
              <w:t>一</w:t>
            </w:r>
            <w:proofErr w:type="gramEnd"/>
            <w:r>
              <w:rPr>
                <w:rFonts w:cs="Times New Roman" w:hint="eastAsia"/>
                <w:kern w:val="21"/>
                <w:sz w:val="21"/>
                <w:szCs w:val="21"/>
              </w:rPr>
              <w:t>策一图”风险管理和应急响应方案，提升风险应急管理水平。</w:t>
            </w:r>
          </w:p>
        </w:tc>
        <w:tc>
          <w:tcPr>
            <w:tcW w:w="4709" w:type="dxa"/>
            <w:vAlign w:val="center"/>
          </w:tcPr>
          <w:p w14:paraId="6DD8D958"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lang w:bidi="ar"/>
              </w:rPr>
            </w:pPr>
            <w:r>
              <w:rPr>
                <w:rFonts w:cs="Times New Roman"/>
                <w:kern w:val="21"/>
                <w:sz w:val="21"/>
                <w:szCs w:val="21"/>
              </w:rPr>
              <w:t>本次评价要求建设单位严格落实本报告提出的环境风险防范措施，构建以企业为主体的环境风险防控体系，强化环境风险防控，防止环境风险事故发生。</w:t>
            </w:r>
          </w:p>
        </w:tc>
        <w:tc>
          <w:tcPr>
            <w:tcW w:w="856" w:type="dxa"/>
            <w:vAlign w:val="center"/>
          </w:tcPr>
          <w:p w14:paraId="3316F3B7" w14:textId="77777777" w:rsidR="00544649" w:rsidRDefault="00000000">
            <w:pPr>
              <w:widowControl/>
              <w:shd w:val="clear" w:color="auto" w:fill="FFFFFF"/>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4A62751A" w14:textId="77777777">
        <w:trPr>
          <w:trHeight w:val="90"/>
          <w:jc w:val="center"/>
        </w:trPr>
        <w:tc>
          <w:tcPr>
            <w:tcW w:w="1003" w:type="dxa"/>
            <w:vMerge/>
            <w:vAlign w:val="center"/>
          </w:tcPr>
          <w:p w14:paraId="4B7C77A3"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507" w:type="dxa"/>
            <w:vMerge/>
            <w:vAlign w:val="center"/>
          </w:tcPr>
          <w:p w14:paraId="01068A00"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Align w:val="center"/>
          </w:tcPr>
          <w:p w14:paraId="72E8D70C"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资源开发利用效率</w:t>
            </w:r>
            <w:r>
              <w:rPr>
                <w:rFonts w:cs="Times New Roman" w:hint="eastAsia"/>
                <w:kern w:val="21"/>
                <w:sz w:val="21"/>
                <w:szCs w:val="21"/>
              </w:rPr>
              <w:t>要求</w:t>
            </w:r>
          </w:p>
        </w:tc>
        <w:tc>
          <w:tcPr>
            <w:tcW w:w="6968" w:type="dxa"/>
            <w:vAlign w:val="center"/>
          </w:tcPr>
          <w:p w14:paraId="698ED846"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强化种植业节水；推进农村污水分质资源化利用。</w:t>
            </w:r>
          </w:p>
        </w:tc>
        <w:tc>
          <w:tcPr>
            <w:tcW w:w="4709" w:type="dxa"/>
            <w:vAlign w:val="center"/>
          </w:tcPr>
          <w:p w14:paraId="280BF6FC"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lang w:bidi="ar"/>
              </w:rPr>
            </w:pPr>
            <w:r>
              <w:rPr>
                <w:rFonts w:cs="Times New Roman"/>
                <w:kern w:val="21"/>
                <w:sz w:val="21"/>
                <w:szCs w:val="21"/>
              </w:rPr>
              <w:t>本项目不属于种植业，本项目</w:t>
            </w:r>
            <w:r>
              <w:rPr>
                <w:rFonts w:cs="Times New Roman" w:hint="eastAsia"/>
                <w:kern w:val="21"/>
                <w:sz w:val="21"/>
                <w:szCs w:val="21"/>
              </w:rPr>
              <w:t>废水经污水处理站处理达标后用于林地灌溉，废水不外排</w:t>
            </w:r>
            <w:r>
              <w:rPr>
                <w:rFonts w:cs="Times New Roman"/>
                <w:kern w:val="21"/>
                <w:sz w:val="21"/>
                <w:szCs w:val="21"/>
                <w:lang w:bidi="ar"/>
              </w:rPr>
              <w:t>。</w:t>
            </w:r>
          </w:p>
        </w:tc>
        <w:tc>
          <w:tcPr>
            <w:tcW w:w="856" w:type="dxa"/>
            <w:vAlign w:val="center"/>
          </w:tcPr>
          <w:p w14:paraId="6E0ED731" w14:textId="77777777" w:rsidR="00544649" w:rsidRDefault="00000000">
            <w:pPr>
              <w:widowControl/>
              <w:shd w:val="clear" w:color="auto" w:fill="FFFFFF"/>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44D8DCD4" w14:textId="77777777">
        <w:trPr>
          <w:trHeight w:val="90"/>
          <w:jc w:val="center"/>
        </w:trPr>
        <w:tc>
          <w:tcPr>
            <w:tcW w:w="1003" w:type="dxa"/>
            <w:vMerge w:val="restart"/>
            <w:vAlign w:val="center"/>
          </w:tcPr>
          <w:p w14:paraId="3E333B7D"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剑阁县大气环</w:t>
            </w:r>
            <w:r>
              <w:rPr>
                <w:rFonts w:cs="Times New Roman" w:hint="eastAsia"/>
                <w:kern w:val="21"/>
                <w:sz w:val="21"/>
                <w:szCs w:val="21"/>
              </w:rPr>
              <w:lastRenderedPageBreak/>
              <w:t>境一般管控区</w:t>
            </w:r>
          </w:p>
          <w:p w14:paraId="4E7E0A78"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YS5108233310001</w:t>
            </w:r>
          </w:p>
          <w:p w14:paraId="54647230"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大气环境一般管控区</w:t>
            </w:r>
          </w:p>
        </w:tc>
        <w:tc>
          <w:tcPr>
            <w:tcW w:w="507" w:type="dxa"/>
            <w:vMerge/>
            <w:vAlign w:val="center"/>
          </w:tcPr>
          <w:p w14:paraId="2C7D780D"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Align w:val="center"/>
          </w:tcPr>
          <w:p w14:paraId="647351AE"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空间布局约束</w:t>
            </w:r>
          </w:p>
        </w:tc>
        <w:tc>
          <w:tcPr>
            <w:tcW w:w="6968" w:type="dxa"/>
            <w:vAlign w:val="center"/>
          </w:tcPr>
          <w:p w14:paraId="37115A93" w14:textId="77777777" w:rsidR="00544649" w:rsidRDefault="00000000">
            <w:pPr>
              <w:widowControl/>
              <w:shd w:val="clear" w:color="auto" w:fill="FFFFFF"/>
              <w:adjustRightInd w:val="0"/>
              <w:snapToGrid w:val="0"/>
              <w:spacing w:after="0" w:line="240" w:lineRule="auto"/>
              <w:ind w:firstLineChars="0" w:firstLine="0"/>
              <w:jc w:val="left"/>
              <w:rPr>
                <w:rFonts w:cs="Times New Roman"/>
                <w:kern w:val="21"/>
                <w:sz w:val="21"/>
                <w:szCs w:val="21"/>
              </w:rPr>
            </w:pPr>
            <w:r>
              <w:rPr>
                <w:rFonts w:cs="Times New Roman" w:hint="eastAsia"/>
                <w:kern w:val="21"/>
                <w:sz w:val="21"/>
                <w:szCs w:val="21"/>
              </w:rPr>
              <w:t>禁止开发建设活动的要求</w:t>
            </w:r>
          </w:p>
          <w:p w14:paraId="2FCC957E" w14:textId="77777777" w:rsidR="00544649" w:rsidRDefault="00000000">
            <w:pPr>
              <w:widowControl/>
              <w:shd w:val="clear" w:color="auto" w:fill="FFFFFF"/>
              <w:adjustRightInd w:val="0"/>
              <w:snapToGrid w:val="0"/>
              <w:spacing w:after="0" w:line="240" w:lineRule="auto"/>
              <w:ind w:firstLineChars="0" w:firstLine="0"/>
              <w:jc w:val="left"/>
              <w:rPr>
                <w:rFonts w:cs="Times New Roman"/>
                <w:kern w:val="21"/>
                <w:sz w:val="21"/>
                <w:szCs w:val="21"/>
              </w:rPr>
            </w:pPr>
            <w:r>
              <w:rPr>
                <w:rFonts w:cs="Times New Roman"/>
                <w:kern w:val="21"/>
                <w:sz w:val="21"/>
                <w:szCs w:val="21"/>
              </w:rPr>
              <w:t>/</w:t>
            </w:r>
          </w:p>
          <w:p w14:paraId="568FBF50" w14:textId="77777777" w:rsidR="00544649" w:rsidRDefault="00000000">
            <w:pPr>
              <w:widowControl/>
              <w:shd w:val="clear" w:color="auto" w:fill="FFFFFF"/>
              <w:adjustRightInd w:val="0"/>
              <w:snapToGrid w:val="0"/>
              <w:spacing w:after="0" w:line="240" w:lineRule="auto"/>
              <w:ind w:firstLineChars="0" w:firstLine="0"/>
              <w:jc w:val="left"/>
              <w:rPr>
                <w:rFonts w:cs="Times New Roman"/>
                <w:kern w:val="21"/>
                <w:sz w:val="21"/>
                <w:szCs w:val="21"/>
              </w:rPr>
            </w:pPr>
            <w:r>
              <w:rPr>
                <w:rFonts w:cs="Times New Roman" w:hint="eastAsia"/>
                <w:kern w:val="21"/>
                <w:sz w:val="21"/>
                <w:szCs w:val="21"/>
              </w:rPr>
              <w:t>限制开发建设活动的要求</w:t>
            </w:r>
          </w:p>
          <w:p w14:paraId="63AB5746" w14:textId="77777777" w:rsidR="00544649" w:rsidRDefault="00000000">
            <w:pPr>
              <w:widowControl/>
              <w:shd w:val="clear" w:color="auto" w:fill="FFFFFF"/>
              <w:adjustRightInd w:val="0"/>
              <w:snapToGrid w:val="0"/>
              <w:spacing w:after="0" w:line="240" w:lineRule="auto"/>
              <w:ind w:firstLineChars="0" w:firstLine="0"/>
              <w:jc w:val="left"/>
              <w:rPr>
                <w:rFonts w:cs="Times New Roman"/>
                <w:kern w:val="21"/>
                <w:sz w:val="21"/>
                <w:szCs w:val="21"/>
              </w:rPr>
            </w:pPr>
            <w:r>
              <w:rPr>
                <w:rFonts w:cs="Times New Roman"/>
                <w:kern w:val="21"/>
                <w:sz w:val="21"/>
                <w:szCs w:val="21"/>
              </w:rPr>
              <w:lastRenderedPageBreak/>
              <w:t>/</w:t>
            </w:r>
          </w:p>
          <w:p w14:paraId="3F3FF1E5" w14:textId="77777777" w:rsidR="00544649" w:rsidRDefault="00000000">
            <w:pPr>
              <w:widowControl/>
              <w:shd w:val="clear" w:color="auto" w:fill="FFFFFF"/>
              <w:adjustRightInd w:val="0"/>
              <w:snapToGrid w:val="0"/>
              <w:spacing w:after="0" w:line="240" w:lineRule="auto"/>
              <w:ind w:firstLineChars="0" w:firstLine="0"/>
              <w:jc w:val="left"/>
              <w:rPr>
                <w:rFonts w:cs="Times New Roman"/>
                <w:kern w:val="21"/>
                <w:sz w:val="21"/>
                <w:szCs w:val="21"/>
              </w:rPr>
            </w:pPr>
            <w:r>
              <w:rPr>
                <w:rFonts w:cs="Times New Roman" w:hint="eastAsia"/>
                <w:kern w:val="21"/>
                <w:sz w:val="21"/>
                <w:szCs w:val="21"/>
              </w:rPr>
              <w:t>允许开发建设活动的要求</w:t>
            </w:r>
          </w:p>
          <w:p w14:paraId="132FB363" w14:textId="77777777" w:rsidR="00544649" w:rsidRDefault="00000000">
            <w:pPr>
              <w:widowControl/>
              <w:shd w:val="clear" w:color="auto" w:fill="FFFFFF"/>
              <w:adjustRightInd w:val="0"/>
              <w:snapToGrid w:val="0"/>
              <w:spacing w:after="0" w:line="240" w:lineRule="auto"/>
              <w:ind w:firstLineChars="0" w:firstLine="0"/>
              <w:jc w:val="left"/>
              <w:rPr>
                <w:rFonts w:cs="Times New Roman"/>
                <w:kern w:val="21"/>
                <w:sz w:val="21"/>
                <w:szCs w:val="21"/>
              </w:rPr>
            </w:pPr>
            <w:r>
              <w:rPr>
                <w:rFonts w:cs="Times New Roman"/>
                <w:kern w:val="21"/>
                <w:sz w:val="21"/>
                <w:szCs w:val="21"/>
              </w:rPr>
              <w:t>/</w:t>
            </w:r>
          </w:p>
          <w:p w14:paraId="2801A499" w14:textId="77777777" w:rsidR="00544649" w:rsidRDefault="00000000">
            <w:pPr>
              <w:widowControl/>
              <w:shd w:val="clear" w:color="auto" w:fill="FFFFFF"/>
              <w:adjustRightInd w:val="0"/>
              <w:snapToGrid w:val="0"/>
              <w:spacing w:after="0" w:line="240" w:lineRule="auto"/>
              <w:ind w:firstLineChars="0" w:firstLine="0"/>
              <w:jc w:val="left"/>
              <w:rPr>
                <w:rFonts w:cs="Times New Roman"/>
                <w:kern w:val="21"/>
                <w:sz w:val="21"/>
                <w:szCs w:val="21"/>
              </w:rPr>
            </w:pPr>
            <w:r>
              <w:rPr>
                <w:rFonts w:cs="Times New Roman" w:hint="eastAsia"/>
                <w:kern w:val="21"/>
                <w:sz w:val="21"/>
                <w:szCs w:val="21"/>
              </w:rPr>
              <w:t>不符合空间布局要求活动的退出要求</w:t>
            </w:r>
          </w:p>
          <w:p w14:paraId="62144DEF" w14:textId="77777777" w:rsidR="00544649" w:rsidRDefault="00000000">
            <w:pPr>
              <w:widowControl/>
              <w:shd w:val="clear" w:color="auto" w:fill="FFFFFF"/>
              <w:adjustRightInd w:val="0"/>
              <w:snapToGrid w:val="0"/>
              <w:spacing w:after="0" w:line="240" w:lineRule="auto"/>
              <w:ind w:firstLineChars="0" w:firstLine="0"/>
              <w:jc w:val="left"/>
              <w:rPr>
                <w:rFonts w:cs="Times New Roman"/>
                <w:kern w:val="21"/>
                <w:sz w:val="21"/>
                <w:szCs w:val="21"/>
              </w:rPr>
            </w:pPr>
            <w:r>
              <w:rPr>
                <w:rFonts w:cs="Times New Roman"/>
                <w:kern w:val="21"/>
                <w:sz w:val="21"/>
                <w:szCs w:val="21"/>
              </w:rPr>
              <w:t>/</w:t>
            </w:r>
          </w:p>
          <w:p w14:paraId="3FFEA72F" w14:textId="77777777" w:rsidR="00544649" w:rsidRDefault="00000000">
            <w:pPr>
              <w:widowControl/>
              <w:shd w:val="clear" w:color="auto" w:fill="FFFFFF"/>
              <w:adjustRightInd w:val="0"/>
              <w:snapToGrid w:val="0"/>
              <w:spacing w:after="0" w:line="240" w:lineRule="auto"/>
              <w:ind w:firstLineChars="0" w:firstLine="0"/>
              <w:jc w:val="left"/>
              <w:rPr>
                <w:rFonts w:cs="Times New Roman"/>
                <w:kern w:val="21"/>
                <w:sz w:val="21"/>
                <w:szCs w:val="21"/>
              </w:rPr>
            </w:pPr>
            <w:r>
              <w:rPr>
                <w:rFonts w:cs="Times New Roman" w:hint="eastAsia"/>
                <w:kern w:val="21"/>
                <w:sz w:val="21"/>
                <w:szCs w:val="21"/>
              </w:rPr>
              <w:t>其他空间布局约束要求</w:t>
            </w:r>
          </w:p>
          <w:p w14:paraId="27609C5A" w14:textId="77777777" w:rsidR="00544649" w:rsidRDefault="00000000">
            <w:pPr>
              <w:widowControl/>
              <w:shd w:val="clear" w:color="auto" w:fill="FFFFFF"/>
              <w:adjustRightInd w:val="0"/>
              <w:snapToGrid w:val="0"/>
              <w:spacing w:after="0" w:line="240" w:lineRule="auto"/>
              <w:ind w:firstLineChars="0" w:firstLine="0"/>
              <w:jc w:val="left"/>
              <w:rPr>
                <w:rFonts w:cs="Times New Roman"/>
                <w:kern w:val="21"/>
                <w:sz w:val="21"/>
                <w:szCs w:val="21"/>
              </w:rPr>
            </w:pPr>
            <w:r>
              <w:rPr>
                <w:rFonts w:cs="Times New Roman"/>
                <w:kern w:val="21"/>
                <w:sz w:val="21"/>
                <w:szCs w:val="21"/>
              </w:rPr>
              <w:t>/</w:t>
            </w:r>
          </w:p>
        </w:tc>
        <w:tc>
          <w:tcPr>
            <w:tcW w:w="4709" w:type="dxa"/>
            <w:vAlign w:val="center"/>
          </w:tcPr>
          <w:p w14:paraId="405B0036" w14:textId="77777777" w:rsidR="00544649" w:rsidRDefault="00000000">
            <w:pPr>
              <w:widowControl/>
              <w:shd w:val="clear" w:color="auto" w:fill="FFFFFF"/>
              <w:adjustRightInd w:val="0"/>
              <w:snapToGrid w:val="0"/>
              <w:spacing w:after="0" w:line="240" w:lineRule="auto"/>
              <w:ind w:firstLineChars="0" w:firstLine="0"/>
              <w:jc w:val="center"/>
              <w:rPr>
                <w:rFonts w:cs="Times New Roman"/>
                <w:kern w:val="21"/>
                <w:sz w:val="21"/>
                <w:szCs w:val="21"/>
                <w:lang w:bidi="ar"/>
              </w:rPr>
            </w:pPr>
            <w:r>
              <w:rPr>
                <w:rFonts w:cs="Times New Roman" w:hint="eastAsia"/>
                <w:kern w:val="21"/>
                <w:sz w:val="21"/>
                <w:szCs w:val="21"/>
                <w:lang w:bidi="ar"/>
              </w:rPr>
              <w:lastRenderedPageBreak/>
              <w:t>/</w:t>
            </w:r>
          </w:p>
        </w:tc>
        <w:tc>
          <w:tcPr>
            <w:tcW w:w="856" w:type="dxa"/>
            <w:vAlign w:val="center"/>
          </w:tcPr>
          <w:p w14:paraId="7E23F772" w14:textId="77777777" w:rsidR="00544649" w:rsidRDefault="00000000">
            <w:pPr>
              <w:shd w:val="clear" w:color="auto" w:fill="FFFFFF"/>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w:t>
            </w:r>
          </w:p>
        </w:tc>
      </w:tr>
      <w:tr w:rsidR="00544649" w14:paraId="0EB99AB9" w14:textId="77777777">
        <w:trPr>
          <w:trHeight w:val="90"/>
          <w:jc w:val="center"/>
        </w:trPr>
        <w:tc>
          <w:tcPr>
            <w:tcW w:w="1003" w:type="dxa"/>
            <w:vMerge/>
            <w:vAlign w:val="center"/>
          </w:tcPr>
          <w:p w14:paraId="4E9C9A24"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507" w:type="dxa"/>
            <w:vMerge/>
            <w:vAlign w:val="center"/>
          </w:tcPr>
          <w:p w14:paraId="68D22AD9"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Align w:val="center"/>
          </w:tcPr>
          <w:p w14:paraId="61C2A384"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污染物排放管控</w:t>
            </w:r>
          </w:p>
        </w:tc>
        <w:tc>
          <w:tcPr>
            <w:tcW w:w="6968" w:type="dxa"/>
            <w:vAlign w:val="center"/>
          </w:tcPr>
          <w:p w14:paraId="0307F33F" w14:textId="77777777" w:rsidR="00544649" w:rsidRDefault="00000000">
            <w:pPr>
              <w:pStyle w:val="Normal00"/>
              <w:widowControl/>
              <w:shd w:val="clear" w:color="auto" w:fill="FFFFFF"/>
              <w:adjustRightInd w:val="0"/>
              <w:snapToGrid w:val="0"/>
              <w:spacing w:after="0" w:line="240" w:lineRule="auto"/>
              <w:ind w:firstLineChars="0" w:firstLine="0"/>
              <w:jc w:val="left"/>
              <w:rPr>
                <w:rFonts w:eastAsia="宋体"/>
                <w:b/>
                <w:bCs/>
                <w:kern w:val="21"/>
                <w:sz w:val="21"/>
              </w:rPr>
            </w:pPr>
            <w:r>
              <w:rPr>
                <w:rFonts w:eastAsia="宋体"/>
                <w:b/>
                <w:bCs/>
                <w:kern w:val="21"/>
                <w:sz w:val="21"/>
              </w:rPr>
              <w:t>大气环境质量执行标准</w:t>
            </w:r>
          </w:p>
          <w:p w14:paraId="630B67C4"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《环境空气质量标准》（</w:t>
            </w:r>
            <w:r>
              <w:rPr>
                <w:rFonts w:cs="Times New Roman"/>
                <w:kern w:val="21"/>
                <w:sz w:val="21"/>
                <w:szCs w:val="21"/>
              </w:rPr>
              <w:t>GB3095-2012</w:t>
            </w:r>
            <w:r>
              <w:rPr>
                <w:rFonts w:cs="Times New Roman"/>
                <w:kern w:val="21"/>
                <w:sz w:val="21"/>
                <w:szCs w:val="21"/>
              </w:rPr>
              <w:t>）：二级</w:t>
            </w:r>
          </w:p>
          <w:p w14:paraId="4798A6AB"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区域大气污染物削减</w:t>
            </w:r>
            <w:r>
              <w:rPr>
                <w:rFonts w:cs="Times New Roman"/>
                <w:kern w:val="21"/>
                <w:sz w:val="21"/>
                <w:szCs w:val="21"/>
              </w:rPr>
              <w:t>/</w:t>
            </w:r>
            <w:r>
              <w:rPr>
                <w:rFonts w:cs="Times New Roman"/>
                <w:kern w:val="21"/>
                <w:sz w:val="21"/>
                <w:szCs w:val="21"/>
              </w:rPr>
              <w:t>替代要求</w:t>
            </w:r>
          </w:p>
          <w:p w14:paraId="463EBE25"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w:t>
            </w:r>
          </w:p>
          <w:p w14:paraId="70116AFA"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燃煤和其他能源大气污染控制要求</w:t>
            </w:r>
          </w:p>
          <w:p w14:paraId="6741FB58"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w:t>
            </w:r>
          </w:p>
          <w:p w14:paraId="695448FD"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工业废气污染控制要求</w:t>
            </w:r>
          </w:p>
          <w:p w14:paraId="618112EF"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w:t>
            </w:r>
          </w:p>
          <w:p w14:paraId="2FC052C9"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机动车船大气污染控制要求</w:t>
            </w:r>
          </w:p>
          <w:p w14:paraId="0034BB72"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w:t>
            </w:r>
          </w:p>
          <w:p w14:paraId="0207B067"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扬尘污染控制要求</w:t>
            </w:r>
          </w:p>
          <w:p w14:paraId="7C07046E"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w:t>
            </w:r>
          </w:p>
          <w:p w14:paraId="3441F433"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农业生产经营活动大气污染控制要求</w:t>
            </w:r>
          </w:p>
          <w:p w14:paraId="61421314"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w:t>
            </w:r>
          </w:p>
          <w:p w14:paraId="3EE2DC34"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重点行业企业专项治理要求</w:t>
            </w:r>
          </w:p>
          <w:p w14:paraId="20268CFC"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w:t>
            </w:r>
          </w:p>
          <w:p w14:paraId="01FB6E13" w14:textId="77777777" w:rsidR="00544649" w:rsidRDefault="00000000">
            <w:pPr>
              <w:widowControl/>
              <w:shd w:val="clear" w:color="auto" w:fill="FFFFFF"/>
              <w:adjustRightInd w:val="0"/>
              <w:snapToGrid w:val="0"/>
              <w:spacing w:after="0" w:line="240" w:lineRule="auto"/>
              <w:ind w:firstLineChars="0" w:firstLine="0"/>
              <w:rPr>
                <w:rFonts w:cs="Times New Roman"/>
                <w:b/>
                <w:bCs/>
                <w:kern w:val="21"/>
                <w:sz w:val="21"/>
                <w:szCs w:val="21"/>
              </w:rPr>
            </w:pPr>
            <w:r>
              <w:rPr>
                <w:rFonts w:cs="Times New Roman"/>
                <w:b/>
                <w:bCs/>
                <w:kern w:val="21"/>
                <w:sz w:val="21"/>
                <w:szCs w:val="21"/>
              </w:rPr>
              <w:t>其他大气污染物排放管控要求</w:t>
            </w:r>
          </w:p>
          <w:p w14:paraId="25BA902B"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kern w:val="21"/>
                <w:sz w:val="21"/>
                <w:szCs w:val="21"/>
              </w:rPr>
              <w:t>减少工业化、城镇化对大气环境的影响，严格执行国家、省、市下达的相关大气污染防治要求。</w:t>
            </w:r>
          </w:p>
        </w:tc>
        <w:tc>
          <w:tcPr>
            <w:tcW w:w="4709" w:type="dxa"/>
            <w:vAlign w:val="center"/>
          </w:tcPr>
          <w:p w14:paraId="01397D1F"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rPr>
            </w:pPr>
            <w:r>
              <w:rPr>
                <w:rFonts w:cs="Times New Roman" w:hint="eastAsia"/>
                <w:kern w:val="21"/>
                <w:sz w:val="21"/>
                <w:szCs w:val="21"/>
              </w:rPr>
              <w:t>本项目</w:t>
            </w:r>
            <w:r>
              <w:rPr>
                <w:rFonts w:cs="Times New Roman"/>
                <w:kern w:val="21"/>
                <w:sz w:val="21"/>
                <w:szCs w:val="21"/>
              </w:rPr>
              <w:t>区域大气环境执行《环境空气质量标准》（</w:t>
            </w:r>
            <w:r>
              <w:rPr>
                <w:rFonts w:cs="Times New Roman"/>
                <w:kern w:val="21"/>
                <w:sz w:val="21"/>
                <w:szCs w:val="21"/>
              </w:rPr>
              <w:t>GB3095-2012</w:t>
            </w:r>
            <w:r>
              <w:rPr>
                <w:rFonts w:cs="Times New Roman"/>
                <w:kern w:val="21"/>
                <w:sz w:val="21"/>
                <w:szCs w:val="21"/>
              </w:rPr>
              <w:t>）二级标准。</w:t>
            </w:r>
          </w:p>
          <w:p w14:paraId="1581BAEC" w14:textId="77777777" w:rsidR="00544649" w:rsidRDefault="00000000">
            <w:pPr>
              <w:widowControl/>
              <w:shd w:val="clear" w:color="auto" w:fill="FFFFFF"/>
              <w:adjustRightInd w:val="0"/>
              <w:snapToGrid w:val="0"/>
              <w:spacing w:after="0" w:line="240" w:lineRule="auto"/>
              <w:ind w:firstLineChars="0" w:firstLine="0"/>
              <w:rPr>
                <w:rFonts w:cs="Times New Roman"/>
                <w:kern w:val="21"/>
                <w:sz w:val="21"/>
                <w:szCs w:val="21"/>
                <w:lang w:bidi="ar"/>
              </w:rPr>
            </w:pPr>
            <w:r>
              <w:rPr>
                <w:rFonts w:cs="Times New Roman" w:hint="eastAsia"/>
                <w:kern w:val="21"/>
                <w:sz w:val="21"/>
                <w:szCs w:val="21"/>
              </w:rPr>
              <w:t>本项目不属于工业化、城镇化项目。本项目废气主要为鸡舍及污水处理站恶臭废气、食堂油烟以及锅炉废气，鸡舍及污水处理站恶臭通过定期喷洒除臭剂、加强场区绿化等措施后，</w:t>
            </w:r>
            <w:r>
              <w:rPr>
                <w:kern w:val="0"/>
                <w:sz w:val="21"/>
                <w:szCs w:val="21"/>
              </w:rPr>
              <w:t>恶臭</w:t>
            </w:r>
            <w:r>
              <w:rPr>
                <w:rFonts w:hint="eastAsia"/>
                <w:kern w:val="0"/>
                <w:sz w:val="21"/>
                <w:szCs w:val="21"/>
              </w:rPr>
              <w:t>满足《恶臭污染物排放标准》（</w:t>
            </w:r>
            <w:r>
              <w:rPr>
                <w:rFonts w:hint="eastAsia"/>
                <w:kern w:val="0"/>
                <w:sz w:val="21"/>
                <w:szCs w:val="21"/>
              </w:rPr>
              <w:t>GB14554-93</w:t>
            </w:r>
            <w:r>
              <w:rPr>
                <w:rFonts w:hint="eastAsia"/>
                <w:kern w:val="0"/>
                <w:sz w:val="21"/>
                <w:szCs w:val="21"/>
              </w:rPr>
              <w:t>）要求；食堂油烟经油烟净化设施处理后满足《饮食业油烟排放标准》（</w:t>
            </w:r>
            <w:r>
              <w:rPr>
                <w:rFonts w:hint="eastAsia"/>
                <w:kern w:val="0"/>
                <w:sz w:val="21"/>
                <w:szCs w:val="21"/>
              </w:rPr>
              <w:t>GB18483-2001</w:t>
            </w:r>
            <w:r>
              <w:rPr>
                <w:rFonts w:hint="eastAsia"/>
                <w:kern w:val="0"/>
                <w:sz w:val="21"/>
                <w:szCs w:val="21"/>
              </w:rPr>
              <w:t>）要求；锅炉废气满足《锅炉大气污染物排放标准》（</w:t>
            </w:r>
            <w:r>
              <w:rPr>
                <w:kern w:val="0"/>
                <w:sz w:val="21"/>
                <w:szCs w:val="21"/>
              </w:rPr>
              <w:t>GB13271-2014</w:t>
            </w:r>
            <w:r>
              <w:rPr>
                <w:rFonts w:hint="eastAsia"/>
                <w:kern w:val="0"/>
                <w:sz w:val="21"/>
                <w:szCs w:val="21"/>
              </w:rPr>
              <w:t>）要求。</w:t>
            </w:r>
          </w:p>
        </w:tc>
        <w:tc>
          <w:tcPr>
            <w:tcW w:w="856" w:type="dxa"/>
            <w:vAlign w:val="center"/>
          </w:tcPr>
          <w:p w14:paraId="2CECAD1A" w14:textId="77777777" w:rsidR="00544649" w:rsidRDefault="00000000">
            <w:pPr>
              <w:widowControl/>
              <w:shd w:val="clear" w:color="auto" w:fill="FFFFFF"/>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2C67BD85" w14:textId="77777777">
        <w:trPr>
          <w:trHeight w:val="90"/>
          <w:jc w:val="center"/>
        </w:trPr>
        <w:tc>
          <w:tcPr>
            <w:tcW w:w="1003" w:type="dxa"/>
            <w:vMerge/>
            <w:vAlign w:val="center"/>
          </w:tcPr>
          <w:p w14:paraId="017165FE"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507" w:type="dxa"/>
            <w:vMerge/>
            <w:vAlign w:val="center"/>
          </w:tcPr>
          <w:p w14:paraId="766274A2"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Align w:val="center"/>
          </w:tcPr>
          <w:p w14:paraId="3A216B9E"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环境风险防控</w:t>
            </w:r>
          </w:p>
        </w:tc>
        <w:tc>
          <w:tcPr>
            <w:tcW w:w="6968" w:type="dxa"/>
            <w:vAlign w:val="center"/>
          </w:tcPr>
          <w:p w14:paraId="2F2A644A" w14:textId="77777777" w:rsidR="00544649" w:rsidRDefault="00000000">
            <w:pPr>
              <w:widowControl/>
              <w:shd w:val="clear" w:color="auto" w:fill="FFFFFF"/>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w:t>
            </w:r>
          </w:p>
        </w:tc>
        <w:tc>
          <w:tcPr>
            <w:tcW w:w="4709" w:type="dxa"/>
            <w:vAlign w:val="center"/>
          </w:tcPr>
          <w:p w14:paraId="08564733" w14:textId="77777777" w:rsidR="00544649" w:rsidRDefault="00000000">
            <w:pPr>
              <w:widowControl/>
              <w:shd w:val="clear" w:color="auto" w:fill="FFFFFF"/>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rPr>
              <w:t>/</w:t>
            </w:r>
          </w:p>
        </w:tc>
        <w:tc>
          <w:tcPr>
            <w:tcW w:w="856" w:type="dxa"/>
            <w:vAlign w:val="center"/>
          </w:tcPr>
          <w:p w14:paraId="70F61A9C" w14:textId="77777777" w:rsidR="00544649" w:rsidRDefault="00000000">
            <w:pPr>
              <w:widowControl/>
              <w:shd w:val="clear" w:color="auto" w:fill="FFFFFF"/>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w:t>
            </w:r>
          </w:p>
        </w:tc>
      </w:tr>
      <w:tr w:rsidR="00544649" w14:paraId="3E3D9701" w14:textId="77777777">
        <w:trPr>
          <w:trHeight w:val="90"/>
          <w:jc w:val="center"/>
        </w:trPr>
        <w:tc>
          <w:tcPr>
            <w:tcW w:w="1003" w:type="dxa"/>
            <w:vMerge/>
            <w:vAlign w:val="center"/>
          </w:tcPr>
          <w:p w14:paraId="22DE720F"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507" w:type="dxa"/>
            <w:vMerge/>
            <w:vAlign w:val="center"/>
          </w:tcPr>
          <w:p w14:paraId="4ACA5BA7" w14:textId="77777777" w:rsidR="00544649" w:rsidRDefault="00544649">
            <w:pPr>
              <w:widowControl/>
              <w:adjustRightInd w:val="0"/>
              <w:snapToGrid w:val="0"/>
              <w:spacing w:after="0" w:line="240" w:lineRule="auto"/>
              <w:ind w:firstLineChars="0" w:firstLine="0"/>
              <w:jc w:val="center"/>
              <w:rPr>
                <w:rFonts w:cs="Times New Roman"/>
                <w:kern w:val="21"/>
                <w:sz w:val="21"/>
                <w:szCs w:val="21"/>
              </w:rPr>
            </w:pPr>
          </w:p>
        </w:tc>
        <w:tc>
          <w:tcPr>
            <w:tcW w:w="708" w:type="dxa"/>
            <w:vAlign w:val="center"/>
          </w:tcPr>
          <w:p w14:paraId="502AE3F8"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资源开发</w:t>
            </w:r>
            <w:r>
              <w:rPr>
                <w:rFonts w:cs="Times New Roman"/>
                <w:kern w:val="21"/>
                <w:sz w:val="21"/>
                <w:szCs w:val="21"/>
              </w:rPr>
              <w:lastRenderedPageBreak/>
              <w:t>利用效率</w:t>
            </w:r>
          </w:p>
        </w:tc>
        <w:tc>
          <w:tcPr>
            <w:tcW w:w="6968" w:type="dxa"/>
            <w:vAlign w:val="center"/>
          </w:tcPr>
          <w:p w14:paraId="187873D1" w14:textId="77777777" w:rsidR="00544649" w:rsidRDefault="00000000">
            <w:pPr>
              <w:widowControl/>
              <w:shd w:val="clear" w:color="auto" w:fill="FFFFFF"/>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lastRenderedPageBreak/>
              <w:t>/</w:t>
            </w:r>
          </w:p>
        </w:tc>
        <w:tc>
          <w:tcPr>
            <w:tcW w:w="4709" w:type="dxa"/>
            <w:vAlign w:val="center"/>
          </w:tcPr>
          <w:p w14:paraId="5FFFE0C8" w14:textId="77777777" w:rsidR="00544649" w:rsidRDefault="00000000">
            <w:pPr>
              <w:widowControl/>
              <w:shd w:val="clear" w:color="auto" w:fill="FFFFFF"/>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rPr>
              <w:t>/</w:t>
            </w:r>
          </w:p>
        </w:tc>
        <w:tc>
          <w:tcPr>
            <w:tcW w:w="856" w:type="dxa"/>
            <w:vAlign w:val="center"/>
          </w:tcPr>
          <w:p w14:paraId="765F39E9" w14:textId="77777777" w:rsidR="00544649" w:rsidRDefault="00000000">
            <w:pPr>
              <w:widowControl/>
              <w:shd w:val="clear" w:color="auto" w:fill="FFFFFF"/>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rPr>
              <w:t>/</w:t>
            </w:r>
          </w:p>
        </w:tc>
      </w:tr>
    </w:tbl>
    <w:p w14:paraId="5BD6E8D6" w14:textId="77777777" w:rsidR="00544649" w:rsidRDefault="00000000">
      <w:pPr>
        <w:pStyle w:val="aff2"/>
        <w:adjustRightInd w:val="0"/>
        <w:snapToGrid w:val="0"/>
        <w:spacing w:after="0"/>
        <w:rPr>
          <w:rFonts w:ascii="Times New Roman" w:hAnsi="Times New Roman" w:cs="Times New Roman"/>
          <w:kern w:val="21"/>
        </w:rPr>
        <w:sectPr w:rsidR="00544649">
          <w:pgSz w:w="16838" w:h="11906" w:orient="landscape"/>
          <w:pgMar w:top="1531" w:right="1134" w:bottom="1531" w:left="1134" w:header="851" w:footer="794" w:gutter="0"/>
          <w:cols w:space="425"/>
          <w:docGrid w:type="lines" w:linePitch="312"/>
        </w:sectPr>
      </w:pPr>
      <w:r>
        <w:rPr>
          <w:rFonts w:ascii="Times New Roman" w:hAnsi="Times New Roman" w:cs="Times New Roman" w:hint="eastAsia"/>
          <w:kern w:val="21"/>
        </w:rPr>
        <w:t>综上所述，经过与四川省生态环境分区管</w:t>
      </w:r>
      <w:proofErr w:type="gramStart"/>
      <w:r>
        <w:rPr>
          <w:rFonts w:ascii="Times New Roman" w:hAnsi="Times New Roman" w:cs="Times New Roman" w:hint="eastAsia"/>
          <w:kern w:val="21"/>
        </w:rPr>
        <w:t>控要求</w:t>
      </w:r>
      <w:proofErr w:type="gramEnd"/>
      <w:r>
        <w:rPr>
          <w:rFonts w:ascii="Times New Roman" w:hAnsi="Times New Roman" w:cs="Times New Roman" w:hint="eastAsia"/>
          <w:kern w:val="21"/>
        </w:rPr>
        <w:t>对照分析，本项目不涉及生态红线，符合四川省生态环境分区管控的各项要求。</w:t>
      </w:r>
    </w:p>
    <w:p w14:paraId="5EAF5406" w14:textId="77777777" w:rsidR="00544649" w:rsidRDefault="00000000">
      <w:pPr>
        <w:keepNext/>
        <w:keepLines/>
        <w:numPr>
          <w:ilvl w:val="2"/>
          <w:numId w:val="2"/>
        </w:numPr>
        <w:adjustRightInd w:val="0"/>
        <w:snapToGrid w:val="0"/>
        <w:spacing w:after="0"/>
        <w:ind w:firstLineChars="0"/>
        <w:outlineLvl w:val="2"/>
        <w:rPr>
          <w:rFonts w:cs="Times New Roman"/>
          <w:b/>
          <w:bCs/>
          <w:kern w:val="21"/>
          <w:sz w:val="28"/>
          <w:szCs w:val="28"/>
        </w:rPr>
      </w:pPr>
      <w:bookmarkStart w:id="89" w:name="_Toc19989"/>
      <w:bookmarkStart w:id="90" w:name="_Toc29332"/>
      <w:bookmarkStart w:id="91" w:name="_Toc195009794"/>
      <w:r>
        <w:rPr>
          <w:rFonts w:cs="Times New Roman"/>
          <w:b/>
          <w:bCs/>
          <w:kern w:val="21"/>
          <w:sz w:val="28"/>
          <w:szCs w:val="28"/>
        </w:rPr>
        <w:lastRenderedPageBreak/>
        <w:t>其他符合性分析</w:t>
      </w:r>
      <w:bookmarkEnd w:id="89"/>
      <w:bookmarkEnd w:id="90"/>
      <w:bookmarkEnd w:id="91"/>
    </w:p>
    <w:p w14:paraId="073754CE" w14:textId="77777777" w:rsidR="00544649" w:rsidRDefault="00000000">
      <w:pPr>
        <w:keepNext/>
        <w:keepLines/>
        <w:numPr>
          <w:ilvl w:val="3"/>
          <w:numId w:val="2"/>
        </w:numPr>
        <w:adjustRightInd w:val="0"/>
        <w:snapToGrid w:val="0"/>
        <w:spacing w:after="0"/>
        <w:ind w:firstLineChars="0"/>
        <w:outlineLvl w:val="3"/>
        <w:rPr>
          <w:rFonts w:cs="Times New Roman"/>
          <w:b/>
          <w:kern w:val="21"/>
          <w:szCs w:val="28"/>
        </w:rPr>
      </w:pPr>
      <w:r>
        <w:rPr>
          <w:rFonts w:cs="Times New Roman"/>
          <w:b/>
          <w:kern w:val="21"/>
          <w:szCs w:val="28"/>
        </w:rPr>
        <w:t>与《四川省</w:t>
      </w:r>
      <w:r>
        <w:rPr>
          <w:rFonts w:cs="Times New Roman"/>
          <w:b/>
          <w:kern w:val="21"/>
          <w:szCs w:val="28"/>
        </w:rPr>
        <w:t>“</w:t>
      </w:r>
      <w:r>
        <w:rPr>
          <w:rFonts w:cs="Times New Roman"/>
          <w:b/>
          <w:kern w:val="21"/>
          <w:szCs w:val="28"/>
        </w:rPr>
        <w:t>十四五</w:t>
      </w:r>
      <w:r>
        <w:rPr>
          <w:rFonts w:cs="Times New Roman"/>
          <w:b/>
          <w:kern w:val="21"/>
          <w:szCs w:val="28"/>
        </w:rPr>
        <w:t>”</w:t>
      </w:r>
      <w:r>
        <w:rPr>
          <w:rFonts w:cs="Times New Roman"/>
          <w:b/>
          <w:kern w:val="21"/>
          <w:szCs w:val="28"/>
        </w:rPr>
        <w:t>生态环境保护规划》的符合性分析</w:t>
      </w:r>
    </w:p>
    <w:p w14:paraId="70BD2884"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四川省人民政府于</w:t>
      </w:r>
      <w:r>
        <w:rPr>
          <w:rFonts w:cs="Times New Roman" w:hint="eastAsia"/>
          <w:kern w:val="21"/>
          <w:szCs w:val="24"/>
        </w:rPr>
        <w:t>2022</w:t>
      </w:r>
      <w:r>
        <w:rPr>
          <w:rFonts w:cs="Times New Roman" w:hint="eastAsia"/>
          <w:kern w:val="21"/>
          <w:szCs w:val="24"/>
        </w:rPr>
        <w:t>年</w:t>
      </w:r>
      <w:r>
        <w:rPr>
          <w:rFonts w:cs="Times New Roman" w:hint="eastAsia"/>
          <w:kern w:val="21"/>
          <w:szCs w:val="24"/>
        </w:rPr>
        <w:t>1</w:t>
      </w:r>
      <w:r>
        <w:rPr>
          <w:rFonts w:cs="Times New Roman" w:hint="eastAsia"/>
          <w:kern w:val="21"/>
          <w:szCs w:val="24"/>
        </w:rPr>
        <w:t>月</w:t>
      </w:r>
      <w:r>
        <w:rPr>
          <w:rFonts w:cs="Times New Roman" w:hint="eastAsia"/>
          <w:kern w:val="21"/>
          <w:szCs w:val="24"/>
        </w:rPr>
        <w:t>17</w:t>
      </w:r>
      <w:r>
        <w:rPr>
          <w:rFonts w:cs="Times New Roman" w:hint="eastAsia"/>
          <w:kern w:val="21"/>
          <w:szCs w:val="24"/>
        </w:rPr>
        <w:t>日印发《四川省“十四五”生态环境保护规划》</w:t>
      </w:r>
      <w:r>
        <w:rPr>
          <w:rFonts w:cs="Times New Roman"/>
          <w:kern w:val="21"/>
          <w:szCs w:val="24"/>
        </w:rPr>
        <w:t>（</w:t>
      </w:r>
      <w:r>
        <w:rPr>
          <w:rFonts w:cs="Times New Roman" w:hint="eastAsia"/>
          <w:kern w:val="21"/>
          <w:szCs w:val="24"/>
        </w:rPr>
        <w:t>川府发</w:t>
      </w:r>
      <w:r>
        <w:rPr>
          <w:rFonts w:cs="Times New Roman"/>
          <w:kern w:val="21"/>
          <w:szCs w:val="24"/>
        </w:rPr>
        <w:t>〔</w:t>
      </w:r>
      <w:r>
        <w:rPr>
          <w:rFonts w:cs="Times New Roman"/>
          <w:kern w:val="21"/>
          <w:szCs w:val="24"/>
        </w:rPr>
        <w:t>2022</w:t>
      </w:r>
      <w:r>
        <w:rPr>
          <w:rFonts w:cs="Times New Roman"/>
          <w:kern w:val="21"/>
          <w:szCs w:val="24"/>
        </w:rPr>
        <w:t>〕</w:t>
      </w:r>
      <w:r>
        <w:rPr>
          <w:rFonts w:cs="Times New Roman" w:hint="eastAsia"/>
          <w:kern w:val="21"/>
          <w:szCs w:val="24"/>
        </w:rPr>
        <w:t>2</w:t>
      </w:r>
      <w:r>
        <w:rPr>
          <w:rFonts w:cs="Times New Roman"/>
          <w:kern w:val="21"/>
          <w:szCs w:val="24"/>
        </w:rPr>
        <w:t>号）</w:t>
      </w:r>
      <w:r>
        <w:rPr>
          <w:rFonts w:cs="Times New Roman" w:hint="eastAsia"/>
          <w:kern w:val="21"/>
          <w:szCs w:val="24"/>
        </w:rPr>
        <w:t>，本项目与其符合性分析见下表。</w:t>
      </w:r>
    </w:p>
    <w:p w14:paraId="23C84D4F" w14:textId="77777777" w:rsidR="00544649" w:rsidRDefault="00000000">
      <w:pPr>
        <w:keepNext/>
        <w:widowControl/>
        <w:numPr>
          <w:ilvl w:val="0"/>
          <w:numId w:val="13"/>
        </w:numPr>
        <w:adjustRightInd w:val="0"/>
        <w:snapToGrid w:val="0"/>
        <w:spacing w:beforeLines="20" w:before="62" w:afterLines="20" w:after="62" w:line="240" w:lineRule="auto"/>
        <w:ind w:firstLineChars="0"/>
        <w:jc w:val="center"/>
        <w:rPr>
          <w:rFonts w:cs="Times New Roman"/>
          <w:b/>
          <w:kern w:val="21"/>
          <w:sz w:val="21"/>
          <w:szCs w:val="24"/>
        </w:rPr>
      </w:pPr>
      <w:r>
        <w:rPr>
          <w:rFonts w:cs="Times New Roman"/>
          <w:b/>
          <w:kern w:val="21"/>
          <w:sz w:val="21"/>
          <w:szCs w:val="21"/>
        </w:rPr>
        <w:t>本项目与《四川省</w:t>
      </w:r>
      <w:r>
        <w:rPr>
          <w:rFonts w:cs="Times New Roman"/>
          <w:b/>
          <w:kern w:val="21"/>
          <w:sz w:val="21"/>
          <w:szCs w:val="21"/>
        </w:rPr>
        <w:t>“</w:t>
      </w:r>
      <w:r>
        <w:rPr>
          <w:rFonts w:cs="Times New Roman"/>
          <w:b/>
          <w:kern w:val="21"/>
          <w:sz w:val="21"/>
          <w:szCs w:val="21"/>
        </w:rPr>
        <w:t>十四五</w:t>
      </w:r>
      <w:r>
        <w:rPr>
          <w:rFonts w:cs="Times New Roman"/>
          <w:b/>
          <w:kern w:val="21"/>
          <w:sz w:val="21"/>
          <w:szCs w:val="21"/>
        </w:rPr>
        <w:t>”</w:t>
      </w:r>
      <w:r>
        <w:rPr>
          <w:rFonts w:cs="Times New Roman"/>
          <w:b/>
          <w:kern w:val="21"/>
          <w:sz w:val="21"/>
          <w:szCs w:val="21"/>
        </w:rPr>
        <w:t>生态环境保护规划》的符合性分析</w:t>
      </w:r>
    </w:p>
    <w:tbl>
      <w:tblPr>
        <w:tblStyle w:val="afc"/>
        <w:tblW w:w="9055" w:type="dxa"/>
        <w:jc w:val="center"/>
        <w:tblLayout w:type="fixed"/>
        <w:tblLook w:val="04A0" w:firstRow="1" w:lastRow="0" w:firstColumn="1" w:lastColumn="0" w:noHBand="0" w:noVBand="1"/>
      </w:tblPr>
      <w:tblGrid>
        <w:gridCol w:w="5158"/>
        <w:gridCol w:w="2934"/>
        <w:gridCol w:w="963"/>
      </w:tblGrid>
      <w:tr w:rsidR="00544649" w14:paraId="4F8A2F89" w14:textId="77777777">
        <w:trPr>
          <w:tblHeader/>
          <w:jc w:val="center"/>
        </w:trPr>
        <w:tc>
          <w:tcPr>
            <w:tcW w:w="5158" w:type="dxa"/>
            <w:vAlign w:val="center"/>
          </w:tcPr>
          <w:p w14:paraId="564AA531"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规划内容</w:t>
            </w:r>
          </w:p>
        </w:tc>
        <w:tc>
          <w:tcPr>
            <w:tcW w:w="2934" w:type="dxa"/>
            <w:vAlign w:val="center"/>
          </w:tcPr>
          <w:p w14:paraId="08B02C4F"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本项目情况</w:t>
            </w:r>
          </w:p>
        </w:tc>
        <w:tc>
          <w:tcPr>
            <w:tcW w:w="963" w:type="dxa"/>
            <w:vAlign w:val="center"/>
          </w:tcPr>
          <w:p w14:paraId="69A08E91"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符合性</w:t>
            </w:r>
          </w:p>
        </w:tc>
      </w:tr>
      <w:tr w:rsidR="00544649" w14:paraId="576C3C4F" w14:textId="77777777">
        <w:trPr>
          <w:trHeight w:val="310"/>
          <w:jc w:val="center"/>
        </w:trPr>
        <w:tc>
          <w:tcPr>
            <w:tcW w:w="5158" w:type="dxa"/>
            <w:vAlign w:val="center"/>
          </w:tcPr>
          <w:p w14:paraId="034E72F7" w14:textId="77777777" w:rsidR="00544649" w:rsidRDefault="00000000">
            <w:pPr>
              <w:widowControl/>
              <w:adjustRightInd w:val="0"/>
              <w:snapToGrid w:val="0"/>
              <w:spacing w:beforeLines="20" w:before="62" w:afterLines="20" w:after="62" w:line="240" w:lineRule="auto"/>
              <w:ind w:firstLineChars="0" w:firstLine="0"/>
              <w:rPr>
                <w:rFonts w:cs="Times New Roman"/>
                <w:b/>
                <w:bCs/>
                <w:kern w:val="21"/>
                <w:sz w:val="21"/>
                <w:szCs w:val="21"/>
              </w:rPr>
            </w:pPr>
            <w:r>
              <w:rPr>
                <w:rFonts w:cs="Times New Roman" w:hint="eastAsia"/>
                <w:b/>
                <w:bCs/>
                <w:kern w:val="21"/>
                <w:sz w:val="21"/>
                <w:szCs w:val="21"/>
                <w:lang w:bidi="ar"/>
              </w:rPr>
              <w:t>（</w:t>
            </w:r>
            <w:r>
              <w:rPr>
                <w:rFonts w:cs="Times New Roman"/>
                <w:b/>
                <w:bCs/>
                <w:kern w:val="21"/>
                <w:sz w:val="21"/>
                <w:szCs w:val="21"/>
                <w:lang w:bidi="ar"/>
              </w:rPr>
              <w:t>二</w:t>
            </w:r>
            <w:r>
              <w:rPr>
                <w:rFonts w:cs="Times New Roman" w:hint="eastAsia"/>
                <w:b/>
                <w:bCs/>
                <w:kern w:val="21"/>
                <w:sz w:val="21"/>
                <w:szCs w:val="21"/>
                <w:lang w:bidi="ar"/>
              </w:rPr>
              <w:t>）</w:t>
            </w:r>
            <w:r>
              <w:rPr>
                <w:rFonts w:cs="Times New Roman"/>
                <w:b/>
                <w:bCs/>
                <w:kern w:val="21"/>
                <w:sz w:val="21"/>
                <w:szCs w:val="21"/>
                <w:lang w:bidi="ar"/>
              </w:rPr>
              <w:t>推动生产方式绿色转型。</w:t>
            </w:r>
          </w:p>
          <w:p w14:paraId="739D1930" w14:textId="77777777" w:rsidR="00544649" w:rsidRDefault="00000000">
            <w:pPr>
              <w:widowControl/>
              <w:adjustRightInd w:val="0"/>
              <w:snapToGrid w:val="0"/>
              <w:spacing w:beforeLines="20" w:before="62" w:afterLines="20" w:after="62" w:line="240" w:lineRule="auto"/>
              <w:ind w:firstLineChars="0" w:firstLine="0"/>
              <w:rPr>
                <w:rFonts w:cs="Times New Roman"/>
                <w:bCs/>
                <w:kern w:val="21"/>
                <w:sz w:val="21"/>
                <w:szCs w:val="21"/>
              </w:rPr>
            </w:pPr>
            <w:r>
              <w:rPr>
                <w:rFonts w:cs="Times New Roman"/>
                <w:b/>
                <w:bCs/>
                <w:kern w:val="21"/>
                <w:sz w:val="21"/>
                <w:szCs w:val="21"/>
                <w:lang w:bidi="ar"/>
              </w:rPr>
              <w:t>全方位构建绿色农业。</w:t>
            </w:r>
            <w:r>
              <w:rPr>
                <w:rFonts w:cs="Times New Roman"/>
                <w:kern w:val="21"/>
                <w:sz w:val="21"/>
                <w:szCs w:val="21"/>
                <w:lang w:bidi="ar"/>
              </w:rPr>
              <w:t>大力发展绿色低碳循环农业</w:t>
            </w:r>
            <w:r>
              <w:rPr>
                <w:rFonts w:cs="Times New Roman" w:hint="eastAsia"/>
                <w:kern w:val="21"/>
                <w:sz w:val="21"/>
                <w:szCs w:val="21"/>
                <w:lang w:bidi="ar"/>
              </w:rPr>
              <w:t>，</w:t>
            </w:r>
            <w:r>
              <w:rPr>
                <w:rFonts w:cs="Times New Roman"/>
                <w:kern w:val="21"/>
                <w:sz w:val="21"/>
                <w:szCs w:val="21"/>
                <w:lang w:bidi="ar"/>
              </w:rPr>
              <w:t>构建绿色、现代、高效的农业投入、生产方式和循环体系</w:t>
            </w:r>
            <w:r>
              <w:rPr>
                <w:rFonts w:cs="Times New Roman" w:hint="eastAsia"/>
                <w:kern w:val="21"/>
                <w:sz w:val="21"/>
                <w:szCs w:val="21"/>
                <w:lang w:bidi="ar"/>
              </w:rPr>
              <w:t>，</w:t>
            </w:r>
            <w:r>
              <w:rPr>
                <w:rFonts w:cs="Times New Roman"/>
                <w:kern w:val="21"/>
                <w:sz w:val="21"/>
                <w:szCs w:val="21"/>
                <w:lang w:bidi="ar"/>
              </w:rPr>
              <w:t>支持有条件的地区开展国家农业绿色发展先行区建设</w:t>
            </w:r>
            <w:r>
              <w:rPr>
                <w:rFonts w:cs="Times New Roman" w:hint="eastAsia"/>
                <w:kern w:val="21"/>
                <w:sz w:val="21"/>
                <w:szCs w:val="21"/>
                <w:lang w:bidi="ar"/>
              </w:rPr>
              <w:t>，</w:t>
            </w:r>
            <w:r>
              <w:rPr>
                <w:rFonts w:cs="Times New Roman"/>
                <w:kern w:val="21"/>
                <w:sz w:val="21"/>
                <w:szCs w:val="21"/>
                <w:lang w:bidi="ar"/>
              </w:rPr>
              <w:t>推广使用节水灌溉技术。推进化肥农药减量化行动</w:t>
            </w:r>
            <w:r>
              <w:rPr>
                <w:rFonts w:cs="Times New Roman" w:hint="eastAsia"/>
                <w:kern w:val="21"/>
                <w:sz w:val="21"/>
                <w:szCs w:val="21"/>
                <w:lang w:bidi="ar"/>
              </w:rPr>
              <w:t>，</w:t>
            </w:r>
            <w:r>
              <w:rPr>
                <w:rFonts w:cs="Times New Roman"/>
                <w:kern w:val="21"/>
                <w:sz w:val="21"/>
                <w:szCs w:val="21"/>
                <w:lang w:bidi="ar"/>
              </w:rPr>
              <w:t>推广水产健康养殖模式。鼓励引导发展高标准规模化生态养殖</w:t>
            </w:r>
            <w:r>
              <w:rPr>
                <w:rFonts w:cs="Times New Roman" w:hint="eastAsia"/>
                <w:kern w:val="21"/>
                <w:sz w:val="21"/>
                <w:szCs w:val="21"/>
                <w:lang w:bidi="ar"/>
              </w:rPr>
              <w:t>，</w:t>
            </w:r>
            <w:r>
              <w:rPr>
                <w:rFonts w:cs="Times New Roman"/>
                <w:kern w:val="21"/>
                <w:sz w:val="21"/>
                <w:szCs w:val="21"/>
                <w:lang w:bidi="ar"/>
              </w:rPr>
              <w:t>加快推进绿色种养循环农业。健全病死畜禽无害化处理体系。禁止生产、销售、使用国家明令禁止或者不符合强制性国家标准的农膜</w:t>
            </w:r>
            <w:r>
              <w:rPr>
                <w:rFonts w:cs="Times New Roman" w:hint="eastAsia"/>
                <w:kern w:val="21"/>
                <w:sz w:val="21"/>
                <w:szCs w:val="21"/>
                <w:lang w:bidi="ar"/>
              </w:rPr>
              <w:t>，</w:t>
            </w:r>
            <w:r>
              <w:rPr>
                <w:rFonts w:cs="Times New Roman"/>
                <w:kern w:val="21"/>
                <w:sz w:val="21"/>
                <w:szCs w:val="21"/>
                <w:lang w:bidi="ar"/>
              </w:rPr>
              <w:t>鼓励和支持生产、使用全生物降解农膜。以县为单位整体推进秸秆综合利用</w:t>
            </w:r>
            <w:r>
              <w:rPr>
                <w:rFonts w:cs="Times New Roman" w:hint="eastAsia"/>
                <w:kern w:val="21"/>
                <w:sz w:val="21"/>
                <w:szCs w:val="21"/>
                <w:lang w:bidi="ar"/>
              </w:rPr>
              <w:t>，</w:t>
            </w:r>
            <w:r>
              <w:rPr>
                <w:rFonts w:cs="Times New Roman"/>
                <w:kern w:val="21"/>
                <w:sz w:val="21"/>
                <w:szCs w:val="21"/>
                <w:lang w:bidi="ar"/>
              </w:rPr>
              <w:t>鼓励秸秆产业化跨区域发展</w:t>
            </w:r>
            <w:r>
              <w:rPr>
                <w:rFonts w:cs="Times New Roman" w:hint="eastAsia"/>
                <w:kern w:val="21"/>
                <w:sz w:val="21"/>
                <w:szCs w:val="21"/>
                <w:lang w:bidi="ar"/>
              </w:rPr>
              <w:t>，</w:t>
            </w:r>
            <w:r>
              <w:rPr>
                <w:rFonts w:cs="Times New Roman"/>
                <w:kern w:val="21"/>
                <w:sz w:val="21"/>
                <w:szCs w:val="21"/>
                <w:lang w:bidi="ar"/>
              </w:rPr>
              <w:t>到</w:t>
            </w:r>
            <w:r>
              <w:rPr>
                <w:rFonts w:cs="Times New Roman"/>
                <w:kern w:val="21"/>
                <w:sz w:val="21"/>
                <w:szCs w:val="21"/>
                <w:lang w:bidi="ar"/>
              </w:rPr>
              <w:t>2025</w:t>
            </w:r>
            <w:r>
              <w:rPr>
                <w:rFonts w:cs="Times New Roman"/>
                <w:kern w:val="21"/>
                <w:sz w:val="21"/>
                <w:szCs w:val="21"/>
                <w:lang w:bidi="ar"/>
              </w:rPr>
              <w:t>年</w:t>
            </w:r>
            <w:r>
              <w:rPr>
                <w:rFonts w:cs="Times New Roman" w:hint="eastAsia"/>
                <w:kern w:val="21"/>
                <w:sz w:val="21"/>
                <w:szCs w:val="21"/>
                <w:lang w:bidi="ar"/>
              </w:rPr>
              <w:t>，</w:t>
            </w:r>
            <w:r>
              <w:rPr>
                <w:rFonts w:cs="Times New Roman"/>
                <w:kern w:val="21"/>
                <w:sz w:val="21"/>
                <w:szCs w:val="21"/>
                <w:lang w:bidi="ar"/>
              </w:rPr>
              <w:t>建成较为完善的秸秆收储运用体系</w:t>
            </w:r>
            <w:r>
              <w:rPr>
                <w:rFonts w:cs="Times New Roman" w:hint="eastAsia"/>
                <w:kern w:val="21"/>
                <w:sz w:val="21"/>
                <w:szCs w:val="21"/>
                <w:lang w:bidi="ar"/>
              </w:rPr>
              <w:t>，</w:t>
            </w:r>
            <w:r>
              <w:rPr>
                <w:rFonts w:cs="Times New Roman"/>
                <w:kern w:val="21"/>
                <w:sz w:val="21"/>
                <w:szCs w:val="21"/>
                <w:lang w:bidi="ar"/>
              </w:rPr>
              <w:t>秸秆综合利用率保持在</w:t>
            </w:r>
            <w:r>
              <w:rPr>
                <w:rFonts w:cs="Times New Roman"/>
                <w:kern w:val="21"/>
                <w:sz w:val="21"/>
                <w:szCs w:val="21"/>
                <w:lang w:bidi="ar"/>
              </w:rPr>
              <w:t>90%</w:t>
            </w:r>
            <w:r>
              <w:rPr>
                <w:rFonts w:cs="Times New Roman"/>
                <w:kern w:val="21"/>
                <w:sz w:val="21"/>
                <w:szCs w:val="21"/>
                <w:lang w:bidi="ar"/>
              </w:rPr>
              <w:t>以上。立足资源优势打造各具特色的农业全产业链</w:t>
            </w:r>
            <w:r>
              <w:rPr>
                <w:rFonts w:cs="Times New Roman" w:hint="eastAsia"/>
                <w:kern w:val="21"/>
                <w:sz w:val="21"/>
                <w:szCs w:val="21"/>
                <w:lang w:bidi="ar"/>
              </w:rPr>
              <w:t>，</w:t>
            </w:r>
            <w:r>
              <w:rPr>
                <w:rFonts w:cs="Times New Roman"/>
                <w:kern w:val="21"/>
                <w:sz w:val="21"/>
                <w:szCs w:val="21"/>
                <w:lang w:bidi="ar"/>
              </w:rPr>
              <w:t>推动农村</w:t>
            </w:r>
            <w:r>
              <w:rPr>
                <w:rFonts w:cs="Times New Roman" w:hint="eastAsia"/>
                <w:kern w:val="21"/>
                <w:sz w:val="21"/>
                <w:szCs w:val="21"/>
                <w:lang w:bidi="ar"/>
              </w:rPr>
              <w:t>一、二、三产业</w:t>
            </w:r>
            <w:r>
              <w:rPr>
                <w:rFonts w:cs="Times New Roman"/>
                <w:kern w:val="21"/>
                <w:sz w:val="21"/>
                <w:szCs w:val="21"/>
                <w:lang w:bidi="ar"/>
              </w:rPr>
              <w:t>低碳、协调、融合发展。</w:t>
            </w:r>
          </w:p>
        </w:tc>
        <w:tc>
          <w:tcPr>
            <w:tcW w:w="2934" w:type="dxa"/>
            <w:vAlign w:val="center"/>
          </w:tcPr>
          <w:p w14:paraId="6CDC2DC3"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本项目以现代化、标准化、无公害的养殖管理模式建设规模化蛋鸡养殖场；鸡粪日产日清，交由</w:t>
            </w:r>
            <w:r>
              <w:rPr>
                <w:rFonts w:cs="Times New Roman" w:hint="eastAsia"/>
                <w:bCs/>
                <w:kern w:val="21"/>
                <w:sz w:val="21"/>
                <w:szCs w:val="21"/>
              </w:rPr>
              <w:t>四川省田宝生物科技有限公司</w:t>
            </w:r>
            <w:r>
              <w:rPr>
                <w:rFonts w:cs="Times New Roman"/>
                <w:bCs/>
                <w:kern w:val="21"/>
                <w:sz w:val="21"/>
                <w:szCs w:val="21"/>
              </w:rPr>
              <w:t>进行有机肥生产；病死</w:t>
            </w:r>
            <w:proofErr w:type="gramStart"/>
            <w:r>
              <w:rPr>
                <w:rFonts w:cs="Times New Roman"/>
                <w:bCs/>
                <w:kern w:val="21"/>
                <w:sz w:val="21"/>
                <w:szCs w:val="21"/>
              </w:rPr>
              <w:t>鸡</w:t>
            </w:r>
            <w:r>
              <w:rPr>
                <w:rFonts w:cs="Times New Roman" w:hint="eastAsia"/>
                <w:bCs/>
                <w:kern w:val="21"/>
                <w:sz w:val="21"/>
                <w:szCs w:val="21"/>
              </w:rPr>
              <w:t>委托</w:t>
            </w:r>
            <w:proofErr w:type="gramEnd"/>
            <w:r>
              <w:rPr>
                <w:rFonts w:cs="Times New Roman" w:hint="eastAsia"/>
                <w:bCs/>
                <w:kern w:val="21"/>
                <w:sz w:val="21"/>
                <w:szCs w:val="21"/>
              </w:rPr>
              <w:t>广元</w:t>
            </w:r>
            <w:proofErr w:type="gramStart"/>
            <w:r>
              <w:rPr>
                <w:rFonts w:cs="Times New Roman" w:hint="eastAsia"/>
                <w:bCs/>
                <w:kern w:val="21"/>
                <w:sz w:val="21"/>
                <w:szCs w:val="21"/>
              </w:rPr>
              <w:t>市朗坤环保</w:t>
            </w:r>
            <w:proofErr w:type="gramEnd"/>
            <w:r>
              <w:rPr>
                <w:rFonts w:cs="Times New Roman" w:hint="eastAsia"/>
                <w:bCs/>
                <w:kern w:val="21"/>
                <w:sz w:val="21"/>
                <w:szCs w:val="21"/>
              </w:rPr>
              <w:t>科技有限公司</w:t>
            </w:r>
            <w:r>
              <w:rPr>
                <w:rFonts w:cs="Times New Roman"/>
                <w:bCs/>
                <w:kern w:val="21"/>
                <w:sz w:val="21"/>
                <w:szCs w:val="21"/>
              </w:rPr>
              <w:t>统一清运后进行无害化处理。</w:t>
            </w:r>
          </w:p>
        </w:tc>
        <w:tc>
          <w:tcPr>
            <w:tcW w:w="963" w:type="dxa"/>
            <w:vAlign w:val="center"/>
          </w:tcPr>
          <w:p w14:paraId="55D49530"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符合</w:t>
            </w:r>
          </w:p>
        </w:tc>
      </w:tr>
      <w:tr w:rsidR="00544649" w14:paraId="644BEE92" w14:textId="77777777">
        <w:trPr>
          <w:trHeight w:val="310"/>
          <w:jc w:val="center"/>
        </w:trPr>
        <w:tc>
          <w:tcPr>
            <w:tcW w:w="5158" w:type="dxa"/>
            <w:vAlign w:val="center"/>
          </w:tcPr>
          <w:p w14:paraId="6E5295C9" w14:textId="77777777" w:rsidR="00544649" w:rsidRDefault="00000000">
            <w:pPr>
              <w:widowControl/>
              <w:adjustRightInd w:val="0"/>
              <w:snapToGrid w:val="0"/>
              <w:spacing w:beforeLines="20" w:before="62" w:afterLines="20" w:after="62" w:line="240" w:lineRule="auto"/>
              <w:ind w:firstLineChars="0" w:firstLine="0"/>
              <w:rPr>
                <w:rFonts w:cs="Times New Roman"/>
                <w:bCs/>
                <w:kern w:val="21"/>
                <w:sz w:val="21"/>
                <w:szCs w:val="21"/>
              </w:rPr>
            </w:pPr>
            <w:r>
              <w:rPr>
                <w:rFonts w:cs="Times New Roman"/>
                <w:b/>
                <w:bCs/>
                <w:kern w:val="21"/>
                <w:sz w:val="21"/>
                <w:szCs w:val="21"/>
                <w:lang w:bidi="ar"/>
              </w:rPr>
              <w:t>加强农业污染防治。</w:t>
            </w:r>
            <w:r>
              <w:rPr>
                <w:rFonts w:cs="Times New Roman"/>
                <w:kern w:val="21"/>
                <w:sz w:val="21"/>
                <w:szCs w:val="21"/>
                <w:lang w:bidi="ar"/>
              </w:rPr>
              <w:t>编制四川省农业面源污染治理与监督指导实施方案。识别农业面源优先治理区域</w:t>
            </w:r>
            <w:r>
              <w:rPr>
                <w:rFonts w:cs="Times New Roman" w:hint="eastAsia"/>
                <w:kern w:val="21"/>
                <w:sz w:val="21"/>
                <w:szCs w:val="21"/>
                <w:lang w:bidi="ar"/>
              </w:rPr>
              <w:t>，</w:t>
            </w:r>
            <w:r>
              <w:rPr>
                <w:rFonts w:cs="Times New Roman"/>
                <w:kern w:val="21"/>
                <w:sz w:val="21"/>
                <w:szCs w:val="21"/>
                <w:lang w:bidi="ar"/>
              </w:rPr>
              <w:t>统筹推进农业面源污染治理工程</w:t>
            </w:r>
            <w:r>
              <w:rPr>
                <w:rFonts w:cs="Times New Roman" w:hint="eastAsia"/>
                <w:kern w:val="21"/>
                <w:sz w:val="21"/>
                <w:szCs w:val="21"/>
                <w:lang w:bidi="ar"/>
              </w:rPr>
              <w:t>，</w:t>
            </w:r>
            <w:r>
              <w:rPr>
                <w:rFonts w:cs="Times New Roman"/>
                <w:kern w:val="21"/>
                <w:sz w:val="21"/>
                <w:szCs w:val="21"/>
                <w:lang w:bidi="ar"/>
              </w:rPr>
              <w:t>在四川盆地、安宁河谷、黄河流域等开展一批农业面源污染治理示范试点工程。在种植业面源污染突出区域加强农田尾水生态化循环利用、农田氮磷生态拦截沟渠建设。大力开展农村水环境综合整治</w:t>
            </w:r>
            <w:r>
              <w:rPr>
                <w:rFonts w:cs="Times New Roman" w:hint="eastAsia"/>
                <w:kern w:val="21"/>
                <w:sz w:val="21"/>
                <w:szCs w:val="21"/>
                <w:lang w:bidi="ar"/>
              </w:rPr>
              <w:t>，</w:t>
            </w:r>
            <w:r>
              <w:rPr>
                <w:rFonts w:cs="Times New Roman"/>
                <w:kern w:val="21"/>
                <w:sz w:val="21"/>
                <w:szCs w:val="21"/>
                <w:lang w:bidi="ar"/>
              </w:rPr>
              <w:t>推进长江及其重要支流和黄河流域河道</w:t>
            </w:r>
            <w:r>
              <w:rPr>
                <w:rFonts w:cs="Times New Roman"/>
                <w:kern w:val="21"/>
                <w:sz w:val="21"/>
                <w:szCs w:val="21"/>
                <w:lang w:bidi="ar"/>
              </w:rPr>
              <w:t>“</w:t>
            </w:r>
            <w:r>
              <w:rPr>
                <w:rFonts w:cs="Times New Roman"/>
                <w:kern w:val="21"/>
                <w:sz w:val="21"/>
                <w:szCs w:val="21"/>
                <w:lang w:bidi="ar"/>
              </w:rPr>
              <w:t>四乱</w:t>
            </w:r>
            <w:r>
              <w:rPr>
                <w:rFonts w:cs="Times New Roman"/>
                <w:kern w:val="21"/>
                <w:sz w:val="21"/>
                <w:szCs w:val="21"/>
                <w:lang w:bidi="ar"/>
              </w:rPr>
              <w:t>”</w:t>
            </w:r>
            <w:r>
              <w:rPr>
                <w:rFonts w:cs="Times New Roman"/>
                <w:kern w:val="21"/>
                <w:sz w:val="21"/>
                <w:szCs w:val="21"/>
                <w:lang w:bidi="ar"/>
              </w:rPr>
              <w:t>问题整治常态化、规范化</w:t>
            </w:r>
            <w:r>
              <w:rPr>
                <w:rFonts w:cs="Times New Roman" w:hint="eastAsia"/>
                <w:kern w:val="21"/>
                <w:sz w:val="21"/>
                <w:szCs w:val="21"/>
                <w:lang w:bidi="ar"/>
              </w:rPr>
              <w:t>，</w:t>
            </w:r>
            <w:r>
              <w:rPr>
                <w:rFonts w:cs="Times New Roman"/>
                <w:kern w:val="21"/>
                <w:sz w:val="21"/>
                <w:szCs w:val="21"/>
                <w:lang w:bidi="ar"/>
              </w:rPr>
              <w:t>并不断向中小河流、农村河湖延伸</w:t>
            </w:r>
            <w:r>
              <w:rPr>
                <w:rFonts w:cs="Times New Roman" w:hint="eastAsia"/>
                <w:kern w:val="21"/>
                <w:sz w:val="21"/>
                <w:szCs w:val="21"/>
                <w:lang w:bidi="ar"/>
              </w:rPr>
              <w:t>，</w:t>
            </w:r>
            <w:r>
              <w:rPr>
                <w:rFonts w:cs="Times New Roman"/>
                <w:kern w:val="21"/>
                <w:sz w:val="21"/>
                <w:szCs w:val="21"/>
                <w:lang w:bidi="ar"/>
              </w:rPr>
              <w:t>退还河湖水域生态空间。加强养殖污染综合防治</w:t>
            </w:r>
            <w:r>
              <w:rPr>
                <w:rFonts w:cs="Times New Roman" w:hint="eastAsia"/>
                <w:kern w:val="21"/>
                <w:sz w:val="21"/>
                <w:szCs w:val="21"/>
                <w:lang w:bidi="ar"/>
              </w:rPr>
              <w:t>，</w:t>
            </w:r>
            <w:r>
              <w:rPr>
                <w:rFonts w:cs="Times New Roman"/>
                <w:kern w:val="21"/>
                <w:sz w:val="21"/>
                <w:szCs w:val="21"/>
                <w:lang w:bidi="ar"/>
              </w:rPr>
              <w:t>推进畜禽养殖粪</w:t>
            </w:r>
            <w:proofErr w:type="gramStart"/>
            <w:r>
              <w:rPr>
                <w:rFonts w:cs="Times New Roman"/>
                <w:kern w:val="21"/>
                <w:sz w:val="21"/>
                <w:szCs w:val="21"/>
                <w:lang w:bidi="ar"/>
              </w:rPr>
              <w:t>污资源</w:t>
            </w:r>
            <w:proofErr w:type="gramEnd"/>
            <w:r>
              <w:rPr>
                <w:rFonts w:cs="Times New Roman"/>
                <w:kern w:val="21"/>
                <w:sz w:val="21"/>
                <w:szCs w:val="21"/>
                <w:lang w:bidi="ar"/>
              </w:rPr>
              <w:t>综合利用</w:t>
            </w:r>
            <w:r>
              <w:rPr>
                <w:rFonts w:cs="Times New Roman" w:hint="eastAsia"/>
                <w:kern w:val="21"/>
                <w:sz w:val="21"/>
                <w:szCs w:val="21"/>
                <w:lang w:bidi="ar"/>
              </w:rPr>
              <w:t>，</w:t>
            </w:r>
            <w:r>
              <w:rPr>
                <w:rFonts w:cs="Times New Roman"/>
                <w:kern w:val="21"/>
                <w:sz w:val="21"/>
                <w:szCs w:val="21"/>
                <w:lang w:bidi="ar"/>
              </w:rPr>
              <w:t>开展畜牧业绿色示范县</w:t>
            </w:r>
            <w:r>
              <w:rPr>
                <w:rFonts w:cs="Times New Roman" w:hint="eastAsia"/>
                <w:kern w:val="21"/>
                <w:sz w:val="21"/>
                <w:szCs w:val="21"/>
                <w:lang w:bidi="ar"/>
              </w:rPr>
              <w:t>（</w:t>
            </w:r>
            <w:r>
              <w:rPr>
                <w:rFonts w:cs="Times New Roman"/>
                <w:kern w:val="21"/>
                <w:sz w:val="21"/>
                <w:szCs w:val="21"/>
                <w:lang w:bidi="ar"/>
              </w:rPr>
              <w:t>市、区</w:t>
            </w:r>
            <w:r>
              <w:rPr>
                <w:rFonts w:cs="Times New Roman" w:hint="eastAsia"/>
                <w:kern w:val="21"/>
                <w:sz w:val="21"/>
                <w:szCs w:val="21"/>
                <w:lang w:bidi="ar"/>
              </w:rPr>
              <w:t>）</w:t>
            </w:r>
            <w:r>
              <w:rPr>
                <w:rFonts w:cs="Times New Roman"/>
                <w:kern w:val="21"/>
                <w:sz w:val="21"/>
                <w:szCs w:val="21"/>
                <w:lang w:bidi="ar"/>
              </w:rPr>
              <w:t>创建。到</w:t>
            </w:r>
            <w:r>
              <w:rPr>
                <w:rFonts w:cs="Times New Roman"/>
                <w:kern w:val="21"/>
                <w:sz w:val="21"/>
                <w:szCs w:val="21"/>
                <w:lang w:bidi="ar"/>
              </w:rPr>
              <w:t>2025</w:t>
            </w:r>
            <w:r>
              <w:rPr>
                <w:rFonts w:cs="Times New Roman"/>
                <w:kern w:val="21"/>
                <w:sz w:val="21"/>
                <w:szCs w:val="21"/>
                <w:lang w:bidi="ar"/>
              </w:rPr>
              <w:t>年</w:t>
            </w:r>
            <w:r>
              <w:rPr>
                <w:rFonts w:cs="Times New Roman" w:hint="eastAsia"/>
                <w:kern w:val="21"/>
                <w:sz w:val="21"/>
                <w:szCs w:val="21"/>
                <w:lang w:bidi="ar"/>
              </w:rPr>
              <w:t>，</w:t>
            </w:r>
            <w:r>
              <w:rPr>
                <w:rFonts w:cs="Times New Roman"/>
                <w:kern w:val="21"/>
                <w:sz w:val="21"/>
                <w:szCs w:val="21"/>
                <w:lang w:bidi="ar"/>
              </w:rPr>
              <w:t>规模化畜禽养殖场</w:t>
            </w:r>
            <w:r>
              <w:rPr>
                <w:rFonts w:cs="Times New Roman" w:hint="eastAsia"/>
                <w:kern w:val="21"/>
                <w:sz w:val="21"/>
                <w:szCs w:val="21"/>
                <w:lang w:bidi="ar"/>
              </w:rPr>
              <w:t>（</w:t>
            </w:r>
            <w:r>
              <w:rPr>
                <w:rFonts w:cs="Times New Roman"/>
                <w:kern w:val="21"/>
                <w:sz w:val="21"/>
                <w:szCs w:val="21"/>
                <w:lang w:bidi="ar"/>
              </w:rPr>
              <w:t>小区</w:t>
            </w:r>
            <w:r>
              <w:rPr>
                <w:rFonts w:cs="Times New Roman" w:hint="eastAsia"/>
                <w:kern w:val="21"/>
                <w:sz w:val="21"/>
                <w:szCs w:val="21"/>
                <w:lang w:bidi="ar"/>
              </w:rPr>
              <w:t>）</w:t>
            </w:r>
            <w:r>
              <w:rPr>
                <w:rFonts w:cs="Times New Roman"/>
                <w:kern w:val="21"/>
                <w:sz w:val="21"/>
                <w:szCs w:val="21"/>
                <w:lang w:bidi="ar"/>
              </w:rPr>
              <w:t>粪污处理设施配套率达到</w:t>
            </w:r>
            <w:r>
              <w:rPr>
                <w:rFonts w:cs="Times New Roman"/>
                <w:kern w:val="21"/>
                <w:sz w:val="21"/>
                <w:szCs w:val="21"/>
                <w:lang w:bidi="ar"/>
              </w:rPr>
              <w:t>95%</w:t>
            </w:r>
            <w:r>
              <w:rPr>
                <w:rFonts w:cs="Times New Roman" w:hint="eastAsia"/>
                <w:kern w:val="21"/>
                <w:sz w:val="21"/>
                <w:szCs w:val="21"/>
                <w:lang w:bidi="ar"/>
              </w:rPr>
              <w:t>，</w:t>
            </w:r>
            <w:r>
              <w:rPr>
                <w:rFonts w:cs="Times New Roman"/>
                <w:kern w:val="21"/>
                <w:sz w:val="21"/>
                <w:szCs w:val="21"/>
                <w:lang w:bidi="ar"/>
              </w:rPr>
              <w:t>畜禽粪污综合利用率达到</w:t>
            </w:r>
            <w:r>
              <w:rPr>
                <w:rFonts w:cs="Times New Roman"/>
                <w:kern w:val="21"/>
                <w:sz w:val="21"/>
                <w:szCs w:val="21"/>
                <w:lang w:bidi="ar"/>
              </w:rPr>
              <w:t>80%</w:t>
            </w:r>
            <w:r>
              <w:rPr>
                <w:rFonts w:cs="Times New Roman"/>
                <w:kern w:val="21"/>
                <w:sz w:val="21"/>
                <w:szCs w:val="21"/>
                <w:lang w:bidi="ar"/>
              </w:rPr>
              <w:t>以上。积极推广新型</w:t>
            </w:r>
            <w:proofErr w:type="gramStart"/>
            <w:r>
              <w:rPr>
                <w:rFonts w:cs="Times New Roman"/>
                <w:kern w:val="21"/>
                <w:sz w:val="21"/>
                <w:szCs w:val="21"/>
                <w:lang w:bidi="ar"/>
              </w:rPr>
              <w:t>稻渔综合</w:t>
            </w:r>
            <w:proofErr w:type="gramEnd"/>
            <w:r>
              <w:rPr>
                <w:rFonts w:cs="Times New Roman"/>
                <w:kern w:val="21"/>
                <w:sz w:val="21"/>
                <w:szCs w:val="21"/>
                <w:lang w:bidi="ar"/>
              </w:rPr>
              <w:t>种养、大水面生态养殖</w:t>
            </w:r>
            <w:r>
              <w:rPr>
                <w:rFonts w:cs="Times New Roman" w:hint="eastAsia"/>
                <w:kern w:val="21"/>
                <w:sz w:val="21"/>
                <w:szCs w:val="21"/>
                <w:lang w:bidi="ar"/>
              </w:rPr>
              <w:t>，</w:t>
            </w:r>
            <w:r>
              <w:rPr>
                <w:rFonts w:cs="Times New Roman"/>
                <w:kern w:val="21"/>
                <w:sz w:val="21"/>
                <w:szCs w:val="21"/>
                <w:lang w:bidi="ar"/>
              </w:rPr>
              <w:t>在水产养殖主产区推进养殖尾水综合治理。</w:t>
            </w:r>
          </w:p>
        </w:tc>
        <w:tc>
          <w:tcPr>
            <w:tcW w:w="2934" w:type="dxa"/>
            <w:vAlign w:val="center"/>
          </w:tcPr>
          <w:p w14:paraId="71494038"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hint="eastAsia"/>
                <w:bCs/>
                <w:kern w:val="21"/>
                <w:sz w:val="21"/>
                <w:szCs w:val="21"/>
              </w:rPr>
              <w:t>本项目场内配套建设污水处理站及废水储存池，废水经处理达《农田灌溉水质标准》（</w:t>
            </w:r>
            <w:r>
              <w:rPr>
                <w:rFonts w:cs="Times New Roman" w:hint="eastAsia"/>
                <w:bCs/>
                <w:kern w:val="21"/>
                <w:sz w:val="21"/>
                <w:szCs w:val="21"/>
              </w:rPr>
              <w:t>GB5084-2021</w:t>
            </w:r>
            <w:r>
              <w:rPr>
                <w:rFonts w:cs="Times New Roman" w:hint="eastAsia"/>
                <w:bCs/>
                <w:kern w:val="21"/>
                <w:sz w:val="21"/>
                <w:szCs w:val="21"/>
              </w:rPr>
              <w:t>）要求后，用于林地灌溉，废水不外排；</w:t>
            </w:r>
            <w:r>
              <w:rPr>
                <w:rFonts w:cs="Times New Roman"/>
                <w:bCs/>
                <w:kern w:val="21"/>
                <w:sz w:val="21"/>
                <w:szCs w:val="21"/>
              </w:rPr>
              <w:t>本项目鸡粪日产日清，每日清运至</w:t>
            </w:r>
            <w:r>
              <w:rPr>
                <w:rFonts w:cs="Times New Roman" w:hint="eastAsia"/>
                <w:bCs/>
                <w:kern w:val="21"/>
                <w:sz w:val="21"/>
                <w:szCs w:val="21"/>
              </w:rPr>
              <w:t>四川省田宝生物科技有限公司</w:t>
            </w:r>
            <w:r>
              <w:rPr>
                <w:rFonts w:cs="Times New Roman"/>
                <w:bCs/>
                <w:kern w:val="21"/>
                <w:sz w:val="21"/>
                <w:szCs w:val="21"/>
              </w:rPr>
              <w:t>进行有机肥生产，实现资源化利用。</w:t>
            </w:r>
          </w:p>
        </w:tc>
        <w:tc>
          <w:tcPr>
            <w:tcW w:w="963" w:type="dxa"/>
            <w:vAlign w:val="center"/>
          </w:tcPr>
          <w:p w14:paraId="22319C75"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符合</w:t>
            </w:r>
          </w:p>
        </w:tc>
      </w:tr>
    </w:tbl>
    <w:p w14:paraId="500C4E79" w14:textId="77777777" w:rsidR="00544649" w:rsidRDefault="00000000">
      <w:pPr>
        <w:adjustRightInd w:val="0"/>
        <w:snapToGrid w:val="0"/>
        <w:spacing w:after="0"/>
        <w:ind w:firstLine="480"/>
        <w:rPr>
          <w:rFonts w:cs="Times New Roman"/>
          <w:kern w:val="21"/>
        </w:rPr>
      </w:pPr>
      <w:bookmarkStart w:id="92" w:name="_Toc30841"/>
      <w:bookmarkStart w:id="93" w:name="_Toc9501"/>
      <w:r>
        <w:rPr>
          <w:rFonts w:cs="Times New Roman"/>
          <w:kern w:val="21"/>
        </w:rPr>
        <w:t>因此，本项目与《四川省</w:t>
      </w:r>
      <w:r>
        <w:rPr>
          <w:rFonts w:cs="Times New Roman" w:hint="eastAsia"/>
          <w:kern w:val="21"/>
        </w:rPr>
        <w:t>“</w:t>
      </w:r>
      <w:r>
        <w:rPr>
          <w:rFonts w:cs="Times New Roman"/>
          <w:kern w:val="21"/>
        </w:rPr>
        <w:t>十四五</w:t>
      </w:r>
      <w:r>
        <w:rPr>
          <w:rFonts w:cs="Times New Roman" w:hint="eastAsia"/>
          <w:kern w:val="21"/>
        </w:rPr>
        <w:t>”</w:t>
      </w:r>
      <w:r>
        <w:rPr>
          <w:rFonts w:cs="Times New Roman"/>
          <w:kern w:val="21"/>
        </w:rPr>
        <w:t>生态环境保护规划》的要求相符。</w:t>
      </w:r>
    </w:p>
    <w:p w14:paraId="032B6655" w14:textId="77777777" w:rsidR="00544649" w:rsidRDefault="00000000">
      <w:pPr>
        <w:keepNext/>
        <w:keepLines/>
        <w:numPr>
          <w:ilvl w:val="3"/>
          <w:numId w:val="2"/>
        </w:numPr>
        <w:adjustRightInd w:val="0"/>
        <w:snapToGrid w:val="0"/>
        <w:spacing w:after="0"/>
        <w:ind w:firstLineChars="0"/>
        <w:outlineLvl w:val="3"/>
        <w:rPr>
          <w:rFonts w:cs="Times New Roman"/>
          <w:b/>
          <w:kern w:val="21"/>
          <w:szCs w:val="28"/>
        </w:rPr>
      </w:pPr>
      <w:r>
        <w:rPr>
          <w:rFonts w:cs="Times New Roman"/>
          <w:b/>
          <w:kern w:val="21"/>
          <w:szCs w:val="28"/>
        </w:rPr>
        <w:t>与《</w:t>
      </w:r>
      <w:r>
        <w:rPr>
          <w:rFonts w:cs="Times New Roman" w:hint="eastAsia"/>
          <w:b/>
          <w:kern w:val="21"/>
          <w:szCs w:val="28"/>
        </w:rPr>
        <w:t>广元</w:t>
      </w:r>
      <w:r>
        <w:rPr>
          <w:rFonts w:cs="Times New Roman"/>
          <w:b/>
          <w:kern w:val="21"/>
          <w:szCs w:val="28"/>
        </w:rPr>
        <w:t>市</w:t>
      </w:r>
      <w:r>
        <w:rPr>
          <w:rFonts w:cs="Times New Roman" w:hint="eastAsia"/>
          <w:b/>
          <w:kern w:val="21"/>
          <w:szCs w:val="28"/>
        </w:rPr>
        <w:t>“</w:t>
      </w:r>
      <w:r>
        <w:rPr>
          <w:rFonts w:cs="Times New Roman"/>
          <w:b/>
          <w:kern w:val="21"/>
          <w:szCs w:val="28"/>
        </w:rPr>
        <w:t>十四五</w:t>
      </w:r>
      <w:r>
        <w:rPr>
          <w:rFonts w:cs="Times New Roman" w:hint="eastAsia"/>
          <w:b/>
          <w:kern w:val="21"/>
          <w:szCs w:val="28"/>
        </w:rPr>
        <w:t>”</w:t>
      </w:r>
      <w:r>
        <w:rPr>
          <w:rFonts w:cs="Times New Roman"/>
          <w:b/>
          <w:kern w:val="21"/>
          <w:szCs w:val="28"/>
        </w:rPr>
        <w:t>生态环境保护规划》的符合性分析</w:t>
      </w:r>
    </w:p>
    <w:p w14:paraId="33016D59" w14:textId="77777777" w:rsidR="00544649" w:rsidRDefault="00000000">
      <w:pPr>
        <w:adjustRightInd w:val="0"/>
        <w:snapToGrid w:val="0"/>
        <w:spacing w:after="0"/>
        <w:ind w:firstLine="480"/>
        <w:rPr>
          <w:rFonts w:cs="Times New Roman"/>
          <w:kern w:val="21"/>
        </w:rPr>
      </w:pPr>
      <w:r>
        <w:rPr>
          <w:rFonts w:cs="Times New Roman"/>
          <w:kern w:val="21"/>
        </w:rPr>
        <w:t>本项目与《</w:t>
      </w:r>
      <w:r>
        <w:rPr>
          <w:rFonts w:cs="Times New Roman" w:hint="eastAsia"/>
          <w:kern w:val="21"/>
        </w:rPr>
        <w:t>广元</w:t>
      </w:r>
      <w:r>
        <w:rPr>
          <w:rFonts w:cs="Times New Roman"/>
          <w:kern w:val="21"/>
        </w:rPr>
        <w:t>市</w:t>
      </w:r>
      <w:r>
        <w:rPr>
          <w:rFonts w:cs="Times New Roman" w:hint="eastAsia"/>
          <w:kern w:val="21"/>
        </w:rPr>
        <w:t>“</w:t>
      </w:r>
      <w:r>
        <w:rPr>
          <w:rFonts w:cs="Times New Roman"/>
          <w:kern w:val="21"/>
        </w:rPr>
        <w:t>十四五</w:t>
      </w:r>
      <w:r>
        <w:rPr>
          <w:rFonts w:cs="Times New Roman" w:hint="eastAsia"/>
          <w:kern w:val="21"/>
        </w:rPr>
        <w:t>”</w:t>
      </w:r>
      <w:r>
        <w:rPr>
          <w:rFonts w:cs="Times New Roman"/>
          <w:kern w:val="21"/>
        </w:rPr>
        <w:t>生态环境保护规划》</w:t>
      </w:r>
      <w:r>
        <w:rPr>
          <w:rFonts w:cs="Times New Roman" w:hint="eastAsia"/>
          <w:kern w:val="21"/>
        </w:rPr>
        <w:t>（广</w:t>
      </w:r>
      <w:r>
        <w:rPr>
          <w:rFonts w:cs="Times New Roman" w:hint="eastAsia"/>
          <w:kern w:val="21"/>
          <w:szCs w:val="24"/>
        </w:rPr>
        <w:t>府发</w:t>
      </w:r>
      <w:r>
        <w:rPr>
          <w:rFonts w:cs="Times New Roman"/>
          <w:kern w:val="21"/>
          <w:szCs w:val="24"/>
        </w:rPr>
        <w:t>〔</w:t>
      </w:r>
      <w:r>
        <w:rPr>
          <w:rFonts w:cs="Times New Roman"/>
          <w:kern w:val="21"/>
          <w:szCs w:val="24"/>
        </w:rPr>
        <w:t>2022</w:t>
      </w:r>
      <w:r>
        <w:rPr>
          <w:rFonts w:cs="Times New Roman"/>
          <w:kern w:val="21"/>
          <w:szCs w:val="24"/>
        </w:rPr>
        <w:t>〕</w:t>
      </w:r>
      <w:r>
        <w:rPr>
          <w:rFonts w:cs="Times New Roman" w:hint="eastAsia"/>
          <w:kern w:val="21"/>
          <w:szCs w:val="24"/>
        </w:rPr>
        <w:t>17</w:t>
      </w:r>
      <w:r>
        <w:rPr>
          <w:rFonts w:cs="Times New Roman"/>
          <w:kern w:val="21"/>
          <w:szCs w:val="24"/>
        </w:rPr>
        <w:t>号</w:t>
      </w:r>
      <w:r>
        <w:rPr>
          <w:rFonts w:cs="Times New Roman" w:hint="eastAsia"/>
          <w:kern w:val="21"/>
        </w:rPr>
        <w:t>）</w:t>
      </w:r>
      <w:r>
        <w:rPr>
          <w:rFonts w:cs="Times New Roman"/>
          <w:kern w:val="21"/>
        </w:rPr>
        <w:t>的符合性分析</w:t>
      </w:r>
      <w:r>
        <w:rPr>
          <w:rFonts w:cs="Times New Roman" w:hint="eastAsia"/>
          <w:kern w:val="21"/>
        </w:rPr>
        <w:t>见下表。</w:t>
      </w:r>
    </w:p>
    <w:p w14:paraId="58CCB817"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kern w:val="21"/>
          <w:sz w:val="21"/>
          <w:szCs w:val="21"/>
        </w:rPr>
      </w:pPr>
      <w:r>
        <w:rPr>
          <w:rFonts w:cs="Times New Roman"/>
          <w:b/>
          <w:kern w:val="21"/>
          <w:sz w:val="21"/>
          <w:szCs w:val="21"/>
        </w:rPr>
        <w:t>本项目与《</w:t>
      </w:r>
      <w:r>
        <w:rPr>
          <w:rFonts w:cs="Times New Roman" w:hint="eastAsia"/>
          <w:b/>
          <w:kern w:val="21"/>
          <w:sz w:val="21"/>
          <w:szCs w:val="21"/>
        </w:rPr>
        <w:t>广元</w:t>
      </w:r>
      <w:r>
        <w:rPr>
          <w:rFonts w:cs="Times New Roman"/>
          <w:b/>
          <w:kern w:val="21"/>
          <w:sz w:val="21"/>
          <w:szCs w:val="21"/>
        </w:rPr>
        <w:t>市</w:t>
      </w:r>
      <w:r>
        <w:rPr>
          <w:rFonts w:cs="Times New Roman"/>
          <w:b/>
          <w:kern w:val="21"/>
          <w:sz w:val="21"/>
          <w:szCs w:val="21"/>
        </w:rPr>
        <w:t>“</w:t>
      </w:r>
      <w:r>
        <w:rPr>
          <w:rFonts w:cs="Times New Roman"/>
          <w:b/>
          <w:kern w:val="21"/>
          <w:sz w:val="21"/>
          <w:szCs w:val="21"/>
        </w:rPr>
        <w:t>十四五</w:t>
      </w:r>
      <w:r>
        <w:rPr>
          <w:rFonts w:cs="Times New Roman"/>
          <w:b/>
          <w:kern w:val="21"/>
          <w:sz w:val="21"/>
          <w:szCs w:val="21"/>
        </w:rPr>
        <w:t>”</w:t>
      </w:r>
      <w:r>
        <w:rPr>
          <w:rFonts w:cs="Times New Roman"/>
          <w:b/>
          <w:kern w:val="21"/>
          <w:sz w:val="21"/>
          <w:szCs w:val="21"/>
        </w:rPr>
        <w:t>生态环境保护规划》的符合性分析</w:t>
      </w:r>
    </w:p>
    <w:tbl>
      <w:tblPr>
        <w:tblStyle w:val="afc"/>
        <w:tblW w:w="9055" w:type="dxa"/>
        <w:jc w:val="center"/>
        <w:tblLayout w:type="fixed"/>
        <w:tblLook w:val="04A0" w:firstRow="1" w:lastRow="0" w:firstColumn="1" w:lastColumn="0" w:noHBand="0" w:noVBand="1"/>
      </w:tblPr>
      <w:tblGrid>
        <w:gridCol w:w="3921"/>
        <w:gridCol w:w="4216"/>
        <w:gridCol w:w="918"/>
      </w:tblGrid>
      <w:tr w:rsidR="00544649" w14:paraId="6D399DCF" w14:textId="77777777">
        <w:trPr>
          <w:tblHeader/>
          <w:jc w:val="center"/>
        </w:trPr>
        <w:tc>
          <w:tcPr>
            <w:tcW w:w="3921" w:type="dxa"/>
            <w:vAlign w:val="center"/>
          </w:tcPr>
          <w:p w14:paraId="40BF2325"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规划内容</w:t>
            </w:r>
          </w:p>
        </w:tc>
        <w:tc>
          <w:tcPr>
            <w:tcW w:w="4216" w:type="dxa"/>
            <w:vAlign w:val="center"/>
          </w:tcPr>
          <w:p w14:paraId="7FB425A5"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本项目情况</w:t>
            </w:r>
          </w:p>
        </w:tc>
        <w:tc>
          <w:tcPr>
            <w:tcW w:w="918" w:type="dxa"/>
            <w:vAlign w:val="center"/>
          </w:tcPr>
          <w:p w14:paraId="3D1517AA"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符合性</w:t>
            </w:r>
          </w:p>
        </w:tc>
      </w:tr>
      <w:tr w:rsidR="00544649" w14:paraId="091BC9E3" w14:textId="77777777">
        <w:trPr>
          <w:trHeight w:val="90"/>
          <w:jc w:val="center"/>
        </w:trPr>
        <w:tc>
          <w:tcPr>
            <w:tcW w:w="3921" w:type="dxa"/>
            <w:vAlign w:val="center"/>
          </w:tcPr>
          <w:p w14:paraId="56681239"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hint="eastAsia"/>
                <w:bCs/>
                <w:kern w:val="21"/>
                <w:sz w:val="21"/>
                <w:szCs w:val="21"/>
              </w:rPr>
              <w:t>加强对开发建设活动的生态监管，嘉陵江干流</w:t>
            </w:r>
            <w:r>
              <w:rPr>
                <w:rFonts w:cs="Times New Roman" w:hint="eastAsia"/>
                <w:bCs/>
                <w:kern w:val="21"/>
                <w:sz w:val="21"/>
                <w:szCs w:val="21"/>
              </w:rPr>
              <w:t>1</w:t>
            </w:r>
            <w:r>
              <w:rPr>
                <w:rFonts w:cs="Times New Roman" w:hint="eastAsia"/>
                <w:bCs/>
                <w:kern w:val="21"/>
                <w:sz w:val="21"/>
                <w:szCs w:val="21"/>
              </w:rPr>
              <w:t>公里范围内</w:t>
            </w:r>
            <w:proofErr w:type="gramStart"/>
            <w:r>
              <w:rPr>
                <w:rFonts w:cs="Times New Roman" w:hint="eastAsia"/>
                <w:bCs/>
                <w:kern w:val="21"/>
                <w:sz w:val="21"/>
                <w:szCs w:val="21"/>
              </w:rPr>
              <w:t>不</w:t>
            </w:r>
            <w:proofErr w:type="gramEnd"/>
            <w:r>
              <w:rPr>
                <w:rFonts w:cs="Times New Roman" w:hint="eastAsia"/>
                <w:bCs/>
                <w:kern w:val="21"/>
                <w:sz w:val="21"/>
                <w:szCs w:val="21"/>
              </w:rPr>
              <w:t>新增化工企业；严格</w:t>
            </w:r>
            <w:r>
              <w:rPr>
                <w:rFonts w:cs="Times New Roman" w:hint="eastAsia"/>
                <w:bCs/>
                <w:kern w:val="21"/>
                <w:sz w:val="21"/>
                <w:szCs w:val="21"/>
              </w:rPr>
              <w:lastRenderedPageBreak/>
              <w:t>落实畜禽养殖禁养区制度。</w:t>
            </w:r>
          </w:p>
        </w:tc>
        <w:tc>
          <w:tcPr>
            <w:tcW w:w="4216" w:type="dxa"/>
            <w:vAlign w:val="center"/>
          </w:tcPr>
          <w:p w14:paraId="718FF0A4"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hint="eastAsia"/>
                <w:bCs/>
                <w:kern w:val="21"/>
                <w:sz w:val="21"/>
                <w:szCs w:val="21"/>
              </w:rPr>
              <w:lastRenderedPageBreak/>
              <w:t>本项目建设位置不属于嘉陵江干流</w:t>
            </w:r>
            <w:r>
              <w:rPr>
                <w:rFonts w:cs="Times New Roman" w:hint="eastAsia"/>
                <w:bCs/>
                <w:kern w:val="21"/>
                <w:sz w:val="21"/>
                <w:szCs w:val="21"/>
              </w:rPr>
              <w:t>1</w:t>
            </w:r>
            <w:r>
              <w:rPr>
                <w:rFonts w:cs="Times New Roman" w:hint="eastAsia"/>
                <w:bCs/>
                <w:kern w:val="21"/>
                <w:sz w:val="21"/>
                <w:szCs w:val="21"/>
              </w:rPr>
              <w:t>公里范围内，且项目不属于化工企业；根据《剑阁</w:t>
            </w:r>
            <w:r>
              <w:rPr>
                <w:rFonts w:cs="Times New Roman" w:hint="eastAsia"/>
                <w:bCs/>
                <w:kern w:val="21"/>
                <w:sz w:val="21"/>
                <w:szCs w:val="21"/>
              </w:rPr>
              <w:lastRenderedPageBreak/>
              <w:t>县畜禽养殖禁养区限养区适养区划定方案及</w:t>
            </w:r>
            <w:r>
              <w:rPr>
                <w:rFonts w:cs="Times New Roman" w:hint="eastAsia"/>
                <w:bCs/>
                <w:kern w:val="21"/>
                <w:sz w:val="21"/>
                <w:szCs w:val="21"/>
              </w:rPr>
              <w:t>1:50000</w:t>
            </w:r>
            <w:r>
              <w:rPr>
                <w:rFonts w:cs="Times New Roman" w:hint="eastAsia"/>
                <w:bCs/>
                <w:kern w:val="21"/>
                <w:sz w:val="21"/>
                <w:szCs w:val="21"/>
              </w:rPr>
              <w:t>电子分布地图》以及剑阁县农业农村局出具的证明文件，本项目建设位置不在禁养区内。</w:t>
            </w:r>
          </w:p>
        </w:tc>
        <w:tc>
          <w:tcPr>
            <w:tcW w:w="918" w:type="dxa"/>
            <w:vAlign w:val="center"/>
          </w:tcPr>
          <w:p w14:paraId="3A0FBEE9"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hint="eastAsia"/>
                <w:bCs/>
                <w:kern w:val="21"/>
                <w:sz w:val="21"/>
                <w:szCs w:val="21"/>
              </w:rPr>
              <w:lastRenderedPageBreak/>
              <w:t>符合</w:t>
            </w:r>
          </w:p>
        </w:tc>
      </w:tr>
      <w:tr w:rsidR="00544649" w14:paraId="36F5C6FB" w14:textId="77777777">
        <w:trPr>
          <w:jc w:val="center"/>
        </w:trPr>
        <w:tc>
          <w:tcPr>
            <w:tcW w:w="3921" w:type="dxa"/>
            <w:vAlign w:val="center"/>
          </w:tcPr>
          <w:p w14:paraId="0A1CC9C2"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hint="eastAsia"/>
                <w:bCs/>
                <w:kern w:val="21"/>
                <w:sz w:val="21"/>
                <w:szCs w:val="21"/>
              </w:rPr>
              <w:t>加强畜禽粪污整治，完善养殖场污染防治设施设备建设，规范粪</w:t>
            </w:r>
            <w:proofErr w:type="gramStart"/>
            <w:r>
              <w:rPr>
                <w:rFonts w:cs="Times New Roman" w:hint="eastAsia"/>
                <w:bCs/>
                <w:kern w:val="21"/>
                <w:sz w:val="21"/>
                <w:szCs w:val="21"/>
              </w:rPr>
              <w:t>污科学</w:t>
            </w:r>
            <w:proofErr w:type="gramEnd"/>
            <w:r>
              <w:rPr>
                <w:rFonts w:cs="Times New Roman" w:hint="eastAsia"/>
                <w:bCs/>
                <w:kern w:val="21"/>
                <w:sz w:val="21"/>
                <w:szCs w:val="21"/>
              </w:rPr>
              <w:t>还田利用。</w:t>
            </w:r>
          </w:p>
        </w:tc>
        <w:tc>
          <w:tcPr>
            <w:tcW w:w="4216" w:type="dxa"/>
            <w:vAlign w:val="center"/>
          </w:tcPr>
          <w:p w14:paraId="0D74C51C"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hint="eastAsia"/>
                <w:bCs/>
                <w:kern w:val="21"/>
                <w:sz w:val="21"/>
                <w:szCs w:val="21"/>
              </w:rPr>
              <w:t>本项目配套建设污水处理站，废水经处理达《农田灌溉水质标准》（</w:t>
            </w:r>
            <w:r>
              <w:rPr>
                <w:rFonts w:cs="Times New Roman" w:hint="eastAsia"/>
                <w:bCs/>
                <w:kern w:val="21"/>
                <w:sz w:val="21"/>
                <w:szCs w:val="21"/>
              </w:rPr>
              <w:t>GB5084-2021</w:t>
            </w:r>
            <w:r>
              <w:rPr>
                <w:rFonts w:cs="Times New Roman" w:hint="eastAsia"/>
                <w:bCs/>
                <w:kern w:val="21"/>
                <w:sz w:val="21"/>
                <w:szCs w:val="21"/>
              </w:rPr>
              <w:t>）要求后，用于林地灌溉；鸡粪日产日清，</w:t>
            </w:r>
            <w:r>
              <w:rPr>
                <w:rFonts w:cs="Times New Roman"/>
                <w:bCs/>
                <w:kern w:val="21"/>
                <w:sz w:val="21"/>
                <w:szCs w:val="21"/>
              </w:rPr>
              <w:t>每日清运至</w:t>
            </w:r>
            <w:r>
              <w:rPr>
                <w:rFonts w:cs="Times New Roman" w:hint="eastAsia"/>
                <w:bCs/>
                <w:kern w:val="21"/>
                <w:sz w:val="21"/>
                <w:szCs w:val="21"/>
              </w:rPr>
              <w:t>四川省田宝生物科技有限公司进行有机肥生产。</w:t>
            </w:r>
          </w:p>
        </w:tc>
        <w:tc>
          <w:tcPr>
            <w:tcW w:w="918" w:type="dxa"/>
            <w:vAlign w:val="center"/>
          </w:tcPr>
          <w:p w14:paraId="53BA8E66"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hint="eastAsia"/>
                <w:bCs/>
                <w:kern w:val="21"/>
                <w:sz w:val="21"/>
                <w:szCs w:val="21"/>
              </w:rPr>
              <w:t>符合</w:t>
            </w:r>
          </w:p>
        </w:tc>
      </w:tr>
      <w:tr w:rsidR="00544649" w14:paraId="41928E07" w14:textId="77777777">
        <w:trPr>
          <w:jc w:val="center"/>
        </w:trPr>
        <w:tc>
          <w:tcPr>
            <w:tcW w:w="3921" w:type="dxa"/>
            <w:vAlign w:val="center"/>
          </w:tcPr>
          <w:p w14:paraId="0DDF628E"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hint="eastAsia"/>
                <w:bCs/>
                <w:kern w:val="21"/>
                <w:sz w:val="21"/>
                <w:szCs w:val="21"/>
              </w:rPr>
              <w:t>全面推进节水型农业发展，大力发展节水畜禽养殖，推行畜禽养殖场雨水回用和养殖水循环利用、干清粪、发酵床等生态养殖模式。</w:t>
            </w:r>
          </w:p>
        </w:tc>
        <w:tc>
          <w:tcPr>
            <w:tcW w:w="4216" w:type="dxa"/>
            <w:vAlign w:val="center"/>
          </w:tcPr>
          <w:p w14:paraId="4DD48D1E"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hint="eastAsia"/>
                <w:bCs/>
                <w:kern w:val="21"/>
                <w:sz w:val="21"/>
                <w:szCs w:val="21"/>
              </w:rPr>
              <w:t>项目采取了科学的饲养方式和废弃物处理工艺等有效措施，实行标准化养殖、节水养殖生态健康养殖模式；废水经处理达《农田灌溉水质标准》（</w:t>
            </w:r>
            <w:r>
              <w:rPr>
                <w:rFonts w:cs="Times New Roman" w:hint="eastAsia"/>
                <w:bCs/>
                <w:kern w:val="21"/>
                <w:sz w:val="21"/>
                <w:szCs w:val="21"/>
              </w:rPr>
              <w:t>GB5084-2021</w:t>
            </w:r>
            <w:r>
              <w:rPr>
                <w:rFonts w:cs="Times New Roman" w:hint="eastAsia"/>
                <w:bCs/>
                <w:kern w:val="21"/>
                <w:sz w:val="21"/>
                <w:szCs w:val="21"/>
              </w:rPr>
              <w:t>）要求后，用于林地灌溉；鸡粪</w:t>
            </w:r>
            <w:r>
              <w:rPr>
                <w:rFonts w:cs="Times New Roman"/>
                <w:bCs/>
                <w:kern w:val="21"/>
                <w:sz w:val="21"/>
                <w:szCs w:val="21"/>
              </w:rPr>
              <w:t>清运至</w:t>
            </w:r>
            <w:r>
              <w:rPr>
                <w:rFonts w:cs="Times New Roman" w:hint="eastAsia"/>
                <w:bCs/>
                <w:kern w:val="21"/>
                <w:sz w:val="21"/>
                <w:szCs w:val="21"/>
              </w:rPr>
              <w:t>四川省田宝生物科技有限公司进行有机肥生产。</w:t>
            </w:r>
          </w:p>
        </w:tc>
        <w:tc>
          <w:tcPr>
            <w:tcW w:w="918" w:type="dxa"/>
            <w:vAlign w:val="center"/>
          </w:tcPr>
          <w:p w14:paraId="6E36A631"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hint="eastAsia"/>
                <w:bCs/>
                <w:kern w:val="21"/>
                <w:sz w:val="21"/>
                <w:szCs w:val="21"/>
              </w:rPr>
              <w:t>符合</w:t>
            </w:r>
          </w:p>
        </w:tc>
      </w:tr>
      <w:tr w:rsidR="00544649" w14:paraId="3CB756A4" w14:textId="77777777">
        <w:trPr>
          <w:jc w:val="center"/>
        </w:trPr>
        <w:tc>
          <w:tcPr>
            <w:tcW w:w="3921" w:type="dxa"/>
            <w:vAlign w:val="center"/>
          </w:tcPr>
          <w:p w14:paraId="2E5F6F7F"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hint="eastAsia"/>
                <w:bCs/>
                <w:kern w:val="21"/>
                <w:sz w:val="21"/>
                <w:szCs w:val="21"/>
              </w:rPr>
              <w:t>科学规划布局畜禽养殖，强化养殖规模与资源环境统筹，依据土地</w:t>
            </w:r>
            <w:proofErr w:type="gramStart"/>
            <w:r>
              <w:rPr>
                <w:rFonts w:cs="Times New Roman" w:hint="eastAsia"/>
                <w:bCs/>
                <w:kern w:val="21"/>
                <w:sz w:val="21"/>
                <w:szCs w:val="21"/>
              </w:rPr>
              <w:t>消纳粪污</w:t>
            </w:r>
            <w:proofErr w:type="gramEnd"/>
            <w:r>
              <w:rPr>
                <w:rFonts w:cs="Times New Roman" w:hint="eastAsia"/>
                <w:bCs/>
                <w:kern w:val="21"/>
                <w:sz w:val="21"/>
                <w:szCs w:val="21"/>
              </w:rPr>
              <w:t>能力，合理确定养殖规模，推动种养循环，完善土地配套，推动畜禽产业</w:t>
            </w:r>
            <w:proofErr w:type="gramStart"/>
            <w:r>
              <w:rPr>
                <w:rFonts w:cs="Times New Roman" w:hint="eastAsia"/>
                <w:bCs/>
                <w:kern w:val="21"/>
                <w:sz w:val="21"/>
                <w:szCs w:val="21"/>
              </w:rPr>
              <w:t>集群化</w:t>
            </w:r>
            <w:proofErr w:type="gramEnd"/>
            <w:r>
              <w:rPr>
                <w:rFonts w:cs="Times New Roman" w:hint="eastAsia"/>
                <w:bCs/>
                <w:kern w:val="21"/>
                <w:sz w:val="21"/>
                <w:szCs w:val="21"/>
              </w:rPr>
              <w:t>发展。</w:t>
            </w:r>
          </w:p>
        </w:tc>
        <w:tc>
          <w:tcPr>
            <w:tcW w:w="4216" w:type="dxa"/>
            <w:vAlign w:val="center"/>
          </w:tcPr>
          <w:p w14:paraId="1E452385"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hint="eastAsia"/>
                <w:bCs/>
                <w:kern w:val="21"/>
                <w:sz w:val="21"/>
                <w:szCs w:val="21"/>
              </w:rPr>
              <w:t>根据《剑阁县畜禽养殖禁养区限养区适养区划定方案及</w:t>
            </w:r>
            <w:r>
              <w:rPr>
                <w:rFonts w:cs="Times New Roman" w:hint="eastAsia"/>
                <w:bCs/>
                <w:kern w:val="21"/>
                <w:sz w:val="21"/>
                <w:szCs w:val="21"/>
              </w:rPr>
              <w:t>1:50000</w:t>
            </w:r>
            <w:r>
              <w:rPr>
                <w:rFonts w:cs="Times New Roman" w:hint="eastAsia"/>
                <w:bCs/>
                <w:kern w:val="21"/>
                <w:sz w:val="21"/>
                <w:szCs w:val="21"/>
              </w:rPr>
              <w:t>电子分布地图》，本项目建设地属于适养区，符合规划布局要求；项目废水经处理达标后用于林地灌溉，项目周边配套灌溉农田满足本项目规模需求。</w:t>
            </w:r>
          </w:p>
        </w:tc>
        <w:tc>
          <w:tcPr>
            <w:tcW w:w="918" w:type="dxa"/>
            <w:vAlign w:val="center"/>
          </w:tcPr>
          <w:p w14:paraId="5D706AA0"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hint="eastAsia"/>
                <w:bCs/>
                <w:kern w:val="21"/>
                <w:sz w:val="21"/>
                <w:szCs w:val="21"/>
              </w:rPr>
              <w:t>符合</w:t>
            </w:r>
          </w:p>
        </w:tc>
      </w:tr>
      <w:tr w:rsidR="00544649" w14:paraId="139F70AD" w14:textId="77777777">
        <w:trPr>
          <w:jc w:val="center"/>
        </w:trPr>
        <w:tc>
          <w:tcPr>
            <w:tcW w:w="3921" w:type="dxa"/>
            <w:vAlign w:val="center"/>
          </w:tcPr>
          <w:p w14:paraId="6083953D"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hint="eastAsia"/>
                <w:bCs/>
                <w:kern w:val="21"/>
                <w:sz w:val="21"/>
                <w:szCs w:val="21"/>
              </w:rPr>
              <w:t>大力推进畜禽养殖粪</w:t>
            </w:r>
            <w:proofErr w:type="gramStart"/>
            <w:r>
              <w:rPr>
                <w:rFonts w:cs="Times New Roman" w:hint="eastAsia"/>
                <w:bCs/>
                <w:kern w:val="21"/>
                <w:sz w:val="21"/>
                <w:szCs w:val="21"/>
              </w:rPr>
              <w:t>污资源</w:t>
            </w:r>
            <w:proofErr w:type="gramEnd"/>
            <w:r>
              <w:rPr>
                <w:rFonts w:cs="Times New Roman" w:hint="eastAsia"/>
                <w:bCs/>
                <w:kern w:val="21"/>
                <w:sz w:val="21"/>
                <w:szCs w:val="21"/>
              </w:rPr>
              <w:t>综合利用。严格畜禽规模养殖环境监管，巩固禁养区内规模化畜禽养殖场关闭搬迁工作成果，防止禁养区养殖问题反弹。加强畜禽粪污处理设施建设及运行管理，对规模畜禽养殖场养殖小区排污口、</w:t>
            </w:r>
            <w:r>
              <w:rPr>
                <w:rFonts w:cs="Times New Roman" w:hint="eastAsia"/>
                <w:bCs/>
                <w:kern w:val="21"/>
                <w:sz w:val="21"/>
                <w:szCs w:val="21"/>
              </w:rPr>
              <w:t>300</w:t>
            </w:r>
            <w:r>
              <w:rPr>
                <w:rFonts w:cs="Times New Roman" w:hint="eastAsia"/>
                <w:bCs/>
                <w:kern w:val="21"/>
                <w:sz w:val="21"/>
                <w:szCs w:val="21"/>
              </w:rPr>
              <w:t>亩及以上规模水产养殖排污口开展水质监测及专项整治。大力推进广元市标准化养殖场创建活动，全面推广应用生态养殖模式，积极推进畜禽养殖废弃物综合利用。积极推行畜禽清洁养殖，因地制宜推广“农牧结合型”“林牧结合型”等生态养殖模式。</w:t>
            </w:r>
          </w:p>
        </w:tc>
        <w:tc>
          <w:tcPr>
            <w:tcW w:w="4216" w:type="dxa"/>
            <w:vAlign w:val="center"/>
          </w:tcPr>
          <w:p w14:paraId="33011FD3"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hint="eastAsia"/>
                <w:bCs/>
                <w:kern w:val="21"/>
                <w:sz w:val="21"/>
                <w:szCs w:val="21"/>
              </w:rPr>
              <w:t>本项目建设位置不属于禁养区内。项目废水经处理达标后用于林地灌溉，不外排；鸡粪</w:t>
            </w:r>
            <w:r>
              <w:rPr>
                <w:rFonts w:cs="Times New Roman"/>
                <w:bCs/>
                <w:kern w:val="21"/>
                <w:sz w:val="21"/>
                <w:szCs w:val="21"/>
              </w:rPr>
              <w:t>清运至</w:t>
            </w:r>
            <w:r>
              <w:rPr>
                <w:rFonts w:cs="Times New Roman" w:hint="eastAsia"/>
                <w:bCs/>
                <w:kern w:val="21"/>
                <w:sz w:val="21"/>
                <w:szCs w:val="21"/>
              </w:rPr>
              <w:t>四川省田宝生物科技有限公司进行有机肥生产。实现畜禽养殖废弃物综合利用。</w:t>
            </w:r>
          </w:p>
        </w:tc>
        <w:tc>
          <w:tcPr>
            <w:tcW w:w="918" w:type="dxa"/>
            <w:vAlign w:val="center"/>
          </w:tcPr>
          <w:p w14:paraId="4D2EB340"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hint="eastAsia"/>
                <w:bCs/>
                <w:kern w:val="21"/>
                <w:sz w:val="21"/>
                <w:szCs w:val="21"/>
              </w:rPr>
              <w:t>符合</w:t>
            </w:r>
          </w:p>
        </w:tc>
      </w:tr>
    </w:tbl>
    <w:p w14:paraId="66B248D4" w14:textId="77777777" w:rsidR="00544649" w:rsidRDefault="00000000">
      <w:pPr>
        <w:adjustRightInd w:val="0"/>
        <w:snapToGrid w:val="0"/>
        <w:spacing w:after="0"/>
        <w:ind w:firstLine="480"/>
        <w:rPr>
          <w:rFonts w:cs="Times New Roman"/>
          <w:kern w:val="21"/>
        </w:rPr>
      </w:pPr>
      <w:r>
        <w:rPr>
          <w:rFonts w:cs="Times New Roman"/>
          <w:kern w:val="21"/>
        </w:rPr>
        <w:t>因此，本项目与《</w:t>
      </w:r>
      <w:r>
        <w:rPr>
          <w:rFonts w:cs="Times New Roman" w:hint="eastAsia"/>
          <w:kern w:val="21"/>
        </w:rPr>
        <w:t>广元</w:t>
      </w:r>
      <w:r>
        <w:rPr>
          <w:rFonts w:cs="Times New Roman"/>
          <w:kern w:val="21"/>
        </w:rPr>
        <w:t>市</w:t>
      </w:r>
      <w:r>
        <w:rPr>
          <w:rFonts w:cs="Times New Roman" w:hint="eastAsia"/>
          <w:kern w:val="21"/>
        </w:rPr>
        <w:t>“</w:t>
      </w:r>
      <w:r>
        <w:rPr>
          <w:rFonts w:cs="Times New Roman"/>
          <w:kern w:val="21"/>
        </w:rPr>
        <w:t>十四五</w:t>
      </w:r>
      <w:r>
        <w:rPr>
          <w:rFonts w:cs="Times New Roman" w:hint="eastAsia"/>
          <w:kern w:val="21"/>
        </w:rPr>
        <w:t>”</w:t>
      </w:r>
      <w:r>
        <w:rPr>
          <w:rFonts w:cs="Times New Roman"/>
          <w:kern w:val="21"/>
        </w:rPr>
        <w:t>生态环境保护规划》</w:t>
      </w:r>
      <w:bookmarkEnd w:id="92"/>
      <w:bookmarkEnd w:id="93"/>
      <w:r>
        <w:rPr>
          <w:rFonts w:cs="Times New Roman"/>
          <w:kern w:val="21"/>
        </w:rPr>
        <w:t>的要求相符。</w:t>
      </w:r>
    </w:p>
    <w:p w14:paraId="60A0DEC1" w14:textId="77777777" w:rsidR="00544649" w:rsidRDefault="00000000">
      <w:pPr>
        <w:keepNext/>
        <w:keepLines/>
        <w:numPr>
          <w:ilvl w:val="3"/>
          <w:numId w:val="2"/>
        </w:numPr>
        <w:adjustRightInd w:val="0"/>
        <w:snapToGrid w:val="0"/>
        <w:spacing w:after="0"/>
        <w:ind w:firstLineChars="0"/>
        <w:outlineLvl w:val="3"/>
        <w:rPr>
          <w:kern w:val="21"/>
        </w:rPr>
      </w:pPr>
      <w:r>
        <w:rPr>
          <w:rFonts w:cs="Times New Roman"/>
          <w:b/>
          <w:kern w:val="21"/>
          <w:szCs w:val="24"/>
        </w:rPr>
        <w:t>与《水污染防治行动计划》符合性分析</w:t>
      </w:r>
    </w:p>
    <w:p w14:paraId="168E87FA" w14:textId="77777777" w:rsidR="00544649" w:rsidRDefault="00000000">
      <w:pPr>
        <w:pStyle w:val="af5"/>
        <w:widowControl/>
        <w:adjustRightInd w:val="0"/>
        <w:snapToGrid w:val="0"/>
        <w:spacing w:beforeAutospacing="0" w:after="0" w:afterAutospacing="0"/>
        <w:ind w:firstLine="480"/>
        <w:jc w:val="both"/>
        <w:rPr>
          <w:kern w:val="21"/>
        </w:rPr>
      </w:pPr>
      <w:r>
        <w:rPr>
          <w:rFonts w:hint="eastAsia"/>
          <w:kern w:val="21"/>
          <w:szCs w:val="24"/>
        </w:rPr>
        <w:t>本项目与</w:t>
      </w:r>
      <w:r>
        <w:rPr>
          <w:kern w:val="21"/>
          <w:szCs w:val="24"/>
        </w:rPr>
        <w:t>《国务院关于印发</w:t>
      </w:r>
      <w:r>
        <w:rPr>
          <w:rFonts w:hint="eastAsia"/>
          <w:kern w:val="21"/>
          <w:szCs w:val="24"/>
        </w:rPr>
        <w:t>水污染</w:t>
      </w:r>
      <w:r>
        <w:rPr>
          <w:kern w:val="21"/>
          <w:szCs w:val="24"/>
        </w:rPr>
        <w:t>防治行动计划的通知》（国发</w:t>
      </w:r>
      <w:r>
        <w:rPr>
          <w:rFonts w:hint="eastAsia"/>
          <w:kern w:val="21"/>
          <w:szCs w:val="24"/>
        </w:rPr>
        <w:t>〔</w:t>
      </w:r>
      <w:r>
        <w:rPr>
          <w:kern w:val="21"/>
          <w:szCs w:val="24"/>
        </w:rPr>
        <w:t>2015</w:t>
      </w:r>
      <w:r>
        <w:rPr>
          <w:rFonts w:hint="eastAsia"/>
          <w:kern w:val="21"/>
          <w:szCs w:val="24"/>
        </w:rPr>
        <w:t>〕</w:t>
      </w:r>
      <w:r>
        <w:rPr>
          <w:kern w:val="21"/>
          <w:szCs w:val="24"/>
        </w:rPr>
        <w:t>17</w:t>
      </w:r>
      <w:r>
        <w:rPr>
          <w:kern w:val="21"/>
          <w:szCs w:val="24"/>
        </w:rPr>
        <w:t>号）和《四川省人民政府关于印发水污染防治行动计划四川省工作方案的通知》（川府发</w:t>
      </w:r>
      <w:r>
        <w:rPr>
          <w:rFonts w:hint="eastAsia"/>
          <w:kern w:val="21"/>
          <w:szCs w:val="24"/>
        </w:rPr>
        <w:t>〔</w:t>
      </w:r>
      <w:r>
        <w:rPr>
          <w:kern w:val="21"/>
          <w:szCs w:val="24"/>
        </w:rPr>
        <w:t>2015</w:t>
      </w:r>
      <w:r>
        <w:rPr>
          <w:rFonts w:hint="eastAsia"/>
          <w:kern w:val="21"/>
          <w:szCs w:val="24"/>
        </w:rPr>
        <w:t>〕</w:t>
      </w:r>
      <w:r>
        <w:rPr>
          <w:kern w:val="21"/>
          <w:szCs w:val="24"/>
        </w:rPr>
        <w:t>59</w:t>
      </w:r>
      <w:r>
        <w:rPr>
          <w:kern w:val="21"/>
          <w:szCs w:val="24"/>
        </w:rPr>
        <w:t>号）的符合性分析见</w:t>
      </w:r>
      <w:r>
        <w:rPr>
          <w:rFonts w:hint="eastAsia"/>
          <w:kern w:val="21"/>
          <w:szCs w:val="24"/>
        </w:rPr>
        <w:t>下表。</w:t>
      </w:r>
    </w:p>
    <w:p w14:paraId="750350F1"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ascii="宋体" w:hAnsi="宋体" w:cs="宋体" w:hint="eastAsia"/>
          <w:b/>
          <w:bCs/>
          <w:kern w:val="21"/>
          <w:sz w:val="21"/>
          <w:szCs w:val="21"/>
        </w:rPr>
      </w:pPr>
      <w:r>
        <w:rPr>
          <w:rFonts w:cs="Times New Roman" w:hint="eastAsia"/>
          <w:b/>
          <w:bCs/>
          <w:kern w:val="21"/>
          <w:sz w:val="21"/>
          <w:szCs w:val="21"/>
        </w:rPr>
        <w:t>本</w:t>
      </w:r>
      <w:r>
        <w:rPr>
          <w:rFonts w:cs="Times New Roman"/>
          <w:b/>
          <w:bCs/>
          <w:kern w:val="21"/>
          <w:sz w:val="21"/>
          <w:szCs w:val="21"/>
        </w:rPr>
        <w:t>项目与</w:t>
      </w:r>
      <w:r>
        <w:rPr>
          <w:rFonts w:cs="Times New Roman"/>
          <w:b/>
          <w:bCs/>
          <w:kern w:val="21"/>
          <w:sz w:val="21"/>
          <w:szCs w:val="21"/>
        </w:rPr>
        <w:t>“</w:t>
      </w:r>
      <w:r>
        <w:rPr>
          <w:rFonts w:cs="Times New Roman"/>
          <w:b/>
          <w:bCs/>
          <w:kern w:val="21"/>
          <w:sz w:val="21"/>
          <w:szCs w:val="21"/>
        </w:rPr>
        <w:t>水十条</w:t>
      </w:r>
      <w:r>
        <w:rPr>
          <w:rFonts w:cs="Times New Roman"/>
          <w:b/>
          <w:bCs/>
          <w:kern w:val="21"/>
          <w:sz w:val="21"/>
          <w:szCs w:val="21"/>
        </w:rPr>
        <w:t>”</w:t>
      </w:r>
      <w:r>
        <w:rPr>
          <w:rFonts w:cs="Times New Roman"/>
          <w:b/>
          <w:bCs/>
          <w:kern w:val="21"/>
          <w:sz w:val="21"/>
          <w:szCs w:val="21"/>
        </w:rPr>
        <w:t>及四川省工作方案的符合性分析</w:t>
      </w:r>
    </w:p>
    <w:tbl>
      <w:tblPr>
        <w:tblStyle w:val="afc"/>
        <w:tblW w:w="9060" w:type="dxa"/>
        <w:jc w:val="center"/>
        <w:tblLayout w:type="fixed"/>
        <w:tblLook w:val="04A0" w:firstRow="1" w:lastRow="0" w:firstColumn="1" w:lastColumn="0" w:noHBand="0" w:noVBand="1"/>
      </w:tblPr>
      <w:tblGrid>
        <w:gridCol w:w="1120"/>
        <w:gridCol w:w="5258"/>
        <w:gridCol w:w="1838"/>
        <w:gridCol w:w="844"/>
      </w:tblGrid>
      <w:tr w:rsidR="00544649" w14:paraId="70D2DD0A" w14:textId="77777777">
        <w:trPr>
          <w:tblHeader/>
          <w:jc w:val="center"/>
        </w:trPr>
        <w:tc>
          <w:tcPr>
            <w:tcW w:w="1120" w:type="dxa"/>
            <w:shd w:val="clear" w:color="auto" w:fill="auto"/>
            <w:vAlign w:val="center"/>
          </w:tcPr>
          <w:p w14:paraId="1B452690"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规划或文件</w:t>
            </w:r>
          </w:p>
        </w:tc>
        <w:tc>
          <w:tcPr>
            <w:tcW w:w="5258" w:type="dxa"/>
            <w:shd w:val="clear" w:color="auto" w:fill="auto"/>
            <w:vAlign w:val="center"/>
          </w:tcPr>
          <w:p w14:paraId="46E52346"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主要内容</w:t>
            </w:r>
          </w:p>
        </w:tc>
        <w:tc>
          <w:tcPr>
            <w:tcW w:w="1838" w:type="dxa"/>
            <w:shd w:val="clear" w:color="auto" w:fill="auto"/>
            <w:vAlign w:val="center"/>
          </w:tcPr>
          <w:p w14:paraId="5F8720C6"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b/>
                <w:bCs/>
                <w:kern w:val="21"/>
                <w:sz w:val="21"/>
                <w:szCs w:val="21"/>
              </w:rPr>
              <w:t>本项目情况</w:t>
            </w:r>
          </w:p>
        </w:tc>
        <w:tc>
          <w:tcPr>
            <w:tcW w:w="844" w:type="dxa"/>
            <w:vAlign w:val="center"/>
          </w:tcPr>
          <w:p w14:paraId="5E013ECB"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符合性</w:t>
            </w:r>
          </w:p>
        </w:tc>
      </w:tr>
      <w:tr w:rsidR="00544649" w14:paraId="7C57CC46" w14:textId="77777777">
        <w:trPr>
          <w:jc w:val="center"/>
        </w:trPr>
        <w:tc>
          <w:tcPr>
            <w:tcW w:w="1120" w:type="dxa"/>
            <w:shd w:val="clear" w:color="auto" w:fill="auto"/>
            <w:vAlign w:val="center"/>
          </w:tcPr>
          <w:p w14:paraId="6476CD0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《国务院关于印发水污染防治行动计</w:t>
            </w:r>
            <w:r>
              <w:rPr>
                <w:rFonts w:cs="Times New Roman"/>
                <w:kern w:val="21"/>
                <w:sz w:val="21"/>
                <w:szCs w:val="21"/>
              </w:rPr>
              <w:lastRenderedPageBreak/>
              <w:t>划的通知》（国发〔</w:t>
            </w:r>
            <w:r>
              <w:rPr>
                <w:rFonts w:cs="Times New Roman"/>
                <w:kern w:val="21"/>
                <w:sz w:val="21"/>
                <w:szCs w:val="21"/>
              </w:rPr>
              <w:t>2015</w:t>
            </w:r>
            <w:r>
              <w:rPr>
                <w:rFonts w:cs="Times New Roman"/>
                <w:kern w:val="21"/>
                <w:sz w:val="21"/>
                <w:szCs w:val="21"/>
              </w:rPr>
              <w:t>〕</w:t>
            </w:r>
            <w:r>
              <w:rPr>
                <w:rFonts w:cs="Times New Roman"/>
                <w:kern w:val="21"/>
                <w:sz w:val="21"/>
                <w:szCs w:val="21"/>
              </w:rPr>
              <w:t>17</w:t>
            </w:r>
            <w:r>
              <w:rPr>
                <w:rFonts w:cs="Times New Roman"/>
                <w:kern w:val="21"/>
                <w:sz w:val="21"/>
                <w:szCs w:val="21"/>
              </w:rPr>
              <w:t>号）</w:t>
            </w:r>
          </w:p>
        </w:tc>
        <w:tc>
          <w:tcPr>
            <w:tcW w:w="5258" w:type="dxa"/>
            <w:shd w:val="clear" w:color="auto" w:fill="auto"/>
            <w:vAlign w:val="center"/>
          </w:tcPr>
          <w:p w14:paraId="3CA4843F" w14:textId="77777777" w:rsidR="00544649" w:rsidRDefault="00000000">
            <w:pPr>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shd w:val="clear" w:color="auto" w:fill="FFFFFF"/>
              </w:rPr>
              <w:lastRenderedPageBreak/>
              <w:t>推进农业农村污染防治。防治畜禽养殖污染。科学划定畜禽养殖禁养区，</w:t>
            </w:r>
            <w:r>
              <w:rPr>
                <w:rFonts w:cs="Times New Roman"/>
                <w:kern w:val="21"/>
                <w:sz w:val="21"/>
                <w:szCs w:val="21"/>
                <w:shd w:val="clear" w:color="auto" w:fill="FFFFFF"/>
              </w:rPr>
              <w:t>2017</w:t>
            </w:r>
            <w:r>
              <w:rPr>
                <w:rFonts w:cs="Times New Roman"/>
                <w:kern w:val="21"/>
                <w:sz w:val="21"/>
                <w:szCs w:val="21"/>
                <w:shd w:val="clear" w:color="auto" w:fill="FFFFFF"/>
              </w:rPr>
              <w:t>年底前，依法关闭或搬迁禁养区内的畜禽养殖场（小区）和养殖专业户，京津冀、长三角、珠三角等区域提前一年完成。现有规模化畜禽养殖</w:t>
            </w:r>
            <w:r>
              <w:rPr>
                <w:rFonts w:cs="Times New Roman"/>
                <w:kern w:val="21"/>
                <w:sz w:val="21"/>
                <w:szCs w:val="21"/>
                <w:shd w:val="clear" w:color="auto" w:fill="FFFFFF"/>
              </w:rPr>
              <w:lastRenderedPageBreak/>
              <w:t>场（小区）要根据污染防治需要，配套建设粪便污水贮存、处理、利用设施。散养密集区要实行畜禽粪便污水分户收集、集中处理利用。自</w:t>
            </w:r>
            <w:r>
              <w:rPr>
                <w:rFonts w:cs="Times New Roman"/>
                <w:kern w:val="21"/>
                <w:sz w:val="21"/>
                <w:szCs w:val="21"/>
                <w:shd w:val="clear" w:color="auto" w:fill="FFFFFF"/>
              </w:rPr>
              <w:t>2016</w:t>
            </w:r>
            <w:r>
              <w:rPr>
                <w:rFonts w:cs="Times New Roman"/>
                <w:kern w:val="21"/>
                <w:sz w:val="21"/>
                <w:szCs w:val="21"/>
                <w:shd w:val="clear" w:color="auto" w:fill="FFFFFF"/>
              </w:rPr>
              <w:t>年起，新建、改建、扩建规模化畜禽养殖场（小区）要实施雨污分流、粪便污水资源化利用。</w:t>
            </w:r>
          </w:p>
        </w:tc>
        <w:tc>
          <w:tcPr>
            <w:tcW w:w="1838" w:type="dxa"/>
            <w:vMerge w:val="restart"/>
            <w:shd w:val="clear" w:color="auto" w:fill="auto"/>
            <w:vAlign w:val="center"/>
          </w:tcPr>
          <w:p w14:paraId="0E7244A6" w14:textId="77777777" w:rsidR="00544649" w:rsidRDefault="00000000">
            <w:pPr>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lastRenderedPageBreak/>
              <w:t>本项目所在区域属于适养区</w:t>
            </w:r>
            <w:r>
              <w:rPr>
                <w:rFonts w:cs="Times New Roman" w:hint="eastAsia"/>
                <w:kern w:val="21"/>
                <w:sz w:val="21"/>
                <w:szCs w:val="21"/>
              </w:rPr>
              <w:t>。本项目场区采取雨污分流，项目配套建</w:t>
            </w:r>
            <w:r>
              <w:rPr>
                <w:rFonts w:cs="Times New Roman" w:hint="eastAsia"/>
                <w:kern w:val="21"/>
                <w:sz w:val="21"/>
                <w:szCs w:val="21"/>
              </w:rPr>
              <w:lastRenderedPageBreak/>
              <w:t>设污水处理站及废水储存池，场内废水经处理达《农田灌溉水质标准》（</w:t>
            </w:r>
            <w:r>
              <w:rPr>
                <w:rFonts w:cs="Times New Roman" w:hint="eastAsia"/>
                <w:kern w:val="21"/>
                <w:sz w:val="21"/>
                <w:szCs w:val="21"/>
              </w:rPr>
              <w:t>GB5084-2021</w:t>
            </w:r>
            <w:r>
              <w:rPr>
                <w:rFonts w:cs="Times New Roman" w:hint="eastAsia"/>
                <w:kern w:val="21"/>
                <w:sz w:val="21"/>
                <w:szCs w:val="21"/>
              </w:rPr>
              <w:t>）要求后，用于林地灌溉，不外排。鸡粪日产日清，交由四川省田宝生物科技有限公司进行有机肥生产，实现资源化利用。</w:t>
            </w:r>
          </w:p>
        </w:tc>
        <w:tc>
          <w:tcPr>
            <w:tcW w:w="844" w:type="dxa"/>
            <w:vMerge w:val="restart"/>
            <w:vAlign w:val="center"/>
          </w:tcPr>
          <w:p w14:paraId="50C04D0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lastRenderedPageBreak/>
              <w:t>符合</w:t>
            </w:r>
          </w:p>
        </w:tc>
      </w:tr>
      <w:tr w:rsidR="00544649" w14:paraId="48C6E8CC" w14:textId="77777777">
        <w:trPr>
          <w:jc w:val="center"/>
        </w:trPr>
        <w:tc>
          <w:tcPr>
            <w:tcW w:w="1120" w:type="dxa"/>
            <w:shd w:val="clear" w:color="auto" w:fill="auto"/>
            <w:vAlign w:val="center"/>
          </w:tcPr>
          <w:p w14:paraId="4F44854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《四川省人民政府关于印发水污染防治行动计划四川省工作方案的通知》（川府发〔</w:t>
            </w:r>
            <w:r>
              <w:rPr>
                <w:rFonts w:cs="Times New Roman"/>
                <w:kern w:val="21"/>
                <w:sz w:val="21"/>
                <w:szCs w:val="21"/>
              </w:rPr>
              <w:t>2015</w:t>
            </w:r>
            <w:r>
              <w:rPr>
                <w:rFonts w:cs="Times New Roman"/>
                <w:kern w:val="21"/>
                <w:sz w:val="21"/>
                <w:szCs w:val="21"/>
              </w:rPr>
              <w:t>〕</w:t>
            </w:r>
            <w:r>
              <w:rPr>
                <w:rFonts w:cs="Times New Roman"/>
                <w:kern w:val="21"/>
                <w:sz w:val="21"/>
                <w:szCs w:val="21"/>
              </w:rPr>
              <w:t>59</w:t>
            </w:r>
            <w:r>
              <w:rPr>
                <w:rFonts w:cs="Times New Roman"/>
                <w:kern w:val="21"/>
                <w:sz w:val="21"/>
                <w:szCs w:val="21"/>
              </w:rPr>
              <w:t>号）</w:t>
            </w:r>
          </w:p>
        </w:tc>
        <w:tc>
          <w:tcPr>
            <w:tcW w:w="5258" w:type="dxa"/>
            <w:shd w:val="clear" w:color="auto" w:fill="auto"/>
            <w:vAlign w:val="center"/>
          </w:tcPr>
          <w:p w14:paraId="12B8D0C7" w14:textId="77777777" w:rsidR="00544649" w:rsidRDefault="00000000">
            <w:pPr>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推进农业农村污染防治。</w:t>
            </w:r>
            <w:r>
              <w:rPr>
                <w:rFonts w:cs="Times New Roman"/>
                <w:kern w:val="21"/>
                <w:sz w:val="21"/>
                <w:szCs w:val="21"/>
              </w:rPr>
              <w:t>7</w:t>
            </w:r>
            <w:r>
              <w:rPr>
                <w:rFonts w:cs="Times New Roman"/>
                <w:kern w:val="21"/>
                <w:sz w:val="21"/>
                <w:szCs w:val="21"/>
              </w:rPr>
              <w:t>．防治畜禽养殖污染。规范畜禽养殖管理。环境保护部门会同农业部门组织指导各地科学划定畜禽养殖禁养区、限养区，于</w:t>
            </w:r>
            <w:r>
              <w:rPr>
                <w:rFonts w:cs="Times New Roman"/>
                <w:kern w:val="21"/>
                <w:sz w:val="21"/>
                <w:szCs w:val="21"/>
              </w:rPr>
              <w:t>2016</w:t>
            </w:r>
            <w:r>
              <w:rPr>
                <w:rFonts w:cs="Times New Roman"/>
                <w:kern w:val="21"/>
                <w:sz w:val="21"/>
                <w:szCs w:val="21"/>
              </w:rPr>
              <w:t>年</w:t>
            </w:r>
            <w:r>
              <w:rPr>
                <w:rFonts w:cs="Times New Roman"/>
                <w:kern w:val="21"/>
                <w:sz w:val="21"/>
                <w:szCs w:val="21"/>
              </w:rPr>
              <w:t>6</w:t>
            </w:r>
            <w:r>
              <w:rPr>
                <w:rFonts w:cs="Times New Roman"/>
                <w:kern w:val="21"/>
                <w:sz w:val="21"/>
                <w:szCs w:val="21"/>
              </w:rPr>
              <w:t>月底前列出禁养区内的畜禽养殖场（小区）和养殖专业户清单；督促各市（州）、县（市、区）在</w:t>
            </w:r>
            <w:r>
              <w:rPr>
                <w:rFonts w:cs="Times New Roman"/>
                <w:kern w:val="21"/>
                <w:sz w:val="21"/>
                <w:szCs w:val="21"/>
              </w:rPr>
              <w:t>2017</w:t>
            </w:r>
            <w:r>
              <w:rPr>
                <w:rFonts w:cs="Times New Roman"/>
                <w:kern w:val="21"/>
                <w:sz w:val="21"/>
                <w:szCs w:val="21"/>
              </w:rPr>
              <w:t>年底前依法关闭或搬迁禁养区内的畜禽养殖场（小区）和养殖专业户。</w:t>
            </w:r>
          </w:p>
          <w:p w14:paraId="572E24AE" w14:textId="77777777" w:rsidR="00544649" w:rsidRDefault="00000000">
            <w:pPr>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加强规模化养殖场（小区）污染治理。农业部门会同环境保护部门组织排查并列出需治理（完善）的规模化养殖场（小区）名单，纳入农业部门、环境保护部门专项工作方案。督促现有规模化养殖场（小区）根据污染防治需要，配套建设粪便贮存、处理、利用设施。因地制宜建设大中型沼气工程。自</w:t>
            </w:r>
            <w:r>
              <w:rPr>
                <w:rFonts w:cs="Times New Roman"/>
                <w:kern w:val="21"/>
                <w:sz w:val="21"/>
                <w:szCs w:val="21"/>
              </w:rPr>
              <w:t>2016</w:t>
            </w:r>
            <w:r>
              <w:rPr>
                <w:rFonts w:cs="Times New Roman"/>
                <w:kern w:val="21"/>
                <w:sz w:val="21"/>
                <w:szCs w:val="21"/>
              </w:rPr>
              <w:t>年起，新建、改建、扩建规模化畜禽养殖场（小区）要实施雨污分流、粪便污水资源化利用。</w:t>
            </w:r>
          </w:p>
        </w:tc>
        <w:tc>
          <w:tcPr>
            <w:tcW w:w="1838" w:type="dxa"/>
            <w:vMerge/>
            <w:shd w:val="clear" w:color="auto" w:fill="auto"/>
            <w:vAlign w:val="center"/>
          </w:tcPr>
          <w:p w14:paraId="2041FE81"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44" w:type="dxa"/>
            <w:vMerge/>
          </w:tcPr>
          <w:p w14:paraId="1ECD65CB"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bl>
    <w:p w14:paraId="11DDC1F7" w14:textId="77777777" w:rsidR="00544649" w:rsidRDefault="00000000">
      <w:pPr>
        <w:adjustRightInd w:val="0"/>
        <w:snapToGrid w:val="0"/>
        <w:spacing w:after="0"/>
        <w:ind w:firstLine="480"/>
        <w:rPr>
          <w:rFonts w:cs="Times New Roman"/>
          <w:kern w:val="21"/>
          <w:szCs w:val="24"/>
        </w:rPr>
      </w:pPr>
      <w:r>
        <w:rPr>
          <w:rFonts w:cs="Times New Roman"/>
          <w:kern w:val="21"/>
          <w:szCs w:val="24"/>
        </w:rPr>
        <w:t>综上所述，本项目</w:t>
      </w:r>
      <w:r>
        <w:rPr>
          <w:rFonts w:cs="Times New Roman" w:hint="eastAsia"/>
          <w:kern w:val="21"/>
          <w:szCs w:val="24"/>
        </w:rPr>
        <w:t>建设</w:t>
      </w:r>
      <w:r>
        <w:rPr>
          <w:rFonts w:cs="Times New Roman"/>
          <w:kern w:val="21"/>
          <w:szCs w:val="24"/>
        </w:rPr>
        <w:t>符合《国务院关于印发水污染防治行动计划的通知》（国发</w:t>
      </w:r>
      <w:r>
        <w:rPr>
          <w:rFonts w:cs="Times New Roman" w:hint="eastAsia"/>
          <w:kern w:val="21"/>
          <w:szCs w:val="24"/>
        </w:rPr>
        <w:t>〔</w:t>
      </w:r>
      <w:r>
        <w:rPr>
          <w:rFonts w:cs="Times New Roman"/>
          <w:kern w:val="21"/>
          <w:szCs w:val="24"/>
        </w:rPr>
        <w:t>2015</w:t>
      </w:r>
      <w:r>
        <w:rPr>
          <w:rFonts w:cs="Times New Roman" w:hint="eastAsia"/>
          <w:kern w:val="21"/>
          <w:szCs w:val="24"/>
        </w:rPr>
        <w:t>〕</w:t>
      </w:r>
      <w:r>
        <w:rPr>
          <w:rFonts w:cs="Times New Roman"/>
          <w:kern w:val="21"/>
          <w:szCs w:val="24"/>
        </w:rPr>
        <w:t>17</w:t>
      </w:r>
      <w:r>
        <w:rPr>
          <w:rFonts w:cs="Times New Roman"/>
          <w:kern w:val="21"/>
          <w:szCs w:val="24"/>
        </w:rPr>
        <w:t>号）和《四川省</w:t>
      </w:r>
      <w:r>
        <w:rPr>
          <w:rFonts w:cs="Times New Roman" w:hint="eastAsia"/>
          <w:kern w:val="21"/>
          <w:szCs w:val="24"/>
        </w:rPr>
        <w:t>人民政府</w:t>
      </w:r>
      <w:r>
        <w:rPr>
          <w:rFonts w:cs="Times New Roman"/>
          <w:kern w:val="21"/>
          <w:szCs w:val="24"/>
        </w:rPr>
        <w:t>关于印发水污染防治行动计划四川省工作方案的通知》（川府发</w:t>
      </w:r>
      <w:r>
        <w:rPr>
          <w:rFonts w:cs="Times New Roman" w:hint="eastAsia"/>
          <w:kern w:val="21"/>
          <w:szCs w:val="24"/>
        </w:rPr>
        <w:t>〔</w:t>
      </w:r>
      <w:r>
        <w:rPr>
          <w:rFonts w:cs="Times New Roman"/>
          <w:kern w:val="21"/>
          <w:szCs w:val="24"/>
        </w:rPr>
        <w:t>2015</w:t>
      </w:r>
      <w:r>
        <w:rPr>
          <w:rFonts w:cs="Times New Roman" w:hint="eastAsia"/>
          <w:kern w:val="21"/>
          <w:szCs w:val="24"/>
        </w:rPr>
        <w:t>〕</w:t>
      </w:r>
      <w:r>
        <w:rPr>
          <w:rFonts w:cs="Times New Roman"/>
          <w:kern w:val="21"/>
          <w:szCs w:val="24"/>
        </w:rPr>
        <w:t>59</w:t>
      </w:r>
      <w:r>
        <w:rPr>
          <w:rFonts w:cs="Times New Roman"/>
          <w:kern w:val="21"/>
          <w:szCs w:val="24"/>
        </w:rPr>
        <w:t>号）要求。</w:t>
      </w:r>
    </w:p>
    <w:p w14:paraId="0366CAC5" w14:textId="77777777" w:rsidR="00544649" w:rsidRDefault="00000000">
      <w:pPr>
        <w:keepNext/>
        <w:keepLines/>
        <w:numPr>
          <w:ilvl w:val="3"/>
          <w:numId w:val="2"/>
        </w:numPr>
        <w:adjustRightInd w:val="0"/>
        <w:snapToGrid w:val="0"/>
        <w:spacing w:after="0"/>
        <w:ind w:firstLineChars="0"/>
        <w:outlineLvl w:val="3"/>
        <w:rPr>
          <w:kern w:val="21"/>
        </w:rPr>
      </w:pPr>
      <w:r>
        <w:rPr>
          <w:rFonts w:cs="Times New Roman"/>
          <w:b/>
          <w:kern w:val="21"/>
          <w:szCs w:val="24"/>
        </w:rPr>
        <w:t>与《</w:t>
      </w:r>
      <w:r>
        <w:rPr>
          <w:rFonts w:cs="Times New Roman" w:hint="eastAsia"/>
          <w:b/>
          <w:kern w:val="21"/>
          <w:szCs w:val="24"/>
        </w:rPr>
        <w:t>土壤</w:t>
      </w:r>
      <w:r>
        <w:rPr>
          <w:rFonts w:cs="Times New Roman"/>
          <w:b/>
          <w:kern w:val="21"/>
          <w:szCs w:val="24"/>
        </w:rPr>
        <w:t>污染防治行动计划》符合性分析</w:t>
      </w:r>
    </w:p>
    <w:p w14:paraId="197D9739" w14:textId="77777777" w:rsidR="00544649" w:rsidRDefault="00000000">
      <w:pPr>
        <w:widowControl/>
        <w:adjustRightInd w:val="0"/>
        <w:snapToGrid w:val="0"/>
        <w:spacing w:after="0"/>
        <w:ind w:firstLine="480"/>
        <w:rPr>
          <w:rFonts w:cs="Times New Roman"/>
          <w:kern w:val="21"/>
        </w:rPr>
      </w:pPr>
      <w:r>
        <w:rPr>
          <w:rFonts w:cs="Times New Roman"/>
          <w:kern w:val="21"/>
          <w:szCs w:val="24"/>
        </w:rPr>
        <w:t>根据《国务院关于印发</w:t>
      </w:r>
      <w:r>
        <w:rPr>
          <w:rFonts w:cs="Times New Roman" w:hint="eastAsia"/>
          <w:kern w:val="21"/>
          <w:szCs w:val="24"/>
        </w:rPr>
        <w:t>土壤污染防治行动计划</w:t>
      </w:r>
      <w:r>
        <w:rPr>
          <w:rFonts w:cs="Times New Roman"/>
          <w:kern w:val="21"/>
          <w:szCs w:val="24"/>
        </w:rPr>
        <w:t>的通知》（国发</w:t>
      </w:r>
      <w:r>
        <w:rPr>
          <w:rFonts w:cs="Times New Roman" w:hint="eastAsia"/>
          <w:kern w:val="21"/>
          <w:szCs w:val="24"/>
        </w:rPr>
        <w:t>〔</w:t>
      </w:r>
      <w:r>
        <w:rPr>
          <w:rFonts w:cs="Times New Roman"/>
          <w:kern w:val="21"/>
          <w:szCs w:val="24"/>
        </w:rPr>
        <w:t>201</w:t>
      </w:r>
      <w:r>
        <w:rPr>
          <w:rFonts w:cs="Times New Roman" w:hint="eastAsia"/>
          <w:kern w:val="21"/>
          <w:szCs w:val="24"/>
        </w:rPr>
        <w:t>6</w:t>
      </w:r>
      <w:r>
        <w:rPr>
          <w:rFonts w:cs="Times New Roman" w:hint="eastAsia"/>
          <w:kern w:val="21"/>
          <w:szCs w:val="24"/>
        </w:rPr>
        <w:t>〕</w:t>
      </w:r>
      <w:r>
        <w:rPr>
          <w:rFonts w:cs="Times New Roman" w:hint="eastAsia"/>
          <w:kern w:val="21"/>
          <w:szCs w:val="24"/>
        </w:rPr>
        <w:t>30</w:t>
      </w:r>
      <w:r>
        <w:rPr>
          <w:rFonts w:cs="Times New Roman"/>
          <w:kern w:val="21"/>
          <w:szCs w:val="24"/>
        </w:rPr>
        <w:t>号）和《四川省人民政府关于印发</w:t>
      </w:r>
      <w:r>
        <w:rPr>
          <w:rFonts w:cs="Times New Roman" w:hint="eastAsia"/>
          <w:kern w:val="21"/>
          <w:szCs w:val="24"/>
        </w:rPr>
        <w:t>土壤污染防治行动计划</w:t>
      </w:r>
      <w:r>
        <w:rPr>
          <w:rFonts w:cs="Times New Roman"/>
          <w:kern w:val="21"/>
          <w:szCs w:val="24"/>
        </w:rPr>
        <w:t>四川省工作方案的通知》（川府发</w:t>
      </w:r>
      <w:r>
        <w:rPr>
          <w:rFonts w:cs="Times New Roman" w:hint="eastAsia"/>
          <w:kern w:val="21"/>
          <w:szCs w:val="24"/>
        </w:rPr>
        <w:t>〔</w:t>
      </w:r>
      <w:r>
        <w:rPr>
          <w:rFonts w:cs="Times New Roman"/>
          <w:kern w:val="21"/>
          <w:szCs w:val="24"/>
        </w:rPr>
        <w:t>201</w:t>
      </w:r>
      <w:r>
        <w:rPr>
          <w:rFonts w:cs="Times New Roman" w:hint="eastAsia"/>
          <w:kern w:val="21"/>
          <w:szCs w:val="24"/>
        </w:rPr>
        <w:t>6</w:t>
      </w:r>
      <w:r>
        <w:rPr>
          <w:rFonts w:cs="Times New Roman" w:hint="eastAsia"/>
          <w:kern w:val="21"/>
          <w:szCs w:val="24"/>
        </w:rPr>
        <w:t>〕</w:t>
      </w:r>
      <w:r>
        <w:rPr>
          <w:rFonts w:cs="Times New Roman" w:hint="eastAsia"/>
          <w:kern w:val="21"/>
          <w:szCs w:val="24"/>
        </w:rPr>
        <w:t>63</w:t>
      </w:r>
      <w:r>
        <w:rPr>
          <w:rFonts w:cs="Times New Roman"/>
          <w:kern w:val="21"/>
          <w:szCs w:val="24"/>
        </w:rPr>
        <w:t>号）的符合性分析见</w:t>
      </w:r>
      <w:r>
        <w:rPr>
          <w:rFonts w:cs="Times New Roman" w:hint="eastAsia"/>
          <w:kern w:val="21"/>
          <w:szCs w:val="24"/>
        </w:rPr>
        <w:t>下表</w:t>
      </w:r>
      <w:r>
        <w:rPr>
          <w:rFonts w:cs="Times New Roman"/>
          <w:kern w:val="21"/>
          <w:szCs w:val="24"/>
        </w:rPr>
        <w:t>。</w:t>
      </w:r>
    </w:p>
    <w:p w14:paraId="021F2D45"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本项目与</w:t>
      </w:r>
      <w:r>
        <w:rPr>
          <w:rFonts w:cs="Times New Roman"/>
          <w:b/>
          <w:bCs/>
          <w:kern w:val="21"/>
          <w:sz w:val="21"/>
          <w:szCs w:val="21"/>
        </w:rPr>
        <w:t>“</w:t>
      </w:r>
      <w:r>
        <w:rPr>
          <w:rFonts w:cs="Times New Roman"/>
          <w:b/>
          <w:bCs/>
          <w:kern w:val="21"/>
          <w:sz w:val="21"/>
          <w:szCs w:val="21"/>
        </w:rPr>
        <w:t>土十条</w:t>
      </w:r>
      <w:r>
        <w:rPr>
          <w:rFonts w:cs="Times New Roman"/>
          <w:b/>
          <w:bCs/>
          <w:kern w:val="21"/>
          <w:sz w:val="21"/>
          <w:szCs w:val="21"/>
        </w:rPr>
        <w:t>”</w:t>
      </w:r>
      <w:r>
        <w:rPr>
          <w:rFonts w:cs="Times New Roman"/>
          <w:b/>
          <w:bCs/>
          <w:kern w:val="21"/>
          <w:sz w:val="21"/>
          <w:szCs w:val="21"/>
        </w:rPr>
        <w:t>及四川省工作方案的符合性分析</w:t>
      </w:r>
    </w:p>
    <w:tbl>
      <w:tblPr>
        <w:tblStyle w:val="afc"/>
        <w:tblW w:w="9060" w:type="dxa"/>
        <w:jc w:val="center"/>
        <w:tblLayout w:type="fixed"/>
        <w:tblLook w:val="04A0" w:firstRow="1" w:lastRow="0" w:firstColumn="1" w:lastColumn="0" w:noHBand="0" w:noVBand="1"/>
      </w:tblPr>
      <w:tblGrid>
        <w:gridCol w:w="1199"/>
        <w:gridCol w:w="4757"/>
        <w:gridCol w:w="2180"/>
        <w:gridCol w:w="924"/>
      </w:tblGrid>
      <w:tr w:rsidR="00544649" w14:paraId="3877A422" w14:textId="77777777">
        <w:trPr>
          <w:tblHeader/>
          <w:jc w:val="center"/>
        </w:trPr>
        <w:tc>
          <w:tcPr>
            <w:tcW w:w="1199" w:type="dxa"/>
            <w:shd w:val="clear" w:color="auto" w:fill="auto"/>
            <w:vAlign w:val="center"/>
          </w:tcPr>
          <w:p w14:paraId="01184F17"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规划或文件</w:t>
            </w:r>
          </w:p>
        </w:tc>
        <w:tc>
          <w:tcPr>
            <w:tcW w:w="4757" w:type="dxa"/>
            <w:shd w:val="clear" w:color="auto" w:fill="auto"/>
            <w:vAlign w:val="center"/>
          </w:tcPr>
          <w:p w14:paraId="1C9EE07B"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主要内容</w:t>
            </w:r>
          </w:p>
        </w:tc>
        <w:tc>
          <w:tcPr>
            <w:tcW w:w="2180" w:type="dxa"/>
            <w:shd w:val="clear" w:color="auto" w:fill="auto"/>
            <w:vAlign w:val="center"/>
          </w:tcPr>
          <w:p w14:paraId="16167EDC"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b/>
                <w:bCs/>
                <w:kern w:val="21"/>
                <w:sz w:val="21"/>
                <w:szCs w:val="21"/>
              </w:rPr>
              <w:t>本项目情况</w:t>
            </w:r>
          </w:p>
        </w:tc>
        <w:tc>
          <w:tcPr>
            <w:tcW w:w="924" w:type="dxa"/>
            <w:vAlign w:val="center"/>
          </w:tcPr>
          <w:p w14:paraId="780D7CBF"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符合性</w:t>
            </w:r>
          </w:p>
        </w:tc>
      </w:tr>
      <w:tr w:rsidR="00544649" w14:paraId="5D5C1E4A" w14:textId="77777777">
        <w:trPr>
          <w:jc w:val="center"/>
        </w:trPr>
        <w:tc>
          <w:tcPr>
            <w:tcW w:w="1199" w:type="dxa"/>
            <w:shd w:val="clear" w:color="auto" w:fill="auto"/>
            <w:vAlign w:val="center"/>
          </w:tcPr>
          <w:p w14:paraId="60E08E6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《国务院关于印发土壤污染防治行动计划的通知》（国发〔</w:t>
            </w:r>
            <w:r>
              <w:rPr>
                <w:rFonts w:cs="Times New Roman"/>
                <w:kern w:val="21"/>
                <w:sz w:val="21"/>
                <w:szCs w:val="21"/>
              </w:rPr>
              <w:t>2016</w:t>
            </w:r>
            <w:r>
              <w:rPr>
                <w:rFonts w:cs="Times New Roman"/>
                <w:kern w:val="21"/>
                <w:sz w:val="21"/>
                <w:szCs w:val="21"/>
              </w:rPr>
              <w:t>〕</w:t>
            </w:r>
            <w:r>
              <w:rPr>
                <w:rFonts w:cs="Times New Roman"/>
                <w:kern w:val="21"/>
                <w:sz w:val="21"/>
                <w:szCs w:val="21"/>
              </w:rPr>
              <w:t>30</w:t>
            </w:r>
            <w:r>
              <w:rPr>
                <w:rFonts w:cs="Times New Roman"/>
                <w:kern w:val="21"/>
                <w:sz w:val="21"/>
                <w:szCs w:val="21"/>
              </w:rPr>
              <w:t>号）</w:t>
            </w:r>
          </w:p>
        </w:tc>
        <w:tc>
          <w:tcPr>
            <w:tcW w:w="4757" w:type="dxa"/>
            <w:shd w:val="clear" w:color="auto" w:fill="auto"/>
            <w:vAlign w:val="center"/>
          </w:tcPr>
          <w:p w14:paraId="21C5094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shd w:val="clear" w:color="auto" w:fill="FFFFFF"/>
              </w:rPr>
              <w:t xml:space="preserve">　强化畜禽养殖污染防治。严格规范兽药、饲料添加剂的生产和使用，防止过量使用，促进源头减量。加强畜禽粪便综合利用，在部分生猪大县开展种养业有机结合、循环发展试点。鼓励支持畜禽粪便处理利用设施建设，到</w:t>
            </w:r>
            <w:r>
              <w:rPr>
                <w:rFonts w:cs="Times New Roman"/>
                <w:kern w:val="21"/>
                <w:sz w:val="21"/>
                <w:szCs w:val="21"/>
                <w:shd w:val="clear" w:color="auto" w:fill="FFFFFF"/>
              </w:rPr>
              <w:t>2020</w:t>
            </w:r>
            <w:r>
              <w:rPr>
                <w:rFonts w:cs="Times New Roman"/>
                <w:kern w:val="21"/>
                <w:sz w:val="21"/>
                <w:szCs w:val="21"/>
                <w:shd w:val="clear" w:color="auto" w:fill="FFFFFF"/>
              </w:rPr>
              <w:t>年，规模化养殖场、养殖小区配套建设废弃物处理设施比例达到</w:t>
            </w:r>
            <w:r>
              <w:rPr>
                <w:rFonts w:cs="Times New Roman"/>
                <w:kern w:val="21"/>
                <w:sz w:val="21"/>
                <w:szCs w:val="21"/>
                <w:shd w:val="clear" w:color="auto" w:fill="FFFFFF"/>
              </w:rPr>
              <w:t>75%</w:t>
            </w:r>
            <w:r>
              <w:rPr>
                <w:rFonts w:cs="Times New Roman"/>
                <w:kern w:val="21"/>
                <w:sz w:val="21"/>
                <w:szCs w:val="21"/>
                <w:shd w:val="clear" w:color="auto" w:fill="FFFFFF"/>
              </w:rPr>
              <w:t>以上。</w:t>
            </w:r>
          </w:p>
        </w:tc>
        <w:tc>
          <w:tcPr>
            <w:tcW w:w="2180" w:type="dxa"/>
            <w:vMerge w:val="restart"/>
            <w:shd w:val="clear" w:color="auto" w:fill="auto"/>
            <w:vAlign w:val="center"/>
          </w:tcPr>
          <w:p w14:paraId="1F00965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本项目配套建设污水处理站及废水储存池，场内废水经处理达《农田灌溉水质标准》（</w:t>
            </w:r>
            <w:r>
              <w:rPr>
                <w:rFonts w:cs="Times New Roman" w:hint="eastAsia"/>
                <w:kern w:val="21"/>
                <w:sz w:val="21"/>
                <w:szCs w:val="21"/>
              </w:rPr>
              <w:t>GB5084-2021</w:t>
            </w:r>
            <w:r>
              <w:rPr>
                <w:rFonts w:cs="Times New Roman" w:hint="eastAsia"/>
                <w:kern w:val="21"/>
                <w:sz w:val="21"/>
                <w:szCs w:val="21"/>
              </w:rPr>
              <w:t>）要求后，用于林地灌溉，不外排。</w:t>
            </w:r>
            <w:r>
              <w:rPr>
                <w:rFonts w:cs="Times New Roman"/>
                <w:kern w:val="21"/>
                <w:sz w:val="21"/>
                <w:szCs w:val="21"/>
              </w:rPr>
              <w:t>本项目鸡粪日产日清，每日清运至</w:t>
            </w:r>
            <w:r>
              <w:rPr>
                <w:rFonts w:cs="Times New Roman" w:hint="eastAsia"/>
                <w:kern w:val="21"/>
                <w:sz w:val="21"/>
                <w:szCs w:val="21"/>
              </w:rPr>
              <w:t>四川省田宝生物科技有限公司</w:t>
            </w:r>
            <w:r>
              <w:rPr>
                <w:rFonts w:cs="Times New Roman"/>
                <w:bCs/>
                <w:kern w:val="21"/>
                <w:sz w:val="21"/>
                <w:szCs w:val="21"/>
              </w:rPr>
              <w:t>进行有机肥生产，能够实现畜禽粪污高效利用。</w:t>
            </w:r>
          </w:p>
        </w:tc>
        <w:tc>
          <w:tcPr>
            <w:tcW w:w="924" w:type="dxa"/>
            <w:vMerge w:val="restart"/>
            <w:vAlign w:val="center"/>
          </w:tcPr>
          <w:p w14:paraId="749398D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符合</w:t>
            </w:r>
          </w:p>
        </w:tc>
      </w:tr>
      <w:tr w:rsidR="00544649" w14:paraId="0C5AA645" w14:textId="77777777">
        <w:trPr>
          <w:jc w:val="center"/>
        </w:trPr>
        <w:tc>
          <w:tcPr>
            <w:tcW w:w="1199" w:type="dxa"/>
            <w:shd w:val="clear" w:color="auto" w:fill="auto"/>
            <w:vAlign w:val="center"/>
          </w:tcPr>
          <w:p w14:paraId="3202EC2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《四川省人民政府关于印发土壤污染</w:t>
            </w:r>
            <w:r>
              <w:rPr>
                <w:rFonts w:cs="Times New Roman"/>
                <w:kern w:val="21"/>
                <w:sz w:val="21"/>
                <w:szCs w:val="21"/>
              </w:rPr>
              <w:lastRenderedPageBreak/>
              <w:t>防治行动计划四川省工作方案的通知》（川府发〔</w:t>
            </w:r>
            <w:r>
              <w:rPr>
                <w:rFonts w:cs="Times New Roman"/>
                <w:kern w:val="21"/>
                <w:sz w:val="21"/>
                <w:szCs w:val="21"/>
              </w:rPr>
              <w:t>2016</w:t>
            </w:r>
            <w:r>
              <w:rPr>
                <w:rFonts w:cs="Times New Roman"/>
                <w:kern w:val="21"/>
                <w:sz w:val="21"/>
                <w:szCs w:val="21"/>
              </w:rPr>
              <w:t>〕</w:t>
            </w:r>
            <w:r>
              <w:rPr>
                <w:rFonts w:cs="Times New Roman"/>
                <w:kern w:val="21"/>
                <w:sz w:val="21"/>
                <w:szCs w:val="21"/>
              </w:rPr>
              <w:t>63</w:t>
            </w:r>
            <w:r>
              <w:rPr>
                <w:rFonts w:cs="Times New Roman"/>
                <w:kern w:val="21"/>
                <w:sz w:val="21"/>
                <w:szCs w:val="21"/>
              </w:rPr>
              <w:t>号）</w:t>
            </w:r>
          </w:p>
        </w:tc>
        <w:tc>
          <w:tcPr>
            <w:tcW w:w="4757" w:type="dxa"/>
            <w:shd w:val="clear" w:color="auto" w:fill="auto"/>
            <w:vAlign w:val="center"/>
          </w:tcPr>
          <w:p w14:paraId="352A63E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lastRenderedPageBreak/>
              <w:t>强化畜禽养殖污染防治。严格规范兽药、饲料添加剂的生产和使用，建立兽药、饲料添加剂的销售管控体系，防止过量使用，促进源头减量。加强畜禽粪便综合利用，在部分生猪、养牛大县开</w:t>
            </w:r>
            <w:r>
              <w:rPr>
                <w:rFonts w:cs="Times New Roman"/>
                <w:kern w:val="21"/>
                <w:sz w:val="21"/>
                <w:szCs w:val="21"/>
              </w:rPr>
              <w:lastRenderedPageBreak/>
              <w:t>展种养业有机结合、循环发展试点，采用政府和社会资本合作（</w:t>
            </w:r>
            <w:r>
              <w:rPr>
                <w:rFonts w:cs="Times New Roman"/>
                <w:kern w:val="21"/>
                <w:sz w:val="21"/>
                <w:szCs w:val="21"/>
              </w:rPr>
              <w:t>PPP</w:t>
            </w:r>
            <w:r>
              <w:rPr>
                <w:rFonts w:cs="Times New Roman"/>
                <w:kern w:val="21"/>
                <w:sz w:val="21"/>
                <w:szCs w:val="21"/>
              </w:rPr>
              <w:t>）模式推进畜禽粪便综合利用，逐步扩大实施范围。开展畜牧业绿色示范县（市、区）创建活动，鼓励支持规模化养殖场、养殖小区畜禽粪便处理利用设施建设。到</w:t>
            </w:r>
            <w:r>
              <w:rPr>
                <w:rFonts w:cs="Times New Roman"/>
                <w:kern w:val="21"/>
                <w:sz w:val="21"/>
                <w:szCs w:val="21"/>
              </w:rPr>
              <w:t>2020</w:t>
            </w:r>
            <w:r>
              <w:rPr>
                <w:rFonts w:cs="Times New Roman"/>
                <w:kern w:val="21"/>
                <w:sz w:val="21"/>
                <w:szCs w:val="21"/>
              </w:rPr>
              <w:t>年，力争创建</w:t>
            </w:r>
            <w:r>
              <w:rPr>
                <w:rFonts w:cs="Times New Roman"/>
                <w:kern w:val="21"/>
                <w:sz w:val="21"/>
                <w:szCs w:val="21"/>
              </w:rPr>
              <w:t>10</w:t>
            </w:r>
            <w:r>
              <w:rPr>
                <w:rFonts w:cs="Times New Roman"/>
                <w:kern w:val="21"/>
                <w:sz w:val="21"/>
                <w:szCs w:val="21"/>
              </w:rPr>
              <w:t>个畜牧业绿色示范县（市、区），规模化养殖场、养殖小区配套自建或有可依托的废弃物处理设施比例达到</w:t>
            </w:r>
            <w:r>
              <w:rPr>
                <w:rFonts w:cs="Times New Roman"/>
                <w:kern w:val="21"/>
                <w:sz w:val="21"/>
                <w:szCs w:val="21"/>
              </w:rPr>
              <w:t>75%</w:t>
            </w:r>
            <w:r>
              <w:rPr>
                <w:rFonts w:cs="Times New Roman"/>
                <w:kern w:val="21"/>
                <w:sz w:val="21"/>
                <w:szCs w:val="21"/>
              </w:rPr>
              <w:t>以上。</w:t>
            </w:r>
          </w:p>
        </w:tc>
        <w:tc>
          <w:tcPr>
            <w:tcW w:w="2180" w:type="dxa"/>
            <w:vMerge/>
            <w:shd w:val="clear" w:color="auto" w:fill="auto"/>
            <w:vAlign w:val="center"/>
          </w:tcPr>
          <w:p w14:paraId="364705DC"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924" w:type="dxa"/>
            <w:vMerge/>
            <w:vAlign w:val="center"/>
          </w:tcPr>
          <w:p w14:paraId="5DB88F34"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bl>
    <w:p w14:paraId="0CA95985" w14:textId="77777777" w:rsidR="00544649" w:rsidRDefault="00000000">
      <w:pPr>
        <w:adjustRightInd w:val="0"/>
        <w:snapToGrid w:val="0"/>
        <w:spacing w:after="0"/>
        <w:ind w:firstLine="480"/>
        <w:rPr>
          <w:rFonts w:cs="Times New Roman"/>
          <w:kern w:val="21"/>
          <w:szCs w:val="24"/>
        </w:rPr>
      </w:pPr>
      <w:r>
        <w:rPr>
          <w:rFonts w:cs="Times New Roman"/>
          <w:kern w:val="21"/>
          <w:szCs w:val="24"/>
        </w:rPr>
        <w:t>综上所述，本项目</w:t>
      </w:r>
      <w:r>
        <w:rPr>
          <w:rFonts w:cs="Times New Roman" w:hint="eastAsia"/>
          <w:kern w:val="21"/>
          <w:szCs w:val="24"/>
        </w:rPr>
        <w:t>建设</w:t>
      </w:r>
      <w:r>
        <w:rPr>
          <w:rFonts w:cs="Times New Roman"/>
          <w:kern w:val="21"/>
          <w:szCs w:val="24"/>
        </w:rPr>
        <w:t>符合《国务院关于印发</w:t>
      </w:r>
      <w:r>
        <w:rPr>
          <w:rFonts w:cs="Times New Roman" w:hint="eastAsia"/>
          <w:kern w:val="21"/>
          <w:szCs w:val="24"/>
        </w:rPr>
        <w:t>土壤污染防治行动计划</w:t>
      </w:r>
      <w:r>
        <w:rPr>
          <w:rFonts w:cs="Times New Roman"/>
          <w:kern w:val="21"/>
          <w:szCs w:val="24"/>
        </w:rPr>
        <w:t>的通知》（国发</w:t>
      </w:r>
      <w:r>
        <w:rPr>
          <w:rFonts w:cs="Times New Roman" w:hint="eastAsia"/>
          <w:kern w:val="21"/>
          <w:szCs w:val="24"/>
        </w:rPr>
        <w:t>〔</w:t>
      </w:r>
      <w:r>
        <w:rPr>
          <w:rFonts w:cs="Times New Roman"/>
          <w:kern w:val="21"/>
          <w:szCs w:val="24"/>
        </w:rPr>
        <w:t>201</w:t>
      </w:r>
      <w:r>
        <w:rPr>
          <w:rFonts w:cs="Times New Roman" w:hint="eastAsia"/>
          <w:kern w:val="21"/>
          <w:szCs w:val="24"/>
        </w:rPr>
        <w:t>6</w:t>
      </w:r>
      <w:r>
        <w:rPr>
          <w:rFonts w:cs="Times New Roman" w:hint="eastAsia"/>
          <w:kern w:val="21"/>
          <w:szCs w:val="24"/>
        </w:rPr>
        <w:t>〕</w:t>
      </w:r>
      <w:r>
        <w:rPr>
          <w:rFonts w:cs="Times New Roman" w:hint="eastAsia"/>
          <w:kern w:val="21"/>
          <w:szCs w:val="24"/>
        </w:rPr>
        <w:t>30</w:t>
      </w:r>
      <w:r>
        <w:rPr>
          <w:rFonts w:cs="Times New Roman"/>
          <w:kern w:val="21"/>
          <w:szCs w:val="24"/>
        </w:rPr>
        <w:t>号）和《</w:t>
      </w:r>
      <w:r>
        <w:rPr>
          <w:rFonts w:cs="Times New Roman" w:hint="eastAsia"/>
          <w:kern w:val="21"/>
          <w:szCs w:val="24"/>
        </w:rPr>
        <w:t>四川省</w:t>
      </w:r>
      <w:r>
        <w:rPr>
          <w:rFonts w:cs="Times New Roman"/>
          <w:kern w:val="21"/>
          <w:szCs w:val="24"/>
        </w:rPr>
        <w:t>人民政府关于印发</w:t>
      </w:r>
      <w:r>
        <w:rPr>
          <w:rFonts w:cs="Times New Roman" w:hint="eastAsia"/>
          <w:kern w:val="21"/>
          <w:szCs w:val="24"/>
        </w:rPr>
        <w:t>土壤污染防治行动计划</w:t>
      </w:r>
      <w:r>
        <w:rPr>
          <w:rFonts w:cs="Times New Roman"/>
          <w:kern w:val="21"/>
          <w:szCs w:val="24"/>
        </w:rPr>
        <w:t>四川省工作方案的通知》（川府发</w:t>
      </w:r>
      <w:r>
        <w:rPr>
          <w:rFonts w:cs="Times New Roman" w:hint="eastAsia"/>
          <w:kern w:val="21"/>
          <w:szCs w:val="24"/>
        </w:rPr>
        <w:t>〔</w:t>
      </w:r>
      <w:r>
        <w:rPr>
          <w:rFonts w:cs="Times New Roman"/>
          <w:kern w:val="21"/>
          <w:szCs w:val="24"/>
        </w:rPr>
        <w:t>201</w:t>
      </w:r>
      <w:r>
        <w:rPr>
          <w:rFonts w:cs="Times New Roman" w:hint="eastAsia"/>
          <w:kern w:val="21"/>
          <w:szCs w:val="24"/>
        </w:rPr>
        <w:t>6</w:t>
      </w:r>
      <w:r>
        <w:rPr>
          <w:rFonts w:cs="Times New Roman" w:hint="eastAsia"/>
          <w:kern w:val="21"/>
          <w:szCs w:val="24"/>
        </w:rPr>
        <w:t>〕</w:t>
      </w:r>
      <w:r>
        <w:rPr>
          <w:rFonts w:cs="Times New Roman" w:hint="eastAsia"/>
          <w:kern w:val="21"/>
          <w:szCs w:val="24"/>
        </w:rPr>
        <w:t>63</w:t>
      </w:r>
      <w:r>
        <w:rPr>
          <w:rFonts w:cs="Times New Roman"/>
          <w:kern w:val="21"/>
          <w:szCs w:val="24"/>
        </w:rPr>
        <w:t>号）</w:t>
      </w:r>
      <w:r>
        <w:rPr>
          <w:rFonts w:cs="Times New Roman" w:hint="eastAsia"/>
          <w:kern w:val="21"/>
          <w:szCs w:val="24"/>
        </w:rPr>
        <w:t>要求</w:t>
      </w:r>
      <w:r>
        <w:rPr>
          <w:rFonts w:cs="Times New Roman"/>
          <w:kern w:val="21"/>
          <w:szCs w:val="24"/>
        </w:rPr>
        <w:t>。</w:t>
      </w:r>
    </w:p>
    <w:p w14:paraId="57DBFC7C" w14:textId="77777777" w:rsidR="00544649" w:rsidRDefault="00000000">
      <w:pPr>
        <w:keepNext/>
        <w:keepLines/>
        <w:numPr>
          <w:ilvl w:val="3"/>
          <w:numId w:val="2"/>
        </w:numPr>
        <w:adjustRightInd w:val="0"/>
        <w:snapToGrid w:val="0"/>
        <w:spacing w:after="0"/>
        <w:ind w:firstLineChars="0"/>
        <w:outlineLvl w:val="3"/>
        <w:rPr>
          <w:rFonts w:cs="Times New Roman"/>
          <w:b/>
          <w:bCs/>
          <w:kern w:val="21"/>
        </w:rPr>
      </w:pPr>
      <w:r>
        <w:rPr>
          <w:b/>
          <w:bCs/>
          <w:kern w:val="21"/>
        </w:rPr>
        <w:t>与《中华人民共和国长江保护法》的符合性分析</w:t>
      </w:r>
    </w:p>
    <w:p w14:paraId="2D721197" w14:textId="77777777" w:rsidR="00544649" w:rsidRDefault="00000000">
      <w:pPr>
        <w:adjustRightInd w:val="0"/>
        <w:snapToGrid w:val="0"/>
        <w:spacing w:after="0"/>
        <w:ind w:firstLine="480"/>
        <w:rPr>
          <w:rFonts w:cs="Times New Roman"/>
          <w:kern w:val="21"/>
        </w:rPr>
      </w:pPr>
      <w:r>
        <w:rPr>
          <w:rFonts w:cs="Times New Roman"/>
          <w:kern w:val="21"/>
        </w:rPr>
        <w:t>项目与《中华人民共和国长江保护法》的符合性分析见下表。</w:t>
      </w:r>
    </w:p>
    <w:p w14:paraId="0C19A0F4"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本项目与《中华人民共和国长江保护法》符合性分析</w:t>
      </w:r>
    </w:p>
    <w:tbl>
      <w:tblPr>
        <w:tblStyle w:val="afc"/>
        <w:tblW w:w="9060" w:type="dxa"/>
        <w:jc w:val="center"/>
        <w:tblLayout w:type="fixed"/>
        <w:tblLook w:val="04A0" w:firstRow="1" w:lastRow="0" w:firstColumn="1" w:lastColumn="0" w:noHBand="0" w:noVBand="1"/>
      </w:tblPr>
      <w:tblGrid>
        <w:gridCol w:w="5187"/>
        <w:gridCol w:w="2916"/>
        <w:gridCol w:w="957"/>
      </w:tblGrid>
      <w:tr w:rsidR="00544649" w14:paraId="7E731DCE" w14:textId="77777777">
        <w:trPr>
          <w:tblHeader/>
          <w:jc w:val="center"/>
        </w:trPr>
        <w:tc>
          <w:tcPr>
            <w:tcW w:w="5187" w:type="dxa"/>
            <w:vAlign w:val="center"/>
          </w:tcPr>
          <w:p w14:paraId="4E4074FA" w14:textId="77777777" w:rsidR="00544649" w:rsidRDefault="00000000">
            <w:pPr>
              <w:pStyle w:val="aff7"/>
              <w:adjustRightInd w:val="0"/>
              <w:snapToGrid w:val="0"/>
              <w:spacing w:before="62" w:after="62"/>
              <w:rPr>
                <w:rFonts w:cs="Times New Roman"/>
                <w:b/>
                <w:bCs/>
                <w:kern w:val="21"/>
                <w:szCs w:val="21"/>
              </w:rPr>
            </w:pPr>
            <w:r>
              <w:rPr>
                <w:rFonts w:cs="Times New Roman"/>
                <w:kern w:val="21"/>
                <w:szCs w:val="21"/>
              </w:rPr>
              <w:t>《</w:t>
            </w:r>
            <w:r>
              <w:rPr>
                <w:rFonts w:cs="Times New Roman"/>
                <w:b/>
                <w:bCs/>
                <w:kern w:val="21"/>
                <w:szCs w:val="21"/>
              </w:rPr>
              <w:t>中华人民共和国长江保护法》要求</w:t>
            </w:r>
          </w:p>
        </w:tc>
        <w:tc>
          <w:tcPr>
            <w:tcW w:w="2916" w:type="dxa"/>
            <w:vAlign w:val="center"/>
          </w:tcPr>
          <w:p w14:paraId="19D4677A"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项目情况</w:t>
            </w:r>
          </w:p>
        </w:tc>
        <w:tc>
          <w:tcPr>
            <w:tcW w:w="957" w:type="dxa"/>
            <w:vAlign w:val="center"/>
          </w:tcPr>
          <w:p w14:paraId="04925FD5"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符合性</w:t>
            </w:r>
          </w:p>
        </w:tc>
      </w:tr>
      <w:tr w:rsidR="00544649" w14:paraId="79E4A190" w14:textId="77777777">
        <w:trPr>
          <w:jc w:val="center"/>
        </w:trPr>
        <w:tc>
          <w:tcPr>
            <w:tcW w:w="5187" w:type="dxa"/>
            <w:vAlign w:val="center"/>
          </w:tcPr>
          <w:p w14:paraId="214B673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禁止在长江干流岸线三公里范围内和重要支流岸线一公里范围内新建、改建、扩建尾矿库；但是以提升安全、生态环境保护水平为目的的改建除外。</w:t>
            </w:r>
          </w:p>
        </w:tc>
        <w:tc>
          <w:tcPr>
            <w:tcW w:w="2916" w:type="dxa"/>
            <w:vAlign w:val="center"/>
          </w:tcPr>
          <w:p w14:paraId="64C37ABA"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本项目不属于新建、改建、扩建尾矿库项目。</w:t>
            </w:r>
          </w:p>
        </w:tc>
        <w:tc>
          <w:tcPr>
            <w:tcW w:w="957" w:type="dxa"/>
            <w:vAlign w:val="center"/>
          </w:tcPr>
          <w:p w14:paraId="3A4811EE"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符合</w:t>
            </w:r>
          </w:p>
        </w:tc>
      </w:tr>
      <w:tr w:rsidR="00544649" w14:paraId="3F8E5E13" w14:textId="77777777">
        <w:trPr>
          <w:trHeight w:val="1192"/>
          <w:jc w:val="center"/>
        </w:trPr>
        <w:tc>
          <w:tcPr>
            <w:tcW w:w="5187" w:type="dxa"/>
            <w:vAlign w:val="center"/>
          </w:tcPr>
          <w:p w14:paraId="531703CD"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严格限制在长江流域生态保护红线、自然保护地、水生生物重要栖息地水域实施航道整治工程；确需整治的，应当经科学论证，并依法办理相关手续。</w:t>
            </w:r>
          </w:p>
        </w:tc>
        <w:tc>
          <w:tcPr>
            <w:tcW w:w="2916" w:type="dxa"/>
            <w:vAlign w:val="center"/>
          </w:tcPr>
          <w:p w14:paraId="34F9BE4B"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本项目不涉及生态保护红线、自然保护地、水生生物重要栖息地，不属于航道整治工程。</w:t>
            </w:r>
          </w:p>
        </w:tc>
        <w:tc>
          <w:tcPr>
            <w:tcW w:w="957" w:type="dxa"/>
            <w:vAlign w:val="center"/>
          </w:tcPr>
          <w:p w14:paraId="6C060F8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符合</w:t>
            </w:r>
          </w:p>
        </w:tc>
      </w:tr>
    </w:tbl>
    <w:p w14:paraId="53BBC303" w14:textId="77777777" w:rsidR="00544649" w:rsidRDefault="00000000">
      <w:pPr>
        <w:adjustRightInd w:val="0"/>
        <w:snapToGrid w:val="0"/>
        <w:spacing w:after="0"/>
        <w:ind w:firstLine="480"/>
        <w:rPr>
          <w:rFonts w:cs="Times New Roman"/>
          <w:kern w:val="21"/>
        </w:rPr>
      </w:pPr>
      <w:r>
        <w:rPr>
          <w:rFonts w:cs="Times New Roman"/>
          <w:kern w:val="21"/>
        </w:rPr>
        <w:t>综上所述，项目建设符合《中华人民共和国长江保护法》要求。</w:t>
      </w:r>
    </w:p>
    <w:p w14:paraId="65352833" w14:textId="77777777" w:rsidR="00544649" w:rsidRDefault="00000000">
      <w:pPr>
        <w:keepNext/>
        <w:keepLines/>
        <w:numPr>
          <w:ilvl w:val="3"/>
          <w:numId w:val="2"/>
        </w:numPr>
        <w:adjustRightInd w:val="0"/>
        <w:snapToGrid w:val="0"/>
        <w:spacing w:after="0"/>
        <w:ind w:firstLineChars="0"/>
        <w:outlineLvl w:val="3"/>
        <w:rPr>
          <w:b/>
          <w:bCs/>
          <w:kern w:val="21"/>
        </w:rPr>
      </w:pPr>
      <w:r>
        <w:rPr>
          <w:b/>
          <w:bCs/>
          <w:kern w:val="21"/>
        </w:rPr>
        <w:t>与《四川省、重庆市长江经济带发展负面清单实施细则（试行，</w:t>
      </w:r>
      <w:r>
        <w:rPr>
          <w:b/>
          <w:bCs/>
          <w:kern w:val="21"/>
        </w:rPr>
        <w:t>2022</w:t>
      </w:r>
      <w:r>
        <w:rPr>
          <w:b/>
          <w:bCs/>
          <w:kern w:val="21"/>
        </w:rPr>
        <w:t>年版）》（川长江办〔</w:t>
      </w:r>
      <w:r>
        <w:rPr>
          <w:b/>
          <w:bCs/>
          <w:kern w:val="21"/>
        </w:rPr>
        <w:t>2022</w:t>
      </w:r>
      <w:r>
        <w:rPr>
          <w:b/>
          <w:bCs/>
          <w:kern w:val="21"/>
        </w:rPr>
        <w:t>〕</w:t>
      </w:r>
      <w:r>
        <w:rPr>
          <w:b/>
          <w:bCs/>
          <w:kern w:val="21"/>
        </w:rPr>
        <w:t>17</w:t>
      </w:r>
      <w:r>
        <w:rPr>
          <w:b/>
          <w:bCs/>
          <w:kern w:val="21"/>
        </w:rPr>
        <w:t>号）的符合性分析</w:t>
      </w:r>
    </w:p>
    <w:p w14:paraId="43540BC3" w14:textId="77777777" w:rsidR="00544649" w:rsidRDefault="00000000">
      <w:pPr>
        <w:adjustRightInd w:val="0"/>
        <w:snapToGrid w:val="0"/>
        <w:spacing w:after="0"/>
        <w:ind w:firstLine="480"/>
        <w:rPr>
          <w:rFonts w:cs="Times New Roman"/>
          <w:kern w:val="21"/>
        </w:rPr>
      </w:pPr>
      <w:r>
        <w:rPr>
          <w:rFonts w:cs="Times New Roman" w:hint="eastAsia"/>
          <w:kern w:val="21"/>
          <w:szCs w:val="24"/>
        </w:rPr>
        <w:t>四川省推动长江经济带发展领导小组办公室、重庆市推动长江经济带发展领导小组办公室于</w:t>
      </w:r>
      <w:r>
        <w:rPr>
          <w:rFonts w:cs="Times New Roman" w:hint="eastAsia"/>
          <w:kern w:val="21"/>
          <w:szCs w:val="24"/>
        </w:rPr>
        <w:t>2022</w:t>
      </w:r>
      <w:r>
        <w:rPr>
          <w:rFonts w:cs="Times New Roman" w:hint="eastAsia"/>
          <w:kern w:val="21"/>
          <w:szCs w:val="24"/>
        </w:rPr>
        <w:t>年</w:t>
      </w:r>
      <w:r>
        <w:rPr>
          <w:rFonts w:cs="Times New Roman" w:hint="eastAsia"/>
          <w:kern w:val="21"/>
          <w:szCs w:val="24"/>
        </w:rPr>
        <w:t>8</w:t>
      </w:r>
      <w:r>
        <w:rPr>
          <w:rFonts w:cs="Times New Roman" w:hint="eastAsia"/>
          <w:kern w:val="21"/>
          <w:szCs w:val="24"/>
        </w:rPr>
        <w:t>月</w:t>
      </w:r>
      <w:r>
        <w:rPr>
          <w:rFonts w:cs="Times New Roman" w:hint="eastAsia"/>
          <w:kern w:val="21"/>
          <w:szCs w:val="24"/>
        </w:rPr>
        <w:t>25</w:t>
      </w:r>
      <w:r>
        <w:rPr>
          <w:rFonts w:cs="Times New Roman" w:hint="eastAsia"/>
          <w:kern w:val="21"/>
          <w:szCs w:val="24"/>
        </w:rPr>
        <w:t>日印发《四川省、重庆市长江经济带发展负面清单实施细则（试行，</w:t>
      </w:r>
      <w:r>
        <w:rPr>
          <w:rFonts w:cs="Times New Roman" w:hint="eastAsia"/>
          <w:kern w:val="21"/>
          <w:szCs w:val="24"/>
        </w:rPr>
        <w:t>2022</w:t>
      </w:r>
      <w:r>
        <w:rPr>
          <w:rFonts w:cs="Times New Roman" w:hint="eastAsia"/>
          <w:kern w:val="21"/>
          <w:szCs w:val="24"/>
        </w:rPr>
        <w:t>年版）》</w:t>
      </w:r>
      <w:r>
        <w:rPr>
          <w:rFonts w:cs="Times New Roman"/>
          <w:kern w:val="21"/>
          <w:szCs w:val="24"/>
        </w:rPr>
        <w:t>（</w:t>
      </w:r>
      <w:r>
        <w:rPr>
          <w:rFonts w:cs="Times New Roman" w:hint="eastAsia"/>
          <w:kern w:val="21"/>
          <w:szCs w:val="24"/>
        </w:rPr>
        <w:t>川</w:t>
      </w:r>
      <w:r>
        <w:rPr>
          <w:rFonts w:cs="Times New Roman"/>
          <w:kern w:val="21"/>
          <w:szCs w:val="24"/>
        </w:rPr>
        <w:t>长江办〔</w:t>
      </w:r>
      <w:r>
        <w:rPr>
          <w:rFonts w:cs="Times New Roman"/>
          <w:kern w:val="21"/>
          <w:szCs w:val="24"/>
        </w:rPr>
        <w:t>2022</w:t>
      </w:r>
      <w:r>
        <w:rPr>
          <w:rFonts w:cs="Times New Roman"/>
          <w:kern w:val="21"/>
          <w:szCs w:val="24"/>
        </w:rPr>
        <w:t>〕</w:t>
      </w:r>
      <w:r>
        <w:rPr>
          <w:rFonts w:cs="Times New Roman" w:hint="eastAsia"/>
          <w:kern w:val="21"/>
          <w:szCs w:val="24"/>
        </w:rPr>
        <w:t>1</w:t>
      </w:r>
      <w:r>
        <w:rPr>
          <w:rFonts w:cs="Times New Roman"/>
          <w:kern w:val="21"/>
          <w:szCs w:val="24"/>
        </w:rPr>
        <w:t>7</w:t>
      </w:r>
      <w:r>
        <w:rPr>
          <w:rFonts w:cs="Times New Roman"/>
          <w:kern w:val="21"/>
          <w:szCs w:val="24"/>
        </w:rPr>
        <w:t>号）</w:t>
      </w:r>
      <w:r>
        <w:rPr>
          <w:rFonts w:cs="Times New Roman" w:hint="eastAsia"/>
          <w:kern w:val="21"/>
          <w:szCs w:val="24"/>
        </w:rPr>
        <w:t>，本项目与其符合性分析见下表。</w:t>
      </w:r>
    </w:p>
    <w:p w14:paraId="0A540C83"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《四川省、重庆市长江经济带发展负面清单实施细则（试行，</w:t>
      </w:r>
      <w:r>
        <w:rPr>
          <w:rFonts w:cs="Times New Roman"/>
          <w:b/>
          <w:bCs/>
          <w:kern w:val="21"/>
          <w:sz w:val="21"/>
          <w:szCs w:val="21"/>
        </w:rPr>
        <w:t>2022</w:t>
      </w:r>
      <w:r>
        <w:rPr>
          <w:rFonts w:cs="Times New Roman"/>
          <w:b/>
          <w:bCs/>
          <w:kern w:val="21"/>
          <w:sz w:val="21"/>
          <w:szCs w:val="21"/>
        </w:rPr>
        <w:t>年版）》符合性分析</w:t>
      </w:r>
    </w:p>
    <w:tbl>
      <w:tblPr>
        <w:tblStyle w:val="afc"/>
        <w:tblW w:w="9060" w:type="dxa"/>
        <w:jc w:val="center"/>
        <w:tblLayout w:type="fixed"/>
        <w:tblLook w:val="04A0" w:firstRow="1" w:lastRow="0" w:firstColumn="1" w:lastColumn="0" w:noHBand="0" w:noVBand="1"/>
      </w:tblPr>
      <w:tblGrid>
        <w:gridCol w:w="4459"/>
        <w:gridCol w:w="3499"/>
        <w:gridCol w:w="1102"/>
      </w:tblGrid>
      <w:tr w:rsidR="00544649" w14:paraId="7579B34A" w14:textId="77777777">
        <w:trPr>
          <w:trHeight w:val="90"/>
          <w:tblHeader/>
          <w:jc w:val="center"/>
        </w:trPr>
        <w:tc>
          <w:tcPr>
            <w:tcW w:w="4459" w:type="dxa"/>
            <w:vAlign w:val="center"/>
          </w:tcPr>
          <w:p w14:paraId="5570BACE"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管</w:t>
            </w:r>
            <w:proofErr w:type="gramStart"/>
            <w:r>
              <w:rPr>
                <w:rFonts w:cs="Times New Roman"/>
                <w:b/>
                <w:kern w:val="21"/>
                <w:sz w:val="21"/>
                <w:szCs w:val="21"/>
              </w:rPr>
              <w:t>控内容</w:t>
            </w:r>
            <w:proofErr w:type="gramEnd"/>
          </w:p>
        </w:tc>
        <w:tc>
          <w:tcPr>
            <w:tcW w:w="3499" w:type="dxa"/>
            <w:vAlign w:val="center"/>
          </w:tcPr>
          <w:p w14:paraId="60BB5A09"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本项目情况</w:t>
            </w:r>
          </w:p>
        </w:tc>
        <w:tc>
          <w:tcPr>
            <w:tcW w:w="1102" w:type="dxa"/>
            <w:vAlign w:val="center"/>
          </w:tcPr>
          <w:p w14:paraId="0E79E603"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是否属于</w:t>
            </w:r>
          </w:p>
        </w:tc>
      </w:tr>
      <w:tr w:rsidR="00544649" w14:paraId="708F2CB1" w14:textId="77777777">
        <w:trPr>
          <w:jc w:val="center"/>
        </w:trPr>
        <w:tc>
          <w:tcPr>
            <w:tcW w:w="4459" w:type="dxa"/>
            <w:vAlign w:val="center"/>
          </w:tcPr>
          <w:p w14:paraId="58E0128C" w14:textId="77777777" w:rsidR="00544649" w:rsidRDefault="00000000">
            <w:pPr>
              <w:widowControl/>
              <w:adjustRightInd w:val="0"/>
              <w:snapToGrid w:val="0"/>
              <w:spacing w:beforeLines="20" w:before="62" w:afterLines="20" w:after="62" w:line="240" w:lineRule="auto"/>
              <w:ind w:firstLineChars="0" w:firstLine="0"/>
              <w:rPr>
                <w:rFonts w:cs="Times New Roman"/>
                <w:bCs/>
                <w:kern w:val="21"/>
                <w:sz w:val="21"/>
                <w:szCs w:val="21"/>
              </w:rPr>
            </w:pPr>
            <w:r>
              <w:rPr>
                <w:rFonts w:cs="Times New Roman"/>
                <w:bCs/>
                <w:kern w:val="21"/>
                <w:sz w:val="21"/>
                <w:szCs w:val="21"/>
              </w:rPr>
              <w:t>第五条</w:t>
            </w:r>
            <w:r>
              <w:rPr>
                <w:rFonts w:cs="Times New Roman"/>
                <w:kern w:val="21"/>
                <w:sz w:val="21"/>
                <w:szCs w:val="21"/>
              </w:rPr>
              <w:t>禁止新建、改建和扩建不符合全国港口布局规划，以及《四川省内河水运发展规划》《泸州</w:t>
            </w:r>
            <w:r>
              <w:rPr>
                <w:rFonts w:cs="Times New Roman"/>
                <w:kern w:val="21"/>
                <w:sz w:val="21"/>
                <w:szCs w:val="21"/>
              </w:rPr>
              <w:t>—</w:t>
            </w:r>
            <w:r>
              <w:rPr>
                <w:rFonts w:cs="Times New Roman"/>
                <w:kern w:val="21"/>
                <w:sz w:val="21"/>
                <w:szCs w:val="21"/>
              </w:rPr>
              <w:t>宜宾</w:t>
            </w:r>
            <w:r>
              <w:rPr>
                <w:rFonts w:cs="Times New Roman"/>
                <w:kern w:val="21"/>
                <w:sz w:val="21"/>
                <w:szCs w:val="21"/>
              </w:rPr>
              <w:t>——</w:t>
            </w:r>
            <w:r>
              <w:rPr>
                <w:rFonts w:cs="Times New Roman"/>
                <w:kern w:val="21"/>
                <w:sz w:val="21"/>
                <w:szCs w:val="21"/>
              </w:rPr>
              <w:t>乐山港口群布局规划》《重庆港总体规划（</w:t>
            </w:r>
            <w:r>
              <w:rPr>
                <w:rFonts w:cs="Times New Roman"/>
                <w:kern w:val="21"/>
                <w:sz w:val="21"/>
                <w:szCs w:val="21"/>
              </w:rPr>
              <w:t>2035</w:t>
            </w:r>
            <w:r>
              <w:rPr>
                <w:rFonts w:cs="Times New Roman"/>
                <w:kern w:val="21"/>
                <w:sz w:val="21"/>
                <w:szCs w:val="21"/>
              </w:rPr>
              <w:t>年）》等省级港口布局规划及市级港口总体规划的码头项目。</w:t>
            </w:r>
          </w:p>
        </w:tc>
        <w:tc>
          <w:tcPr>
            <w:tcW w:w="3499" w:type="dxa"/>
            <w:vAlign w:val="center"/>
          </w:tcPr>
          <w:p w14:paraId="273457A8"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本项目不属于码头项目。</w:t>
            </w:r>
          </w:p>
        </w:tc>
        <w:tc>
          <w:tcPr>
            <w:tcW w:w="1102" w:type="dxa"/>
            <w:vAlign w:val="center"/>
          </w:tcPr>
          <w:p w14:paraId="1E1396DC"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0ECEFCFE" w14:textId="77777777">
        <w:trPr>
          <w:jc w:val="center"/>
        </w:trPr>
        <w:tc>
          <w:tcPr>
            <w:tcW w:w="4459" w:type="dxa"/>
            <w:vAlign w:val="center"/>
          </w:tcPr>
          <w:p w14:paraId="3FB27A09" w14:textId="77777777" w:rsidR="00544649" w:rsidRDefault="00000000">
            <w:pPr>
              <w:widowControl/>
              <w:adjustRightInd w:val="0"/>
              <w:snapToGrid w:val="0"/>
              <w:spacing w:beforeLines="20" w:before="62" w:afterLines="20" w:after="62" w:line="240" w:lineRule="auto"/>
              <w:ind w:firstLineChars="0" w:firstLine="0"/>
              <w:rPr>
                <w:rFonts w:cs="Times New Roman"/>
                <w:bCs/>
                <w:kern w:val="21"/>
                <w:sz w:val="21"/>
                <w:szCs w:val="21"/>
              </w:rPr>
            </w:pPr>
            <w:r>
              <w:rPr>
                <w:rFonts w:cs="Times New Roman"/>
                <w:kern w:val="21"/>
                <w:sz w:val="21"/>
                <w:szCs w:val="21"/>
              </w:rPr>
              <w:t>第六条禁止新建、改建和扩建不符合《长江干线过江通道布局规划（</w:t>
            </w:r>
            <w:r>
              <w:rPr>
                <w:rFonts w:cs="Times New Roman"/>
                <w:kern w:val="21"/>
                <w:sz w:val="21"/>
                <w:szCs w:val="21"/>
              </w:rPr>
              <w:t>2020—2035</w:t>
            </w:r>
            <w:r>
              <w:rPr>
                <w:rFonts w:cs="Times New Roman"/>
                <w:kern w:val="21"/>
                <w:sz w:val="21"/>
                <w:szCs w:val="21"/>
              </w:rPr>
              <w:t>年）》的过</w:t>
            </w:r>
            <w:r>
              <w:rPr>
                <w:rFonts w:cs="Times New Roman"/>
                <w:kern w:val="21"/>
                <w:sz w:val="21"/>
                <w:szCs w:val="21"/>
              </w:rPr>
              <w:lastRenderedPageBreak/>
              <w:t>长江通道项目（含桥梁、隧道），国家发展改革委同意过长江通道线位调整的除外。</w:t>
            </w:r>
          </w:p>
        </w:tc>
        <w:tc>
          <w:tcPr>
            <w:tcW w:w="3499" w:type="dxa"/>
            <w:vAlign w:val="center"/>
          </w:tcPr>
          <w:p w14:paraId="3D008F4D"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lastRenderedPageBreak/>
              <w:t>本项目不属于过长江通道项目（含桥梁、隧道）。</w:t>
            </w:r>
          </w:p>
        </w:tc>
        <w:tc>
          <w:tcPr>
            <w:tcW w:w="1102" w:type="dxa"/>
            <w:vAlign w:val="center"/>
          </w:tcPr>
          <w:p w14:paraId="59864341"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6798DD22" w14:textId="77777777">
        <w:trPr>
          <w:jc w:val="center"/>
        </w:trPr>
        <w:tc>
          <w:tcPr>
            <w:tcW w:w="4459" w:type="dxa"/>
            <w:vAlign w:val="center"/>
          </w:tcPr>
          <w:p w14:paraId="35CC50B9" w14:textId="77777777" w:rsidR="00544649" w:rsidRDefault="00000000">
            <w:pPr>
              <w:widowControl/>
              <w:adjustRightInd w:val="0"/>
              <w:snapToGrid w:val="0"/>
              <w:spacing w:beforeLines="20" w:before="62" w:afterLines="20" w:after="62" w:line="240" w:lineRule="auto"/>
              <w:ind w:firstLineChars="0" w:firstLine="0"/>
              <w:rPr>
                <w:rFonts w:cs="Times New Roman"/>
                <w:bCs/>
                <w:kern w:val="21"/>
                <w:sz w:val="21"/>
                <w:szCs w:val="21"/>
              </w:rPr>
            </w:pPr>
            <w:r>
              <w:rPr>
                <w:rFonts w:cs="Times New Roman"/>
                <w:kern w:val="21"/>
                <w:sz w:val="21"/>
                <w:szCs w:val="21"/>
              </w:rPr>
              <w:t>第七条禁止在自然保护区核心区、缓冲区的岸线和河段范围内投资建设旅游和生产经营项目。自然保护区的内部未分区的，依照核心区和缓冲区的规定管控。</w:t>
            </w:r>
          </w:p>
        </w:tc>
        <w:tc>
          <w:tcPr>
            <w:tcW w:w="3499" w:type="dxa"/>
            <w:vAlign w:val="center"/>
          </w:tcPr>
          <w:p w14:paraId="7A41A8BD"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本项目所在地不属于自然保护区核心区、缓冲区的岸线和河段范围内。</w:t>
            </w:r>
          </w:p>
        </w:tc>
        <w:tc>
          <w:tcPr>
            <w:tcW w:w="1102" w:type="dxa"/>
            <w:vAlign w:val="center"/>
          </w:tcPr>
          <w:p w14:paraId="43F34B34"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4D5F4EC4" w14:textId="77777777">
        <w:trPr>
          <w:jc w:val="center"/>
        </w:trPr>
        <w:tc>
          <w:tcPr>
            <w:tcW w:w="4459" w:type="dxa"/>
            <w:vAlign w:val="center"/>
          </w:tcPr>
          <w:p w14:paraId="6E6859FC" w14:textId="77777777" w:rsidR="00544649" w:rsidRDefault="00000000">
            <w:pPr>
              <w:widowControl/>
              <w:adjustRightInd w:val="0"/>
              <w:snapToGrid w:val="0"/>
              <w:spacing w:beforeLines="20" w:before="62" w:afterLines="20" w:after="62" w:line="240" w:lineRule="auto"/>
              <w:ind w:firstLineChars="0" w:firstLine="0"/>
              <w:rPr>
                <w:rFonts w:cs="Times New Roman"/>
                <w:bCs/>
                <w:kern w:val="21"/>
                <w:sz w:val="21"/>
                <w:szCs w:val="21"/>
              </w:rPr>
            </w:pPr>
            <w:r>
              <w:rPr>
                <w:rFonts w:cs="Times New Roman"/>
                <w:kern w:val="21"/>
                <w:sz w:val="21"/>
                <w:szCs w:val="21"/>
              </w:rPr>
              <w:t>第八条禁止违反风景名胜区规划，在风景名胜区内设立各类开发区。禁止在风景名胜区核心景区的岸线和河段范围内建设宾馆、招待所、培训中心、疗养院以及与风景名胜资源保护无关的项目。</w:t>
            </w:r>
          </w:p>
        </w:tc>
        <w:tc>
          <w:tcPr>
            <w:tcW w:w="3499" w:type="dxa"/>
            <w:vAlign w:val="center"/>
          </w:tcPr>
          <w:p w14:paraId="34510352"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本项目所在地不属于风景名胜区，不属于</w:t>
            </w:r>
            <w:r>
              <w:rPr>
                <w:rFonts w:cs="Times New Roman"/>
                <w:kern w:val="21"/>
                <w:sz w:val="21"/>
                <w:szCs w:val="21"/>
              </w:rPr>
              <w:t>风景名胜区核心景区的岸线和河段范围内</w:t>
            </w:r>
            <w:r>
              <w:rPr>
                <w:rFonts w:cs="Times New Roman"/>
                <w:bCs/>
                <w:kern w:val="21"/>
                <w:sz w:val="21"/>
                <w:szCs w:val="21"/>
              </w:rPr>
              <w:t>。</w:t>
            </w:r>
          </w:p>
        </w:tc>
        <w:tc>
          <w:tcPr>
            <w:tcW w:w="1102" w:type="dxa"/>
            <w:vAlign w:val="center"/>
          </w:tcPr>
          <w:p w14:paraId="22F9347C"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4ED209BA" w14:textId="77777777">
        <w:trPr>
          <w:trHeight w:val="90"/>
          <w:jc w:val="center"/>
        </w:trPr>
        <w:tc>
          <w:tcPr>
            <w:tcW w:w="4459" w:type="dxa"/>
            <w:vAlign w:val="center"/>
          </w:tcPr>
          <w:p w14:paraId="5C5D8740" w14:textId="77777777" w:rsidR="00544649" w:rsidRDefault="00000000">
            <w:pPr>
              <w:widowControl/>
              <w:adjustRightInd w:val="0"/>
              <w:snapToGrid w:val="0"/>
              <w:spacing w:beforeLines="20" w:before="62" w:afterLines="20" w:after="62" w:line="240" w:lineRule="auto"/>
              <w:ind w:firstLineChars="0" w:firstLine="0"/>
              <w:rPr>
                <w:rFonts w:cs="Times New Roman"/>
                <w:bCs/>
                <w:kern w:val="21"/>
                <w:sz w:val="21"/>
                <w:szCs w:val="21"/>
              </w:rPr>
            </w:pPr>
            <w:r>
              <w:rPr>
                <w:rFonts w:cs="Times New Roman"/>
                <w:kern w:val="21"/>
                <w:sz w:val="21"/>
                <w:szCs w:val="21"/>
              </w:rPr>
              <w:t>第九条禁止在饮用水水源准保护区的岸线和河段范围内新建、扩建对水体污染严重的建设项目，禁止改建增加排污量的建设项目。</w:t>
            </w:r>
          </w:p>
        </w:tc>
        <w:tc>
          <w:tcPr>
            <w:tcW w:w="3499" w:type="dxa"/>
            <w:vAlign w:val="center"/>
          </w:tcPr>
          <w:p w14:paraId="0B1A781F"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本项目所在地不属于</w:t>
            </w:r>
            <w:r>
              <w:rPr>
                <w:rFonts w:cs="Times New Roman"/>
                <w:kern w:val="21"/>
                <w:sz w:val="21"/>
                <w:szCs w:val="21"/>
              </w:rPr>
              <w:t>饮用水水源准保护区的岸线和河段范围内。</w:t>
            </w:r>
          </w:p>
        </w:tc>
        <w:tc>
          <w:tcPr>
            <w:tcW w:w="1102" w:type="dxa"/>
            <w:vAlign w:val="center"/>
          </w:tcPr>
          <w:p w14:paraId="117EF6E2"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16E8CE0D" w14:textId="77777777">
        <w:trPr>
          <w:jc w:val="center"/>
        </w:trPr>
        <w:tc>
          <w:tcPr>
            <w:tcW w:w="4459" w:type="dxa"/>
            <w:vAlign w:val="center"/>
          </w:tcPr>
          <w:p w14:paraId="6ACC054D" w14:textId="77777777" w:rsidR="00544649" w:rsidRDefault="00000000">
            <w:pPr>
              <w:widowControl/>
              <w:adjustRightInd w:val="0"/>
              <w:snapToGrid w:val="0"/>
              <w:spacing w:beforeLines="20" w:before="62" w:afterLines="20" w:after="62" w:line="240" w:lineRule="auto"/>
              <w:ind w:firstLineChars="0" w:firstLine="0"/>
              <w:rPr>
                <w:rFonts w:cs="Times New Roman"/>
                <w:bCs/>
                <w:kern w:val="21"/>
                <w:sz w:val="21"/>
                <w:szCs w:val="21"/>
              </w:rPr>
            </w:pPr>
            <w:r>
              <w:rPr>
                <w:rFonts w:cs="Times New Roman"/>
                <w:kern w:val="21"/>
                <w:sz w:val="21"/>
                <w:szCs w:val="21"/>
              </w:rPr>
              <w:t>第十条饮用水水源二级保护区的岸线和河段范围内，除遵守准保护区规定外，禁止新建、改建、扩建排放污染物的投资建设项目；禁止从事对水体有污染的水产养殖等活动。</w:t>
            </w:r>
          </w:p>
        </w:tc>
        <w:tc>
          <w:tcPr>
            <w:tcW w:w="3499" w:type="dxa"/>
            <w:vAlign w:val="center"/>
          </w:tcPr>
          <w:p w14:paraId="2FF447EB"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本项目所在地不属于</w:t>
            </w:r>
            <w:r>
              <w:rPr>
                <w:rFonts w:cs="Times New Roman"/>
                <w:kern w:val="21"/>
                <w:sz w:val="21"/>
                <w:szCs w:val="21"/>
              </w:rPr>
              <w:t>饮用水水源二级保护区的岸线和河段范围内；项目建设不属于水产养殖等活动。</w:t>
            </w:r>
          </w:p>
        </w:tc>
        <w:tc>
          <w:tcPr>
            <w:tcW w:w="1102" w:type="dxa"/>
            <w:vAlign w:val="center"/>
          </w:tcPr>
          <w:p w14:paraId="4977E068"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201D1DC3" w14:textId="77777777">
        <w:trPr>
          <w:jc w:val="center"/>
        </w:trPr>
        <w:tc>
          <w:tcPr>
            <w:tcW w:w="4459" w:type="dxa"/>
            <w:vAlign w:val="center"/>
          </w:tcPr>
          <w:p w14:paraId="7C357B25" w14:textId="77777777" w:rsidR="00544649" w:rsidRDefault="00000000">
            <w:pPr>
              <w:widowControl/>
              <w:adjustRightInd w:val="0"/>
              <w:snapToGrid w:val="0"/>
              <w:spacing w:beforeLines="20" w:before="62" w:afterLines="20" w:after="62" w:line="240" w:lineRule="auto"/>
              <w:ind w:firstLineChars="0" w:firstLine="0"/>
              <w:rPr>
                <w:rFonts w:cs="Times New Roman"/>
                <w:bCs/>
                <w:kern w:val="21"/>
                <w:sz w:val="21"/>
                <w:szCs w:val="21"/>
              </w:rPr>
            </w:pPr>
            <w:r>
              <w:rPr>
                <w:rFonts w:cs="Times New Roman"/>
                <w:kern w:val="21"/>
                <w:sz w:val="21"/>
                <w:szCs w:val="21"/>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3499" w:type="dxa"/>
            <w:vAlign w:val="center"/>
          </w:tcPr>
          <w:p w14:paraId="2AC24403"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本项目所在地不属于</w:t>
            </w:r>
            <w:r>
              <w:rPr>
                <w:rFonts w:cs="Times New Roman"/>
                <w:kern w:val="21"/>
                <w:sz w:val="21"/>
                <w:szCs w:val="21"/>
              </w:rPr>
              <w:t>饮用水水源一级保护区的岸线和河段范围内。</w:t>
            </w:r>
          </w:p>
        </w:tc>
        <w:tc>
          <w:tcPr>
            <w:tcW w:w="1102" w:type="dxa"/>
            <w:vAlign w:val="center"/>
          </w:tcPr>
          <w:p w14:paraId="79B7ED72"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3BE44612" w14:textId="77777777">
        <w:trPr>
          <w:jc w:val="center"/>
        </w:trPr>
        <w:tc>
          <w:tcPr>
            <w:tcW w:w="4459" w:type="dxa"/>
            <w:vAlign w:val="center"/>
          </w:tcPr>
          <w:p w14:paraId="180B7252" w14:textId="77777777" w:rsidR="00544649" w:rsidRDefault="00000000">
            <w:pPr>
              <w:widowControl/>
              <w:adjustRightInd w:val="0"/>
              <w:snapToGrid w:val="0"/>
              <w:spacing w:beforeLines="20" w:before="62" w:afterLines="20" w:after="62" w:line="240" w:lineRule="auto"/>
              <w:ind w:firstLineChars="0" w:firstLine="0"/>
              <w:rPr>
                <w:rFonts w:cs="Times New Roman"/>
                <w:bCs/>
                <w:kern w:val="21"/>
                <w:sz w:val="21"/>
                <w:szCs w:val="21"/>
              </w:rPr>
            </w:pPr>
            <w:r>
              <w:rPr>
                <w:rFonts w:cs="Times New Roman"/>
                <w:kern w:val="21"/>
                <w:sz w:val="21"/>
                <w:szCs w:val="21"/>
              </w:rPr>
              <w:t>第十二条禁止在水产种质资源保护区岸线和河段范围内新建围湖造田、围湖造地或挖沙采石等投资建设项目。</w:t>
            </w:r>
          </w:p>
        </w:tc>
        <w:tc>
          <w:tcPr>
            <w:tcW w:w="3499" w:type="dxa"/>
            <w:vAlign w:val="center"/>
          </w:tcPr>
          <w:p w14:paraId="0A2D7B46"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本项目所在地不属于</w:t>
            </w:r>
            <w:r>
              <w:rPr>
                <w:rFonts w:cs="Times New Roman"/>
                <w:kern w:val="21"/>
                <w:sz w:val="21"/>
                <w:szCs w:val="21"/>
              </w:rPr>
              <w:t>水产种质资源保护区岸线和河段范围内。</w:t>
            </w:r>
          </w:p>
        </w:tc>
        <w:tc>
          <w:tcPr>
            <w:tcW w:w="1102" w:type="dxa"/>
            <w:vAlign w:val="center"/>
          </w:tcPr>
          <w:p w14:paraId="0DDEEAD9"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4321C720" w14:textId="77777777">
        <w:trPr>
          <w:jc w:val="center"/>
        </w:trPr>
        <w:tc>
          <w:tcPr>
            <w:tcW w:w="4459" w:type="dxa"/>
            <w:vAlign w:val="center"/>
          </w:tcPr>
          <w:p w14:paraId="3F610611" w14:textId="77777777" w:rsidR="00544649" w:rsidRDefault="00000000">
            <w:pPr>
              <w:widowControl/>
              <w:adjustRightInd w:val="0"/>
              <w:snapToGrid w:val="0"/>
              <w:spacing w:beforeLines="20" w:before="62" w:afterLines="20" w:after="62" w:line="240" w:lineRule="auto"/>
              <w:ind w:firstLineChars="0" w:firstLine="0"/>
              <w:rPr>
                <w:rFonts w:cs="Times New Roman"/>
                <w:bCs/>
                <w:kern w:val="21"/>
                <w:sz w:val="21"/>
                <w:szCs w:val="21"/>
              </w:rPr>
            </w:pPr>
            <w:r>
              <w:rPr>
                <w:rFonts w:cs="Times New Roman"/>
                <w:kern w:val="21"/>
                <w:sz w:val="21"/>
                <w:szCs w:val="21"/>
              </w:rPr>
              <w:t>第十三条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3499" w:type="dxa"/>
            <w:vAlign w:val="center"/>
          </w:tcPr>
          <w:p w14:paraId="083298BD"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本项目所在地不属于</w:t>
            </w:r>
            <w:r>
              <w:rPr>
                <w:rFonts w:cs="Times New Roman"/>
                <w:kern w:val="21"/>
                <w:sz w:val="21"/>
                <w:szCs w:val="21"/>
              </w:rPr>
              <w:t>国家湿地公园的岸线和河段范围内。</w:t>
            </w:r>
          </w:p>
        </w:tc>
        <w:tc>
          <w:tcPr>
            <w:tcW w:w="1102" w:type="dxa"/>
            <w:vAlign w:val="center"/>
          </w:tcPr>
          <w:p w14:paraId="181A46FB"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71361D5E" w14:textId="77777777">
        <w:trPr>
          <w:jc w:val="center"/>
        </w:trPr>
        <w:tc>
          <w:tcPr>
            <w:tcW w:w="4459" w:type="dxa"/>
            <w:vAlign w:val="center"/>
          </w:tcPr>
          <w:p w14:paraId="01E0FC75" w14:textId="77777777" w:rsidR="00544649" w:rsidRDefault="00000000">
            <w:pPr>
              <w:widowControl/>
              <w:adjustRightInd w:val="0"/>
              <w:snapToGrid w:val="0"/>
              <w:spacing w:beforeLines="20" w:before="62" w:afterLines="20" w:after="62" w:line="240" w:lineRule="auto"/>
              <w:ind w:firstLineChars="0" w:firstLine="0"/>
              <w:rPr>
                <w:rFonts w:cs="Times New Roman"/>
                <w:bCs/>
                <w:kern w:val="21"/>
                <w:sz w:val="21"/>
                <w:szCs w:val="21"/>
              </w:rPr>
            </w:pPr>
            <w:r>
              <w:rPr>
                <w:rFonts w:cs="Times New Roman"/>
                <w:kern w:val="21"/>
                <w:sz w:val="21"/>
                <w:szCs w:val="21"/>
              </w:rPr>
              <w:t>第十四条禁止违法利用、占用长江流域河湖岸线。禁止在《长江岸线保护和开发利用总体规划》划定的岸线保护区和岸线保留区内投资</w:t>
            </w:r>
            <w:proofErr w:type="gramStart"/>
            <w:r>
              <w:rPr>
                <w:rFonts w:cs="Times New Roman"/>
                <w:kern w:val="21"/>
                <w:sz w:val="21"/>
                <w:szCs w:val="21"/>
              </w:rPr>
              <w:t>建设除事关公</w:t>
            </w:r>
            <w:proofErr w:type="gramEnd"/>
            <w:r>
              <w:rPr>
                <w:rFonts w:cs="Times New Roman"/>
                <w:kern w:val="21"/>
                <w:sz w:val="21"/>
                <w:szCs w:val="21"/>
              </w:rPr>
              <w:t>共安全及公众利益的防洪护岸、河道治理、供水、生态环境保护、航道整治、国家重要基础设施以外的项目。</w:t>
            </w:r>
          </w:p>
        </w:tc>
        <w:tc>
          <w:tcPr>
            <w:tcW w:w="3499" w:type="dxa"/>
            <w:vAlign w:val="center"/>
          </w:tcPr>
          <w:p w14:paraId="2F41C236"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本项目建设未占用长江流域河湖岸线，不属于</w:t>
            </w:r>
            <w:r>
              <w:rPr>
                <w:rFonts w:cs="Times New Roman"/>
                <w:kern w:val="21"/>
                <w:sz w:val="21"/>
                <w:szCs w:val="21"/>
              </w:rPr>
              <w:t>《长江岸线保护和开发利用总体规划》划定的岸线保护区和岸线保留区内</w:t>
            </w:r>
            <w:r>
              <w:rPr>
                <w:rFonts w:cs="Times New Roman"/>
                <w:bCs/>
                <w:kern w:val="21"/>
                <w:sz w:val="21"/>
                <w:szCs w:val="21"/>
              </w:rPr>
              <w:t>。</w:t>
            </w:r>
          </w:p>
        </w:tc>
        <w:tc>
          <w:tcPr>
            <w:tcW w:w="1102" w:type="dxa"/>
            <w:vAlign w:val="center"/>
          </w:tcPr>
          <w:p w14:paraId="08C463D2"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6F53CE13" w14:textId="77777777">
        <w:trPr>
          <w:trHeight w:val="90"/>
          <w:jc w:val="center"/>
        </w:trPr>
        <w:tc>
          <w:tcPr>
            <w:tcW w:w="4459" w:type="dxa"/>
            <w:vAlign w:val="center"/>
          </w:tcPr>
          <w:p w14:paraId="44119430" w14:textId="77777777" w:rsidR="00544649" w:rsidRDefault="00000000">
            <w:pPr>
              <w:widowControl/>
              <w:adjustRightInd w:val="0"/>
              <w:snapToGrid w:val="0"/>
              <w:spacing w:beforeLines="20" w:before="62" w:afterLines="20" w:after="62" w:line="240" w:lineRule="auto"/>
              <w:ind w:firstLineChars="0" w:firstLine="0"/>
              <w:rPr>
                <w:rFonts w:cs="Times New Roman"/>
                <w:bCs/>
                <w:kern w:val="21"/>
                <w:sz w:val="21"/>
                <w:szCs w:val="21"/>
              </w:rPr>
            </w:pPr>
            <w:r>
              <w:rPr>
                <w:rFonts w:cs="Times New Roman"/>
                <w:kern w:val="21"/>
                <w:sz w:val="21"/>
                <w:szCs w:val="21"/>
              </w:rPr>
              <w:t>第十五条禁止在《全国重要江河湖泊水功能区划》划定的河段及湖泊保护区、保留区内投资建设不利于水资源及自然生态保护的项目。</w:t>
            </w:r>
          </w:p>
        </w:tc>
        <w:tc>
          <w:tcPr>
            <w:tcW w:w="3499" w:type="dxa"/>
            <w:vAlign w:val="center"/>
          </w:tcPr>
          <w:p w14:paraId="716EC4C9"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本项目所在地不属于《全国重要江河湖泊水功能区划》划定的河段及湖泊保护区、保留区。</w:t>
            </w:r>
          </w:p>
        </w:tc>
        <w:tc>
          <w:tcPr>
            <w:tcW w:w="1102" w:type="dxa"/>
            <w:vAlign w:val="center"/>
          </w:tcPr>
          <w:p w14:paraId="41803A92"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266A42F2" w14:textId="77777777">
        <w:trPr>
          <w:trHeight w:val="90"/>
          <w:jc w:val="center"/>
        </w:trPr>
        <w:tc>
          <w:tcPr>
            <w:tcW w:w="4459" w:type="dxa"/>
            <w:vAlign w:val="center"/>
          </w:tcPr>
          <w:p w14:paraId="7D15A356"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第十六条禁止在长江流域江河、湖泊新设、改设或者扩大排污口，经有管辖权的生态环境主管部门或者长江流域生态环境监督管理机构同意的除外。</w:t>
            </w:r>
          </w:p>
        </w:tc>
        <w:tc>
          <w:tcPr>
            <w:tcW w:w="3499" w:type="dxa"/>
            <w:vAlign w:val="center"/>
          </w:tcPr>
          <w:p w14:paraId="422824EF"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本项目不涉及</w:t>
            </w:r>
            <w:r>
              <w:rPr>
                <w:rFonts w:cs="Times New Roman"/>
                <w:kern w:val="21"/>
                <w:sz w:val="21"/>
                <w:szCs w:val="21"/>
              </w:rPr>
              <w:t>新设、改设或者扩大排污口</w:t>
            </w:r>
            <w:r>
              <w:rPr>
                <w:rFonts w:cs="Times New Roman"/>
                <w:kern w:val="21"/>
                <w:sz w:val="21"/>
                <w:szCs w:val="21"/>
                <w:lang w:bidi="zh-TW"/>
              </w:rPr>
              <w:t>。</w:t>
            </w:r>
          </w:p>
        </w:tc>
        <w:tc>
          <w:tcPr>
            <w:tcW w:w="1102" w:type="dxa"/>
            <w:vAlign w:val="center"/>
          </w:tcPr>
          <w:p w14:paraId="191DC70F"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643395E8" w14:textId="77777777">
        <w:trPr>
          <w:trHeight w:val="90"/>
          <w:jc w:val="center"/>
        </w:trPr>
        <w:tc>
          <w:tcPr>
            <w:tcW w:w="4459" w:type="dxa"/>
            <w:vAlign w:val="center"/>
          </w:tcPr>
          <w:p w14:paraId="5597161B"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lastRenderedPageBreak/>
              <w:t>第十七条禁止在长江干流、大渡河、岷江、赤水河、沱江、嘉陵江、乌江、汉江和</w:t>
            </w:r>
            <w:r>
              <w:rPr>
                <w:rFonts w:cs="Times New Roman"/>
                <w:kern w:val="21"/>
                <w:sz w:val="21"/>
                <w:szCs w:val="21"/>
              </w:rPr>
              <w:t>51</w:t>
            </w:r>
            <w:r>
              <w:rPr>
                <w:rFonts w:cs="Times New Roman"/>
                <w:kern w:val="21"/>
                <w:sz w:val="21"/>
                <w:szCs w:val="21"/>
              </w:rPr>
              <w:t>个（四川省</w:t>
            </w:r>
            <w:r>
              <w:rPr>
                <w:rFonts w:cs="Times New Roman"/>
                <w:kern w:val="21"/>
                <w:sz w:val="21"/>
                <w:szCs w:val="21"/>
              </w:rPr>
              <w:t>45</w:t>
            </w:r>
            <w:r>
              <w:rPr>
                <w:rFonts w:cs="Times New Roman"/>
                <w:kern w:val="21"/>
                <w:sz w:val="21"/>
                <w:szCs w:val="21"/>
              </w:rPr>
              <w:t>个、重庆市</w:t>
            </w:r>
            <w:r>
              <w:rPr>
                <w:rFonts w:cs="Times New Roman"/>
                <w:kern w:val="21"/>
                <w:sz w:val="21"/>
                <w:szCs w:val="21"/>
              </w:rPr>
              <w:t>6</w:t>
            </w:r>
            <w:r>
              <w:rPr>
                <w:rFonts w:cs="Times New Roman"/>
                <w:kern w:val="21"/>
                <w:sz w:val="21"/>
                <w:szCs w:val="21"/>
              </w:rPr>
              <w:t>个）水生生物保护区开展生产性捕捞。</w:t>
            </w:r>
          </w:p>
        </w:tc>
        <w:tc>
          <w:tcPr>
            <w:tcW w:w="3499" w:type="dxa"/>
            <w:vAlign w:val="center"/>
          </w:tcPr>
          <w:p w14:paraId="2037DBA2"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本项目所在地不属于</w:t>
            </w:r>
            <w:r>
              <w:rPr>
                <w:rFonts w:cs="Times New Roman"/>
                <w:kern w:val="21"/>
                <w:sz w:val="21"/>
                <w:szCs w:val="21"/>
              </w:rPr>
              <w:t>长江干流、大渡河、岷江、赤水河、沱江、嘉陵江、乌江、汉江和</w:t>
            </w:r>
            <w:r>
              <w:rPr>
                <w:rFonts w:cs="Times New Roman"/>
                <w:kern w:val="21"/>
                <w:sz w:val="21"/>
                <w:szCs w:val="21"/>
              </w:rPr>
              <w:t>51</w:t>
            </w:r>
            <w:r>
              <w:rPr>
                <w:rFonts w:cs="Times New Roman"/>
                <w:kern w:val="21"/>
                <w:sz w:val="21"/>
                <w:szCs w:val="21"/>
              </w:rPr>
              <w:t>个（四川省</w:t>
            </w:r>
            <w:r>
              <w:rPr>
                <w:rFonts w:cs="Times New Roman"/>
                <w:kern w:val="21"/>
                <w:sz w:val="21"/>
                <w:szCs w:val="21"/>
              </w:rPr>
              <w:t>45</w:t>
            </w:r>
            <w:r>
              <w:rPr>
                <w:rFonts w:cs="Times New Roman"/>
                <w:kern w:val="21"/>
                <w:sz w:val="21"/>
                <w:szCs w:val="21"/>
              </w:rPr>
              <w:t>个、重庆市</w:t>
            </w:r>
            <w:r>
              <w:rPr>
                <w:rFonts w:cs="Times New Roman"/>
                <w:kern w:val="21"/>
                <w:sz w:val="21"/>
                <w:szCs w:val="21"/>
              </w:rPr>
              <w:t>6</w:t>
            </w:r>
            <w:r>
              <w:rPr>
                <w:rFonts w:cs="Times New Roman"/>
                <w:kern w:val="21"/>
                <w:sz w:val="21"/>
                <w:szCs w:val="21"/>
              </w:rPr>
              <w:t>个）水生生物保护区，项目建设不涉及生产性捕捞。</w:t>
            </w:r>
          </w:p>
        </w:tc>
        <w:tc>
          <w:tcPr>
            <w:tcW w:w="1102" w:type="dxa"/>
            <w:vAlign w:val="center"/>
          </w:tcPr>
          <w:p w14:paraId="19F196D1"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55D0D301" w14:textId="77777777">
        <w:trPr>
          <w:trHeight w:val="90"/>
          <w:jc w:val="center"/>
        </w:trPr>
        <w:tc>
          <w:tcPr>
            <w:tcW w:w="4459" w:type="dxa"/>
            <w:vAlign w:val="center"/>
          </w:tcPr>
          <w:p w14:paraId="2A0AD826"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第十八条禁止在长江干支流、重要湖泊岸线一公里范围内新建、扩建化工园区和化工项目。</w:t>
            </w:r>
          </w:p>
        </w:tc>
        <w:tc>
          <w:tcPr>
            <w:tcW w:w="3499" w:type="dxa"/>
            <w:vAlign w:val="center"/>
          </w:tcPr>
          <w:p w14:paraId="7D12EEBC"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本项目建设不属于化工园区和化工项目。</w:t>
            </w:r>
          </w:p>
        </w:tc>
        <w:tc>
          <w:tcPr>
            <w:tcW w:w="1102" w:type="dxa"/>
            <w:vAlign w:val="center"/>
          </w:tcPr>
          <w:p w14:paraId="5A5DA6B2"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1960DFA3" w14:textId="77777777">
        <w:trPr>
          <w:trHeight w:val="90"/>
          <w:jc w:val="center"/>
        </w:trPr>
        <w:tc>
          <w:tcPr>
            <w:tcW w:w="4459" w:type="dxa"/>
            <w:vAlign w:val="center"/>
          </w:tcPr>
          <w:p w14:paraId="473BAD1F"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第十九条禁止在长江干流岸线三公里范围内和重要支流岸线一公里范围内新建、改建、扩建尾矿库、冶炼渣库、磷石膏库，以提升安全、生态环境保护水平为目的的改建除外。</w:t>
            </w:r>
          </w:p>
        </w:tc>
        <w:tc>
          <w:tcPr>
            <w:tcW w:w="3499" w:type="dxa"/>
            <w:vAlign w:val="center"/>
          </w:tcPr>
          <w:p w14:paraId="576D5D58"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本项目建设不属于尾矿库、冶炼渣库、磷石膏库。</w:t>
            </w:r>
          </w:p>
        </w:tc>
        <w:tc>
          <w:tcPr>
            <w:tcW w:w="1102" w:type="dxa"/>
            <w:vAlign w:val="center"/>
          </w:tcPr>
          <w:p w14:paraId="19A2E611"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32444D99" w14:textId="77777777">
        <w:trPr>
          <w:trHeight w:val="90"/>
          <w:jc w:val="center"/>
        </w:trPr>
        <w:tc>
          <w:tcPr>
            <w:tcW w:w="4459" w:type="dxa"/>
            <w:vAlign w:val="center"/>
          </w:tcPr>
          <w:p w14:paraId="3470324D"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第二十条禁止在生态保护红线区域、永久基本农田集中区域和其他需要特别保护的区域内选址建设尾矿库、冶炼渣库、磷石膏库。</w:t>
            </w:r>
          </w:p>
        </w:tc>
        <w:tc>
          <w:tcPr>
            <w:tcW w:w="3499" w:type="dxa"/>
            <w:vAlign w:val="center"/>
          </w:tcPr>
          <w:p w14:paraId="4F4695C1"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本项目所在地不属于</w:t>
            </w:r>
            <w:r>
              <w:rPr>
                <w:rFonts w:cs="Times New Roman"/>
                <w:kern w:val="21"/>
                <w:sz w:val="21"/>
                <w:szCs w:val="21"/>
              </w:rPr>
              <w:t>生态保护红线区域、永久基本农田集中区域和其他需要特别保护的区域内，项目建设</w:t>
            </w:r>
            <w:r>
              <w:rPr>
                <w:rFonts w:cs="Times New Roman"/>
                <w:bCs/>
                <w:kern w:val="21"/>
                <w:sz w:val="21"/>
                <w:szCs w:val="21"/>
              </w:rPr>
              <w:t>不属于尾矿库、冶炼渣库、磷石膏库。</w:t>
            </w:r>
          </w:p>
        </w:tc>
        <w:tc>
          <w:tcPr>
            <w:tcW w:w="1102" w:type="dxa"/>
            <w:vAlign w:val="center"/>
          </w:tcPr>
          <w:p w14:paraId="61EBE886"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20977D6F" w14:textId="77777777">
        <w:trPr>
          <w:trHeight w:val="90"/>
          <w:jc w:val="center"/>
        </w:trPr>
        <w:tc>
          <w:tcPr>
            <w:tcW w:w="4459" w:type="dxa"/>
            <w:vAlign w:val="center"/>
          </w:tcPr>
          <w:p w14:paraId="0161B629"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第二十一条禁止在合</w:t>
            </w:r>
            <w:proofErr w:type="gramStart"/>
            <w:r>
              <w:rPr>
                <w:rFonts w:cs="Times New Roman"/>
                <w:kern w:val="21"/>
                <w:sz w:val="21"/>
                <w:szCs w:val="21"/>
              </w:rPr>
              <w:t>规</w:t>
            </w:r>
            <w:proofErr w:type="gramEnd"/>
            <w:r>
              <w:rPr>
                <w:rFonts w:cs="Times New Roman"/>
                <w:kern w:val="21"/>
                <w:sz w:val="21"/>
                <w:szCs w:val="21"/>
              </w:rPr>
              <w:t>园区外新建、扩建钢铁、石化、化工、焦化、建材、有色、制浆造纸等高污染项目。</w:t>
            </w:r>
          </w:p>
        </w:tc>
        <w:tc>
          <w:tcPr>
            <w:tcW w:w="3499" w:type="dxa"/>
            <w:vAlign w:val="center"/>
          </w:tcPr>
          <w:p w14:paraId="1C95F2A0"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本项目建设不属于新建、扩建、钢铁、石化、化工、焦化、建材、有色、制浆造纸等高污染项目。</w:t>
            </w:r>
          </w:p>
        </w:tc>
        <w:tc>
          <w:tcPr>
            <w:tcW w:w="1102" w:type="dxa"/>
            <w:vAlign w:val="center"/>
          </w:tcPr>
          <w:p w14:paraId="3F89B2A7"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4A8DA5A5" w14:textId="77777777">
        <w:trPr>
          <w:trHeight w:val="1333"/>
          <w:jc w:val="center"/>
        </w:trPr>
        <w:tc>
          <w:tcPr>
            <w:tcW w:w="4459" w:type="dxa"/>
            <w:vAlign w:val="center"/>
          </w:tcPr>
          <w:p w14:paraId="6EB3D580"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第二十二条禁止新建、扩建不符合国家石化、现代煤化工等产业布局规划的项目。</w:t>
            </w:r>
          </w:p>
          <w:p w14:paraId="041288F6"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（一）严格控制新增炼油产能，未列入《石化产业规划布局方案（修订版）》的新增炼油产能一律不得建设。</w:t>
            </w:r>
          </w:p>
          <w:p w14:paraId="561D09C7"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（二）新建煤制烯烃、煤制芳烃项目必须列入《现代煤化工产业创新发展布局方案》，必须符合《现代煤化工建设项目环境准入条件（试行）》要求。</w:t>
            </w:r>
          </w:p>
        </w:tc>
        <w:tc>
          <w:tcPr>
            <w:tcW w:w="3499" w:type="dxa"/>
            <w:vAlign w:val="center"/>
          </w:tcPr>
          <w:p w14:paraId="330CEAEA"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本项目建设不属于石化、现代煤化工项目，项目建设</w:t>
            </w:r>
            <w:proofErr w:type="gramStart"/>
            <w:r>
              <w:rPr>
                <w:rFonts w:cs="Times New Roman"/>
                <w:bCs/>
                <w:kern w:val="21"/>
                <w:sz w:val="21"/>
                <w:szCs w:val="21"/>
              </w:rPr>
              <w:t>不</w:t>
            </w:r>
            <w:proofErr w:type="gramEnd"/>
            <w:r>
              <w:rPr>
                <w:rFonts w:cs="Times New Roman"/>
                <w:bCs/>
                <w:kern w:val="21"/>
                <w:sz w:val="21"/>
                <w:szCs w:val="21"/>
              </w:rPr>
              <w:t>新增炼油产能，不属于新建煤制烯烃、煤制芳烃项目。</w:t>
            </w:r>
          </w:p>
        </w:tc>
        <w:tc>
          <w:tcPr>
            <w:tcW w:w="1102" w:type="dxa"/>
            <w:vAlign w:val="center"/>
          </w:tcPr>
          <w:p w14:paraId="119CE1C3"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22F1E7BF" w14:textId="77777777">
        <w:trPr>
          <w:trHeight w:val="90"/>
          <w:jc w:val="center"/>
        </w:trPr>
        <w:tc>
          <w:tcPr>
            <w:tcW w:w="4459" w:type="dxa"/>
            <w:vAlign w:val="center"/>
          </w:tcPr>
          <w:p w14:paraId="3718806F"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3499" w:type="dxa"/>
            <w:vAlign w:val="center"/>
          </w:tcPr>
          <w:p w14:paraId="420405D4"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本项目不属于</w:t>
            </w:r>
            <w:r>
              <w:rPr>
                <w:rFonts w:cs="Times New Roman"/>
                <w:kern w:val="21"/>
                <w:sz w:val="21"/>
                <w:szCs w:val="21"/>
              </w:rPr>
              <w:t>法律法规和相关政策明令禁止的落后产能项目，不属于《产业结构调整指导目录》中的淘汰类、限制类项目。</w:t>
            </w:r>
          </w:p>
        </w:tc>
        <w:tc>
          <w:tcPr>
            <w:tcW w:w="1102" w:type="dxa"/>
            <w:vAlign w:val="center"/>
          </w:tcPr>
          <w:p w14:paraId="2F60783F"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5A5F9C46" w14:textId="77777777">
        <w:trPr>
          <w:trHeight w:val="90"/>
          <w:jc w:val="center"/>
        </w:trPr>
        <w:tc>
          <w:tcPr>
            <w:tcW w:w="4459" w:type="dxa"/>
            <w:vAlign w:val="center"/>
          </w:tcPr>
          <w:p w14:paraId="35546294"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第二十四条禁止新建、扩建不符合国家产能置换要求的严重过剩产能行业的项目。对于不符合国家产能置换要求的严重过剩产能行业，不得以其他任何名义、任何方式备案新增产能项目。</w:t>
            </w:r>
          </w:p>
        </w:tc>
        <w:tc>
          <w:tcPr>
            <w:tcW w:w="3499" w:type="dxa"/>
            <w:vAlign w:val="center"/>
          </w:tcPr>
          <w:p w14:paraId="01569997"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本项目建设</w:t>
            </w:r>
            <w:proofErr w:type="gramStart"/>
            <w:r>
              <w:rPr>
                <w:rFonts w:cs="Times New Roman"/>
                <w:bCs/>
                <w:kern w:val="21"/>
                <w:sz w:val="21"/>
                <w:szCs w:val="21"/>
              </w:rPr>
              <w:t>不属于</w:t>
            </w:r>
            <w:r>
              <w:rPr>
                <w:rFonts w:cs="Times New Roman"/>
                <w:kern w:val="21"/>
                <w:sz w:val="21"/>
                <w:szCs w:val="21"/>
              </w:rPr>
              <w:t>不符合国</w:t>
            </w:r>
            <w:proofErr w:type="gramEnd"/>
            <w:r>
              <w:rPr>
                <w:rFonts w:cs="Times New Roman"/>
                <w:kern w:val="21"/>
                <w:sz w:val="21"/>
                <w:szCs w:val="21"/>
              </w:rPr>
              <w:t>家产能置换要求的严重过剩产能行业的项目。</w:t>
            </w:r>
          </w:p>
        </w:tc>
        <w:tc>
          <w:tcPr>
            <w:tcW w:w="1102" w:type="dxa"/>
            <w:vAlign w:val="center"/>
          </w:tcPr>
          <w:p w14:paraId="724EF6D1"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2A9746A8" w14:textId="77777777">
        <w:trPr>
          <w:trHeight w:val="90"/>
          <w:jc w:val="center"/>
        </w:trPr>
        <w:tc>
          <w:tcPr>
            <w:tcW w:w="4459" w:type="dxa"/>
            <w:vAlign w:val="center"/>
          </w:tcPr>
          <w:p w14:paraId="20FB0179"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第二十五条禁止建设以下燃油汽车投资项目（不在中国境内销售产品的投资项目除外）：</w:t>
            </w:r>
          </w:p>
          <w:p w14:paraId="587442D7"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（一）新建独立燃油汽车企业；</w:t>
            </w:r>
          </w:p>
          <w:p w14:paraId="7F3521AC"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（二）现有汽车</w:t>
            </w:r>
            <w:proofErr w:type="gramStart"/>
            <w:r>
              <w:rPr>
                <w:rFonts w:cs="Times New Roman"/>
                <w:kern w:val="21"/>
                <w:sz w:val="21"/>
                <w:szCs w:val="21"/>
              </w:rPr>
              <w:t>企业跨乘用车</w:t>
            </w:r>
            <w:proofErr w:type="gramEnd"/>
            <w:r>
              <w:rPr>
                <w:rFonts w:cs="Times New Roman"/>
                <w:kern w:val="21"/>
                <w:sz w:val="21"/>
                <w:szCs w:val="21"/>
              </w:rPr>
              <w:t>、商用车类别建设燃油汽车生产能力；</w:t>
            </w:r>
          </w:p>
          <w:p w14:paraId="3459AF15"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lastRenderedPageBreak/>
              <w:t>（三）外省现有燃油汽车企业整体搬迁至本省（列入国家级区域发展规划或不改变企业股权结构的项目除外）；</w:t>
            </w:r>
          </w:p>
          <w:p w14:paraId="6F9E8C2C"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（四）对行业管理部门特别公示的燃油汽车企业进行投资（企业原有股东投资或将该企业转为非独立法人的投资项目除外）。</w:t>
            </w:r>
          </w:p>
        </w:tc>
        <w:tc>
          <w:tcPr>
            <w:tcW w:w="3499" w:type="dxa"/>
            <w:vAlign w:val="center"/>
          </w:tcPr>
          <w:p w14:paraId="30746221"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lastRenderedPageBreak/>
              <w:t>本项目建设不属于燃油汽车投资项目。</w:t>
            </w:r>
          </w:p>
        </w:tc>
        <w:tc>
          <w:tcPr>
            <w:tcW w:w="1102" w:type="dxa"/>
            <w:vAlign w:val="center"/>
          </w:tcPr>
          <w:p w14:paraId="7BE5666C"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r w:rsidR="00544649" w14:paraId="5B65A200" w14:textId="77777777">
        <w:trPr>
          <w:trHeight w:val="90"/>
          <w:jc w:val="center"/>
        </w:trPr>
        <w:tc>
          <w:tcPr>
            <w:tcW w:w="4459" w:type="dxa"/>
            <w:vAlign w:val="center"/>
          </w:tcPr>
          <w:p w14:paraId="087E539B"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第二十六条禁止新建、扩建不符合要求的高耗能、高排放、低水平项目。</w:t>
            </w:r>
          </w:p>
        </w:tc>
        <w:tc>
          <w:tcPr>
            <w:tcW w:w="3499" w:type="dxa"/>
            <w:vAlign w:val="center"/>
          </w:tcPr>
          <w:p w14:paraId="715A1A1A"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本项目建设不属于高耗能、高排放、低水平项目。</w:t>
            </w:r>
          </w:p>
        </w:tc>
        <w:tc>
          <w:tcPr>
            <w:tcW w:w="1102" w:type="dxa"/>
            <w:vAlign w:val="center"/>
          </w:tcPr>
          <w:p w14:paraId="28A84B83"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不属于</w:t>
            </w:r>
          </w:p>
        </w:tc>
      </w:tr>
    </w:tbl>
    <w:p w14:paraId="6504C9CB" w14:textId="77777777" w:rsidR="00544649" w:rsidRDefault="00000000">
      <w:pPr>
        <w:adjustRightInd w:val="0"/>
        <w:snapToGrid w:val="0"/>
        <w:spacing w:after="0"/>
        <w:ind w:firstLine="480"/>
        <w:rPr>
          <w:rFonts w:cs="Times New Roman"/>
          <w:kern w:val="21"/>
        </w:rPr>
      </w:pPr>
      <w:r>
        <w:rPr>
          <w:rFonts w:cs="Times New Roman" w:hint="eastAsia"/>
          <w:kern w:val="21"/>
          <w:szCs w:val="24"/>
        </w:rPr>
        <w:t>由上表可知，本项目不在《四川省、重庆市长江经济带发展负面清单实施细则（试行，</w:t>
      </w:r>
      <w:r>
        <w:rPr>
          <w:rFonts w:cs="Times New Roman" w:hint="eastAsia"/>
          <w:kern w:val="21"/>
          <w:szCs w:val="24"/>
        </w:rPr>
        <w:t>2022</w:t>
      </w:r>
      <w:r>
        <w:rPr>
          <w:rFonts w:cs="Times New Roman" w:hint="eastAsia"/>
          <w:kern w:val="21"/>
          <w:szCs w:val="24"/>
        </w:rPr>
        <w:t>年版）》</w:t>
      </w:r>
      <w:r>
        <w:rPr>
          <w:rFonts w:cs="Times New Roman"/>
          <w:kern w:val="21"/>
          <w:szCs w:val="24"/>
        </w:rPr>
        <w:t>（</w:t>
      </w:r>
      <w:r>
        <w:rPr>
          <w:rFonts w:cs="Times New Roman" w:hint="eastAsia"/>
          <w:kern w:val="21"/>
          <w:szCs w:val="24"/>
        </w:rPr>
        <w:t>川</w:t>
      </w:r>
      <w:r>
        <w:rPr>
          <w:rFonts w:cs="Times New Roman"/>
          <w:kern w:val="21"/>
          <w:szCs w:val="24"/>
        </w:rPr>
        <w:t>长江办〔</w:t>
      </w:r>
      <w:r>
        <w:rPr>
          <w:rFonts w:cs="Times New Roman"/>
          <w:kern w:val="21"/>
          <w:szCs w:val="24"/>
        </w:rPr>
        <w:t>2022</w:t>
      </w:r>
      <w:r>
        <w:rPr>
          <w:rFonts w:cs="Times New Roman"/>
          <w:kern w:val="21"/>
          <w:szCs w:val="24"/>
        </w:rPr>
        <w:t>〕</w:t>
      </w:r>
      <w:r>
        <w:rPr>
          <w:rFonts w:cs="Times New Roman" w:hint="eastAsia"/>
          <w:kern w:val="21"/>
          <w:szCs w:val="24"/>
        </w:rPr>
        <w:t>1</w:t>
      </w:r>
      <w:r>
        <w:rPr>
          <w:rFonts w:cs="Times New Roman"/>
          <w:kern w:val="21"/>
          <w:szCs w:val="24"/>
        </w:rPr>
        <w:t>7</w:t>
      </w:r>
      <w:r>
        <w:rPr>
          <w:rFonts w:cs="Times New Roman"/>
          <w:kern w:val="21"/>
          <w:szCs w:val="24"/>
        </w:rPr>
        <w:t>号）</w:t>
      </w:r>
      <w:r>
        <w:rPr>
          <w:rFonts w:cs="Times New Roman" w:hint="eastAsia"/>
          <w:kern w:val="21"/>
          <w:szCs w:val="24"/>
        </w:rPr>
        <w:t>确定的管</w:t>
      </w:r>
      <w:proofErr w:type="gramStart"/>
      <w:r>
        <w:rPr>
          <w:rFonts w:cs="Times New Roman" w:hint="eastAsia"/>
          <w:kern w:val="21"/>
          <w:szCs w:val="24"/>
        </w:rPr>
        <w:t>控内容</w:t>
      </w:r>
      <w:proofErr w:type="gramEnd"/>
      <w:r>
        <w:rPr>
          <w:rFonts w:cs="Times New Roman" w:hint="eastAsia"/>
          <w:kern w:val="21"/>
          <w:szCs w:val="24"/>
        </w:rPr>
        <w:t>之列，项目的建设是可行的。</w:t>
      </w:r>
    </w:p>
    <w:p w14:paraId="03BE4AE4" w14:textId="77777777" w:rsidR="00544649" w:rsidRDefault="00000000">
      <w:pPr>
        <w:pStyle w:val="2"/>
        <w:numPr>
          <w:ilvl w:val="1"/>
          <w:numId w:val="2"/>
        </w:numPr>
        <w:adjustRightInd w:val="0"/>
        <w:snapToGrid w:val="0"/>
        <w:spacing w:after="0"/>
        <w:rPr>
          <w:rFonts w:cs="Times New Roman"/>
          <w:kern w:val="21"/>
        </w:rPr>
      </w:pPr>
      <w:bookmarkStart w:id="94" w:name="_Toc2291"/>
      <w:bookmarkStart w:id="95" w:name="_Toc32136"/>
      <w:bookmarkStart w:id="96" w:name="_Toc195009795"/>
      <w:r>
        <w:rPr>
          <w:rFonts w:cs="Times New Roman"/>
          <w:kern w:val="21"/>
        </w:rPr>
        <w:t>评价目的和原则</w:t>
      </w:r>
      <w:bookmarkEnd w:id="94"/>
      <w:bookmarkEnd w:id="95"/>
      <w:bookmarkEnd w:id="96"/>
    </w:p>
    <w:p w14:paraId="364BADA6" w14:textId="77777777" w:rsidR="00544649" w:rsidRDefault="00000000">
      <w:pPr>
        <w:pStyle w:val="3"/>
        <w:numPr>
          <w:ilvl w:val="2"/>
          <w:numId w:val="2"/>
        </w:numPr>
        <w:adjustRightInd w:val="0"/>
        <w:snapToGrid w:val="0"/>
        <w:spacing w:after="0"/>
        <w:rPr>
          <w:rFonts w:cs="Times New Roman"/>
          <w:kern w:val="21"/>
        </w:rPr>
      </w:pPr>
      <w:bookmarkStart w:id="97" w:name="_Toc19314"/>
      <w:bookmarkStart w:id="98" w:name="_Toc16458"/>
      <w:bookmarkStart w:id="99" w:name="_Toc195009796"/>
      <w:r>
        <w:rPr>
          <w:rFonts w:cs="Times New Roman"/>
          <w:kern w:val="21"/>
        </w:rPr>
        <w:t>评价目的</w:t>
      </w:r>
      <w:bookmarkEnd w:id="97"/>
      <w:bookmarkEnd w:id="98"/>
      <w:bookmarkEnd w:id="99"/>
    </w:p>
    <w:p w14:paraId="10518237" w14:textId="77777777" w:rsidR="00544649" w:rsidRDefault="00000000">
      <w:pPr>
        <w:adjustRightInd w:val="0"/>
        <w:snapToGrid w:val="0"/>
        <w:spacing w:after="0"/>
        <w:ind w:firstLine="480"/>
        <w:rPr>
          <w:rFonts w:cs="Times New Roman"/>
          <w:kern w:val="21"/>
          <w:szCs w:val="24"/>
        </w:rPr>
      </w:pPr>
      <w:r>
        <w:rPr>
          <w:rFonts w:cs="Times New Roman"/>
          <w:kern w:val="21"/>
          <w:szCs w:val="24"/>
        </w:rPr>
        <w:t>环境影响评价的目的，是对项目实施后可能造成的环境影响进行分析、预测和评估，提出预防或者减轻不良环境影响的对策和措施。针对本项目而言，评价的目的具体表现在以下几个方面：</w:t>
      </w:r>
    </w:p>
    <w:p w14:paraId="21FD2158" w14:textId="77777777" w:rsidR="00544649" w:rsidRDefault="00000000">
      <w:pPr>
        <w:numPr>
          <w:ilvl w:val="0"/>
          <w:numId w:val="19"/>
        </w:numPr>
        <w:adjustRightInd w:val="0"/>
        <w:snapToGrid w:val="0"/>
        <w:spacing w:after="0"/>
        <w:ind w:firstLine="480"/>
        <w:rPr>
          <w:rFonts w:cs="Times New Roman"/>
          <w:kern w:val="21"/>
          <w:szCs w:val="24"/>
        </w:rPr>
      </w:pPr>
      <w:r>
        <w:rPr>
          <w:rFonts w:cs="Times New Roman"/>
          <w:kern w:val="21"/>
          <w:szCs w:val="24"/>
        </w:rPr>
        <w:t>分析本项目建设是否符合国家现行的产业政策要求；</w:t>
      </w:r>
    </w:p>
    <w:p w14:paraId="06F4EAA3" w14:textId="77777777" w:rsidR="00544649" w:rsidRDefault="00000000">
      <w:pPr>
        <w:numPr>
          <w:ilvl w:val="0"/>
          <w:numId w:val="19"/>
        </w:numPr>
        <w:adjustRightInd w:val="0"/>
        <w:snapToGrid w:val="0"/>
        <w:spacing w:after="0"/>
        <w:ind w:firstLine="480"/>
        <w:rPr>
          <w:rFonts w:cs="Times New Roman"/>
          <w:kern w:val="21"/>
          <w:szCs w:val="24"/>
        </w:rPr>
      </w:pPr>
      <w:r>
        <w:rPr>
          <w:rFonts w:cs="Times New Roman"/>
          <w:kern w:val="21"/>
          <w:szCs w:val="24"/>
        </w:rPr>
        <w:t>对项目的选址、规划布局、设计等方面进行环境可行性论证；从环保角度对工程建设提出要求和建议；</w:t>
      </w:r>
    </w:p>
    <w:p w14:paraId="7CDA357F" w14:textId="77777777" w:rsidR="00544649" w:rsidRDefault="00000000">
      <w:pPr>
        <w:numPr>
          <w:ilvl w:val="0"/>
          <w:numId w:val="19"/>
        </w:numPr>
        <w:adjustRightInd w:val="0"/>
        <w:snapToGrid w:val="0"/>
        <w:spacing w:after="0"/>
        <w:ind w:firstLine="480"/>
        <w:rPr>
          <w:rFonts w:cs="Times New Roman"/>
          <w:kern w:val="21"/>
          <w:szCs w:val="24"/>
        </w:rPr>
      </w:pPr>
      <w:r>
        <w:rPr>
          <w:rFonts w:cs="Times New Roman"/>
          <w:kern w:val="21"/>
          <w:szCs w:val="24"/>
        </w:rPr>
        <w:t>调查、研究养鸡场所在区域以及邻近地区的环境功能，开展评价区域自然环境、社会环境和环境质量现状调查，确定工程实施影响环境的要素和主要环境保护目标；</w:t>
      </w:r>
    </w:p>
    <w:p w14:paraId="5A433183" w14:textId="77777777" w:rsidR="00544649" w:rsidRDefault="00000000">
      <w:pPr>
        <w:numPr>
          <w:ilvl w:val="0"/>
          <w:numId w:val="19"/>
        </w:numPr>
        <w:adjustRightInd w:val="0"/>
        <w:snapToGrid w:val="0"/>
        <w:spacing w:after="0"/>
        <w:ind w:firstLine="480"/>
        <w:rPr>
          <w:rFonts w:cs="Times New Roman"/>
          <w:kern w:val="21"/>
          <w:szCs w:val="24"/>
        </w:rPr>
      </w:pPr>
      <w:r>
        <w:rPr>
          <w:rFonts w:cs="Times New Roman"/>
          <w:kern w:val="21"/>
          <w:szCs w:val="24"/>
        </w:rPr>
        <w:t>通过对本项目在施工期和运营期可能带来的各种环境影响的定性和定量分析、评估、预测，评价项目实施后的环境影响范围和程度；</w:t>
      </w:r>
    </w:p>
    <w:p w14:paraId="5ECF497A" w14:textId="77777777" w:rsidR="00544649" w:rsidRDefault="00000000">
      <w:pPr>
        <w:numPr>
          <w:ilvl w:val="0"/>
          <w:numId w:val="19"/>
        </w:numPr>
        <w:adjustRightInd w:val="0"/>
        <w:snapToGrid w:val="0"/>
        <w:spacing w:after="0"/>
        <w:ind w:firstLine="480"/>
        <w:rPr>
          <w:rFonts w:cs="Times New Roman"/>
          <w:kern w:val="21"/>
          <w:szCs w:val="24"/>
        </w:rPr>
      </w:pPr>
      <w:r>
        <w:rPr>
          <w:rFonts w:cs="Times New Roman"/>
          <w:kern w:val="21"/>
          <w:szCs w:val="24"/>
        </w:rPr>
        <w:t>分析本工程可能存在的环境风险，预测风险发生后可能影响的程度和范围，并根据相关规定提出相应的风险防范措施；</w:t>
      </w:r>
    </w:p>
    <w:p w14:paraId="5142B3D2" w14:textId="77777777" w:rsidR="00544649" w:rsidRDefault="00000000">
      <w:pPr>
        <w:numPr>
          <w:ilvl w:val="0"/>
          <w:numId w:val="19"/>
        </w:numPr>
        <w:adjustRightInd w:val="0"/>
        <w:snapToGrid w:val="0"/>
        <w:spacing w:after="0"/>
        <w:ind w:firstLine="480"/>
        <w:rPr>
          <w:rFonts w:cs="Times New Roman"/>
          <w:kern w:val="21"/>
          <w:szCs w:val="24"/>
        </w:rPr>
      </w:pPr>
      <w:r>
        <w:rPr>
          <w:rFonts w:cs="Times New Roman"/>
          <w:kern w:val="21"/>
          <w:szCs w:val="24"/>
        </w:rPr>
        <w:t>针对工程施工、工程运行给环境带来的不良影响，制定可行的对策和减缓措施，制定工程环境监理和环境管理规划，估算工程环境投资，保证工程顺利施工和正常运行，充分发挥工程的经济效益、社会效益和环境效益；</w:t>
      </w:r>
    </w:p>
    <w:p w14:paraId="06F96BB7" w14:textId="77777777" w:rsidR="00544649" w:rsidRDefault="00000000">
      <w:pPr>
        <w:numPr>
          <w:ilvl w:val="0"/>
          <w:numId w:val="19"/>
        </w:numPr>
        <w:adjustRightInd w:val="0"/>
        <w:snapToGrid w:val="0"/>
        <w:spacing w:after="0"/>
        <w:ind w:firstLine="480"/>
        <w:rPr>
          <w:rFonts w:cs="Times New Roman"/>
          <w:kern w:val="21"/>
          <w:szCs w:val="24"/>
        </w:rPr>
      </w:pPr>
      <w:r>
        <w:rPr>
          <w:rFonts w:cs="Times New Roman"/>
          <w:kern w:val="21"/>
          <w:szCs w:val="24"/>
        </w:rPr>
        <w:t>结合企业的公众参与情况，弥补环境影响评价可能出现的疏忽和遗漏，进而使拟建项目的规划、设计和环境及管理更趋完善与合理，力求拟议项目的建设及运营在环境效益、社会效益和经济效益方面取得最优化的统一；为项目的生产管理和环境</w:t>
      </w:r>
      <w:r>
        <w:rPr>
          <w:rFonts w:cs="Times New Roman"/>
          <w:kern w:val="21"/>
          <w:szCs w:val="24"/>
        </w:rPr>
        <w:lastRenderedPageBreak/>
        <w:t>管理提供科学依据，为沿线地区的经济发展规划、环保规划提供依据，并给决策者提供协调环境与发展关系的科学依据；</w:t>
      </w:r>
    </w:p>
    <w:p w14:paraId="29A5F897" w14:textId="77777777" w:rsidR="00544649" w:rsidRDefault="00000000">
      <w:pPr>
        <w:numPr>
          <w:ilvl w:val="0"/>
          <w:numId w:val="19"/>
        </w:numPr>
        <w:adjustRightInd w:val="0"/>
        <w:snapToGrid w:val="0"/>
        <w:spacing w:after="0"/>
        <w:ind w:firstLine="480"/>
        <w:rPr>
          <w:rFonts w:cs="Times New Roman"/>
          <w:kern w:val="21"/>
          <w:szCs w:val="24"/>
        </w:rPr>
      </w:pPr>
      <w:r>
        <w:rPr>
          <w:rFonts w:cs="Times New Roman"/>
          <w:kern w:val="21"/>
          <w:szCs w:val="24"/>
        </w:rPr>
        <w:t>从环保角度论证项目建设的可行性，为工程建设和环境管理提供科学依据。</w:t>
      </w:r>
    </w:p>
    <w:p w14:paraId="5F3E79AB" w14:textId="77777777" w:rsidR="00544649" w:rsidRDefault="00000000">
      <w:pPr>
        <w:adjustRightInd w:val="0"/>
        <w:snapToGrid w:val="0"/>
        <w:spacing w:after="0"/>
        <w:ind w:firstLine="480"/>
        <w:rPr>
          <w:rFonts w:cs="Times New Roman"/>
          <w:kern w:val="21"/>
          <w:szCs w:val="24"/>
        </w:rPr>
      </w:pPr>
      <w:r>
        <w:rPr>
          <w:rFonts w:cs="Times New Roman"/>
          <w:kern w:val="21"/>
          <w:szCs w:val="24"/>
        </w:rPr>
        <w:t>通过以上多方面的分析，明确给出本项目环境影响的可行性结论，为该项目工程建设及运行中的环境管理等提供依据。</w:t>
      </w:r>
    </w:p>
    <w:p w14:paraId="7ACE7387" w14:textId="77777777" w:rsidR="00544649" w:rsidRDefault="00000000">
      <w:pPr>
        <w:pStyle w:val="3"/>
        <w:numPr>
          <w:ilvl w:val="2"/>
          <w:numId w:val="2"/>
        </w:numPr>
        <w:adjustRightInd w:val="0"/>
        <w:snapToGrid w:val="0"/>
        <w:spacing w:after="0"/>
        <w:rPr>
          <w:rFonts w:cs="Times New Roman"/>
          <w:kern w:val="21"/>
        </w:rPr>
      </w:pPr>
      <w:bookmarkStart w:id="100" w:name="_Toc27173"/>
      <w:bookmarkStart w:id="101" w:name="_Toc30737"/>
      <w:bookmarkStart w:id="102" w:name="_Toc195009797"/>
      <w:r>
        <w:rPr>
          <w:rFonts w:cs="Times New Roman"/>
          <w:kern w:val="21"/>
        </w:rPr>
        <w:t>评价原则</w:t>
      </w:r>
      <w:bookmarkEnd w:id="100"/>
      <w:bookmarkEnd w:id="101"/>
      <w:bookmarkEnd w:id="102"/>
    </w:p>
    <w:p w14:paraId="5D32FD26" w14:textId="77777777" w:rsidR="00544649" w:rsidRDefault="00000000">
      <w:pPr>
        <w:adjustRightInd w:val="0"/>
        <w:snapToGrid w:val="0"/>
        <w:spacing w:after="0"/>
        <w:ind w:firstLine="480"/>
        <w:rPr>
          <w:rFonts w:cs="Times New Roman"/>
          <w:kern w:val="21"/>
          <w:szCs w:val="24"/>
        </w:rPr>
      </w:pPr>
      <w:r>
        <w:rPr>
          <w:rFonts w:cs="Times New Roman"/>
          <w:kern w:val="21"/>
          <w:szCs w:val="24"/>
        </w:rPr>
        <w:t>按照以人为本、建设资源节约型、环境友好型社会和科学发展的要求，遵循以下原则开展环境影响评价工作：</w:t>
      </w:r>
    </w:p>
    <w:p w14:paraId="0826856E"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1</w:t>
      </w:r>
      <w:r>
        <w:rPr>
          <w:rFonts w:cs="Times New Roman"/>
          <w:kern w:val="21"/>
          <w:szCs w:val="24"/>
        </w:rPr>
        <w:t>）依法评价</w:t>
      </w:r>
    </w:p>
    <w:p w14:paraId="48D992A5" w14:textId="77777777" w:rsidR="00544649" w:rsidRDefault="00000000">
      <w:pPr>
        <w:adjustRightInd w:val="0"/>
        <w:snapToGrid w:val="0"/>
        <w:spacing w:after="0"/>
        <w:ind w:firstLine="480"/>
        <w:rPr>
          <w:rFonts w:cs="Times New Roman"/>
          <w:kern w:val="21"/>
          <w:szCs w:val="24"/>
        </w:rPr>
      </w:pPr>
      <w:r>
        <w:rPr>
          <w:rFonts w:cs="Times New Roman"/>
          <w:kern w:val="21"/>
          <w:szCs w:val="24"/>
        </w:rPr>
        <w:t>环境影响评价过程中应贯彻执行我国环境保护相关的法律法规、标准、政策，分析建设项目与环境保护政策、资源能源利用政策、国家产业政策和技术政策等有关政策及相关规划的相符性，并关注国家或地方在法律法规、标准、政策、规划及相关主体功能区划等方面的新动向。</w:t>
      </w:r>
    </w:p>
    <w:p w14:paraId="5DDB9AEF"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2</w:t>
      </w:r>
      <w:r>
        <w:rPr>
          <w:rFonts w:cs="Times New Roman"/>
          <w:kern w:val="21"/>
          <w:szCs w:val="24"/>
        </w:rPr>
        <w:t>）科学评价</w:t>
      </w:r>
    </w:p>
    <w:p w14:paraId="4CD3983E" w14:textId="77777777" w:rsidR="00544649" w:rsidRDefault="00000000">
      <w:pPr>
        <w:adjustRightInd w:val="0"/>
        <w:snapToGrid w:val="0"/>
        <w:spacing w:after="0"/>
        <w:ind w:firstLine="480"/>
        <w:rPr>
          <w:rFonts w:cs="Times New Roman"/>
          <w:kern w:val="21"/>
          <w:szCs w:val="24"/>
        </w:rPr>
      </w:pPr>
      <w:r>
        <w:rPr>
          <w:rFonts w:cs="Times New Roman"/>
          <w:kern w:val="21"/>
          <w:szCs w:val="24"/>
        </w:rPr>
        <w:t>规范环境影响评价方法，科学分析项目建设对环境质量的影响。</w:t>
      </w:r>
    </w:p>
    <w:p w14:paraId="6C845F0F"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3</w:t>
      </w:r>
      <w:r>
        <w:rPr>
          <w:rFonts w:cs="Times New Roman"/>
          <w:kern w:val="21"/>
          <w:szCs w:val="24"/>
        </w:rPr>
        <w:t>）突出重点</w:t>
      </w:r>
    </w:p>
    <w:p w14:paraId="2D3FA8CE" w14:textId="77777777" w:rsidR="00544649" w:rsidRDefault="00000000">
      <w:pPr>
        <w:adjustRightInd w:val="0"/>
        <w:snapToGrid w:val="0"/>
        <w:spacing w:after="0"/>
        <w:ind w:firstLine="480"/>
        <w:rPr>
          <w:rFonts w:cs="Times New Roman"/>
          <w:kern w:val="21"/>
          <w:szCs w:val="24"/>
        </w:rPr>
      </w:pPr>
      <w:r>
        <w:rPr>
          <w:rFonts w:cs="Times New Roman"/>
          <w:kern w:val="21"/>
          <w:szCs w:val="24"/>
        </w:rPr>
        <w:t>根据建设项目的工程内容及其特点，明确与环境要素间的作用效应关系，根据规划环境影响评价结论和审查意见，充分利用符合时效的数据资料及成果，对建设项目主要环境影响予以重点分析和评价。</w:t>
      </w:r>
    </w:p>
    <w:p w14:paraId="7E3B9F1B" w14:textId="77777777" w:rsidR="00544649" w:rsidRDefault="00000000">
      <w:pPr>
        <w:pStyle w:val="2"/>
        <w:numPr>
          <w:ilvl w:val="1"/>
          <w:numId w:val="2"/>
        </w:numPr>
        <w:adjustRightInd w:val="0"/>
        <w:snapToGrid w:val="0"/>
        <w:spacing w:after="0"/>
        <w:rPr>
          <w:rFonts w:cs="Times New Roman"/>
          <w:kern w:val="21"/>
        </w:rPr>
      </w:pPr>
      <w:bookmarkStart w:id="103" w:name="_Toc9700"/>
      <w:bookmarkStart w:id="104" w:name="_Toc18195"/>
      <w:bookmarkStart w:id="105" w:name="_Toc195009798"/>
      <w:r>
        <w:rPr>
          <w:rFonts w:cs="Times New Roman"/>
          <w:kern w:val="21"/>
        </w:rPr>
        <w:t>评价内容及重点</w:t>
      </w:r>
      <w:bookmarkEnd w:id="103"/>
      <w:bookmarkEnd w:id="104"/>
      <w:bookmarkEnd w:id="105"/>
    </w:p>
    <w:p w14:paraId="5053B875" w14:textId="77777777" w:rsidR="00544649" w:rsidRDefault="00000000">
      <w:pPr>
        <w:adjustRightInd w:val="0"/>
        <w:snapToGrid w:val="0"/>
        <w:spacing w:after="0"/>
        <w:ind w:firstLine="480"/>
        <w:rPr>
          <w:rFonts w:cs="Times New Roman"/>
          <w:kern w:val="21"/>
        </w:rPr>
      </w:pPr>
      <w:r>
        <w:rPr>
          <w:rFonts w:cs="Times New Roman"/>
          <w:kern w:val="21"/>
        </w:rPr>
        <w:t>根据项目地区环境状况以及项目污染</w:t>
      </w:r>
      <w:r>
        <w:rPr>
          <w:rFonts w:cs="Times New Roman"/>
          <w:kern w:val="21"/>
          <w:szCs w:val="21"/>
        </w:rPr>
        <w:t>特征</w:t>
      </w:r>
      <w:r>
        <w:rPr>
          <w:rFonts w:cs="Times New Roman"/>
          <w:kern w:val="21"/>
        </w:rPr>
        <w:t>，本项目评价重点为：</w:t>
      </w:r>
    </w:p>
    <w:p w14:paraId="36D83ED7"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1</w:t>
      </w:r>
      <w:r>
        <w:rPr>
          <w:rFonts w:cs="Times New Roman"/>
          <w:kern w:val="21"/>
        </w:rPr>
        <w:t>）</w:t>
      </w:r>
      <w:r>
        <w:rPr>
          <w:rFonts w:cs="Times New Roman"/>
          <w:kern w:val="21"/>
          <w:szCs w:val="24"/>
        </w:rPr>
        <w:t>工程建设期及运行期对区域自然、社会及生态环境的影响及预防措施；</w:t>
      </w:r>
    </w:p>
    <w:p w14:paraId="20EF8BE2" w14:textId="77777777" w:rsidR="00544649" w:rsidRDefault="00000000">
      <w:pPr>
        <w:adjustRightInd w:val="0"/>
        <w:snapToGrid w:val="0"/>
        <w:spacing w:after="0"/>
        <w:ind w:firstLine="480"/>
        <w:rPr>
          <w:rFonts w:cs="Times New Roman"/>
          <w:kern w:val="21"/>
          <w:szCs w:val="24"/>
        </w:rPr>
      </w:pPr>
      <w:r>
        <w:rPr>
          <w:rFonts w:cs="Times New Roman"/>
          <w:kern w:val="21"/>
        </w:rPr>
        <w:t>（</w:t>
      </w:r>
      <w:r>
        <w:rPr>
          <w:rFonts w:cs="Times New Roman"/>
          <w:kern w:val="21"/>
        </w:rPr>
        <w:t>2</w:t>
      </w:r>
      <w:r>
        <w:rPr>
          <w:rFonts w:cs="Times New Roman"/>
          <w:kern w:val="21"/>
        </w:rPr>
        <w:t>）</w:t>
      </w:r>
      <w:r>
        <w:rPr>
          <w:rFonts w:cs="Times New Roman"/>
          <w:kern w:val="21"/>
          <w:szCs w:val="24"/>
        </w:rPr>
        <w:t>对区域地表水和地下水环境的影响；</w:t>
      </w:r>
    </w:p>
    <w:p w14:paraId="20D62569"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3</w:t>
      </w:r>
      <w:r>
        <w:rPr>
          <w:rFonts w:cs="Times New Roman"/>
          <w:kern w:val="21"/>
        </w:rPr>
        <w:t>）</w:t>
      </w:r>
      <w:r>
        <w:rPr>
          <w:rFonts w:cs="Times New Roman"/>
          <w:kern w:val="21"/>
          <w:szCs w:val="24"/>
        </w:rPr>
        <w:t>恶臭对区域环境卫生的影响</w:t>
      </w:r>
      <w:r>
        <w:rPr>
          <w:rFonts w:cs="Times New Roman"/>
          <w:kern w:val="21"/>
        </w:rPr>
        <w:t>；</w:t>
      </w:r>
    </w:p>
    <w:p w14:paraId="5265EB7C"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4</w:t>
      </w:r>
      <w:r>
        <w:rPr>
          <w:rFonts w:cs="Times New Roman"/>
          <w:kern w:val="21"/>
        </w:rPr>
        <w:t>）</w:t>
      </w:r>
      <w:r>
        <w:rPr>
          <w:rFonts w:cs="Times New Roman"/>
          <w:kern w:val="21"/>
          <w:szCs w:val="24"/>
        </w:rPr>
        <w:t>工程运行的环保措施及经济、技术论证</w:t>
      </w:r>
      <w:r>
        <w:rPr>
          <w:rFonts w:cs="Times New Roman"/>
          <w:kern w:val="21"/>
        </w:rPr>
        <w:t>。</w:t>
      </w:r>
    </w:p>
    <w:p w14:paraId="2B07D2AF" w14:textId="77777777" w:rsidR="00544649" w:rsidRDefault="00000000">
      <w:pPr>
        <w:pStyle w:val="2"/>
        <w:numPr>
          <w:ilvl w:val="1"/>
          <w:numId w:val="2"/>
        </w:numPr>
        <w:adjustRightInd w:val="0"/>
        <w:snapToGrid w:val="0"/>
        <w:spacing w:after="0"/>
        <w:rPr>
          <w:rFonts w:cs="Times New Roman"/>
          <w:kern w:val="21"/>
        </w:rPr>
      </w:pPr>
      <w:bookmarkStart w:id="106" w:name="_Toc22439"/>
      <w:bookmarkStart w:id="107" w:name="_Toc2013"/>
      <w:bookmarkStart w:id="108" w:name="_Toc195009799"/>
      <w:r>
        <w:rPr>
          <w:rFonts w:cs="Times New Roman"/>
          <w:kern w:val="21"/>
        </w:rPr>
        <w:t>环境影响识别和评价因子选择</w:t>
      </w:r>
      <w:bookmarkEnd w:id="106"/>
      <w:bookmarkEnd w:id="107"/>
      <w:bookmarkEnd w:id="108"/>
    </w:p>
    <w:p w14:paraId="662A46DC" w14:textId="77777777" w:rsidR="00544649" w:rsidRDefault="00000000">
      <w:pPr>
        <w:pStyle w:val="3"/>
        <w:numPr>
          <w:ilvl w:val="2"/>
          <w:numId w:val="2"/>
        </w:numPr>
        <w:adjustRightInd w:val="0"/>
        <w:snapToGrid w:val="0"/>
        <w:spacing w:after="0"/>
        <w:rPr>
          <w:rFonts w:cs="Times New Roman"/>
          <w:kern w:val="21"/>
        </w:rPr>
      </w:pPr>
      <w:bookmarkStart w:id="109" w:name="_Toc30401"/>
      <w:bookmarkStart w:id="110" w:name="_Toc8328"/>
      <w:bookmarkStart w:id="111" w:name="_Toc195009800"/>
      <w:r>
        <w:rPr>
          <w:rFonts w:cs="Times New Roman"/>
          <w:kern w:val="21"/>
        </w:rPr>
        <w:t>环境影响识别</w:t>
      </w:r>
      <w:bookmarkEnd w:id="109"/>
      <w:bookmarkEnd w:id="110"/>
      <w:bookmarkEnd w:id="111"/>
    </w:p>
    <w:p w14:paraId="7EED441A" w14:textId="77777777" w:rsidR="00544649" w:rsidRDefault="00000000">
      <w:pPr>
        <w:adjustRightInd w:val="0"/>
        <w:snapToGrid w:val="0"/>
        <w:spacing w:after="0"/>
        <w:ind w:firstLine="480"/>
        <w:rPr>
          <w:rFonts w:cs="Times New Roman"/>
          <w:kern w:val="21"/>
        </w:rPr>
      </w:pPr>
      <w:r>
        <w:rPr>
          <w:rFonts w:cs="Times New Roman"/>
          <w:kern w:val="21"/>
        </w:rPr>
        <w:t>在了解和分析建设项目所在区域发展规划、环境保护规划、环境功能区划、项目污染源及环境现状的基础上，分析和列出本项目的直接和间接行为，以及可能受上述行为影响的环境要素及相关参数，详见下表。</w:t>
      </w:r>
    </w:p>
    <w:p w14:paraId="6F5AA602"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lastRenderedPageBreak/>
        <w:t>环境影响因素识别表</w:t>
      </w:r>
    </w:p>
    <w:tbl>
      <w:tblPr>
        <w:tblStyle w:val="afc"/>
        <w:tblW w:w="9060" w:type="dxa"/>
        <w:jc w:val="center"/>
        <w:tblLayout w:type="fixed"/>
        <w:tblLook w:val="04A0" w:firstRow="1" w:lastRow="0" w:firstColumn="1" w:lastColumn="0" w:noHBand="0" w:noVBand="1"/>
      </w:tblPr>
      <w:tblGrid>
        <w:gridCol w:w="751"/>
        <w:gridCol w:w="873"/>
        <w:gridCol w:w="1279"/>
        <w:gridCol w:w="1308"/>
        <w:gridCol w:w="727"/>
        <w:gridCol w:w="873"/>
        <w:gridCol w:w="727"/>
        <w:gridCol w:w="873"/>
        <w:gridCol w:w="872"/>
        <w:gridCol w:w="777"/>
      </w:tblGrid>
      <w:tr w:rsidR="00544649" w14:paraId="3F1B8B73" w14:textId="77777777">
        <w:trPr>
          <w:jc w:val="center"/>
        </w:trPr>
        <w:tc>
          <w:tcPr>
            <w:tcW w:w="751" w:type="dxa"/>
            <w:vMerge w:val="restart"/>
            <w:vAlign w:val="center"/>
          </w:tcPr>
          <w:p w14:paraId="039F91A4"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评价时段</w:t>
            </w:r>
          </w:p>
        </w:tc>
        <w:tc>
          <w:tcPr>
            <w:tcW w:w="873" w:type="dxa"/>
            <w:vMerge w:val="restart"/>
            <w:vAlign w:val="center"/>
          </w:tcPr>
          <w:p w14:paraId="1BA2FE3F"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影响因素</w:t>
            </w:r>
          </w:p>
        </w:tc>
        <w:tc>
          <w:tcPr>
            <w:tcW w:w="4914" w:type="dxa"/>
            <w:gridSpan w:val="5"/>
            <w:vAlign w:val="center"/>
          </w:tcPr>
          <w:p w14:paraId="57007D2B"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自然环境</w:t>
            </w:r>
          </w:p>
        </w:tc>
        <w:tc>
          <w:tcPr>
            <w:tcW w:w="2522" w:type="dxa"/>
            <w:gridSpan w:val="3"/>
            <w:vAlign w:val="center"/>
          </w:tcPr>
          <w:p w14:paraId="48CEC2FF"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生态环境</w:t>
            </w:r>
          </w:p>
        </w:tc>
      </w:tr>
      <w:tr w:rsidR="00544649" w14:paraId="0D29BD1D" w14:textId="77777777">
        <w:trPr>
          <w:jc w:val="center"/>
        </w:trPr>
        <w:tc>
          <w:tcPr>
            <w:tcW w:w="751" w:type="dxa"/>
            <w:vMerge/>
            <w:vAlign w:val="center"/>
          </w:tcPr>
          <w:p w14:paraId="1EC19A50" w14:textId="77777777" w:rsidR="00544649" w:rsidRDefault="00544649">
            <w:pPr>
              <w:adjustRightInd w:val="0"/>
              <w:snapToGrid w:val="0"/>
              <w:spacing w:beforeLines="20" w:before="62" w:afterLines="20" w:after="62" w:line="240" w:lineRule="auto"/>
              <w:ind w:firstLineChars="0" w:firstLine="0"/>
              <w:jc w:val="center"/>
              <w:rPr>
                <w:rFonts w:cs="Times New Roman"/>
                <w:b/>
                <w:kern w:val="21"/>
                <w:sz w:val="21"/>
                <w:szCs w:val="21"/>
              </w:rPr>
            </w:pPr>
          </w:p>
        </w:tc>
        <w:tc>
          <w:tcPr>
            <w:tcW w:w="873" w:type="dxa"/>
            <w:vMerge/>
            <w:vAlign w:val="center"/>
          </w:tcPr>
          <w:p w14:paraId="0449B93F" w14:textId="77777777" w:rsidR="00544649" w:rsidRDefault="00544649">
            <w:pPr>
              <w:adjustRightInd w:val="0"/>
              <w:snapToGrid w:val="0"/>
              <w:spacing w:beforeLines="20" w:before="62" w:afterLines="20" w:after="62" w:line="240" w:lineRule="auto"/>
              <w:ind w:firstLineChars="0" w:firstLine="0"/>
              <w:jc w:val="center"/>
              <w:rPr>
                <w:rFonts w:cs="Times New Roman"/>
                <w:b/>
                <w:kern w:val="21"/>
                <w:sz w:val="21"/>
                <w:szCs w:val="21"/>
              </w:rPr>
            </w:pPr>
          </w:p>
        </w:tc>
        <w:tc>
          <w:tcPr>
            <w:tcW w:w="1279" w:type="dxa"/>
            <w:vAlign w:val="center"/>
          </w:tcPr>
          <w:p w14:paraId="1B54529F"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地表水环境</w:t>
            </w:r>
          </w:p>
        </w:tc>
        <w:tc>
          <w:tcPr>
            <w:tcW w:w="1308" w:type="dxa"/>
            <w:vAlign w:val="center"/>
          </w:tcPr>
          <w:p w14:paraId="0CF2621A"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地下水环境</w:t>
            </w:r>
          </w:p>
        </w:tc>
        <w:tc>
          <w:tcPr>
            <w:tcW w:w="727" w:type="dxa"/>
            <w:vAlign w:val="center"/>
          </w:tcPr>
          <w:p w14:paraId="49AA25BC"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大气环境</w:t>
            </w:r>
          </w:p>
        </w:tc>
        <w:tc>
          <w:tcPr>
            <w:tcW w:w="873" w:type="dxa"/>
            <w:vAlign w:val="center"/>
          </w:tcPr>
          <w:p w14:paraId="1F76702B"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声环境</w:t>
            </w:r>
          </w:p>
        </w:tc>
        <w:tc>
          <w:tcPr>
            <w:tcW w:w="727" w:type="dxa"/>
            <w:vAlign w:val="center"/>
          </w:tcPr>
          <w:p w14:paraId="1DB9F76B"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土壤环境</w:t>
            </w:r>
          </w:p>
        </w:tc>
        <w:tc>
          <w:tcPr>
            <w:tcW w:w="873" w:type="dxa"/>
            <w:vAlign w:val="center"/>
          </w:tcPr>
          <w:p w14:paraId="02557687"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陆生生物</w:t>
            </w:r>
          </w:p>
        </w:tc>
        <w:tc>
          <w:tcPr>
            <w:tcW w:w="872" w:type="dxa"/>
            <w:vAlign w:val="center"/>
          </w:tcPr>
          <w:p w14:paraId="23B0C46E"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水生生物</w:t>
            </w:r>
          </w:p>
        </w:tc>
        <w:tc>
          <w:tcPr>
            <w:tcW w:w="777" w:type="dxa"/>
            <w:vAlign w:val="center"/>
          </w:tcPr>
          <w:p w14:paraId="4F6C69F5"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hint="eastAsia"/>
                <w:b/>
                <w:kern w:val="21"/>
                <w:sz w:val="21"/>
                <w:szCs w:val="21"/>
              </w:rPr>
              <w:t>水土流水</w:t>
            </w:r>
          </w:p>
        </w:tc>
      </w:tr>
      <w:tr w:rsidR="00544649" w14:paraId="13C7CA5A" w14:textId="77777777">
        <w:trPr>
          <w:jc w:val="center"/>
        </w:trPr>
        <w:tc>
          <w:tcPr>
            <w:tcW w:w="751" w:type="dxa"/>
            <w:vMerge w:val="restart"/>
            <w:vAlign w:val="center"/>
          </w:tcPr>
          <w:p w14:paraId="1548C49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施工期</w:t>
            </w:r>
          </w:p>
        </w:tc>
        <w:tc>
          <w:tcPr>
            <w:tcW w:w="873" w:type="dxa"/>
            <w:vAlign w:val="center"/>
          </w:tcPr>
          <w:p w14:paraId="23AAEAD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施工废水</w:t>
            </w:r>
          </w:p>
        </w:tc>
        <w:tc>
          <w:tcPr>
            <w:tcW w:w="1279" w:type="dxa"/>
            <w:vAlign w:val="center"/>
          </w:tcPr>
          <w:p w14:paraId="6F00EC7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1308" w:type="dxa"/>
            <w:vAlign w:val="center"/>
          </w:tcPr>
          <w:p w14:paraId="117D46D6"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27" w:type="dxa"/>
            <w:vAlign w:val="center"/>
          </w:tcPr>
          <w:p w14:paraId="0E1347E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14BA1953"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27" w:type="dxa"/>
            <w:vAlign w:val="center"/>
          </w:tcPr>
          <w:p w14:paraId="426A45AA"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01FF73A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872" w:type="dxa"/>
            <w:vAlign w:val="center"/>
          </w:tcPr>
          <w:p w14:paraId="4004D942"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77" w:type="dxa"/>
            <w:vAlign w:val="center"/>
          </w:tcPr>
          <w:p w14:paraId="150FA20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r>
      <w:tr w:rsidR="00544649" w14:paraId="7295124E" w14:textId="77777777">
        <w:trPr>
          <w:jc w:val="center"/>
        </w:trPr>
        <w:tc>
          <w:tcPr>
            <w:tcW w:w="751" w:type="dxa"/>
            <w:vMerge/>
            <w:vAlign w:val="center"/>
          </w:tcPr>
          <w:p w14:paraId="72AA9012"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1465F74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施工扬尘</w:t>
            </w:r>
          </w:p>
        </w:tc>
        <w:tc>
          <w:tcPr>
            <w:tcW w:w="1279" w:type="dxa"/>
            <w:vAlign w:val="center"/>
          </w:tcPr>
          <w:p w14:paraId="26CC38A2"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08" w:type="dxa"/>
            <w:vAlign w:val="center"/>
          </w:tcPr>
          <w:p w14:paraId="03A5708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27" w:type="dxa"/>
            <w:vAlign w:val="center"/>
          </w:tcPr>
          <w:p w14:paraId="7CDA9E1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873" w:type="dxa"/>
            <w:vAlign w:val="center"/>
          </w:tcPr>
          <w:p w14:paraId="69EEE6C3"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27" w:type="dxa"/>
            <w:vAlign w:val="center"/>
          </w:tcPr>
          <w:p w14:paraId="0D17B8F6"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621F5AFB"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2" w:type="dxa"/>
            <w:vAlign w:val="center"/>
          </w:tcPr>
          <w:p w14:paraId="67F23010"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77" w:type="dxa"/>
            <w:vAlign w:val="center"/>
          </w:tcPr>
          <w:p w14:paraId="512AD0B2"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4C512655" w14:textId="77777777">
        <w:trPr>
          <w:jc w:val="center"/>
        </w:trPr>
        <w:tc>
          <w:tcPr>
            <w:tcW w:w="751" w:type="dxa"/>
            <w:vMerge/>
            <w:vAlign w:val="center"/>
          </w:tcPr>
          <w:p w14:paraId="5BEC2BC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0E584B6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施工噪声</w:t>
            </w:r>
          </w:p>
        </w:tc>
        <w:tc>
          <w:tcPr>
            <w:tcW w:w="1279" w:type="dxa"/>
            <w:vAlign w:val="center"/>
          </w:tcPr>
          <w:p w14:paraId="6C52A881"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08" w:type="dxa"/>
            <w:vAlign w:val="center"/>
          </w:tcPr>
          <w:p w14:paraId="3A174C22"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27" w:type="dxa"/>
            <w:vAlign w:val="center"/>
          </w:tcPr>
          <w:p w14:paraId="2AD0842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1C6A90C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727" w:type="dxa"/>
            <w:vAlign w:val="center"/>
          </w:tcPr>
          <w:p w14:paraId="3F41F0FF"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5FC74F6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872" w:type="dxa"/>
            <w:vAlign w:val="center"/>
          </w:tcPr>
          <w:p w14:paraId="7C3D6041"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77" w:type="dxa"/>
            <w:vAlign w:val="center"/>
          </w:tcPr>
          <w:p w14:paraId="59A28EE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53214674" w14:textId="77777777">
        <w:trPr>
          <w:jc w:val="center"/>
        </w:trPr>
        <w:tc>
          <w:tcPr>
            <w:tcW w:w="751" w:type="dxa"/>
            <w:vMerge/>
            <w:vAlign w:val="center"/>
          </w:tcPr>
          <w:p w14:paraId="603872BA"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7096405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施工废渣</w:t>
            </w:r>
          </w:p>
        </w:tc>
        <w:tc>
          <w:tcPr>
            <w:tcW w:w="1279" w:type="dxa"/>
            <w:vAlign w:val="center"/>
          </w:tcPr>
          <w:p w14:paraId="4F2ED2E5"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08" w:type="dxa"/>
            <w:vAlign w:val="center"/>
          </w:tcPr>
          <w:p w14:paraId="525D891C"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27" w:type="dxa"/>
            <w:vAlign w:val="center"/>
          </w:tcPr>
          <w:p w14:paraId="6961E2E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873" w:type="dxa"/>
            <w:vAlign w:val="center"/>
          </w:tcPr>
          <w:p w14:paraId="6B4B32DA"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27" w:type="dxa"/>
            <w:vAlign w:val="center"/>
          </w:tcPr>
          <w:p w14:paraId="3EEABB1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873" w:type="dxa"/>
            <w:vAlign w:val="center"/>
          </w:tcPr>
          <w:p w14:paraId="4E18891F"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2" w:type="dxa"/>
            <w:vAlign w:val="center"/>
          </w:tcPr>
          <w:p w14:paraId="1E51385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77" w:type="dxa"/>
            <w:vAlign w:val="center"/>
          </w:tcPr>
          <w:p w14:paraId="2CEB1F6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r>
      <w:tr w:rsidR="00544649" w14:paraId="435DE7B8" w14:textId="77777777">
        <w:trPr>
          <w:jc w:val="center"/>
        </w:trPr>
        <w:tc>
          <w:tcPr>
            <w:tcW w:w="751" w:type="dxa"/>
            <w:vMerge/>
            <w:vAlign w:val="center"/>
          </w:tcPr>
          <w:p w14:paraId="3E98B046"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02AF48F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生活垃圾</w:t>
            </w:r>
          </w:p>
        </w:tc>
        <w:tc>
          <w:tcPr>
            <w:tcW w:w="1279" w:type="dxa"/>
            <w:vAlign w:val="center"/>
          </w:tcPr>
          <w:p w14:paraId="199010C4"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08" w:type="dxa"/>
            <w:vAlign w:val="center"/>
          </w:tcPr>
          <w:p w14:paraId="46DFF68A"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27" w:type="dxa"/>
            <w:vAlign w:val="center"/>
          </w:tcPr>
          <w:p w14:paraId="1901D39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873" w:type="dxa"/>
            <w:vAlign w:val="center"/>
          </w:tcPr>
          <w:p w14:paraId="762012D0"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27" w:type="dxa"/>
            <w:vAlign w:val="center"/>
          </w:tcPr>
          <w:p w14:paraId="477E9B2A"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5F137FC9"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2" w:type="dxa"/>
            <w:vAlign w:val="center"/>
          </w:tcPr>
          <w:p w14:paraId="0A1A2095"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77" w:type="dxa"/>
            <w:vAlign w:val="center"/>
          </w:tcPr>
          <w:p w14:paraId="2760B073"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4A939919" w14:textId="77777777">
        <w:trPr>
          <w:jc w:val="center"/>
        </w:trPr>
        <w:tc>
          <w:tcPr>
            <w:tcW w:w="751" w:type="dxa"/>
            <w:vMerge w:val="restart"/>
            <w:vAlign w:val="center"/>
          </w:tcPr>
          <w:p w14:paraId="048F63A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运营期</w:t>
            </w:r>
          </w:p>
        </w:tc>
        <w:tc>
          <w:tcPr>
            <w:tcW w:w="873" w:type="dxa"/>
            <w:vAlign w:val="center"/>
          </w:tcPr>
          <w:p w14:paraId="0BEF918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废水排放</w:t>
            </w:r>
          </w:p>
        </w:tc>
        <w:tc>
          <w:tcPr>
            <w:tcW w:w="1279" w:type="dxa"/>
            <w:vAlign w:val="center"/>
          </w:tcPr>
          <w:p w14:paraId="00AFC6C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1308" w:type="dxa"/>
            <w:vAlign w:val="center"/>
          </w:tcPr>
          <w:p w14:paraId="7269CA7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727" w:type="dxa"/>
            <w:vAlign w:val="center"/>
          </w:tcPr>
          <w:p w14:paraId="5F88E89C"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225082AA"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27" w:type="dxa"/>
            <w:vAlign w:val="center"/>
          </w:tcPr>
          <w:p w14:paraId="05B16D0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873" w:type="dxa"/>
            <w:vAlign w:val="center"/>
          </w:tcPr>
          <w:p w14:paraId="02AF9084"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2" w:type="dxa"/>
            <w:vAlign w:val="center"/>
          </w:tcPr>
          <w:p w14:paraId="2447C091"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77" w:type="dxa"/>
            <w:vAlign w:val="center"/>
          </w:tcPr>
          <w:p w14:paraId="6FB33F6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r>
      <w:tr w:rsidR="00544649" w14:paraId="4BF6CCFC" w14:textId="77777777">
        <w:trPr>
          <w:jc w:val="center"/>
        </w:trPr>
        <w:tc>
          <w:tcPr>
            <w:tcW w:w="751" w:type="dxa"/>
            <w:vMerge/>
            <w:vAlign w:val="center"/>
          </w:tcPr>
          <w:p w14:paraId="1B652FB9"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13E4854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废气排放</w:t>
            </w:r>
          </w:p>
        </w:tc>
        <w:tc>
          <w:tcPr>
            <w:tcW w:w="1279" w:type="dxa"/>
            <w:vAlign w:val="center"/>
          </w:tcPr>
          <w:p w14:paraId="40DAC48C"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08" w:type="dxa"/>
            <w:vAlign w:val="center"/>
          </w:tcPr>
          <w:p w14:paraId="23B30614"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27" w:type="dxa"/>
            <w:vAlign w:val="center"/>
          </w:tcPr>
          <w:p w14:paraId="25FCF13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r>
              <w:rPr>
                <w:rFonts w:cs="Times New Roman" w:hint="eastAsia"/>
                <w:kern w:val="21"/>
                <w:sz w:val="21"/>
                <w:szCs w:val="21"/>
              </w:rPr>
              <w:t>1</w:t>
            </w:r>
            <w:r>
              <w:rPr>
                <w:rFonts w:cs="Times New Roman"/>
                <w:kern w:val="21"/>
                <w:sz w:val="21"/>
                <w:szCs w:val="21"/>
              </w:rPr>
              <w:t>D</w:t>
            </w:r>
          </w:p>
        </w:tc>
        <w:tc>
          <w:tcPr>
            <w:tcW w:w="873" w:type="dxa"/>
            <w:vAlign w:val="center"/>
          </w:tcPr>
          <w:p w14:paraId="73BF0E3E"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27" w:type="dxa"/>
            <w:vAlign w:val="center"/>
          </w:tcPr>
          <w:p w14:paraId="03924801"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1DE0FBF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872" w:type="dxa"/>
            <w:vAlign w:val="center"/>
          </w:tcPr>
          <w:p w14:paraId="5B3030DD"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77" w:type="dxa"/>
            <w:vAlign w:val="center"/>
          </w:tcPr>
          <w:p w14:paraId="62CF7635"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435F72CB" w14:textId="77777777">
        <w:trPr>
          <w:jc w:val="center"/>
        </w:trPr>
        <w:tc>
          <w:tcPr>
            <w:tcW w:w="751" w:type="dxa"/>
            <w:vMerge/>
            <w:vAlign w:val="center"/>
          </w:tcPr>
          <w:p w14:paraId="5622B171"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0BFE2A5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噪声排放</w:t>
            </w:r>
          </w:p>
        </w:tc>
        <w:tc>
          <w:tcPr>
            <w:tcW w:w="1279" w:type="dxa"/>
            <w:vAlign w:val="center"/>
          </w:tcPr>
          <w:p w14:paraId="30AB5A32"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08" w:type="dxa"/>
            <w:vAlign w:val="center"/>
          </w:tcPr>
          <w:p w14:paraId="38AFFD0B"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27" w:type="dxa"/>
            <w:vAlign w:val="center"/>
          </w:tcPr>
          <w:p w14:paraId="528B5068"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4598959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727" w:type="dxa"/>
            <w:vAlign w:val="center"/>
          </w:tcPr>
          <w:p w14:paraId="09AF028B"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1A0155A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872" w:type="dxa"/>
            <w:vAlign w:val="center"/>
          </w:tcPr>
          <w:p w14:paraId="4040BD1E"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77" w:type="dxa"/>
            <w:vAlign w:val="center"/>
          </w:tcPr>
          <w:p w14:paraId="0EA3F7A0"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4DE8CA46" w14:textId="77777777">
        <w:trPr>
          <w:jc w:val="center"/>
        </w:trPr>
        <w:tc>
          <w:tcPr>
            <w:tcW w:w="751" w:type="dxa"/>
            <w:vMerge/>
            <w:vAlign w:val="center"/>
          </w:tcPr>
          <w:p w14:paraId="3FC39C0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4E45A0E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固体废物</w:t>
            </w:r>
          </w:p>
        </w:tc>
        <w:tc>
          <w:tcPr>
            <w:tcW w:w="1279" w:type="dxa"/>
            <w:vAlign w:val="center"/>
          </w:tcPr>
          <w:p w14:paraId="603B322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1308" w:type="dxa"/>
            <w:vAlign w:val="center"/>
          </w:tcPr>
          <w:p w14:paraId="5A01149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727" w:type="dxa"/>
            <w:vAlign w:val="center"/>
          </w:tcPr>
          <w:p w14:paraId="76806ED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-1D</w:t>
            </w:r>
          </w:p>
        </w:tc>
        <w:tc>
          <w:tcPr>
            <w:tcW w:w="873" w:type="dxa"/>
            <w:vAlign w:val="center"/>
          </w:tcPr>
          <w:p w14:paraId="3829744B"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27" w:type="dxa"/>
            <w:vAlign w:val="center"/>
          </w:tcPr>
          <w:p w14:paraId="295F25A8"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423471A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2" w:type="dxa"/>
            <w:vAlign w:val="center"/>
          </w:tcPr>
          <w:p w14:paraId="70F8E26A"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77" w:type="dxa"/>
            <w:vAlign w:val="center"/>
          </w:tcPr>
          <w:p w14:paraId="1712F90B"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0A9331E0" w14:textId="77777777">
        <w:trPr>
          <w:jc w:val="center"/>
        </w:trPr>
        <w:tc>
          <w:tcPr>
            <w:tcW w:w="751" w:type="dxa"/>
            <w:vMerge/>
            <w:vAlign w:val="center"/>
          </w:tcPr>
          <w:p w14:paraId="76A4D0DE"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2BEDD50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事故风险</w:t>
            </w:r>
          </w:p>
        </w:tc>
        <w:tc>
          <w:tcPr>
            <w:tcW w:w="1279" w:type="dxa"/>
            <w:vAlign w:val="center"/>
          </w:tcPr>
          <w:p w14:paraId="5E1140A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-2D</w:t>
            </w:r>
          </w:p>
        </w:tc>
        <w:tc>
          <w:tcPr>
            <w:tcW w:w="1308" w:type="dxa"/>
            <w:vAlign w:val="center"/>
          </w:tcPr>
          <w:p w14:paraId="56EB51B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-3D</w:t>
            </w:r>
          </w:p>
        </w:tc>
        <w:tc>
          <w:tcPr>
            <w:tcW w:w="727" w:type="dxa"/>
            <w:vAlign w:val="center"/>
          </w:tcPr>
          <w:p w14:paraId="1CA9BE28"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36F0C99E"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27" w:type="dxa"/>
            <w:vAlign w:val="center"/>
          </w:tcPr>
          <w:p w14:paraId="4E737802"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3" w:type="dxa"/>
            <w:vAlign w:val="center"/>
          </w:tcPr>
          <w:p w14:paraId="3ECFB4C0"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872" w:type="dxa"/>
            <w:vAlign w:val="center"/>
          </w:tcPr>
          <w:p w14:paraId="4156034A"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777" w:type="dxa"/>
            <w:vAlign w:val="center"/>
          </w:tcPr>
          <w:p w14:paraId="1BC90A0C"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bl>
    <w:p w14:paraId="4BED04BD" w14:textId="77777777" w:rsidR="00544649" w:rsidRDefault="00000000">
      <w:pPr>
        <w:adjustRightInd w:val="0"/>
        <w:snapToGrid w:val="0"/>
        <w:spacing w:beforeLines="20" w:before="62" w:afterLines="20" w:after="62" w:line="240" w:lineRule="auto"/>
        <w:ind w:firstLine="422"/>
        <w:rPr>
          <w:rFonts w:cs="Times New Roman"/>
          <w:b/>
          <w:bCs/>
          <w:kern w:val="21"/>
          <w:sz w:val="21"/>
          <w:szCs w:val="21"/>
        </w:rPr>
      </w:pPr>
      <w:r>
        <w:rPr>
          <w:rFonts w:cs="Times New Roman"/>
          <w:b/>
          <w:bCs/>
          <w:kern w:val="21"/>
          <w:sz w:val="21"/>
          <w:szCs w:val="21"/>
        </w:rPr>
        <w:t>注：</w:t>
      </w:r>
      <w:r>
        <w:rPr>
          <w:rFonts w:cs="Times New Roman"/>
          <w:kern w:val="21"/>
          <w:sz w:val="21"/>
          <w:szCs w:val="21"/>
        </w:rPr>
        <w:t>-3——</w:t>
      </w:r>
      <w:r>
        <w:rPr>
          <w:rFonts w:cs="Times New Roman"/>
          <w:kern w:val="21"/>
          <w:sz w:val="21"/>
          <w:szCs w:val="21"/>
        </w:rPr>
        <w:t>重大影响，</w:t>
      </w:r>
      <w:r>
        <w:rPr>
          <w:rFonts w:cs="Times New Roman"/>
          <w:kern w:val="21"/>
          <w:sz w:val="21"/>
          <w:szCs w:val="21"/>
        </w:rPr>
        <w:t>-2——</w:t>
      </w:r>
      <w:r>
        <w:rPr>
          <w:rFonts w:cs="Times New Roman"/>
          <w:kern w:val="21"/>
          <w:sz w:val="21"/>
          <w:szCs w:val="21"/>
        </w:rPr>
        <w:t>中等影响；</w:t>
      </w:r>
      <w:r>
        <w:rPr>
          <w:rFonts w:cs="Times New Roman"/>
          <w:kern w:val="21"/>
          <w:sz w:val="21"/>
          <w:szCs w:val="21"/>
        </w:rPr>
        <w:t>-1——</w:t>
      </w:r>
      <w:r>
        <w:rPr>
          <w:rFonts w:cs="Times New Roman"/>
          <w:kern w:val="21"/>
          <w:sz w:val="21"/>
          <w:szCs w:val="21"/>
        </w:rPr>
        <w:t>轻微影响；</w:t>
      </w:r>
      <w:r>
        <w:rPr>
          <w:rFonts w:cs="Times New Roman"/>
          <w:kern w:val="21"/>
          <w:sz w:val="21"/>
          <w:szCs w:val="21"/>
        </w:rPr>
        <w:t>“+”——</w:t>
      </w:r>
      <w:r>
        <w:rPr>
          <w:rFonts w:cs="Times New Roman"/>
          <w:kern w:val="21"/>
          <w:sz w:val="21"/>
          <w:szCs w:val="21"/>
        </w:rPr>
        <w:t>表示有利影响；</w:t>
      </w:r>
      <w:r>
        <w:rPr>
          <w:rFonts w:cs="Times New Roman"/>
          <w:kern w:val="21"/>
          <w:sz w:val="21"/>
          <w:szCs w:val="21"/>
        </w:rPr>
        <w:t>“-”——</w:t>
      </w:r>
      <w:r>
        <w:rPr>
          <w:rFonts w:cs="Times New Roman"/>
          <w:kern w:val="21"/>
          <w:sz w:val="21"/>
          <w:szCs w:val="21"/>
        </w:rPr>
        <w:t>表示不利影响；</w:t>
      </w:r>
      <w:r>
        <w:rPr>
          <w:rFonts w:cs="Times New Roman"/>
          <w:kern w:val="21"/>
          <w:sz w:val="21"/>
          <w:szCs w:val="21"/>
        </w:rPr>
        <w:t>“D”</w:t>
      </w:r>
      <w:r>
        <w:rPr>
          <w:rFonts w:cs="Times New Roman"/>
          <w:kern w:val="21"/>
          <w:sz w:val="21"/>
          <w:szCs w:val="21"/>
        </w:rPr>
        <w:t>表示短期影响，空格为无影响。</w:t>
      </w:r>
    </w:p>
    <w:p w14:paraId="5EDBA07F" w14:textId="77777777" w:rsidR="00544649" w:rsidRDefault="00000000">
      <w:pPr>
        <w:pStyle w:val="3"/>
        <w:numPr>
          <w:ilvl w:val="2"/>
          <w:numId w:val="2"/>
        </w:numPr>
        <w:adjustRightInd w:val="0"/>
        <w:snapToGrid w:val="0"/>
        <w:spacing w:after="0"/>
        <w:rPr>
          <w:rFonts w:cs="Times New Roman"/>
          <w:kern w:val="21"/>
        </w:rPr>
      </w:pPr>
      <w:bookmarkStart w:id="112" w:name="_Toc17363"/>
      <w:bookmarkStart w:id="113" w:name="_Toc9789"/>
      <w:bookmarkStart w:id="114" w:name="_Toc195009801"/>
      <w:r>
        <w:rPr>
          <w:rFonts w:cs="Times New Roman"/>
          <w:kern w:val="21"/>
        </w:rPr>
        <w:t>评价因子筛选</w:t>
      </w:r>
      <w:bookmarkEnd w:id="112"/>
      <w:bookmarkEnd w:id="113"/>
      <w:bookmarkEnd w:id="114"/>
    </w:p>
    <w:p w14:paraId="2AA9202C" w14:textId="77777777" w:rsidR="00544649" w:rsidRDefault="00000000">
      <w:pPr>
        <w:adjustRightInd w:val="0"/>
        <w:snapToGrid w:val="0"/>
        <w:spacing w:after="0"/>
        <w:ind w:firstLine="480"/>
        <w:rPr>
          <w:rFonts w:cs="Times New Roman"/>
          <w:kern w:val="21"/>
          <w:szCs w:val="24"/>
        </w:rPr>
      </w:pPr>
      <w:r>
        <w:rPr>
          <w:rFonts w:cs="Times New Roman"/>
          <w:kern w:val="21"/>
          <w:szCs w:val="24"/>
        </w:rPr>
        <w:t>根据初步工程分析，本项目环境影响评价因子见下表。</w:t>
      </w:r>
    </w:p>
    <w:p w14:paraId="35441160"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评价因子一览表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152"/>
        <w:gridCol w:w="4992"/>
        <w:gridCol w:w="2278"/>
      </w:tblGrid>
      <w:tr w:rsidR="00544649" w14:paraId="287BD7E8" w14:textId="77777777">
        <w:trPr>
          <w:tblHeader/>
          <w:jc w:val="center"/>
        </w:trPr>
        <w:tc>
          <w:tcPr>
            <w:tcW w:w="638" w:type="dxa"/>
            <w:shd w:val="clear" w:color="auto" w:fill="auto"/>
            <w:vAlign w:val="center"/>
          </w:tcPr>
          <w:p w14:paraId="0F5B5E1A"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序号</w:t>
            </w:r>
          </w:p>
        </w:tc>
        <w:tc>
          <w:tcPr>
            <w:tcW w:w="1152" w:type="dxa"/>
            <w:shd w:val="clear" w:color="auto" w:fill="auto"/>
            <w:vAlign w:val="center"/>
          </w:tcPr>
          <w:p w14:paraId="3F35D733"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类别</w:t>
            </w:r>
          </w:p>
        </w:tc>
        <w:tc>
          <w:tcPr>
            <w:tcW w:w="4992" w:type="dxa"/>
            <w:shd w:val="clear" w:color="auto" w:fill="auto"/>
            <w:vAlign w:val="center"/>
          </w:tcPr>
          <w:p w14:paraId="0F8D8B82"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现状评价因子</w:t>
            </w:r>
          </w:p>
        </w:tc>
        <w:tc>
          <w:tcPr>
            <w:tcW w:w="2278" w:type="dxa"/>
            <w:shd w:val="clear" w:color="auto" w:fill="auto"/>
            <w:vAlign w:val="center"/>
          </w:tcPr>
          <w:p w14:paraId="442DB4BF"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影响预测因子</w:t>
            </w:r>
          </w:p>
        </w:tc>
      </w:tr>
      <w:tr w:rsidR="00544649" w14:paraId="480B77F1" w14:textId="77777777">
        <w:trPr>
          <w:trHeight w:val="90"/>
          <w:jc w:val="center"/>
        </w:trPr>
        <w:tc>
          <w:tcPr>
            <w:tcW w:w="638" w:type="dxa"/>
            <w:shd w:val="clear" w:color="auto" w:fill="auto"/>
            <w:vAlign w:val="center"/>
          </w:tcPr>
          <w:p w14:paraId="3216B4ED"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1</w:t>
            </w:r>
          </w:p>
        </w:tc>
        <w:tc>
          <w:tcPr>
            <w:tcW w:w="1152" w:type="dxa"/>
            <w:shd w:val="clear" w:color="auto" w:fill="auto"/>
            <w:vAlign w:val="center"/>
          </w:tcPr>
          <w:p w14:paraId="2C27B32D"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环境空气</w:t>
            </w:r>
          </w:p>
        </w:tc>
        <w:tc>
          <w:tcPr>
            <w:tcW w:w="4992" w:type="dxa"/>
            <w:shd w:val="clear" w:color="auto" w:fill="auto"/>
            <w:vAlign w:val="center"/>
          </w:tcPr>
          <w:p w14:paraId="0A119F57"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基本因子：</w:t>
            </w:r>
            <w:r>
              <w:rPr>
                <w:rFonts w:cs="Times New Roman"/>
                <w:bCs/>
                <w:kern w:val="21"/>
                <w:sz w:val="21"/>
                <w:szCs w:val="21"/>
              </w:rPr>
              <w:t>SO</w:t>
            </w:r>
            <w:r>
              <w:rPr>
                <w:rFonts w:cs="Times New Roman"/>
                <w:bCs/>
                <w:kern w:val="21"/>
                <w:sz w:val="21"/>
                <w:szCs w:val="21"/>
                <w:vertAlign w:val="subscript"/>
              </w:rPr>
              <w:t>2</w:t>
            </w:r>
            <w:r>
              <w:rPr>
                <w:rFonts w:cs="Times New Roman"/>
                <w:bCs/>
                <w:kern w:val="21"/>
                <w:sz w:val="21"/>
                <w:szCs w:val="21"/>
              </w:rPr>
              <w:t>、</w:t>
            </w:r>
            <w:r>
              <w:rPr>
                <w:rFonts w:cs="Times New Roman"/>
                <w:bCs/>
                <w:kern w:val="21"/>
                <w:sz w:val="21"/>
                <w:szCs w:val="21"/>
              </w:rPr>
              <w:t>NO</w:t>
            </w:r>
            <w:r>
              <w:rPr>
                <w:rFonts w:cs="Times New Roman"/>
                <w:bCs/>
                <w:kern w:val="21"/>
                <w:sz w:val="21"/>
                <w:szCs w:val="21"/>
                <w:vertAlign w:val="subscript"/>
              </w:rPr>
              <w:t>2</w:t>
            </w:r>
            <w:r>
              <w:rPr>
                <w:rFonts w:cs="Times New Roman"/>
                <w:bCs/>
                <w:kern w:val="21"/>
                <w:sz w:val="21"/>
                <w:szCs w:val="21"/>
              </w:rPr>
              <w:t>、</w:t>
            </w:r>
            <w:r>
              <w:rPr>
                <w:rFonts w:cs="Times New Roman"/>
                <w:bCs/>
                <w:kern w:val="21"/>
                <w:sz w:val="21"/>
                <w:szCs w:val="21"/>
              </w:rPr>
              <w:t>CO</w:t>
            </w:r>
            <w:r>
              <w:rPr>
                <w:rFonts w:cs="Times New Roman"/>
                <w:bCs/>
                <w:kern w:val="21"/>
                <w:sz w:val="21"/>
                <w:szCs w:val="21"/>
              </w:rPr>
              <w:t>、</w:t>
            </w:r>
            <w:r>
              <w:rPr>
                <w:rFonts w:cs="Times New Roman"/>
                <w:bCs/>
                <w:kern w:val="21"/>
                <w:sz w:val="21"/>
                <w:szCs w:val="21"/>
              </w:rPr>
              <w:t>O</w:t>
            </w:r>
            <w:r>
              <w:rPr>
                <w:rFonts w:cs="Times New Roman"/>
                <w:bCs/>
                <w:kern w:val="21"/>
                <w:sz w:val="21"/>
                <w:szCs w:val="21"/>
                <w:vertAlign w:val="subscript"/>
              </w:rPr>
              <w:t>3</w:t>
            </w:r>
            <w:r>
              <w:rPr>
                <w:rFonts w:cs="Times New Roman"/>
                <w:bCs/>
                <w:kern w:val="21"/>
                <w:sz w:val="21"/>
                <w:szCs w:val="21"/>
              </w:rPr>
              <w:t>、</w:t>
            </w:r>
            <w:r>
              <w:rPr>
                <w:rFonts w:cs="Times New Roman"/>
                <w:bCs/>
                <w:kern w:val="21"/>
                <w:sz w:val="21"/>
                <w:szCs w:val="21"/>
              </w:rPr>
              <w:t>PM</w:t>
            </w:r>
            <w:r>
              <w:rPr>
                <w:rFonts w:cs="Times New Roman"/>
                <w:bCs/>
                <w:kern w:val="21"/>
                <w:sz w:val="21"/>
                <w:szCs w:val="21"/>
                <w:vertAlign w:val="subscript"/>
              </w:rPr>
              <w:t>10</w:t>
            </w:r>
            <w:r>
              <w:rPr>
                <w:rFonts w:cs="Times New Roman"/>
                <w:bCs/>
                <w:kern w:val="21"/>
                <w:sz w:val="21"/>
                <w:szCs w:val="21"/>
              </w:rPr>
              <w:t>、</w:t>
            </w:r>
            <w:r>
              <w:rPr>
                <w:rFonts w:cs="Times New Roman"/>
                <w:bCs/>
                <w:kern w:val="21"/>
                <w:sz w:val="21"/>
                <w:szCs w:val="21"/>
              </w:rPr>
              <w:t>PM</w:t>
            </w:r>
            <w:r>
              <w:rPr>
                <w:rFonts w:cs="Times New Roman"/>
                <w:bCs/>
                <w:kern w:val="21"/>
                <w:sz w:val="21"/>
                <w:szCs w:val="21"/>
                <w:vertAlign w:val="subscript"/>
              </w:rPr>
              <w:t>2.5</w:t>
            </w:r>
            <w:r>
              <w:rPr>
                <w:rFonts w:cs="Times New Roman"/>
                <w:bCs/>
                <w:kern w:val="21"/>
                <w:sz w:val="21"/>
                <w:szCs w:val="21"/>
              </w:rPr>
              <w:t>；</w:t>
            </w:r>
          </w:p>
          <w:p w14:paraId="611A85D9"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特征因子：氨、硫化氢</w:t>
            </w:r>
            <w:r>
              <w:rPr>
                <w:rFonts w:cs="Times New Roman" w:hint="eastAsia"/>
                <w:bCs/>
                <w:kern w:val="21"/>
                <w:sz w:val="21"/>
                <w:szCs w:val="21"/>
              </w:rPr>
              <w:t>、臭气浓度</w:t>
            </w:r>
          </w:p>
        </w:tc>
        <w:tc>
          <w:tcPr>
            <w:tcW w:w="2278" w:type="dxa"/>
            <w:shd w:val="clear" w:color="auto" w:fill="auto"/>
            <w:vAlign w:val="center"/>
          </w:tcPr>
          <w:p w14:paraId="518DCD58"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hint="eastAsia"/>
                <w:bCs/>
                <w:kern w:val="21"/>
                <w:sz w:val="21"/>
                <w:szCs w:val="21"/>
              </w:rPr>
              <w:t>二氧化硫、氮氧化物、</w:t>
            </w:r>
            <w:r>
              <w:rPr>
                <w:rFonts w:cs="Times New Roman" w:hint="eastAsia"/>
                <w:bCs/>
                <w:kern w:val="21"/>
                <w:sz w:val="21"/>
                <w:szCs w:val="21"/>
              </w:rPr>
              <w:t>PM</w:t>
            </w:r>
            <w:r>
              <w:rPr>
                <w:rFonts w:cs="Times New Roman" w:hint="eastAsia"/>
                <w:bCs/>
                <w:kern w:val="21"/>
                <w:sz w:val="21"/>
                <w:szCs w:val="21"/>
                <w:vertAlign w:val="subscript"/>
              </w:rPr>
              <w:t>10</w:t>
            </w:r>
            <w:r>
              <w:rPr>
                <w:rFonts w:cs="Times New Roman" w:hint="eastAsia"/>
                <w:bCs/>
                <w:kern w:val="21"/>
                <w:sz w:val="21"/>
                <w:szCs w:val="21"/>
              </w:rPr>
              <w:t>、</w:t>
            </w:r>
            <w:r>
              <w:rPr>
                <w:rFonts w:cs="Times New Roman"/>
                <w:bCs/>
                <w:kern w:val="21"/>
                <w:sz w:val="21"/>
                <w:szCs w:val="21"/>
              </w:rPr>
              <w:t>氨、硫化氢</w:t>
            </w:r>
          </w:p>
        </w:tc>
      </w:tr>
      <w:tr w:rsidR="00544649" w14:paraId="79DA2D34" w14:textId="77777777">
        <w:trPr>
          <w:trHeight w:val="336"/>
          <w:jc w:val="center"/>
        </w:trPr>
        <w:tc>
          <w:tcPr>
            <w:tcW w:w="638" w:type="dxa"/>
            <w:shd w:val="clear" w:color="auto" w:fill="auto"/>
            <w:vAlign w:val="center"/>
          </w:tcPr>
          <w:p w14:paraId="7B05439F"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2</w:t>
            </w:r>
          </w:p>
        </w:tc>
        <w:tc>
          <w:tcPr>
            <w:tcW w:w="1152" w:type="dxa"/>
            <w:shd w:val="clear" w:color="auto" w:fill="auto"/>
            <w:vAlign w:val="center"/>
          </w:tcPr>
          <w:p w14:paraId="14001A42"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地表水</w:t>
            </w:r>
          </w:p>
        </w:tc>
        <w:tc>
          <w:tcPr>
            <w:tcW w:w="4992" w:type="dxa"/>
            <w:shd w:val="clear" w:color="auto" w:fill="auto"/>
            <w:vAlign w:val="center"/>
          </w:tcPr>
          <w:p w14:paraId="62FC143D"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水温、</w:t>
            </w:r>
            <w:r>
              <w:rPr>
                <w:rFonts w:cs="Times New Roman"/>
                <w:bCs/>
                <w:kern w:val="21"/>
                <w:sz w:val="21"/>
                <w:szCs w:val="21"/>
              </w:rPr>
              <w:t>pH</w:t>
            </w:r>
            <w:r>
              <w:rPr>
                <w:rFonts w:cs="Times New Roman"/>
                <w:bCs/>
                <w:kern w:val="21"/>
                <w:sz w:val="21"/>
                <w:szCs w:val="21"/>
              </w:rPr>
              <w:t>、化学需氧量、五日生化需氧量、氨氮、总磷、</w:t>
            </w:r>
            <w:r>
              <w:rPr>
                <w:rFonts w:cs="Times New Roman"/>
                <w:bCs/>
                <w:kern w:val="21"/>
                <w:sz w:val="21"/>
                <w:szCs w:val="21"/>
              </w:rPr>
              <w:t>SS</w:t>
            </w:r>
          </w:p>
        </w:tc>
        <w:tc>
          <w:tcPr>
            <w:tcW w:w="2278" w:type="dxa"/>
            <w:shd w:val="clear" w:color="auto" w:fill="auto"/>
            <w:vAlign w:val="center"/>
          </w:tcPr>
          <w:p w14:paraId="7BA16630"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w:t>
            </w:r>
          </w:p>
        </w:tc>
      </w:tr>
      <w:tr w:rsidR="00544649" w14:paraId="50462C6B" w14:textId="77777777">
        <w:trPr>
          <w:trHeight w:val="641"/>
          <w:jc w:val="center"/>
        </w:trPr>
        <w:tc>
          <w:tcPr>
            <w:tcW w:w="638" w:type="dxa"/>
            <w:shd w:val="clear" w:color="auto" w:fill="auto"/>
            <w:vAlign w:val="center"/>
          </w:tcPr>
          <w:p w14:paraId="42052824"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3</w:t>
            </w:r>
          </w:p>
        </w:tc>
        <w:tc>
          <w:tcPr>
            <w:tcW w:w="1152" w:type="dxa"/>
            <w:shd w:val="clear" w:color="auto" w:fill="auto"/>
            <w:vAlign w:val="center"/>
          </w:tcPr>
          <w:p w14:paraId="5AE1B77B"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地下水</w:t>
            </w:r>
          </w:p>
        </w:tc>
        <w:tc>
          <w:tcPr>
            <w:tcW w:w="4992" w:type="dxa"/>
            <w:shd w:val="clear" w:color="auto" w:fill="auto"/>
            <w:vAlign w:val="center"/>
          </w:tcPr>
          <w:p w14:paraId="2048D1B0"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kern w:val="21"/>
                <w:sz w:val="21"/>
                <w:szCs w:val="21"/>
              </w:rPr>
              <w:t>K</w:t>
            </w:r>
            <w:r>
              <w:rPr>
                <w:rFonts w:cs="Times New Roman"/>
                <w:kern w:val="21"/>
                <w:sz w:val="21"/>
                <w:szCs w:val="21"/>
                <w:vertAlign w:val="superscript"/>
              </w:rPr>
              <w:t>+</w:t>
            </w:r>
            <w:r>
              <w:rPr>
                <w:rFonts w:cs="Times New Roman"/>
                <w:kern w:val="21"/>
                <w:sz w:val="21"/>
                <w:szCs w:val="21"/>
              </w:rPr>
              <w:t>、</w:t>
            </w:r>
            <w:r>
              <w:rPr>
                <w:rFonts w:cs="Times New Roman"/>
                <w:kern w:val="21"/>
                <w:sz w:val="21"/>
                <w:szCs w:val="21"/>
              </w:rPr>
              <w:t>Na</w:t>
            </w:r>
            <w:r>
              <w:rPr>
                <w:rFonts w:cs="Times New Roman"/>
                <w:kern w:val="21"/>
                <w:sz w:val="21"/>
                <w:szCs w:val="21"/>
                <w:vertAlign w:val="superscript"/>
              </w:rPr>
              <w:t>+</w:t>
            </w:r>
            <w:r>
              <w:rPr>
                <w:rFonts w:cs="Times New Roman"/>
                <w:kern w:val="21"/>
                <w:sz w:val="21"/>
                <w:szCs w:val="21"/>
              </w:rPr>
              <w:t>、</w:t>
            </w:r>
            <w:r>
              <w:rPr>
                <w:rFonts w:cs="Times New Roman"/>
                <w:kern w:val="21"/>
                <w:sz w:val="21"/>
                <w:szCs w:val="21"/>
              </w:rPr>
              <w:t>Ca</w:t>
            </w:r>
            <w:r>
              <w:rPr>
                <w:rFonts w:cs="Times New Roman"/>
                <w:kern w:val="21"/>
                <w:sz w:val="21"/>
                <w:szCs w:val="21"/>
                <w:vertAlign w:val="superscript"/>
              </w:rPr>
              <w:t>2+</w:t>
            </w:r>
            <w:r>
              <w:rPr>
                <w:rFonts w:cs="Times New Roman"/>
                <w:kern w:val="21"/>
                <w:sz w:val="21"/>
                <w:szCs w:val="21"/>
              </w:rPr>
              <w:t>、</w:t>
            </w:r>
            <w:r>
              <w:rPr>
                <w:rFonts w:cs="Times New Roman"/>
                <w:kern w:val="21"/>
                <w:sz w:val="21"/>
                <w:szCs w:val="21"/>
              </w:rPr>
              <w:t>Mg</w:t>
            </w:r>
            <w:r>
              <w:rPr>
                <w:rFonts w:cs="Times New Roman"/>
                <w:kern w:val="21"/>
                <w:sz w:val="21"/>
                <w:szCs w:val="21"/>
                <w:vertAlign w:val="superscript"/>
              </w:rPr>
              <w:t>2+</w:t>
            </w:r>
            <w:r>
              <w:rPr>
                <w:rFonts w:cs="Times New Roman"/>
                <w:kern w:val="21"/>
                <w:sz w:val="21"/>
                <w:szCs w:val="21"/>
              </w:rPr>
              <w:t>、</w:t>
            </w:r>
            <w:r>
              <w:rPr>
                <w:rFonts w:cs="Times New Roman"/>
                <w:kern w:val="21"/>
                <w:sz w:val="21"/>
                <w:szCs w:val="21"/>
              </w:rPr>
              <w:t>CO</w:t>
            </w:r>
            <w:r>
              <w:rPr>
                <w:rFonts w:cs="Times New Roman"/>
                <w:kern w:val="21"/>
                <w:sz w:val="21"/>
                <w:szCs w:val="21"/>
                <w:vertAlign w:val="subscript"/>
              </w:rPr>
              <w:t>3</w:t>
            </w:r>
            <w:r>
              <w:rPr>
                <w:rFonts w:cs="Times New Roman"/>
                <w:kern w:val="21"/>
                <w:sz w:val="21"/>
                <w:szCs w:val="21"/>
                <w:vertAlign w:val="superscript"/>
              </w:rPr>
              <w:t>2-</w:t>
            </w:r>
            <w:r>
              <w:rPr>
                <w:rFonts w:cs="Times New Roman"/>
                <w:kern w:val="21"/>
                <w:sz w:val="21"/>
                <w:szCs w:val="21"/>
              </w:rPr>
              <w:t>、</w:t>
            </w:r>
            <w:r>
              <w:rPr>
                <w:rFonts w:cs="Times New Roman"/>
                <w:kern w:val="21"/>
                <w:sz w:val="21"/>
                <w:szCs w:val="21"/>
              </w:rPr>
              <w:t>HCO</w:t>
            </w:r>
            <w:r>
              <w:rPr>
                <w:rFonts w:cs="Times New Roman"/>
                <w:kern w:val="21"/>
                <w:sz w:val="21"/>
                <w:szCs w:val="21"/>
                <w:vertAlign w:val="subscript"/>
              </w:rPr>
              <w:t>3</w:t>
            </w:r>
            <w:r>
              <w:rPr>
                <w:rFonts w:cs="Times New Roman"/>
                <w:kern w:val="21"/>
                <w:sz w:val="21"/>
                <w:szCs w:val="21"/>
                <w:vertAlign w:val="superscript"/>
              </w:rPr>
              <w:t>-</w:t>
            </w:r>
            <w:r>
              <w:rPr>
                <w:rFonts w:cs="Times New Roman"/>
                <w:kern w:val="21"/>
                <w:sz w:val="21"/>
                <w:szCs w:val="21"/>
              </w:rPr>
              <w:t>、</w:t>
            </w:r>
            <w:r>
              <w:rPr>
                <w:rFonts w:cs="Times New Roman"/>
                <w:kern w:val="21"/>
                <w:sz w:val="21"/>
                <w:szCs w:val="21"/>
              </w:rPr>
              <w:t>Cl</w:t>
            </w:r>
            <w:r>
              <w:rPr>
                <w:rFonts w:cs="Times New Roman"/>
                <w:kern w:val="21"/>
                <w:sz w:val="21"/>
                <w:szCs w:val="21"/>
                <w:vertAlign w:val="superscript"/>
              </w:rPr>
              <w:t>-</w:t>
            </w:r>
            <w:r>
              <w:rPr>
                <w:rFonts w:cs="Times New Roman"/>
                <w:kern w:val="21"/>
                <w:sz w:val="21"/>
                <w:szCs w:val="21"/>
              </w:rPr>
              <w:t>、</w:t>
            </w:r>
            <w:r>
              <w:rPr>
                <w:rFonts w:cs="Times New Roman"/>
                <w:kern w:val="21"/>
                <w:sz w:val="21"/>
                <w:szCs w:val="21"/>
              </w:rPr>
              <w:t>SO</w:t>
            </w:r>
            <w:r>
              <w:rPr>
                <w:rFonts w:cs="Times New Roman"/>
                <w:kern w:val="21"/>
                <w:sz w:val="21"/>
                <w:szCs w:val="21"/>
                <w:vertAlign w:val="subscript"/>
              </w:rPr>
              <w:t>4</w:t>
            </w:r>
            <w:r>
              <w:rPr>
                <w:rFonts w:cs="Times New Roman"/>
                <w:kern w:val="21"/>
                <w:sz w:val="21"/>
                <w:szCs w:val="21"/>
                <w:vertAlign w:val="superscript"/>
              </w:rPr>
              <w:t>2-</w:t>
            </w:r>
            <w:r>
              <w:rPr>
                <w:rFonts w:cs="Times New Roman"/>
                <w:kern w:val="21"/>
                <w:sz w:val="21"/>
                <w:szCs w:val="21"/>
              </w:rPr>
              <w:t>浓度、</w:t>
            </w:r>
            <w:r>
              <w:rPr>
                <w:rFonts w:cs="Times New Roman"/>
                <w:kern w:val="21"/>
                <w:sz w:val="21"/>
                <w:szCs w:val="21"/>
              </w:rPr>
              <w:t>pH</w:t>
            </w:r>
            <w:r>
              <w:rPr>
                <w:rFonts w:cs="Times New Roman"/>
                <w:kern w:val="21"/>
                <w:sz w:val="21"/>
                <w:szCs w:val="21"/>
              </w:rPr>
              <w:t>、氨氮、硝酸盐、总硬度、亚硝酸盐、溶解性总固体、耗氧量、总大肠菌群</w:t>
            </w:r>
          </w:p>
        </w:tc>
        <w:tc>
          <w:tcPr>
            <w:tcW w:w="2278" w:type="dxa"/>
            <w:shd w:val="clear" w:color="auto" w:fill="auto"/>
            <w:vAlign w:val="center"/>
          </w:tcPr>
          <w:p w14:paraId="24A104E9"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COD</w:t>
            </w:r>
            <w:r>
              <w:rPr>
                <w:rFonts w:cs="Times New Roman"/>
                <w:bCs/>
                <w:kern w:val="21"/>
                <w:sz w:val="21"/>
                <w:szCs w:val="21"/>
              </w:rPr>
              <w:t>、氨氮</w:t>
            </w:r>
          </w:p>
        </w:tc>
      </w:tr>
      <w:tr w:rsidR="00544649" w14:paraId="17D41BBD" w14:textId="77777777">
        <w:trPr>
          <w:trHeight w:val="90"/>
          <w:jc w:val="center"/>
        </w:trPr>
        <w:tc>
          <w:tcPr>
            <w:tcW w:w="638" w:type="dxa"/>
            <w:shd w:val="clear" w:color="auto" w:fill="auto"/>
            <w:vAlign w:val="center"/>
          </w:tcPr>
          <w:p w14:paraId="2F22F38B"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4</w:t>
            </w:r>
          </w:p>
        </w:tc>
        <w:tc>
          <w:tcPr>
            <w:tcW w:w="1152" w:type="dxa"/>
            <w:shd w:val="clear" w:color="auto" w:fill="auto"/>
            <w:vAlign w:val="center"/>
          </w:tcPr>
          <w:p w14:paraId="6AE5D9D6"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声环境</w:t>
            </w:r>
          </w:p>
        </w:tc>
        <w:tc>
          <w:tcPr>
            <w:tcW w:w="4992" w:type="dxa"/>
            <w:shd w:val="clear" w:color="auto" w:fill="auto"/>
            <w:vAlign w:val="center"/>
          </w:tcPr>
          <w:p w14:paraId="0EE2C561"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等效连续</w:t>
            </w:r>
            <w:r>
              <w:rPr>
                <w:rFonts w:cs="Times New Roman"/>
                <w:bCs/>
                <w:kern w:val="21"/>
                <w:sz w:val="21"/>
                <w:szCs w:val="21"/>
              </w:rPr>
              <w:t>A</w:t>
            </w:r>
            <w:r>
              <w:rPr>
                <w:rFonts w:cs="Times New Roman"/>
                <w:bCs/>
                <w:kern w:val="21"/>
                <w:sz w:val="21"/>
                <w:szCs w:val="21"/>
              </w:rPr>
              <w:t>声级</w:t>
            </w:r>
          </w:p>
        </w:tc>
        <w:tc>
          <w:tcPr>
            <w:tcW w:w="2278" w:type="dxa"/>
            <w:shd w:val="clear" w:color="auto" w:fill="auto"/>
            <w:vAlign w:val="center"/>
          </w:tcPr>
          <w:p w14:paraId="2CBADD9A"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等效连续</w:t>
            </w:r>
            <w:r>
              <w:rPr>
                <w:rFonts w:cs="Times New Roman"/>
                <w:bCs/>
                <w:kern w:val="21"/>
                <w:sz w:val="21"/>
                <w:szCs w:val="21"/>
              </w:rPr>
              <w:t>A</w:t>
            </w:r>
            <w:r>
              <w:rPr>
                <w:rFonts w:cs="Times New Roman"/>
                <w:bCs/>
                <w:kern w:val="21"/>
                <w:sz w:val="21"/>
                <w:szCs w:val="21"/>
              </w:rPr>
              <w:t>声级</w:t>
            </w:r>
          </w:p>
        </w:tc>
      </w:tr>
      <w:tr w:rsidR="00544649" w14:paraId="7277EFDC" w14:textId="77777777">
        <w:trPr>
          <w:trHeight w:val="90"/>
          <w:jc w:val="center"/>
        </w:trPr>
        <w:tc>
          <w:tcPr>
            <w:tcW w:w="638" w:type="dxa"/>
            <w:shd w:val="clear" w:color="auto" w:fill="auto"/>
            <w:vAlign w:val="center"/>
          </w:tcPr>
          <w:p w14:paraId="3F38DD61"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5</w:t>
            </w:r>
          </w:p>
        </w:tc>
        <w:tc>
          <w:tcPr>
            <w:tcW w:w="1152" w:type="dxa"/>
            <w:shd w:val="clear" w:color="auto" w:fill="auto"/>
            <w:vAlign w:val="center"/>
          </w:tcPr>
          <w:p w14:paraId="0391A32A"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环境风险</w:t>
            </w:r>
          </w:p>
        </w:tc>
        <w:tc>
          <w:tcPr>
            <w:tcW w:w="4992" w:type="dxa"/>
            <w:shd w:val="clear" w:color="auto" w:fill="auto"/>
            <w:vAlign w:val="center"/>
          </w:tcPr>
          <w:p w14:paraId="052D3C55"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柴油</w:t>
            </w:r>
            <w:r>
              <w:rPr>
                <w:rStyle w:val="aff"/>
                <w:rFonts w:cs="Times New Roman"/>
                <w:kern w:val="21"/>
              </w:rPr>
              <w:t>、药品</w:t>
            </w:r>
          </w:p>
        </w:tc>
        <w:tc>
          <w:tcPr>
            <w:tcW w:w="2278" w:type="dxa"/>
            <w:shd w:val="clear" w:color="auto" w:fill="auto"/>
            <w:vAlign w:val="center"/>
          </w:tcPr>
          <w:p w14:paraId="33703397"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柴油泄漏、药品泄漏</w:t>
            </w:r>
          </w:p>
        </w:tc>
      </w:tr>
      <w:tr w:rsidR="00544649" w14:paraId="6FE474F3" w14:textId="77777777">
        <w:trPr>
          <w:trHeight w:val="90"/>
          <w:jc w:val="center"/>
        </w:trPr>
        <w:tc>
          <w:tcPr>
            <w:tcW w:w="638" w:type="dxa"/>
            <w:shd w:val="clear" w:color="auto" w:fill="auto"/>
            <w:vAlign w:val="center"/>
          </w:tcPr>
          <w:p w14:paraId="7E39BA1D"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hint="eastAsia"/>
                <w:bCs/>
                <w:kern w:val="21"/>
                <w:sz w:val="21"/>
                <w:szCs w:val="21"/>
              </w:rPr>
              <w:lastRenderedPageBreak/>
              <w:t>6</w:t>
            </w:r>
          </w:p>
        </w:tc>
        <w:tc>
          <w:tcPr>
            <w:tcW w:w="1152" w:type="dxa"/>
            <w:shd w:val="clear" w:color="auto" w:fill="auto"/>
            <w:vAlign w:val="center"/>
          </w:tcPr>
          <w:p w14:paraId="07A5D9A8"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hint="eastAsia"/>
                <w:bCs/>
                <w:kern w:val="21"/>
                <w:sz w:val="21"/>
                <w:szCs w:val="21"/>
              </w:rPr>
              <w:t>土壤</w:t>
            </w:r>
          </w:p>
        </w:tc>
        <w:tc>
          <w:tcPr>
            <w:tcW w:w="4992" w:type="dxa"/>
            <w:shd w:val="clear" w:color="auto" w:fill="auto"/>
            <w:vAlign w:val="center"/>
          </w:tcPr>
          <w:p w14:paraId="009BC3E6"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hint="eastAsia"/>
                <w:bCs/>
                <w:kern w:val="21"/>
                <w:sz w:val="21"/>
                <w:szCs w:val="21"/>
              </w:rPr>
              <w:t>镉、汞、砷、铅、铬、铜、镍、锌、</w:t>
            </w:r>
            <w:r>
              <w:rPr>
                <w:rFonts w:cs="Times New Roman" w:hint="eastAsia"/>
                <w:bCs/>
                <w:kern w:val="21"/>
                <w:sz w:val="21"/>
                <w:szCs w:val="21"/>
              </w:rPr>
              <w:t>pH</w:t>
            </w:r>
            <w:r>
              <w:rPr>
                <w:rFonts w:cs="Times New Roman" w:hint="eastAsia"/>
                <w:bCs/>
                <w:kern w:val="21"/>
                <w:sz w:val="21"/>
                <w:szCs w:val="21"/>
              </w:rPr>
              <w:t>、石油烃</w:t>
            </w:r>
          </w:p>
        </w:tc>
        <w:tc>
          <w:tcPr>
            <w:tcW w:w="2278" w:type="dxa"/>
            <w:shd w:val="clear" w:color="auto" w:fill="auto"/>
            <w:vAlign w:val="center"/>
          </w:tcPr>
          <w:p w14:paraId="72B6F511"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hint="eastAsia"/>
                <w:bCs/>
                <w:kern w:val="21"/>
                <w:sz w:val="21"/>
                <w:szCs w:val="21"/>
              </w:rPr>
              <w:t>/</w:t>
            </w:r>
          </w:p>
        </w:tc>
      </w:tr>
    </w:tbl>
    <w:p w14:paraId="2A6789B0" w14:textId="77777777" w:rsidR="00544649" w:rsidRDefault="00000000">
      <w:pPr>
        <w:pStyle w:val="2"/>
        <w:numPr>
          <w:ilvl w:val="1"/>
          <w:numId w:val="2"/>
        </w:numPr>
        <w:adjustRightInd w:val="0"/>
        <w:snapToGrid w:val="0"/>
        <w:spacing w:after="0"/>
        <w:rPr>
          <w:rFonts w:cs="Times New Roman"/>
          <w:kern w:val="21"/>
        </w:rPr>
      </w:pPr>
      <w:bookmarkStart w:id="115" w:name="_Toc22232"/>
      <w:bookmarkStart w:id="116" w:name="_Toc13189"/>
      <w:bookmarkStart w:id="117" w:name="_Toc195009802"/>
      <w:r>
        <w:rPr>
          <w:rFonts w:cs="Times New Roman"/>
          <w:kern w:val="21"/>
        </w:rPr>
        <w:t>评价标准</w:t>
      </w:r>
      <w:bookmarkEnd w:id="115"/>
      <w:bookmarkEnd w:id="116"/>
      <w:bookmarkEnd w:id="117"/>
    </w:p>
    <w:p w14:paraId="6119DEB5" w14:textId="77777777" w:rsidR="00544649" w:rsidRDefault="00000000">
      <w:pPr>
        <w:pStyle w:val="3"/>
        <w:numPr>
          <w:ilvl w:val="2"/>
          <w:numId w:val="2"/>
        </w:numPr>
        <w:adjustRightInd w:val="0"/>
        <w:snapToGrid w:val="0"/>
        <w:spacing w:after="0"/>
        <w:rPr>
          <w:rFonts w:cs="Times New Roman"/>
          <w:kern w:val="21"/>
        </w:rPr>
      </w:pPr>
      <w:bookmarkStart w:id="118" w:name="_Toc775"/>
      <w:bookmarkStart w:id="119" w:name="_Toc18404"/>
      <w:bookmarkStart w:id="120" w:name="_Toc195009803"/>
      <w:r>
        <w:rPr>
          <w:rFonts w:cs="Times New Roman"/>
          <w:kern w:val="21"/>
        </w:rPr>
        <w:t>环境功能区划</w:t>
      </w:r>
      <w:bookmarkEnd w:id="118"/>
      <w:bookmarkEnd w:id="119"/>
      <w:bookmarkEnd w:id="120"/>
    </w:p>
    <w:p w14:paraId="3881A151" w14:textId="77777777" w:rsidR="00544649" w:rsidRDefault="00000000">
      <w:pPr>
        <w:adjustRightInd w:val="0"/>
        <w:snapToGrid w:val="0"/>
        <w:spacing w:after="0"/>
        <w:ind w:firstLine="480"/>
        <w:rPr>
          <w:rFonts w:cs="Times New Roman"/>
          <w:kern w:val="21"/>
          <w:szCs w:val="24"/>
        </w:rPr>
      </w:pPr>
      <w:r>
        <w:rPr>
          <w:rFonts w:cs="Times New Roman"/>
          <w:kern w:val="21"/>
          <w:szCs w:val="24"/>
        </w:rPr>
        <w:t>根据四川省地方有关环境功能区划要求，拟建项目的环境功能</w:t>
      </w:r>
      <w:proofErr w:type="gramStart"/>
      <w:r>
        <w:rPr>
          <w:rFonts w:cs="Times New Roman"/>
          <w:kern w:val="21"/>
          <w:szCs w:val="24"/>
        </w:rPr>
        <w:t>区划见</w:t>
      </w:r>
      <w:proofErr w:type="gramEnd"/>
      <w:r>
        <w:rPr>
          <w:rFonts w:cs="Times New Roman"/>
          <w:kern w:val="21"/>
          <w:szCs w:val="24"/>
        </w:rPr>
        <w:t>下表。</w:t>
      </w:r>
    </w:p>
    <w:p w14:paraId="601678EA"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项目所在区域环境功能区划一览表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142"/>
        <w:gridCol w:w="1305"/>
        <w:gridCol w:w="5967"/>
      </w:tblGrid>
      <w:tr w:rsidR="00544649" w14:paraId="1AFC61A5" w14:textId="77777777">
        <w:trPr>
          <w:trHeight w:val="20"/>
          <w:tblHeader/>
          <w:jc w:val="center"/>
        </w:trPr>
        <w:tc>
          <w:tcPr>
            <w:tcW w:w="646" w:type="dxa"/>
            <w:shd w:val="clear" w:color="auto" w:fill="auto"/>
            <w:vAlign w:val="center"/>
          </w:tcPr>
          <w:p w14:paraId="592996B4"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b/>
                <w:bCs/>
                <w:kern w:val="21"/>
                <w:sz w:val="21"/>
                <w:szCs w:val="21"/>
              </w:rPr>
              <w:t>序号</w:t>
            </w:r>
          </w:p>
        </w:tc>
        <w:tc>
          <w:tcPr>
            <w:tcW w:w="1142" w:type="dxa"/>
            <w:shd w:val="clear" w:color="auto" w:fill="auto"/>
            <w:vAlign w:val="center"/>
          </w:tcPr>
          <w:p w14:paraId="2B874E3C"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b/>
                <w:bCs/>
                <w:kern w:val="21"/>
                <w:sz w:val="21"/>
                <w:szCs w:val="21"/>
              </w:rPr>
              <w:t>环境要素</w:t>
            </w:r>
          </w:p>
        </w:tc>
        <w:tc>
          <w:tcPr>
            <w:tcW w:w="1305" w:type="dxa"/>
            <w:shd w:val="clear" w:color="auto" w:fill="auto"/>
            <w:vAlign w:val="center"/>
          </w:tcPr>
          <w:p w14:paraId="00D11B48"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b/>
                <w:bCs/>
                <w:kern w:val="21"/>
                <w:sz w:val="21"/>
                <w:szCs w:val="21"/>
              </w:rPr>
              <w:t>功能区</w:t>
            </w:r>
          </w:p>
        </w:tc>
        <w:tc>
          <w:tcPr>
            <w:tcW w:w="5967" w:type="dxa"/>
            <w:shd w:val="clear" w:color="auto" w:fill="auto"/>
            <w:vAlign w:val="center"/>
          </w:tcPr>
          <w:p w14:paraId="71105792" w14:textId="77777777" w:rsidR="00544649" w:rsidRDefault="00000000">
            <w:pPr>
              <w:widowControl/>
              <w:adjustRightInd w:val="0"/>
              <w:snapToGrid w:val="0"/>
              <w:spacing w:after="0" w:line="240" w:lineRule="auto"/>
              <w:ind w:firstLineChars="0" w:firstLine="0"/>
              <w:jc w:val="center"/>
              <w:rPr>
                <w:rFonts w:cs="Times New Roman"/>
                <w:b/>
                <w:bCs/>
                <w:kern w:val="21"/>
                <w:sz w:val="21"/>
                <w:szCs w:val="21"/>
              </w:rPr>
            </w:pPr>
            <w:r>
              <w:rPr>
                <w:rFonts w:cs="Times New Roman"/>
                <w:b/>
                <w:bCs/>
                <w:kern w:val="21"/>
                <w:sz w:val="21"/>
                <w:szCs w:val="21"/>
              </w:rPr>
              <w:t>质量标准</w:t>
            </w:r>
          </w:p>
        </w:tc>
      </w:tr>
      <w:tr w:rsidR="00544649" w14:paraId="0B722951" w14:textId="77777777">
        <w:trPr>
          <w:trHeight w:val="20"/>
          <w:jc w:val="center"/>
        </w:trPr>
        <w:tc>
          <w:tcPr>
            <w:tcW w:w="646" w:type="dxa"/>
            <w:shd w:val="clear" w:color="auto" w:fill="auto"/>
            <w:vAlign w:val="center"/>
          </w:tcPr>
          <w:p w14:paraId="5F3AC1A5" w14:textId="77777777" w:rsidR="00544649" w:rsidRDefault="00000000">
            <w:pPr>
              <w:widowControl/>
              <w:adjustRightInd w:val="0"/>
              <w:snapToGrid w:val="0"/>
              <w:spacing w:after="0" w:line="240" w:lineRule="auto"/>
              <w:ind w:firstLineChars="0" w:firstLine="0"/>
              <w:jc w:val="center"/>
              <w:rPr>
                <w:rFonts w:cs="Times New Roman"/>
                <w:bCs/>
                <w:kern w:val="21"/>
                <w:sz w:val="21"/>
                <w:szCs w:val="21"/>
              </w:rPr>
            </w:pPr>
            <w:r>
              <w:rPr>
                <w:rFonts w:cs="Times New Roman"/>
                <w:bCs/>
                <w:kern w:val="21"/>
                <w:sz w:val="21"/>
                <w:szCs w:val="21"/>
              </w:rPr>
              <w:t>1</w:t>
            </w:r>
          </w:p>
        </w:tc>
        <w:tc>
          <w:tcPr>
            <w:tcW w:w="1142" w:type="dxa"/>
            <w:shd w:val="clear" w:color="auto" w:fill="auto"/>
            <w:vAlign w:val="center"/>
          </w:tcPr>
          <w:p w14:paraId="6C23B473" w14:textId="77777777" w:rsidR="00544649" w:rsidRDefault="00000000">
            <w:pPr>
              <w:widowControl/>
              <w:adjustRightInd w:val="0"/>
              <w:snapToGrid w:val="0"/>
              <w:spacing w:after="0" w:line="240" w:lineRule="auto"/>
              <w:ind w:firstLineChars="0" w:firstLine="0"/>
              <w:jc w:val="center"/>
              <w:rPr>
                <w:rFonts w:cs="Times New Roman"/>
                <w:bCs/>
                <w:kern w:val="21"/>
                <w:sz w:val="21"/>
                <w:szCs w:val="21"/>
              </w:rPr>
            </w:pPr>
            <w:r>
              <w:rPr>
                <w:rFonts w:cs="Times New Roman"/>
                <w:bCs/>
                <w:kern w:val="21"/>
                <w:sz w:val="21"/>
                <w:szCs w:val="21"/>
              </w:rPr>
              <w:t>空气环境</w:t>
            </w:r>
          </w:p>
        </w:tc>
        <w:tc>
          <w:tcPr>
            <w:tcW w:w="1305" w:type="dxa"/>
            <w:shd w:val="clear" w:color="auto" w:fill="auto"/>
            <w:vAlign w:val="center"/>
          </w:tcPr>
          <w:p w14:paraId="30CE93FE" w14:textId="77777777" w:rsidR="00544649" w:rsidRDefault="00000000">
            <w:pPr>
              <w:widowControl/>
              <w:adjustRightInd w:val="0"/>
              <w:snapToGrid w:val="0"/>
              <w:spacing w:after="0" w:line="240" w:lineRule="auto"/>
              <w:ind w:firstLineChars="0" w:firstLine="0"/>
              <w:jc w:val="center"/>
              <w:rPr>
                <w:rFonts w:cs="Times New Roman"/>
                <w:bCs/>
                <w:kern w:val="21"/>
                <w:sz w:val="21"/>
                <w:szCs w:val="21"/>
              </w:rPr>
            </w:pPr>
            <w:r>
              <w:rPr>
                <w:rFonts w:cs="Times New Roman"/>
                <w:bCs/>
                <w:kern w:val="21"/>
                <w:sz w:val="21"/>
                <w:szCs w:val="21"/>
              </w:rPr>
              <w:t>二类区</w:t>
            </w:r>
          </w:p>
        </w:tc>
        <w:tc>
          <w:tcPr>
            <w:tcW w:w="5967" w:type="dxa"/>
            <w:shd w:val="clear" w:color="auto" w:fill="auto"/>
            <w:vAlign w:val="center"/>
          </w:tcPr>
          <w:p w14:paraId="001046A0"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lang w:bidi="ar"/>
              </w:rPr>
              <w:t>《环境空气质量标准》（</w:t>
            </w:r>
            <w:r>
              <w:rPr>
                <w:rFonts w:cs="Times New Roman"/>
                <w:kern w:val="21"/>
                <w:sz w:val="21"/>
                <w:szCs w:val="21"/>
                <w:lang w:bidi="ar"/>
              </w:rPr>
              <w:t>GB3095-2012</w:t>
            </w:r>
            <w:r>
              <w:rPr>
                <w:rFonts w:cs="Times New Roman"/>
                <w:kern w:val="21"/>
                <w:sz w:val="21"/>
                <w:szCs w:val="21"/>
                <w:lang w:bidi="ar"/>
              </w:rPr>
              <w:t>）二级</w:t>
            </w:r>
          </w:p>
        </w:tc>
      </w:tr>
      <w:tr w:rsidR="00544649" w14:paraId="3D8CECF0" w14:textId="77777777">
        <w:trPr>
          <w:trHeight w:val="20"/>
          <w:jc w:val="center"/>
        </w:trPr>
        <w:tc>
          <w:tcPr>
            <w:tcW w:w="646" w:type="dxa"/>
            <w:shd w:val="clear" w:color="auto" w:fill="auto"/>
            <w:vAlign w:val="center"/>
          </w:tcPr>
          <w:p w14:paraId="35A7BCF4" w14:textId="77777777" w:rsidR="00544649" w:rsidRDefault="00000000">
            <w:pPr>
              <w:widowControl/>
              <w:adjustRightInd w:val="0"/>
              <w:snapToGrid w:val="0"/>
              <w:spacing w:after="0" w:line="240" w:lineRule="auto"/>
              <w:ind w:firstLineChars="0" w:firstLine="0"/>
              <w:jc w:val="center"/>
              <w:rPr>
                <w:rFonts w:cs="Times New Roman"/>
                <w:bCs/>
                <w:kern w:val="21"/>
                <w:sz w:val="21"/>
                <w:szCs w:val="21"/>
              </w:rPr>
            </w:pPr>
            <w:r>
              <w:rPr>
                <w:rFonts w:cs="Times New Roman"/>
                <w:bCs/>
                <w:kern w:val="21"/>
                <w:sz w:val="21"/>
                <w:szCs w:val="21"/>
              </w:rPr>
              <w:t>2</w:t>
            </w:r>
          </w:p>
        </w:tc>
        <w:tc>
          <w:tcPr>
            <w:tcW w:w="1142" w:type="dxa"/>
            <w:shd w:val="clear" w:color="auto" w:fill="auto"/>
            <w:vAlign w:val="center"/>
          </w:tcPr>
          <w:p w14:paraId="7F08AA6E" w14:textId="77777777" w:rsidR="00544649" w:rsidRDefault="00000000">
            <w:pPr>
              <w:widowControl/>
              <w:adjustRightInd w:val="0"/>
              <w:snapToGrid w:val="0"/>
              <w:spacing w:after="0" w:line="240" w:lineRule="auto"/>
              <w:ind w:firstLineChars="0" w:firstLine="0"/>
              <w:jc w:val="center"/>
              <w:rPr>
                <w:rFonts w:cs="Times New Roman"/>
                <w:bCs/>
                <w:kern w:val="21"/>
                <w:sz w:val="21"/>
                <w:szCs w:val="21"/>
              </w:rPr>
            </w:pPr>
            <w:r>
              <w:rPr>
                <w:rFonts w:cs="Times New Roman"/>
                <w:bCs/>
                <w:kern w:val="21"/>
                <w:sz w:val="21"/>
                <w:szCs w:val="21"/>
              </w:rPr>
              <w:t>水环境</w:t>
            </w:r>
          </w:p>
        </w:tc>
        <w:tc>
          <w:tcPr>
            <w:tcW w:w="1305" w:type="dxa"/>
            <w:shd w:val="clear" w:color="auto" w:fill="auto"/>
            <w:vAlign w:val="center"/>
          </w:tcPr>
          <w:p w14:paraId="0A7F4B21" w14:textId="77777777" w:rsidR="00544649" w:rsidRDefault="00000000">
            <w:pPr>
              <w:widowControl/>
              <w:adjustRightInd w:val="0"/>
              <w:snapToGrid w:val="0"/>
              <w:spacing w:after="0" w:line="240" w:lineRule="auto"/>
              <w:ind w:firstLineChars="0" w:firstLine="0"/>
              <w:jc w:val="center"/>
              <w:rPr>
                <w:rFonts w:cs="Times New Roman"/>
                <w:bCs/>
                <w:kern w:val="21"/>
                <w:sz w:val="21"/>
                <w:szCs w:val="21"/>
              </w:rPr>
            </w:pPr>
            <w:r>
              <w:rPr>
                <w:rFonts w:cs="Times New Roman"/>
                <w:bCs/>
                <w:kern w:val="21"/>
                <w:sz w:val="21"/>
                <w:szCs w:val="21"/>
              </w:rPr>
              <w:t>Ⅲ</w:t>
            </w:r>
            <w:r>
              <w:rPr>
                <w:rFonts w:cs="Times New Roman"/>
                <w:bCs/>
                <w:kern w:val="21"/>
                <w:sz w:val="21"/>
                <w:szCs w:val="21"/>
              </w:rPr>
              <w:t>类</w:t>
            </w:r>
          </w:p>
        </w:tc>
        <w:tc>
          <w:tcPr>
            <w:tcW w:w="5967" w:type="dxa"/>
            <w:shd w:val="clear" w:color="auto" w:fill="auto"/>
            <w:vAlign w:val="center"/>
          </w:tcPr>
          <w:p w14:paraId="5071EC8E"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lang w:bidi="ar"/>
              </w:rPr>
              <w:t>《地表水环境质量标准》（</w:t>
            </w:r>
            <w:r>
              <w:rPr>
                <w:rFonts w:cs="Times New Roman"/>
                <w:kern w:val="21"/>
                <w:sz w:val="21"/>
                <w:szCs w:val="21"/>
                <w:lang w:bidi="ar"/>
              </w:rPr>
              <w:t>GB3838-2002</w:t>
            </w:r>
            <w:r>
              <w:rPr>
                <w:rFonts w:cs="Times New Roman"/>
                <w:kern w:val="21"/>
                <w:sz w:val="21"/>
                <w:szCs w:val="21"/>
                <w:lang w:bidi="ar"/>
              </w:rPr>
              <w:t>）</w:t>
            </w:r>
            <w:r>
              <w:rPr>
                <w:rFonts w:cs="Times New Roman"/>
                <w:kern w:val="21"/>
                <w:sz w:val="21"/>
                <w:szCs w:val="21"/>
              </w:rPr>
              <w:t>Ⅲ</w:t>
            </w:r>
            <w:r>
              <w:rPr>
                <w:rFonts w:cs="Times New Roman"/>
                <w:kern w:val="21"/>
                <w:sz w:val="21"/>
                <w:szCs w:val="21"/>
              </w:rPr>
              <w:t>类</w:t>
            </w:r>
          </w:p>
        </w:tc>
      </w:tr>
      <w:tr w:rsidR="00544649" w14:paraId="0327188D" w14:textId="77777777">
        <w:trPr>
          <w:trHeight w:val="20"/>
          <w:jc w:val="center"/>
        </w:trPr>
        <w:tc>
          <w:tcPr>
            <w:tcW w:w="646" w:type="dxa"/>
            <w:shd w:val="clear" w:color="auto" w:fill="auto"/>
            <w:vAlign w:val="center"/>
          </w:tcPr>
          <w:p w14:paraId="626A757F" w14:textId="77777777" w:rsidR="00544649" w:rsidRDefault="00000000">
            <w:pPr>
              <w:widowControl/>
              <w:adjustRightInd w:val="0"/>
              <w:snapToGrid w:val="0"/>
              <w:spacing w:after="0" w:line="240" w:lineRule="auto"/>
              <w:ind w:firstLineChars="0" w:firstLine="0"/>
              <w:jc w:val="center"/>
              <w:rPr>
                <w:rFonts w:cs="Times New Roman"/>
                <w:bCs/>
                <w:kern w:val="21"/>
                <w:sz w:val="21"/>
                <w:szCs w:val="21"/>
              </w:rPr>
            </w:pPr>
            <w:r>
              <w:rPr>
                <w:rFonts w:cs="Times New Roman"/>
                <w:bCs/>
                <w:kern w:val="21"/>
                <w:sz w:val="21"/>
                <w:szCs w:val="21"/>
              </w:rPr>
              <w:t>3</w:t>
            </w:r>
          </w:p>
        </w:tc>
        <w:tc>
          <w:tcPr>
            <w:tcW w:w="1142" w:type="dxa"/>
            <w:shd w:val="clear" w:color="auto" w:fill="auto"/>
            <w:vAlign w:val="center"/>
          </w:tcPr>
          <w:p w14:paraId="292A7FD3" w14:textId="77777777" w:rsidR="00544649" w:rsidRDefault="00000000">
            <w:pPr>
              <w:widowControl/>
              <w:adjustRightInd w:val="0"/>
              <w:snapToGrid w:val="0"/>
              <w:spacing w:after="0" w:line="240" w:lineRule="auto"/>
              <w:ind w:firstLineChars="0" w:firstLine="0"/>
              <w:jc w:val="center"/>
              <w:rPr>
                <w:rFonts w:cs="Times New Roman"/>
                <w:bCs/>
                <w:kern w:val="21"/>
                <w:sz w:val="21"/>
                <w:szCs w:val="21"/>
              </w:rPr>
            </w:pPr>
            <w:r>
              <w:rPr>
                <w:rFonts w:cs="Times New Roman"/>
                <w:bCs/>
                <w:kern w:val="21"/>
                <w:sz w:val="21"/>
                <w:szCs w:val="21"/>
              </w:rPr>
              <w:t>声环境</w:t>
            </w:r>
          </w:p>
        </w:tc>
        <w:tc>
          <w:tcPr>
            <w:tcW w:w="1305" w:type="dxa"/>
            <w:shd w:val="clear" w:color="auto" w:fill="auto"/>
            <w:vAlign w:val="center"/>
          </w:tcPr>
          <w:p w14:paraId="5E7690B3" w14:textId="77777777" w:rsidR="00544649" w:rsidRDefault="00000000">
            <w:pPr>
              <w:widowControl/>
              <w:adjustRightInd w:val="0"/>
              <w:snapToGrid w:val="0"/>
              <w:spacing w:after="0" w:line="240" w:lineRule="auto"/>
              <w:ind w:firstLineChars="0" w:firstLine="0"/>
              <w:jc w:val="center"/>
              <w:rPr>
                <w:rFonts w:cs="Times New Roman"/>
                <w:bCs/>
                <w:kern w:val="21"/>
                <w:sz w:val="21"/>
                <w:szCs w:val="21"/>
              </w:rPr>
            </w:pPr>
            <w:r>
              <w:rPr>
                <w:rFonts w:cs="Times New Roman"/>
                <w:bCs/>
                <w:kern w:val="21"/>
                <w:sz w:val="21"/>
                <w:szCs w:val="21"/>
              </w:rPr>
              <w:t>2</w:t>
            </w:r>
            <w:r>
              <w:rPr>
                <w:rFonts w:cs="Times New Roman"/>
                <w:bCs/>
                <w:kern w:val="21"/>
                <w:sz w:val="21"/>
                <w:szCs w:val="21"/>
              </w:rPr>
              <w:t>类区</w:t>
            </w:r>
          </w:p>
        </w:tc>
        <w:tc>
          <w:tcPr>
            <w:tcW w:w="5967" w:type="dxa"/>
            <w:shd w:val="clear" w:color="auto" w:fill="auto"/>
            <w:vAlign w:val="center"/>
          </w:tcPr>
          <w:p w14:paraId="059A1512"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lang w:bidi="ar"/>
              </w:rPr>
              <w:t>《声环境质量标准》（</w:t>
            </w:r>
            <w:r>
              <w:rPr>
                <w:rFonts w:cs="Times New Roman"/>
                <w:kern w:val="21"/>
                <w:sz w:val="21"/>
                <w:szCs w:val="21"/>
                <w:lang w:bidi="ar"/>
              </w:rPr>
              <w:t>GB3096-2008</w:t>
            </w:r>
            <w:r>
              <w:rPr>
                <w:rFonts w:cs="Times New Roman"/>
                <w:kern w:val="21"/>
                <w:sz w:val="21"/>
                <w:szCs w:val="21"/>
                <w:lang w:bidi="ar"/>
              </w:rPr>
              <w:t>）中</w:t>
            </w:r>
            <w:r>
              <w:rPr>
                <w:rFonts w:cs="Times New Roman"/>
                <w:kern w:val="21"/>
                <w:sz w:val="21"/>
                <w:szCs w:val="21"/>
                <w:lang w:bidi="ar"/>
              </w:rPr>
              <w:t>2</w:t>
            </w:r>
            <w:r>
              <w:rPr>
                <w:rFonts w:cs="Times New Roman"/>
                <w:kern w:val="21"/>
                <w:sz w:val="21"/>
                <w:szCs w:val="21"/>
                <w:lang w:bidi="ar"/>
              </w:rPr>
              <w:t>类区标准</w:t>
            </w:r>
          </w:p>
        </w:tc>
      </w:tr>
      <w:tr w:rsidR="00544649" w14:paraId="26468840" w14:textId="77777777">
        <w:trPr>
          <w:trHeight w:val="20"/>
          <w:jc w:val="center"/>
        </w:trPr>
        <w:tc>
          <w:tcPr>
            <w:tcW w:w="646" w:type="dxa"/>
            <w:shd w:val="clear" w:color="auto" w:fill="auto"/>
            <w:vAlign w:val="center"/>
          </w:tcPr>
          <w:p w14:paraId="0DE597DE" w14:textId="77777777" w:rsidR="00544649" w:rsidRDefault="00000000">
            <w:pPr>
              <w:widowControl/>
              <w:adjustRightInd w:val="0"/>
              <w:snapToGrid w:val="0"/>
              <w:spacing w:after="0" w:line="240" w:lineRule="auto"/>
              <w:ind w:firstLineChars="0" w:firstLine="0"/>
              <w:jc w:val="center"/>
              <w:rPr>
                <w:rFonts w:cs="Times New Roman"/>
                <w:bCs/>
                <w:kern w:val="21"/>
                <w:sz w:val="21"/>
                <w:szCs w:val="21"/>
              </w:rPr>
            </w:pPr>
            <w:r>
              <w:rPr>
                <w:rFonts w:cs="Times New Roman"/>
                <w:bCs/>
                <w:kern w:val="21"/>
                <w:sz w:val="21"/>
                <w:szCs w:val="21"/>
              </w:rPr>
              <w:t>4</w:t>
            </w:r>
          </w:p>
        </w:tc>
        <w:tc>
          <w:tcPr>
            <w:tcW w:w="1142" w:type="dxa"/>
            <w:shd w:val="clear" w:color="auto" w:fill="auto"/>
            <w:vAlign w:val="center"/>
          </w:tcPr>
          <w:p w14:paraId="3BFFCD6F" w14:textId="77777777" w:rsidR="00544649" w:rsidRDefault="00000000">
            <w:pPr>
              <w:widowControl/>
              <w:adjustRightInd w:val="0"/>
              <w:snapToGrid w:val="0"/>
              <w:spacing w:after="0" w:line="240" w:lineRule="auto"/>
              <w:ind w:firstLineChars="0" w:firstLine="0"/>
              <w:jc w:val="center"/>
              <w:rPr>
                <w:rFonts w:cs="Times New Roman"/>
                <w:bCs/>
                <w:kern w:val="21"/>
                <w:sz w:val="21"/>
                <w:szCs w:val="21"/>
              </w:rPr>
            </w:pPr>
            <w:r>
              <w:rPr>
                <w:rFonts w:cs="Times New Roman"/>
                <w:bCs/>
                <w:kern w:val="21"/>
                <w:sz w:val="21"/>
                <w:szCs w:val="21"/>
              </w:rPr>
              <w:t>土壤</w:t>
            </w:r>
          </w:p>
        </w:tc>
        <w:tc>
          <w:tcPr>
            <w:tcW w:w="1305" w:type="dxa"/>
            <w:shd w:val="clear" w:color="auto" w:fill="auto"/>
            <w:vAlign w:val="center"/>
          </w:tcPr>
          <w:p w14:paraId="5F78E521" w14:textId="77777777" w:rsidR="00544649" w:rsidRDefault="00000000">
            <w:pPr>
              <w:adjustRightInd w:val="0"/>
              <w:snapToGrid w:val="0"/>
              <w:spacing w:after="0" w:line="240" w:lineRule="auto"/>
              <w:ind w:firstLineChars="0" w:firstLine="0"/>
              <w:jc w:val="center"/>
              <w:rPr>
                <w:rFonts w:cs="Times New Roman"/>
                <w:bCs/>
                <w:kern w:val="21"/>
                <w:sz w:val="21"/>
                <w:szCs w:val="21"/>
              </w:rPr>
            </w:pPr>
            <w:r>
              <w:rPr>
                <w:rFonts w:cs="Times New Roman"/>
                <w:kern w:val="21"/>
                <w:sz w:val="21"/>
                <w:szCs w:val="21"/>
              </w:rPr>
              <w:t>农用地</w:t>
            </w:r>
          </w:p>
        </w:tc>
        <w:tc>
          <w:tcPr>
            <w:tcW w:w="5967" w:type="dxa"/>
            <w:shd w:val="clear" w:color="auto" w:fill="auto"/>
            <w:vAlign w:val="center"/>
          </w:tcPr>
          <w:p w14:paraId="3BFAF99B" w14:textId="77777777" w:rsidR="00544649" w:rsidRDefault="00000000">
            <w:pPr>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lang w:bidi="ar"/>
              </w:rPr>
              <w:t>《土壤环境质量农用地土壤污染风险管控标准（试行）》（</w:t>
            </w:r>
            <w:r>
              <w:rPr>
                <w:rFonts w:cs="Times New Roman"/>
                <w:kern w:val="21"/>
                <w:sz w:val="21"/>
                <w:szCs w:val="21"/>
                <w:lang w:bidi="ar"/>
              </w:rPr>
              <w:t>GB15618-2018</w:t>
            </w:r>
            <w:r>
              <w:rPr>
                <w:rFonts w:cs="Times New Roman"/>
                <w:kern w:val="21"/>
                <w:sz w:val="21"/>
                <w:szCs w:val="21"/>
                <w:lang w:bidi="ar"/>
              </w:rPr>
              <w:t>）</w:t>
            </w:r>
          </w:p>
        </w:tc>
      </w:tr>
      <w:tr w:rsidR="00544649" w14:paraId="00B01C34" w14:textId="77777777">
        <w:trPr>
          <w:trHeight w:val="20"/>
          <w:jc w:val="center"/>
        </w:trPr>
        <w:tc>
          <w:tcPr>
            <w:tcW w:w="646" w:type="dxa"/>
            <w:shd w:val="clear" w:color="auto" w:fill="auto"/>
            <w:vAlign w:val="center"/>
          </w:tcPr>
          <w:p w14:paraId="7AE5CA06" w14:textId="77777777" w:rsidR="00544649" w:rsidRDefault="00000000">
            <w:pPr>
              <w:widowControl/>
              <w:adjustRightInd w:val="0"/>
              <w:snapToGrid w:val="0"/>
              <w:spacing w:after="0" w:line="240" w:lineRule="auto"/>
              <w:ind w:firstLineChars="0" w:firstLine="0"/>
              <w:jc w:val="center"/>
              <w:rPr>
                <w:rFonts w:cs="Times New Roman"/>
                <w:bCs/>
                <w:kern w:val="21"/>
                <w:sz w:val="21"/>
                <w:szCs w:val="21"/>
              </w:rPr>
            </w:pPr>
            <w:r>
              <w:rPr>
                <w:rFonts w:cs="Times New Roman"/>
                <w:bCs/>
                <w:kern w:val="21"/>
                <w:sz w:val="21"/>
                <w:szCs w:val="21"/>
              </w:rPr>
              <w:t>5</w:t>
            </w:r>
          </w:p>
        </w:tc>
        <w:tc>
          <w:tcPr>
            <w:tcW w:w="1142" w:type="dxa"/>
            <w:shd w:val="clear" w:color="auto" w:fill="auto"/>
            <w:vAlign w:val="center"/>
          </w:tcPr>
          <w:p w14:paraId="5C845305" w14:textId="77777777" w:rsidR="00544649" w:rsidRDefault="00000000">
            <w:pPr>
              <w:widowControl/>
              <w:adjustRightInd w:val="0"/>
              <w:snapToGrid w:val="0"/>
              <w:spacing w:after="0" w:line="240" w:lineRule="auto"/>
              <w:ind w:firstLineChars="0" w:firstLine="0"/>
              <w:jc w:val="center"/>
              <w:rPr>
                <w:rFonts w:cs="Times New Roman"/>
                <w:bCs/>
                <w:kern w:val="21"/>
                <w:sz w:val="21"/>
                <w:szCs w:val="21"/>
              </w:rPr>
            </w:pPr>
            <w:r>
              <w:rPr>
                <w:rFonts w:cs="Times New Roman"/>
                <w:bCs/>
                <w:kern w:val="21"/>
                <w:sz w:val="21"/>
                <w:szCs w:val="21"/>
              </w:rPr>
              <w:t>地下水</w:t>
            </w:r>
          </w:p>
        </w:tc>
        <w:tc>
          <w:tcPr>
            <w:tcW w:w="1305" w:type="dxa"/>
            <w:shd w:val="clear" w:color="auto" w:fill="auto"/>
            <w:vAlign w:val="center"/>
          </w:tcPr>
          <w:p w14:paraId="5B71D6FC" w14:textId="77777777" w:rsidR="00544649" w:rsidRDefault="00000000">
            <w:pPr>
              <w:widowControl/>
              <w:adjustRightInd w:val="0"/>
              <w:snapToGrid w:val="0"/>
              <w:spacing w:after="0" w:line="240" w:lineRule="auto"/>
              <w:ind w:firstLineChars="0" w:firstLine="0"/>
              <w:jc w:val="center"/>
              <w:rPr>
                <w:rFonts w:cs="Times New Roman"/>
                <w:bCs/>
                <w:kern w:val="21"/>
                <w:sz w:val="21"/>
                <w:szCs w:val="21"/>
              </w:rPr>
            </w:pPr>
            <w:r>
              <w:rPr>
                <w:rFonts w:cs="Times New Roman"/>
                <w:bCs/>
                <w:kern w:val="21"/>
                <w:sz w:val="21"/>
                <w:szCs w:val="21"/>
              </w:rPr>
              <w:t>Ⅲ</w:t>
            </w:r>
            <w:r>
              <w:rPr>
                <w:rFonts w:cs="Times New Roman"/>
                <w:bCs/>
                <w:kern w:val="21"/>
                <w:sz w:val="21"/>
                <w:szCs w:val="21"/>
              </w:rPr>
              <w:t>类</w:t>
            </w:r>
          </w:p>
        </w:tc>
        <w:tc>
          <w:tcPr>
            <w:tcW w:w="5967" w:type="dxa"/>
            <w:shd w:val="clear" w:color="auto" w:fill="auto"/>
            <w:vAlign w:val="center"/>
          </w:tcPr>
          <w:p w14:paraId="3951582A" w14:textId="77777777" w:rsidR="00544649" w:rsidRDefault="00000000">
            <w:pPr>
              <w:widowControl/>
              <w:adjustRightInd w:val="0"/>
              <w:snapToGrid w:val="0"/>
              <w:spacing w:after="0" w:line="240" w:lineRule="auto"/>
              <w:ind w:firstLineChars="0" w:firstLine="0"/>
              <w:jc w:val="center"/>
              <w:rPr>
                <w:rFonts w:cs="Times New Roman"/>
                <w:kern w:val="21"/>
                <w:sz w:val="21"/>
                <w:szCs w:val="21"/>
              </w:rPr>
            </w:pPr>
            <w:r>
              <w:rPr>
                <w:rFonts w:cs="Times New Roman"/>
                <w:kern w:val="21"/>
                <w:sz w:val="21"/>
                <w:szCs w:val="21"/>
                <w:lang w:bidi="ar"/>
              </w:rPr>
              <w:t>《地下水质量标准》（</w:t>
            </w:r>
            <w:r>
              <w:rPr>
                <w:rFonts w:cs="Times New Roman"/>
                <w:kern w:val="21"/>
                <w:sz w:val="21"/>
                <w:szCs w:val="21"/>
                <w:lang w:bidi="ar"/>
              </w:rPr>
              <w:t>GB/T14848-2017</w:t>
            </w:r>
            <w:r>
              <w:rPr>
                <w:rFonts w:cs="Times New Roman"/>
                <w:kern w:val="21"/>
                <w:sz w:val="21"/>
                <w:szCs w:val="21"/>
                <w:lang w:bidi="ar"/>
              </w:rPr>
              <w:t>）</w:t>
            </w:r>
            <w:r>
              <w:rPr>
                <w:rFonts w:cs="Times New Roman"/>
                <w:kern w:val="21"/>
                <w:sz w:val="21"/>
                <w:szCs w:val="21"/>
              </w:rPr>
              <w:t>Ⅲ</w:t>
            </w:r>
            <w:r>
              <w:rPr>
                <w:rFonts w:cs="Times New Roman"/>
                <w:kern w:val="21"/>
                <w:sz w:val="21"/>
                <w:szCs w:val="21"/>
              </w:rPr>
              <w:t>类</w:t>
            </w:r>
          </w:p>
        </w:tc>
      </w:tr>
    </w:tbl>
    <w:p w14:paraId="7F369B4D" w14:textId="77777777" w:rsidR="00544649" w:rsidRDefault="00000000">
      <w:pPr>
        <w:pStyle w:val="3"/>
        <w:numPr>
          <w:ilvl w:val="2"/>
          <w:numId w:val="2"/>
        </w:numPr>
        <w:adjustRightInd w:val="0"/>
        <w:snapToGrid w:val="0"/>
        <w:spacing w:after="0"/>
        <w:rPr>
          <w:rFonts w:cs="Times New Roman"/>
          <w:kern w:val="21"/>
        </w:rPr>
      </w:pPr>
      <w:bookmarkStart w:id="121" w:name="_Toc26573"/>
      <w:bookmarkStart w:id="122" w:name="_Toc31474"/>
      <w:bookmarkStart w:id="123" w:name="_Toc195009804"/>
      <w:r>
        <w:rPr>
          <w:rFonts w:cs="Times New Roman"/>
          <w:kern w:val="21"/>
        </w:rPr>
        <w:t>环境质量标准</w:t>
      </w:r>
      <w:bookmarkEnd w:id="121"/>
      <w:bookmarkEnd w:id="122"/>
      <w:bookmarkEnd w:id="123"/>
    </w:p>
    <w:p w14:paraId="6CF0E3D0" w14:textId="77777777" w:rsidR="00544649" w:rsidRDefault="00000000">
      <w:pPr>
        <w:pStyle w:val="4"/>
        <w:adjustRightInd w:val="0"/>
        <w:snapToGrid w:val="0"/>
        <w:spacing w:after="0"/>
      </w:pPr>
      <w:r>
        <w:t>地表水</w:t>
      </w:r>
    </w:p>
    <w:p w14:paraId="70609E44" w14:textId="77777777" w:rsidR="00544649" w:rsidRDefault="00000000">
      <w:pPr>
        <w:adjustRightInd w:val="0"/>
        <w:snapToGrid w:val="0"/>
        <w:spacing w:after="0"/>
        <w:ind w:firstLine="480"/>
        <w:rPr>
          <w:rFonts w:cs="Times New Roman"/>
          <w:kern w:val="21"/>
          <w:szCs w:val="24"/>
        </w:rPr>
      </w:pPr>
      <w:r>
        <w:rPr>
          <w:rFonts w:cs="Times New Roman"/>
          <w:kern w:val="21"/>
          <w:szCs w:val="24"/>
        </w:rPr>
        <w:t>地表水环境质量标准执行《地表水环境质量标准》（</w:t>
      </w:r>
      <w:r>
        <w:rPr>
          <w:rFonts w:cs="Times New Roman"/>
          <w:kern w:val="21"/>
          <w:szCs w:val="24"/>
        </w:rPr>
        <w:t>GB3838-2002</w:t>
      </w:r>
      <w:r>
        <w:rPr>
          <w:rFonts w:cs="Times New Roman"/>
          <w:kern w:val="21"/>
          <w:szCs w:val="24"/>
        </w:rPr>
        <w:t>）中的</w:t>
      </w:r>
      <w:r>
        <w:rPr>
          <w:rFonts w:cs="Times New Roman"/>
          <w:kern w:val="21"/>
          <w:szCs w:val="24"/>
        </w:rPr>
        <w:t>Ⅲ</w:t>
      </w:r>
      <w:r>
        <w:rPr>
          <w:rFonts w:cs="Times New Roman"/>
          <w:kern w:val="21"/>
          <w:szCs w:val="24"/>
        </w:rPr>
        <w:t>类标准，具体如下表所示。</w:t>
      </w:r>
    </w:p>
    <w:p w14:paraId="45A492B6"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地表水环境质量标准单位：</w:t>
      </w:r>
      <w:r>
        <w:rPr>
          <w:rFonts w:cs="Times New Roman"/>
          <w:b/>
          <w:bCs/>
          <w:kern w:val="21"/>
          <w:sz w:val="21"/>
          <w:szCs w:val="21"/>
        </w:rPr>
        <w:t>mg/L</w:t>
      </w:r>
    </w:p>
    <w:tbl>
      <w:tblPr>
        <w:tblStyle w:val="afc"/>
        <w:tblW w:w="9060" w:type="dxa"/>
        <w:jc w:val="center"/>
        <w:tblLayout w:type="fixed"/>
        <w:tblLook w:val="04A0" w:firstRow="1" w:lastRow="0" w:firstColumn="1" w:lastColumn="0" w:noHBand="0" w:noVBand="1"/>
      </w:tblPr>
      <w:tblGrid>
        <w:gridCol w:w="745"/>
        <w:gridCol w:w="2560"/>
        <w:gridCol w:w="2678"/>
        <w:gridCol w:w="3077"/>
      </w:tblGrid>
      <w:tr w:rsidR="00544649" w14:paraId="5F803E65" w14:textId="77777777">
        <w:trPr>
          <w:trHeight w:val="76"/>
          <w:tblHeader/>
          <w:jc w:val="center"/>
        </w:trPr>
        <w:tc>
          <w:tcPr>
            <w:tcW w:w="745" w:type="dxa"/>
            <w:vAlign w:val="center"/>
          </w:tcPr>
          <w:p w14:paraId="559D1B45"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序号</w:t>
            </w:r>
          </w:p>
        </w:tc>
        <w:tc>
          <w:tcPr>
            <w:tcW w:w="2560" w:type="dxa"/>
            <w:vAlign w:val="center"/>
          </w:tcPr>
          <w:p w14:paraId="072C0707"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项目</w:t>
            </w:r>
          </w:p>
        </w:tc>
        <w:tc>
          <w:tcPr>
            <w:tcW w:w="2678" w:type="dxa"/>
            <w:vAlign w:val="center"/>
          </w:tcPr>
          <w:p w14:paraId="3F164CAB"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标准值</w:t>
            </w:r>
          </w:p>
        </w:tc>
        <w:tc>
          <w:tcPr>
            <w:tcW w:w="3077" w:type="dxa"/>
            <w:vAlign w:val="center"/>
          </w:tcPr>
          <w:p w14:paraId="55880DA4"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执行标准</w:t>
            </w:r>
          </w:p>
        </w:tc>
      </w:tr>
      <w:tr w:rsidR="00544649" w14:paraId="2AC3BC20" w14:textId="77777777">
        <w:trPr>
          <w:jc w:val="center"/>
        </w:trPr>
        <w:tc>
          <w:tcPr>
            <w:tcW w:w="745" w:type="dxa"/>
            <w:vAlign w:val="center"/>
          </w:tcPr>
          <w:p w14:paraId="55E67F2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w:t>
            </w:r>
          </w:p>
        </w:tc>
        <w:tc>
          <w:tcPr>
            <w:tcW w:w="2560" w:type="dxa"/>
            <w:vAlign w:val="center"/>
          </w:tcPr>
          <w:p w14:paraId="06A912E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pH</w:t>
            </w:r>
          </w:p>
        </w:tc>
        <w:tc>
          <w:tcPr>
            <w:tcW w:w="2678" w:type="dxa"/>
            <w:vAlign w:val="center"/>
          </w:tcPr>
          <w:p w14:paraId="1F46D49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6~9</w:t>
            </w:r>
          </w:p>
        </w:tc>
        <w:tc>
          <w:tcPr>
            <w:tcW w:w="3077" w:type="dxa"/>
            <w:vMerge w:val="restart"/>
            <w:vAlign w:val="center"/>
          </w:tcPr>
          <w:p w14:paraId="7B55EF2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《地表水环境质量标准》（</w:t>
            </w:r>
            <w:r>
              <w:rPr>
                <w:rFonts w:cs="Times New Roman"/>
                <w:kern w:val="21"/>
                <w:sz w:val="21"/>
                <w:szCs w:val="21"/>
              </w:rPr>
              <w:t>GB3838-2002</w:t>
            </w:r>
            <w:r>
              <w:rPr>
                <w:rFonts w:cs="Times New Roman"/>
                <w:kern w:val="21"/>
                <w:sz w:val="21"/>
                <w:szCs w:val="21"/>
              </w:rPr>
              <w:t>）</w:t>
            </w:r>
            <w:r>
              <w:rPr>
                <w:rFonts w:cs="Times New Roman"/>
                <w:kern w:val="21"/>
                <w:sz w:val="21"/>
                <w:szCs w:val="21"/>
              </w:rPr>
              <w:t>Ⅲ</w:t>
            </w:r>
            <w:r>
              <w:rPr>
                <w:rFonts w:cs="Times New Roman"/>
                <w:kern w:val="21"/>
                <w:sz w:val="21"/>
                <w:szCs w:val="21"/>
              </w:rPr>
              <w:t>类标准</w:t>
            </w:r>
          </w:p>
        </w:tc>
      </w:tr>
      <w:tr w:rsidR="00544649" w14:paraId="06A38E6E" w14:textId="77777777">
        <w:trPr>
          <w:jc w:val="center"/>
        </w:trPr>
        <w:tc>
          <w:tcPr>
            <w:tcW w:w="745" w:type="dxa"/>
            <w:vAlign w:val="center"/>
          </w:tcPr>
          <w:p w14:paraId="3214EA4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w:t>
            </w:r>
          </w:p>
        </w:tc>
        <w:tc>
          <w:tcPr>
            <w:tcW w:w="2560" w:type="dxa"/>
            <w:vAlign w:val="center"/>
          </w:tcPr>
          <w:p w14:paraId="676C405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高锰酸盐指数</w:t>
            </w:r>
          </w:p>
        </w:tc>
        <w:tc>
          <w:tcPr>
            <w:tcW w:w="2678" w:type="dxa"/>
            <w:vAlign w:val="center"/>
          </w:tcPr>
          <w:p w14:paraId="3EEC48C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≤6</w:t>
            </w:r>
          </w:p>
        </w:tc>
        <w:tc>
          <w:tcPr>
            <w:tcW w:w="3077" w:type="dxa"/>
            <w:vMerge/>
            <w:vAlign w:val="center"/>
          </w:tcPr>
          <w:p w14:paraId="09B1D776"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17A73625" w14:textId="77777777">
        <w:trPr>
          <w:jc w:val="center"/>
        </w:trPr>
        <w:tc>
          <w:tcPr>
            <w:tcW w:w="745" w:type="dxa"/>
            <w:vAlign w:val="center"/>
          </w:tcPr>
          <w:p w14:paraId="4B9BCD2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3</w:t>
            </w:r>
          </w:p>
        </w:tc>
        <w:tc>
          <w:tcPr>
            <w:tcW w:w="2560" w:type="dxa"/>
            <w:vAlign w:val="center"/>
          </w:tcPr>
          <w:p w14:paraId="331A3E0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DO</w:t>
            </w:r>
          </w:p>
        </w:tc>
        <w:tc>
          <w:tcPr>
            <w:tcW w:w="2678" w:type="dxa"/>
            <w:vAlign w:val="center"/>
          </w:tcPr>
          <w:p w14:paraId="10CADC8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≥5</w:t>
            </w:r>
          </w:p>
        </w:tc>
        <w:tc>
          <w:tcPr>
            <w:tcW w:w="3077" w:type="dxa"/>
            <w:vMerge/>
            <w:vAlign w:val="center"/>
          </w:tcPr>
          <w:p w14:paraId="517BDBAC"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03AA6148" w14:textId="77777777">
        <w:trPr>
          <w:jc w:val="center"/>
        </w:trPr>
        <w:tc>
          <w:tcPr>
            <w:tcW w:w="745" w:type="dxa"/>
            <w:vAlign w:val="center"/>
          </w:tcPr>
          <w:p w14:paraId="04D4E90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4</w:t>
            </w:r>
          </w:p>
        </w:tc>
        <w:tc>
          <w:tcPr>
            <w:tcW w:w="2560" w:type="dxa"/>
            <w:vAlign w:val="center"/>
          </w:tcPr>
          <w:p w14:paraId="76FDA01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COD</w:t>
            </w:r>
          </w:p>
        </w:tc>
        <w:tc>
          <w:tcPr>
            <w:tcW w:w="2678" w:type="dxa"/>
            <w:vAlign w:val="center"/>
          </w:tcPr>
          <w:p w14:paraId="7AF382A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≤20</w:t>
            </w:r>
          </w:p>
        </w:tc>
        <w:tc>
          <w:tcPr>
            <w:tcW w:w="3077" w:type="dxa"/>
            <w:vMerge/>
            <w:vAlign w:val="center"/>
          </w:tcPr>
          <w:p w14:paraId="6AE8E51C"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69C8DABD" w14:textId="77777777">
        <w:trPr>
          <w:jc w:val="center"/>
        </w:trPr>
        <w:tc>
          <w:tcPr>
            <w:tcW w:w="745" w:type="dxa"/>
            <w:vAlign w:val="center"/>
          </w:tcPr>
          <w:p w14:paraId="3A62AF3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5</w:t>
            </w:r>
          </w:p>
        </w:tc>
        <w:tc>
          <w:tcPr>
            <w:tcW w:w="2560" w:type="dxa"/>
            <w:vAlign w:val="center"/>
          </w:tcPr>
          <w:p w14:paraId="76E9BE2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BOD</w:t>
            </w:r>
            <w:r>
              <w:rPr>
                <w:rFonts w:cs="Times New Roman"/>
                <w:kern w:val="21"/>
                <w:sz w:val="21"/>
                <w:szCs w:val="21"/>
                <w:vertAlign w:val="subscript"/>
              </w:rPr>
              <w:t>5</w:t>
            </w:r>
          </w:p>
        </w:tc>
        <w:tc>
          <w:tcPr>
            <w:tcW w:w="2678" w:type="dxa"/>
            <w:vAlign w:val="center"/>
          </w:tcPr>
          <w:p w14:paraId="0031D0B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≤4</w:t>
            </w:r>
          </w:p>
        </w:tc>
        <w:tc>
          <w:tcPr>
            <w:tcW w:w="3077" w:type="dxa"/>
            <w:vMerge/>
            <w:vAlign w:val="center"/>
          </w:tcPr>
          <w:p w14:paraId="121FD206"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67F962CC" w14:textId="77777777">
        <w:trPr>
          <w:jc w:val="center"/>
        </w:trPr>
        <w:tc>
          <w:tcPr>
            <w:tcW w:w="745" w:type="dxa"/>
            <w:vAlign w:val="center"/>
          </w:tcPr>
          <w:p w14:paraId="597C737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6</w:t>
            </w:r>
          </w:p>
        </w:tc>
        <w:tc>
          <w:tcPr>
            <w:tcW w:w="2560" w:type="dxa"/>
            <w:vAlign w:val="center"/>
          </w:tcPr>
          <w:p w14:paraId="16664A0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NH</w:t>
            </w:r>
            <w:r>
              <w:rPr>
                <w:rFonts w:cs="Times New Roman"/>
                <w:kern w:val="21"/>
                <w:sz w:val="21"/>
                <w:szCs w:val="21"/>
                <w:vertAlign w:val="subscript"/>
              </w:rPr>
              <w:t>3</w:t>
            </w:r>
            <w:r>
              <w:rPr>
                <w:rFonts w:cs="Times New Roman"/>
                <w:kern w:val="21"/>
                <w:sz w:val="21"/>
                <w:szCs w:val="21"/>
              </w:rPr>
              <w:t>-N</w:t>
            </w:r>
          </w:p>
        </w:tc>
        <w:tc>
          <w:tcPr>
            <w:tcW w:w="2678" w:type="dxa"/>
            <w:vAlign w:val="center"/>
          </w:tcPr>
          <w:p w14:paraId="6D322E4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≤1.0</w:t>
            </w:r>
          </w:p>
        </w:tc>
        <w:tc>
          <w:tcPr>
            <w:tcW w:w="3077" w:type="dxa"/>
            <w:vMerge/>
            <w:vAlign w:val="center"/>
          </w:tcPr>
          <w:p w14:paraId="3925534C"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0562A788" w14:textId="77777777">
        <w:trPr>
          <w:jc w:val="center"/>
        </w:trPr>
        <w:tc>
          <w:tcPr>
            <w:tcW w:w="745" w:type="dxa"/>
            <w:vAlign w:val="center"/>
          </w:tcPr>
          <w:p w14:paraId="6550244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7</w:t>
            </w:r>
          </w:p>
        </w:tc>
        <w:tc>
          <w:tcPr>
            <w:tcW w:w="2560" w:type="dxa"/>
            <w:vAlign w:val="center"/>
          </w:tcPr>
          <w:p w14:paraId="4E8D389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TP</w:t>
            </w:r>
          </w:p>
        </w:tc>
        <w:tc>
          <w:tcPr>
            <w:tcW w:w="2678" w:type="dxa"/>
            <w:vAlign w:val="center"/>
          </w:tcPr>
          <w:p w14:paraId="1AC0256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≤0.2</w:t>
            </w:r>
          </w:p>
        </w:tc>
        <w:tc>
          <w:tcPr>
            <w:tcW w:w="3077" w:type="dxa"/>
            <w:vMerge/>
            <w:vAlign w:val="center"/>
          </w:tcPr>
          <w:p w14:paraId="5867137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372500DF" w14:textId="77777777">
        <w:trPr>
          <w:jc w:val="center"/>
        </w:trPr>
        <w:tc>
          <w:tcPr>
            <w:tcW w:w="745" w:type="dxa"/>
            <w:vAlign w:val="center"/>
          </w:tcPr>
          <w:p w14:paraId="34C1C41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8</w:t>
            </w:r>
          </w:p>
        </w:tc>
        <w:tc>
          <w:tcPr>
            <w:tcW w:w="2560" w:type="dxa"/>
            <w:vAlign w:val="center"/>
          </w:tcPr>
          <w:p w14:paraId="088C0B8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TN</w:t>
            </w:r>
          </w:p>
        </w:tc>
        <w:tc>
          <w:tcPr>
            <w:tcW w:w="2678" w:type="dxa"/>
            <w:vAlign w:val="center"/>
          </w:tcPr>
          <w:p w14:paraId="7FA3393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≤1.0</w:t>
            </w:r>
          </w:p>
        </w:tc>
        <w:tc>
          <w:tcPr>
            <w:tcW w:w="3077" w:type="dxa"/>
            <w:vMerge/>
            <w:vAlign w:val="center"/>
          </w:tcPr>
          <w:p w14:paraId="33D6165F"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4CF1F0A6" w14:textId="77777777">
        <w:trPr>
          <w:jc w:val="center"/>
        </w:trPr>
        <w:tc>
          <w:tcPr>
            <w:tcW w:w="745" w:type="dxa"/>
            <w:vAlign w:val="center"/>
          </w:tcPr>
          <w:p w14:paraId="219F33F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9</w:t>
            </w:r>
          </w:p>
        </w:tc>
        <w:tc>
          <w:tcPr>
            <w:tcW w:w="2560" w:type="dxa"/>
            <w:vAlign w:val="center"/>
          </w:tcPr>
          <w:p w14:paraId="739A6DF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铜</w:t>
            </w:r>
          </w:p>
        </w:tc>
        <w:tc>
          <w:tcPr>
            <w:tcW w:w="2678" w:type="dxa"/>
            <w:vAlign w:val="center"/>
          </w:tcPr>
          <w:p w14:paraId="06797CA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≤1.0</w:t>
            </w:r>
          </w:p>
        </w:tc>
        <w:tc>
          <w:tcPr>
            <w:tcW w:w="3077" w:type="dxa"/>
            <w:vMerge/>
            <w:vAlign w:val="center"/>
          </w:tcPr>
          <w:p w14:paraId="7DAF663B"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32422ED3" w14:textId="77777777">
        <w:trPr>
          <w:jc w:val="center"/>
        </w:trPr>
        <w:tc>
          <w:tcPr>
            <w:tcW w:w="745" w:type="dxa"/>
            <w:vAlign w:val="center"/>
          </w:tcPr>
          <w:p w14:paraId="78A9FD0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10</w:t>
            </w:r>
          </w:p>
        </w:tc>
        <w:tc>
          <w:tcPr>
            <w:tcW w:w="2560" w:type="dxa"/>
            <w:vAlign w:val="center"/>
          </w:tcPr>
          <w:p w14:paraId="2C5CBE8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锌</w:t>
            </w:r>
          </w:p>
        </w:tc>
        <w:tc>
          <w:tcPr>
            <w:tcW w:w="2678" w:type="dxa"/>
            <w:vAlign w:val="center"/>
          </w:tcPr>
          <w:p w14:paraId="7D05F18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≤1.0</w:t>
            </w:r>
          </w:p>
        </w:tc>
        <w:tc>
          <w:tcPr>
            <w:tcW w:w="3077" w:type="dxa"/>
            <w:vMerge/>
            <w:vAlign w:val="center"/>
          </w:tcPr>
          <w:p w14:paraId="680F6929"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57BBC834" w14:textId="77777777">
        <w:trPr>
          <w:jc w:val="center"/>
        </w:trPr>
        <w:tc>
          <w:tcPr>
            <w:tcW w:w="745" w:type="dxa"/>
            <w:vAlign w:val="center"/>
          </w:tcPr>
          <w:p w14:paraId="300B21D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11</w:t>
            </w:r>
          </w:p>
        </w:tc>
        <w:tc>
          <w:tcPr>
            <w:tcW w:w="2560" w:type="dxa"/>
            <w:vAlign w:val="center"/>
          </w:tcPr>
          <w:p w14:paraId="361D9F4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氟化物</w:t>
            </w:r>
          </w:p>
        </w:tc>
        <w:tc>
          <w:tcPr>
            <w:tcW w:w="2678" w:type="dxa"/>
            <w:vAlign w:val="center"/>
          </w:tcPr>
          <w:p w14:paraId="29752C4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≤1.0</w:t>
            </w:r>
          </w:p>
        </w:tc>
        <w:tc>
          <w:tcPr>
            <w:tcW w:w="3077" w:type="dxa"/>
            <w:vMerge/>
            <w:vAlign w:val="center"/>
          </w:tcPr>
          <w:p w14:paraId="0F30A1CC"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06FEDBDC" w14:textId="77777777">
        <w:trPr>
          <w:jc w:val="center"/>
        </w:trPr>
        <w:tc>
          <w:tcPr>
            <w:tcW w:w="745" w:type="dxa"/>
            <w:vAlign w:val="center"/>
          </w:tcPr>
          <w:p w14:paraId="59FC5C7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12</w:t>
            </w:r>
          </w:p>
        </w:tc>
        <w:tc>
          <w:tcPr>
            <w:tcW w:w="2560" w:type="dxa"/>
            <w:vAlign w:val="center"/>
          </w:tcPr>
          <w:p w14:paraId="4174187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硒</w:t>
            </w:r>
          </w:p>
        </w:tc>
        <w:tc>
          <w:tcPr>
            <w:tcW w:w="2678" w:type="dxa"/>
            <w:vAlign w:val="center"/>
          </w:tcPr>
          <w:p w14:paraId="1DDAB7B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≤0.01</w:t>
            </w:r>
          </w:p>
        </w:tc>
        <w:tc>
          <w:tcPr>
            <w:tcW w:w="3077" w:type="dxa"/>
            <w:vMerge/>
            <w:vAlign w:val="center"/>
          </w:tcPr>
          <w:p w14:paraId="6AC79DD5"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58166730" w14:textId="77777777">
        <w:trPr>
          <w:jc w:val="center"/>
        </w:trPr>
        <w:tc>
          <w:tcPr>
            <w:tcW w:w="745" w:type="dxa"/>
            <w:vAlign w:val="center"/>
          </w:tcPr>
          <w:p w14:paraId="7A45348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13</w:t>
            </w:r>
          </w:p>
        </w:tc>
        <w:tc>
          <w:tcPr>
            <w:tcW w:w="2560" w:type="dxa"/>
            <w:vAlign w:val="center"/>
          </w:tcPr>
          <w:p w14:paraId="4BFDF6D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砷</w:t>
            </w:r>
          </w:p>
        </w:tc>
        <w:tc>
          <w:tcPr>
            <w:tcW w:w="2678" w:type="dxa"/>
            <w:vAlign w:val="center"/>
          </w:tcPr>
          <w:p w14:paraId="68F2717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≤0.05</w:t>
            </w:r>
          </w:p>
        </w:tc>
        <w:tc>
          <w:tcPr>
            <w:tcW w:w="3077" w:type="dxa"/>
            <w:vMerge/>
            <w:vAlign w:val="center"/>
          </w:tcPr>
          <w:p w14:paraId="37F89FC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02CB652A" w14:textId="77777777">
        <w:trPr>
          <w:jc w:val="center"/>
        </w:trPr>
        <w:tc>
          <w:tcPr>
            <w:tcW w:w="745" w:type="dxa"/>
            <w:vAlign w:val="center"/>
          </w:tcPr>
          <w:p w14:paraId="6E818AB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14</w:t>
            </w:r>
          </w:p>
        </w:tc>
        <w:tc>
          <w:tcPr>
            <w:tcW w:w="2560" w:type="dxa"/>
            <w:vAlign w:val="center"/>
          </w:tcPr>
          <w:p w14:paraId="7AB4102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汞</w:t>
            </w:r>
          </w:p>
        </w:tc>
        <w:tc>
          <w:tcPr>
            <w:tcW w:w="2678" w:type="dxa"/>
            <w:vAlign w:val="center"/>
          </w:tcPr>
          <w:p w14:paraId="68DCC1D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≤0.0001</w:t>
            </w:r>
          </w:p>
        </w:tc>
        <w:tc>
          <w:tcPr>
            <w:tcW w:w="3077" w:type="dxa"/>
            <w:vMerge/>
            <w:vAlign w:val="center"/>
          </w:tcPr>
          <w:p w14:paraId="78056A49"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6A186361" w14:textId="77777777">
        <w:trPr>
          <w:jc w:val="center"/>
        </w:trPr>
        <w:tc>
          <w:tcPr>
            <w:tcW w:w="745" w:type="dxa"/>
            <w:vAlign w:val="center"/>
          </w:tcPr>
          <w:p w14:paraId="4FF4AC7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15</w:t>
            </w:r>
          </w:p>
        </w:tc>
        <w:tc>
          <w:tcPr>
            <w:tcW w:w="2560" w:type="dxa"/>
            <w:vAlign w:val="center"/>
          </w:tcPr>
          <w:p w14:paraId="788816A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镉</w:t>
            </w:r>
          </w:p>
        </w:tc>
        <w:tc>
          <w:tcPr>
            <w:tcW w:w="2678" w:type="dxa"/>
            <w:vAlign w:val="center"/>
          </w:tcPr>
          <w:p w14:paraId="17DA374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≤0.005</w:t>
            </w:r>
          </w:p>
        </w:tc>
        <w:tc>
          <w:tcPr>
            <w:tcW w:w="3077" w:type="dxa"/>
            <w:vMerge/>
            <w:vAlign w:val="center"/>
          </w:tcPr>
          <w:p w14:paraId="298839A6"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1108FDF3" w14:textId="77777777">
        <w:trPr>
          <w:trHeight w:val="75"/>
          <w:jc w:val="center"/>
        </w:trPr>
        <w:tc>
          <w:tcPr>
            <w:tcW w:w="745" w:type="dxa"/>
            <w:vAlign w:val="center"/>
          </w:tcPr>
          <w:p w14:paraId="44A9646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16</w:t>
            </w:r>
          </w:p>
        </w:tc>
        <w:tc>
          <w:tcPr>
            <w:tcW w:w="2560" w:type="dxa"/>
            <w:vAlign w:val="center"/>
          </w:tcPr>
          <w:p w14:paraId="317E311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六价铬</w:t>
            </w:r>
          </w:p>
        </w:tc>
        <w:tc>
          <w:tcPr>
            <w:tcW w:w="2678" w:type="dxa"/>
            <w:vAlign w:val="center"/>
          </w:tcPr>
          <w:p w14:paraId="512E1F7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≤0.05</w:t>
            </w:r>
          </w:p>
        </w:tc>
        <w:tc>
          <w:tcPr>
            <w:tcW w:w="3077" w:type="dxa"/>
            <w:vMerge/>
            <w:vAlign w:val="center"/>
          </w:tcPr>
          <w:p w14:paraId="717AD9F8"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7F44416A" w14:textId="77777777">
        <w:trPr>
          <w:trHeight w:val="75"/>
          <w:jc w:val="center"/>
        </w:trPr>
        <w:tc>
          <w:tcPr>
            <w:tcW w:w="745" w:type="dxa"/>
            <w:vAlign w:val="center"/>
          </w:tcPr>
          <w:p w14:paraId="21031AB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17</w:t>
            </w:r>
          </w:p>
        </w:tc>
        <w:tc>
          <w:tcPr>
            <w:tcW w:w="2560" w:type="dxa"/>
            <w:vAlign w:val="center"/>
          </w:tcPr>
          <w:p w14:paraId="0F23896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铅</w:t>
            </w:r>
          </w:p>
        </w:tc>
        <w:tc>
          <w:tcPr>
            <w:tcW w:w="2678" w:type="dxa"/>
            <w:vAlign w:val="center"/>
          </w:tcPr>
          <w:p w14:paraId="615A5E5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≤0.05</w:t>
            </w:r>
          </w:p>
        </w:tc>
        <w:tc>
          <w:tcPr>
            <w:tcW w:w="3077" w:type="dxa"/>
            <w:vMerge/>
            <w:vAlign w:val="center"/>
          </w:tcPr>
          <w:p w14:paraId="62E17B4E"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1D4F1944" w14:textId="77777777">
        <w:trPr>
          <w:trHeight w:val="75"/>
          <w:jc w:val="center"/>
        </w:trPr>
        <w:tc>
          <w:tcPr>
            <w:tcW w:w="745" w:type="dxa"/>
            <w:vAlign w:val="center"/>
          </w:tcPr>
          <w:p w14:paraId="788E76C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lastRenderedPageBreak/>
              <w:t>18</w:t>
            </w:r>
          </w:p>
        </w:tc>
        <w:tc>
          <w:tcPr>
            <w:tcW w:w="2560" w:type="dxa"/>
            <w:vAlign w:val="center"/>
          </w:tcPr>
          <w:p w14:paraId="0C702A2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氰化物</w:t>
            </w:r>
          </w:p>
        </w:tc>
        <w:tc>
          <w:tcPr>
            <w:tcW w:w="2678" w:type="dxa"/>
            <w:vAlign w:val="center"/>
          </w:tcPr>
          <w:p w14:paraId="460EF7D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≤0.2</w:t>
            </w:r>
          </w:p>
        </w:tc>
        <w:tc>
          <w:tcPr>
            <w:tcW w:w="3077" w:type="dxa"/>
            <w:vMerge/>
            <w:vAlign w:val="center"/>
          </w:tcPr>
          <w:p w14:paraId="474781E5"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0105AAA8" w14:textId="77777777">
        <w:trPr>
          <w:trHeight w:val="75"/>
          <w:jc w:val="center"/>
        </w:trPr>
        <w:tc>
          <w:tcPr>
            <w:tcW w:w="745" w:type="dxa"/>
            <w:vAlign w:val="center"/>
          </w:tcPr>
          <w:p w14:paraId="7E890ED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19</w:t>
            </w:r>
          </w:p>
        </w:tc>
        <w:tc>
          <w:tcPr>
            <w:tcW w:w="2560" w:type="dxa"/>
            <w:vAlign w:val="center"/>
          </w:tcPr>
          <w:p w14:paraId="6B0AE60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挥发</w:t>
            </w:r>
            <w:proofErr w:type="gramStart"/>
            <w:r>
              <w:rPr>
                <w:rFonts w:cs="Times New Roman"/>
                <w:kern w:val="21"/>
                <w:sz w:val="21"/>
                <w:szCs w:val="21"/>
              </w:rPr>
              <w:t>酚</w:t>
            </w:r>
            <w:proofErr w:type="gramEnd"/>
          </w:p>
        </w:tc>
        <w:tc>
          <w:tcPr>
            <w:tcW w:w="2678" w:type="dxa"/>
            <w:vAlign w:val="center"/>
          </w:tcPr>
          <w:p w14:paraId="1C26B27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≤0.005</w:t>
            </w:r>
          </w:p>
        </w:tc>
        <w:tc>
          <w:tcPr>
            <w:tcW w:w="3077" w:type="dxa"/>
            <w:vMerge/>
            <w:vAlign w:val="center"/>
          </w:tcPr>
          <w:p w14:paraId="1399740C"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49C8DBE1" w14:textId="77777777">
        <w:trPr>
          <w:trHeight w:val="75"/>
          <w:jc w:val="center"/>
        </w:trPr>
        <w:tc>
          <w:tcPr>
            <w:tcW w:w="745" w:type="dxa"/>
            <w:vAlign w:val="center"/>
          </w:tcPr>
          <w:p w14:paraId="5170AEA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20</w:t>
            </w:r>
          </w:p>
        </w:tc>
        <w:tc>
          <w:tcPr>
            <w:tcW w:w="2560" w:type="dxa"/>
            <w:vAlign w:val="center"/>
          </w:tcPr>
          <w:p w14:paraId="6AE8D1F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石油类</w:t>
            </w:r>
          </w:p>
        </w:tc>
        <w:tc>
          <w:tcPr>
            <w:tcW w:w="2678" w:type="dxa"/>
            <w:vAlign w:val="center"/>
          </w:tcPr>
          <w:p w14:paraId="00CB2CB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≤0.05</w:t>
            </w:r>
          </w:p>
        </w:tc>
        <w:tc>
          <w:tcPr>
            <w:tcW w:w="3077" w:type="dxa"/>
            <w:vMerge/>
            <w:vAlign w:val="center"/>
          </w:tcPr>
          <w:p w14:paraId="0D7E8534"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6A3DE7A5" w14:textId="77777777">
        <w:trPr>
          <w:trHeight w:val="75"/>
          <w:jc w:val="center"/>
        </w:trPr>
        <w:tc>
          <w:tcPr>
            <w:tcW w:w="745" w:type="dxa"/>
            <w:vAlign w:val="center"/>
          </w:tcPr>
          <w:p w14:paraId="39A830B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21</w:t>
            </w:r>
          </w:p>
        </w:tc>
        <w:tc>
          <w:tcPr>
            <w:tcW w:w="2560" w:type="dxa"/>
            <w:vAlign w:val="center"/>
          </w:tcPr>
          <w:p w14:paraId="0462139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阴离子表面活性剂</w:t>
            </w:r>
          </w:p>
        </w:tc>
        <w:tc>
          <w:tcPr>
            <w:tcW w:w="2678" w:type="dxa"/>
            <w:vAlign w:val="center"/>
          </w:tcPr>
          <w:p w14:paraId="4196F87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≤0.2</w:t>
            </w:r>
          </w:p>
        </w:tc>
        <w:tc>
          <w:tcPr>
            <w:tcW w:w="3077" w:type="dxa"/>
            <w:vMerge/>
            <w:vAlign w:val="center"/>
          </w:tcPr>
          <w:p w14:paraId="57C63722"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6D9F304A" w14:textId="77777777">
        <w:trPr>
          <w:trHeight w:val="75"/>
          <w:jc w:val="center"/>
        </w:trPr>
        <w:tc>
          <w:tcPr>
            <w:tcW w:w="745" w:type="dxa"/>
            <w:vAlign w:val="center"/>
          </w:tcPr>
          <w:p w14:paraId="63EC8C0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22</w:t>
            </w:r>
          </w:p>
        </w:tc>
        <w:tc>
          <w:tcPr>
            <w:tcW w:w="2560" w:type="dxa"/>
            <w:vAlign w:val="center"/>
          </w:tcPr>
          <w:p w14:paraId="04C5597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硫化物</w:t>
            </w:r>
          </w:p>
        </w:tc>
        <w:tc>
          <w:tcPr>
            <w:tcW w:w="2678" w:type="dxa"/>
            <w:vAlign w:val="center"/>
          </w:tcPr>
          <w:p w14:paraId="2204F68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≤0.2</w:t>
            </w:r>
          </w:p>
        </w:tc>
        <w:tc>
          <w:tcPr>
            <w:tcW w:w="3077" w:type="dxa"/>
            <w:vMerge/>
            <w:vAlign w:val="center"/>
          </w:tcPr>
          <w:p w14:paraId="33736966"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bl>
    <w:p w14:paraId="0F0C769B" w14:textId="77777777" w:rsidR="00544649" w:rsidRDefault="00000000">
      <w:pPr>
        <w:pStyle w:val="4"/>
        <w:adjustRightInd w:val="0"/>
        <w:snapToGrid w:val="0"/>
        <w:spacing w:after="0"/>
      </w:pPr>
      <w:r>
        <w:t>环境空气</w:t>
      </w:r>
    </w:p>
    <w:p w14:paraId="6C2EC530"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项目所在区域环境空气</w:t>
      </w:r>
      <w:r>
        <w:rPr>
          <w:rFonts w:cs="Times New Roman" w:hint="eastAsia"/>
          <w:kern w:val="21"/>
          <w:szCs w:val="24"/>
        </w:rPr>
        <w:t>SO</w:t>
      </w:r>
      <w:r>
        <w:rPr>
          <w:rFonts w:cs="Times New Roman"/>
          <w:kern w:val="21"/>
          <w:szCs w:val="24"/>
          <w:vertAlign w:val="subscript"/>
        </w:rPr>
        <w:t>2</w:t>
      </w:r>
      <w:r>
        <w:rPr>
          <w:rFonts w:cs="Times New Roman" w:hint="eastAsia"/>
          <w:kern w:val="21"/>
          <w:szCs w:val="24"/>
        </w:rPr>
        <w:t>、</w:t>
      </w:r>
      <w:r>
        <w:rPr>
          <w:rFonts w:cs="Times New Roman"/>
          <w:kern w:val="21"/>
          <w:szCs w:val="24"/>
        </w:rPr>
        <w:t>NO</w:t>
      </w:r>
      <w:r>
        <w:rPr>
          <w:rFonts w:cs="Times New Roman"/>
          <w:kern w:val="21"/>
          <w:szCs w:val="24"/>
          <w:vertAlign w:val="subscript"/>
        </w:rPr>
        <w:t>2</w:t>
      </w:r>
      <w:r>
        <w:rPr>
          <w:rFonts w:cs="Times New Roman" w:hint="eastAsia"/>
          <w:kern w:val="21"/>
          <w:szCs w:val="24"/>
        </w:rPr>
        <w:t>、</w:t>
      </w:r>
      <w:r>
        <w:rPr>
          <w:rFonts w:cs="Times New Roman"/>
          <w:kern w:val="21"/>
          <w:szCs w:val="24"/>
        </w:rPr>
        <w:t>PM</w:t>
      </w:r>
      <w:r>
        <w:rPr>
          <w:rFonts w:cs="Times New Roman"/>
          <w:kern w:val="21"/>
          <w:szCs w:val="24"/>
          <w:vertAlign w:val="subscript"/>
        </w:rPr>
        <w:t>10</w:t>
      </w:r>
      <w:r>
        <w:rPr>
          <w:rFonts w:cs="Times New Roman" w:hint="eastAsia"/>
          <w:kern w:val="21"/>
          <w:szCs w:val="24"/>
        </w:rPr>
        <w:t>、</w:t>
      </w:r>
      <w:r>
        <w:rPr>
          <w:rFonts w:cs="Times New Roman"/>
          <w:kern w:val="21"/>
          <w:szCs w:val="24"/>
        </w:rPr>
        <w:t>PM</w:t>
      </w:r>
      <w:r>
        <w:rPr>
          <w:rFonts w:cs="Times New Roman"/>
          <w:kern w:val="21"/>
          <w:szCs w:val="24"/>
          <w:vertAlign w:val="subscript"/>
        </w:rPr>
        <w:t>2.5</w:t>
      </w:r>
      <w:r>
        <w:rPr>
          <w:rFonts w:cs="Times New Roman" w:hint="eastAsia"/>
          <w:kern w:val="21"/>
          <w:szCs w:val="24"/>
        </w:rPr>
        <w:t>、</w:t>
      </w:r>
      <w:r>
        <w:rPr>
          <w:rFonts w:cs="Times New Roman"/>
          <w:kern w:val="21"/>
          <w:szCs w:val="24"/>
        </w:rPr>
        <w:t>CO</w:t>
      </w:r>
      <w:r>
        <w:rPr>
          <w:rFonts w:cs="Times New Roman" w:hint="eastAsia"/>
          <w:kern w:val="21"/>
          <w:szCs w:val="24"/>
        </w:rPr>
        <w:t>、</w:t>
      </w:r>
      <w:r>
        <w:rPr>
          <w:rFonts w:cs="Times New Roman"/>
          <w:kern w:val="21"/>
          <w:szCs w:val="24"/>
        </w:rPr>
        <w:t>O</w:t>
      </w:r>
      <w:r>
        <w:rPr>
          <w:rFonts w:cs="Times New Roman"/>
          <w:kern w:val="21"/>
          <w:szCs w:val="24"/>
          <w:vertAlign w:val="subscript"/>
        </w:rPr>
        <w:t>3</w:t>
      </w:r>
      <w:r>
        <w:rPr>
          <w:rFonts w:cs="Times New Roman"/>
          <w:kern w:val="21"/>
          <w:szCs w:val="24"/>
        </w:rPr>
        <w:t>执行《环境空气质量标准》（</w:t>
      </w:r>
      <w:r>
        <w:rPr>
          <w:rFonts w:cs="Times New Roman"/>
          <w:kern w:val="21"/>
          <w:szCs w:val="24"/>
        </w:rPr>
        <w:t>GB3095-2012</w:t>
      </w:r>
      <w:r>
        <w:rPr>
          <w:rFonts w:cs="Times New Roman"/>
          <w:kern w:val="21"/>
          <w:szCs w:val="24"/>
        </w:rPr>
        <w:t>）二级标准及修改单，</w:t>
      </w:r>
      <w:r>
        <w:rPr>
          <w:rFonts w:cs="Times New Roman" w:hint="eastAsia"/>
          <w:kern w:val="21"/>
          <w:szCs w:val="24"/>
        </w:rPr>
        <w:t>氨、硫化氢执行</w:t>
      </w:r>
      <w:r>
        <w:rPr>
          <w:rFonts w:cs="Times New Roman"/>
          <w:kern w:val="21"/>
          <w:szCs w:val="24"/>
        </w:rPr>
        <w:t>《环境影响评价技术导则大气环境》（</w:t>
      </w:r>
      <w:r>
        <w:rPr>
          <w:rFonts w:cs="Times New Roman"/>
          <w:kern w:val="21"/>
          <w:szCs w:val="24"/>
        </w:rPr>
        <w:t>HJ2.2-2018</w:t>
      </w:r>
      <w:r>
        <w:rPr>
          <w:rFonts w:cs="Times New Roman"/>
          <w:kern w:val="21"/>
          <w:szCs w:val="24"/>
        </w:rPr>
        <w:t>）附录</w:t>
      </w:r>
      <w:r>
        <w:rPr>
          <w:rFonts w:cs="Times New Roman"/>
          <w:kern w:val="21"/>
          <w:szCs w:val="24"/>
        </w:rPr>
        <w:t>D</w:t>
      </w:r>
      <w:r>
        <w:rPr>
          <w:rFonts w:cs="Times New Roman"/>
          <w:kern w:val="21"/>
          <w:szCs w:val="24"/>
        </w:rPr>
        <w:t>相关标准</w:t>
      </w:r>
      <w:r>
        <w:rPr>
          <w:rFonts w:cs="Times New Roman" w:hint="eastAsia"/>
          <w:kern w:val="21"/>
          <w:szCs w:val="24"/>
        </w:rPr>
        <w:t>；项目大气环境评价范围内环境空气保护目标</w:t>
      </w:r>
      <w:r>
        <w:rPr>
          <w:rFonts w:hint="eastAsia"/>
          <w:szCs w:val="24"/>
        </w:rPr>
        <w:t>“剑门蜀道国家级风景名胜区”、“剑门关地质公园”处空气质量</w:t>
      </w:r>
      <w:r>
        <w:rPr>
          <w:rFonts w:cs="Times New Roman" w:hint="eastAsia"/>
          <w:kern w:val="21"/>
          <w:szCs w:val="24"/>
        </w:rPr>
        <w:t>SO</w:t>
      </w:r>
      <w:r>
        <w:rPr>
          <w:rFonts w:cs="Times New Roman"/>
          <w:kern w:val="21"/>
          <w:szCs w:val="24"/>
          <w:vertAlign w:val="subscript"/>
        </w:rPr>
        <w:t>2</w:t>
      </w:r>
      <w:r>
        <w:rPr>
          <w:rFonts w:cs="Times New Roman" w:hint="eastAsia"/>
          <w:kern w:val="21"/>
          <w:szCs w:val="24"/>
        </w:rPr>
        <w:t>、</w:t>
      </w:r>
      <w:r>
        <w:rPr>
          <w:rFonts w:cs="Times New Roman"/>
          <w:kern w:val="21"/>
          <w:szCs w:val="24"/>
        </w:rPr>
        <w:t>NO</w:t>
      </w:r>
      <w:r>
        <w:rPr>
          <w:rFonts w:cs="Times New Roman"/>
          <w:kern w:val="21"/>
          <w:szCs w:val="24"/>
          <w:vertAlign w:val="subscript"/>
        </w:rPr>
        <w:t>2</w:t>
      </w:r>
      <w:r>
        <w:rPr>
          <w:rFonts w:cs="Times New Roman" w:hint="eastAsia"/>
          <w:kern w:val="21"/>
          <w:szCs w:val="24"/>
        </w:rPr>
        <w:t>、</w:t>
      </w:r>
      <w:r>
        <w:rPr>
          <w:rFonts w:cs="Times New Roman"/>
          <w:kern w:val="21"/>
          <w:szCs w:val="24"/>
        </w:rPr>
        <w:t>PM</w:t>
      </w:r>
      <w:r>
        <w:rPr>
          <w:rFonts w:cs="Times New Roman"/>
          <w:kern w:val="21"/>
          <w:szCs w:val="24"/>
          <w:vertAlign w:val="subscript"/>
        </w:rPr>
        <w:t>10</w:t>
      </w:r>
      <w:r>
        <w:rPr>
          <w:rFonts w:cs="Times New Roman" w:hint="eastAsia"/>
          <w:kern w:val="21"/>
          <w:szCs w:val="24"/>
        </w:rPr>
        <w:t>、</w:t>
      </w:r>
      <w:r>
        <w:rPr>
          <w:rFonts w:cs="Times New Roman"/>
          <w:kern w:val="21"/>
          <w:szCs w:val="24"/>
        </w:rPr>
        <w:t>PM</w:t>
      </w:r>
      <w:r>
        <w:rPr>
          <w:rFonts w:cs="Times New Roman"/>
          <w:kern w:val="21"/>
          <w:szCs w:val="24"/>
          <w:vertAlign w:val="subscript"/>
        </w:rPr>
        <w:t>2.5</w:t>
      </w:r>
      <w:r>
        <w:rPr>
          <w:rFonts w:cs="Times New Roman" w:hint="eastAsia"/>
          <w:kern w:val="21"/>
          <w:szCs w:val="24"/>
        </w:rPr>
        <w:t>、</w:t>
      </w:r>
      <w:r>
        <w:rPr>
          <w:rFonts w:cs="Times New Roman"/>
          <w:kern w:val="21"/>
          <w:szCs w:val="24"/>
        </w:rPr>
        <w:t>CO</w:t>
      </w:r>
      <w:r>
        <w:rPr>
          <w:rFonts w:cs="Times New Roman" w:hint="eastAsia"/>
          <w:kern w:val="21"/>
          <w:szCs w:val="24"/>
        </w:rPr>
        <w:t>、</w:t>
      </w:r>
      <w:r>
        <w:rPr>
          <w:rFonts w:cs="Times New Roman"/>
          <w:kern w:val="21"/>
          <w:szCs w:val="24"/>
        </w:rPr>
        <w:t>O</w:t>
      </w:r>
      <w:r>
        <w:rPr>
          <w:rFonts w:cs="Times New Roman"/>
          <w:kern w:val="21"/>
          <w:szCs w:val="24"/>
          <w:vertAlign w:val="subscript"/>
        </w:rPr>
        <w:t>3</w:t>
      </w:r>
      <w:r>
        <w:rPr>
          <w:rFonts w:hint="eastAsia"/>
          <w:szCs w:val="24"/>
        </w:rPr>
        <w:t>执行《环境空气质量标准》（</w:t>
      </w:r>
      <w:r>
        <w:rPr>
          <w:rFonts w:hint="eastAsia"/>
          <w:szCs w:val="24"/>
        </w:rPr>
        <w:t>GB3095-2012</w:t>
      </w:r>
      <w:r>
        <w:rPr>
          <w:rFonts w:hint="eastAsia"/>
          <w:szCs w:val="24"/>
        </w:rPr>
        <w:t>）一级标准，</w:t>
      </w:r>
      <w:r>
        <w:rPr>
          <w:rFonts w:cs="Times New Roman" w:hint="eastAsia"/>
          <w:kern w:val="21"/>
          <w:szCs w:val="24"/>
        </w:rPr>
        <w:t>氨、硫化氢执行</w:t>
      </w:r>
      <w:r>
        <w:rPr>
          <w:rFonts w:cs="Times New Roman"/>
          <w:kern w:val="21"/>
          <w:szCs w:val="24"/>
        </w:rPr>
        <w:t>《环境影响评价技术导则大气环境》（</w:t>
      </w:r>
      <w:r>
        <w:rPr>
          <w:rFonts w:cs="Times New Roman"/>
          <w:kern w:val="21"/>
          <w:szCs w:val="24"/>
        </w:rPr>
        <w:t>HJ2.2-2018</w:t>
      </w:r>
      <w:r>
        <w:rPr>
          <w:rFonts w:cs="Times New Roman"/>
          <w:kern w:val="21"/>
          <w:szCs w:val="24"/>
        </w:rPr>
        <w:t>）附录</w:t>
      </w:r>
      <w:r>
        <w:rPr>
          <w:rFonts w:cs="Times New Roman"/>
          <w:kern w:val="21"/>
          <w:szCs w:val="24"/>
        </w:rPr>
        <w:t>D</w:t>
      </w:r>
      <w:r>
        <w:rPr>
          <w:rFonts w:cs="Times New Roman"/>
          <w:kern w:val="21"/>
          <w:szCs w:val="24"/>
        </w:rPr>
        <w:t>相关标准</w:t>
      </w:r>
      <w:r>
        <w:rPr>
          <w:rFonts w:cs="Times New Roman" w:hint="eastAsia"/>
          <w:kern w:val="21"/>
          <w:szCs w:val="24"/>
        </w:rPr>
        <w:t>，</w:t>
      </w:r>
      <w:r>
        <w:rPr>
          <w:rFonts w:cs="Times New Roman"/>
          <w:kern w:val="21"/>
          <w:szCs w:val="24"/>
        </w:rPr>
        <w:t>具体如下表所示。</w:t>
      </w:r>
    </w:p>
    <w:p w14:paraId="594FBB12"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vertAlign w:val="superscript"/>
        </w:rPr>
      </w:pPr>
      <w:r>
        <w:rPr>
          <w:rFonts w:cs="Times New Roman"/>
          <w:b/>
          <w:bCs/>
          <w:kern w:val="21"/>
          <w:sz w:val="21"/>
          <w:szCs w:val="21"/>
        </w:rPr>
        <w:t>环境空气质量标准单位：</w:t>
      </w:r>
      <w:r>
        <w:rPr>
          <w:rFonts w:cs="Times New Roman"/>
          <w:b/>
          <w:bCs/>
          <w:kern w:val="21"/>
          <w:sz w:val="21"/>
          <w:szCs w:val="21"/>
        </w:rPr>
        <w:t>CO</w:t>
      </w:r>
      <w:r>
        <w:rPr>
          <w:rFonts w:cs="Times New Roman"/>
          <w:b/>
          <w:bCs/>
          <w:kern w:val="21"/>
          <w:sz w:val="21"/>
          <w:szCs w:val="21"/>
        </w:rPr>
        <w:t>为</w:t>
      </w:r>
      <w:r>
        <w:rPr>
          <w:rFonts w:cs="Times New Roman"/>
          <w:b/>
          <w:bCs/>
          <w:kern w:val="21"/>
          <w:sz w:val="21"/>
          <w:szCs w:val="21"/>
        </w:rPr>
        <w:t>mg/m</w:t>
      </w:r>
      <w:r>
        <w:rPr>
          <w:rFonts w:cs="Times New Roman"/>
          <w:b/>
          <w:bCs/>
          <w:kern w:val="21"/>
          <w:sz w:val="21"/>
          <w:szCs w:val="21"/>
          <w:vertAlign w:val="superscript"/>
        </w:rPr>
        <w:t>3</w:t>
      </w:r>
      <w:r>
        <w:rPr>
          <w:rFonts w:cs="Times New Roman"/>
          <w:b/>
          <w:bCs/>
          <w:kern w:val="21"/>
          <w:sz w:val="21"/>
          <w:szCs w:val="21"/>
        </w:rPr>
        <w:t>，其余</w:t>
      </w:r>
      <w:proofErr w:type="spellStart"/>
      <w:r>
        <w:rPr>
          <w:rFonts w:cs="Times New Roman"/>
          <w:b/>
          <w:bCs/>
          <w:kern w:val="21"/>
          <w:sz w:val="21"/>
          <w:szCs w:val="21"/>
        </w:rPr>
        <w:t>μg</w:t>
      </w:r>
      <w:proofErr w:type="spellEnd"/>
      <w:r>
        <w:rPr>
          <w:rFonts w:cs="Times New Roman"/>
          <w:b/>
          <w:bCs/>
          <w:kern w:val="21"/>
          <w:sz w:val="21"/>
          <w:szCs w:val="21"/>
        </w:rPr>
        <w:t>/m</w:t>
      </w:r>
      <w:r>
        <w:rPr>
          <w:rFonts w:cs="Times New Roman"/>
          <w:b/>
          <w:bCs/>
          <w:kern w:val="21"/>
          <w:sz w:val="21"/>
          <w:szCs w:val="21"/>
          <w:vertAlign w:val="superscript"/>
        </w:rPr>
        <w:t>3</w:t>
      </w:r>
    </w:p>
    <w:tbl>
      <w:tblPr>
        <w:tblStyle w:val="afc"/>
        <w:tblW w:w="9060" w:type="dxa"/>
        <w:tblLayout w:type="fixed"/>
        <w:tblLook w:val="04A0" w:firstRow="1" w:lastRow="0" w:firstColumn="1" w:lastColumn="0" w:noHBand="0" w:noVBand="1"/>
      </w:tblPr>
      <w:tblGrid>
        <w:gridCol w:w="507"/>
        <w:gridCol w:w="853"/>
        <w:gridCol w:w="1959"/>
        <w:gridCol w:w="1267"/>
        <w:gridCol w:w="1368"/>
        <w:gridCol w:w="3106"/>
      </w:tblGrid>
      <w:tr w:rsidR="00544649" w14:paraId="0B84E006" w14:textId="77777777">
        <w:trPr>
          <w:trHeight w:val="375"/>
        </w:trPr>
        <w:tc>
          <w:tcPr>
            <w:tcW w:w="507" w:type="dxa"/>
            <w:vMerge w:val="restart"/>
            <w:vAlign w:val="center"/>
          </w:tcPr>
          <w:p w14:paraId="62C88C76"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序号</w:t>
            </w:r>
          </w:p>
        </w:tc>
        <w:tc>
          <w:tcPr>
            <w:tcW w:w="853" w:type="dxa"/>
            <w:vMerge w:val="restart"/>
            <w:vAlign w:val="center"/>
          </w:tcPr>
          <w:p w14:paraId="42C16C6D"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污染因子</w:t>
            </w:r>
          </w:p>
        </w:tc>
        <w:tc>
          <w:tcPr>
            <w:tcW w:w="4594" w:type="dxa"/>
            <w:gridSpan w:val="3"/>
            <w:tcBorders>
              <w:bottom w:val="single" w:sz="8" w:space="0" w:color="auto"/>
            </w:tcBorders>
            <w:vAlign w:val="center"/>
          </w:tcPr>
          <w:p w14:paraId="1169581C" w14:textId="77777777" w:rsidR="00544649" w:rsidRDefault="00000000">
            <w:pPr>
              <w:pStyle w:val="affb"/>
              <w:adjustRightInd w:val="0"/>
              <w:snapToGrid w:val="0"/>
              <w:spacing w:beforeLines="20" w:before="62" w:afterLines="20" w:after="62"/>
              <w:rPr>
                <w:rFonts w:cs="Times New Roman"/>
                <w:bCs/>
                <w:color w:val="auto"/>
                <w:kern w:val="21"/>
              </w:rPr>
            </w:pPr>
            <w:r>
              <w:rPr>
                <w:rFonts w:cs="Times New Roman"/>
                <w:bCs/>
                <w:color w:val="auto"/>
                <w:kern w:val="21"/>
              </w:rPr>
              <w:t>标准值</w:t>
            </w:r>
          </w:p>
        </w:tc>
        <w:tc>
          <w:tcPr>
            <w:tcW w:w="3106" w:type="dxa"/>
            <w:vMerge w:val="restart"/>
            <w:vAlign w:val="center"/>
          </w:tcPr>
          <w:p w14:paraId="1165DABB" w14:textId="77777777" w:rsidR="00544649" w:rsidRDefault="00000000">
            <w:pPr>
              <w:pStyle w:val="affb"/>
              <w:adjustRightInd w:val="0"/>
              <w:snapToGrid w:val="0"/>
              <w:spacing w:beforeLines="20" w:before="62" w:afterLines="20" w:after="62"/>
              <w:rPr>
                <w:rFonts w:cs="Times New Roman"/>
                <w:bCs/>
                <w:color w:val="auto"/>
                <w:kern w:val="21"/>
              </w:rPr>
            </w:pPr>
            <w:r>
              <w:rPr>
                <w:rFonts w:cs="Times New Roman"/>
                <w:bCs/>
                <w:color w:val="auto"/>
                <w:kern w:val="21"/>
              </w:rPr>
              <w:t>执行标准</w:t>
            </w:r>
          </w:p>
        </w:tc>
      </w:tr>
      <w:tr w:rsidR="00544649" w14:paraId="44AE37B5" w14:textId="77777777">
        <w:trPr>
          <w:trHeight w:val="285"/>
        </w:trPr>
        <w:tc>
          <w:tcPr>
            <w:tcW w:w="507" w:type="dxa"/>
            <w:vMerge/>
            <w:vAlign w:val="center"/>
          </w:tcPr>
          <w:p w14:paraId="0393007A" w14:textId="77777777" w:rsidR="00544649" w:rsidRDefault="00544649">
            <w:pPr>
              <w:adjustRightInd w:val="0"/>
              <w:snapToGrid w:val="0"/>
              <w:spacing w:beforeLines="20" w:before="62" w:afterLines="20" w:after="62" w:line="240" w:lineRule="auto"/>
              <w:ind w:firstLineChars="0" w:firstLine="0"/>
              <w:jc w:val="center"/>
              <w:rPr>
                <w:rFonts w:cs="Times New Roman"/>
                <w:b/>
                <w:bCs/>
                <w:kern w:val="21"/>
                <w:sz w:val="21"/>
                <w:szCs w:val="21"/>
              </w:rPr>
            </w:pPr>
          </w:p>
        </w:tc>
        <w:tc>
          <w:tcPr>
            <w:tcW w:w="853" w:type="dxa"/>
            <w:vMerge/>
            <w:vAlign w:val="center"/>
          </w:tcPr>
          <w:p w14:paraId="398607EF" w14:textId="77777777" w:rsidR="00544649" w:rsidRDefault="00544649">
            <w:pPr>
              <w:adjustRightInd w:val="0"/>
              <w:snapToGrid w:val="0"/>
              <w:spacing w:beforeLines="20" w:before="62" w:afterLines="20" w:after="62" w:line="240" w:lineRule="auto"/>
              <w:ind w:firstLineChars="0" w:firstLine="0"/>
              <w:jc w:val="center"/>
              <w:rPr>
                <w:rFonts w:cs="Times New Roman"/>
                <w:b/>
                <w:bCs/>
                <w:kern w:val="21"/>
                <w:sz w:val="21"/>
                <w:szCs w:val="21"/>
              </w:rPr>
            </w:pPr>
          </w:p>
        </w:tc>
        <w:tc>
          <w:tcPr>
            <w:tcW w:w="1959" w:type="dxa"/>
            <w:tcBorders>
              <w:top w:val="single" w:sz="8" w:space="0" w:color="auto"/>
              <w:right w:val="single" w:sz="8" w:space="0" w:color="auto"/>
            </w:tcBorders>
            <w:vAlign w:val="center"/>
          </w:tcPr>
          <w:p w14:paraId="65EB3DD4" w14:textId="77777777" w:rsidR="00544649" w:rsidRDefault="00000000">
            <w:pPr>
              <w:pStyle w:val="affb"/>
              <w:adjustRightInd w:val="0"/>
              <w:snapToGrid w:val="0"/>
              <w:spacing w:beforeLines="20" w:before="62" w:afterLines="20" w:after="62"/>
              <w:rPr>
                <w:rFonts w:cs="Times New Roman"/>
                <w:bCs/>
                <w:color w:val="auto"/>
                <w:kern w:val="21"/>
              </w:rPr>
            </w:pPr>
            <w:r>
              <w:rPr>
                <w:rFonts w:cs="Times New Roman" w:hint="eastAsia"/>
                <w:bCs/>
                <w:color w:val="auto"/>
                <w:kern w:val="21"/>
              </w:rPr>
              <w:t>/</w:t>
            </w:r>
          </w:p>
        </w:tc>
        <w:tc>
          <w:tcPr>
            <w:tcW w:w="1267" w:type="dxa"/>
            <w:tcBorders>
              <w:top w:val="single" w:sz="8" w:space="0" w:color="auto"/>
              <w:left w:val="single" w:sz="8" w:space="0" w:color="auto"/>
            </w:tcBorders>
            <w:vAlign w:val="center"/>
          </w:tcPr>
          <w:p w14:paraId="0CAFDE56" w14:textId="77777777" w:rsidR="00544649" w:rsidRDefault="00000000">
            <w:pPr>
              <w:pStyle w:val="affb"/>
              <w:adjustRightInd w:val="0"/>
              <w:snapToGrid w:val="0"/>
              <w:spacing w:beforeLines="20" w:before="62" w:afterLines="20" w:after="62"/>
              <w:rPr>
                <w:rFonts w:cs="Times New Roman"/>
                <w:bCs/>
                <w:color w:val="auto"/>
                <w:kern w:val="21"/>
              </w:rPr>
            </w:pPr>
            <w:r>
              <w:rPr>
                <w:rFonts w:cs="Times New Roman" w:hint="eastAsia"/>
                <w:bCs/>
                <w:color w:val="auto"/>
                <w:kern w:val="21"/>
              </w:rPr>
              <w:t>一级</w:t>
            </w:r>
          </w:p>
        </w:tc>
        <w:tc>
          <w:tcPr>
            <w:tcW w:w="1368" w:type="dxa"/>
            <w:tcBorders>
              <w:top w:val="single" w:sz="8" w:space="0" w:color="auto"/>
            </w:tcBorders>
          </w:tcPr>
          <w:p w14:paraId="51F1476F" w14:textId="77777777" w:rsidR="00544649" w:rsidRDefault="00000000">
            <w:pPr>
              <w:pStyle w:val="affb"/>
              <w:adjustRightInd w:val="0"/>
              <w:snapToGrid w:val="0"/>
              <w:spacing w:beforeLines="20" w:before="62" w:afterLines="20" w:after="62"/>
              <w:rPr>
                <w:rFonts w:cs="Times New Roman"/>
                <w:bCs/>
                <w:color w:val="auto"/>
                <w:kern w:val="21"/>
              </w:rPr>
            </w:pPr>
            <w:r>
              <w:rPr>
                <w:rFonts w:cs="Times New Roman" w:hint="eastAsia"/>
                <w:bCs/>
                <w:color w:val="auto"/>
                <w:kern w:val="21"/>
              </w:rPr>
              <w:t>二级</w:t>
            </w:r>
          </w:p>
        </w:tc>
        <w:tc>
          <w:tcPr>
            <w:tcW w:w="3106" w:type="dxa"/>
            <w:vMerge/>
            <w:vAlign w:val="center"/>
          </w:tcPr>
          <w:p w14:paraId="304E3E06" w14:textId="77777777" w:rsidR="00544649" w:rsidRDefault="00544649">
            <w:pPr>
              <w:pStyle w:val="affb"/>
              <w:adjustRightInd w:val="0"/>
              <w:snapToGrid w:val="0"/>
              <w:spacing w:beforeLines="20" w:before="62" w:afterLines="20" w:after="62"/>
              <w:rPr>
                <w:rFonts w:cs="Times New Roman"/>
                <w:bCs/>
                <w:color w:val="auto"/>
                <w:kern w:val="21"/>
              </w:rPr>
            </w:pPr>
          </w:p>
        </w:tc>
      </w:tr>
      <w:tr w:rsidR="00544649" w14:paraId="15F1C2B5" w14:textId="77777777">
        <w:tc>
          <w:tcPr>
            <w:tcW w:w="507" w:type="dxa"/>
            <w:vMerge w:val="restart"/>
            <w:vAlign w:val="center"/>
          </w:tcPr>
          <w:p w14:paraId="6A9BF83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w:t>
            </w:r>
          </w:p>
        </w:tc>
        <w:tc>
          <w:tcPr>
            <w:tcW w:w="853" w:type="dxa"/>
            <w:vMerge w:val="restart"/>
            <w:vAlign w:val="center"/>
          </w:tcPr>
          <w:p w14:paraId="7C8D36A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SO</w:t>
            </w:r>
            <w:r>
              <w:rPr>
                <w:rFonts w:cs="Times New Roman"/>
                <w:kern w:val="21"/>
                <w:sz w:val="21"/>
                <w:szCs w:val="21"/>
                <w:vertAlign w:val="subscript"/>
              </w:rPr>
              <w:t>2</w:t>
            </w:r>
          </w:p>
        </w:tc>
        <w:tc>
          <w:tcPr>
            <w:tcW w:w="1959" w:type="dxa"/>
            <w:vAlign w:val="center"/>
          </w:tcPr>
          <w:p w14:paraId="5077AAF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年平均</w:t>
            </w:r>
          </w:p>
        </w:tc>
        <w:tc>
          <w:tcPr>
            <w:tcW w:w="1267" w:type="dxa"/>
            <w:vAlign w:val="center"/>
          </w:tcPr>
          <w:p w14:paraId="19E6CC6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20</w:t>
            </w:r>
          </w:p>
        </w:tc>
        <w:tc>
          <w:tcPr>
            <w:tcW w:w="1368" w:type="dxa"/>
            <w:vAlign w:val="center"/>
          </w:tcPr>
          <w:p w14:paraId="463B686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60</w:t>
            </w:r>
          </w:p>
        </w:tc>
        <w:tc>
          <w:tcPr>
            <w:tcW w:w="3106" w:type="dxa"/>
            <w:vMerge w:val="restart"/>
            <w:vAlign w:val="center"/>
          </w:tcPr>
          <w:p w14:paraId="701FFB1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《环境空气质量标准》（</w:t>
            </w:r>
            <w:r>
              <w:rPr>
                <w:rFonts w:cs="Times New Roman"/>
                <w:kern w:val="21"/>
                <w:sz w:val="21"/>
                <w:szCs w:val="21"/>
              </w:rPr>
              <w:t>GB3095-2012</w:t>
            </w:r>
            <w:r>
              <w:rPr>
                <w:rFonts w:cs="Times New Roman"/>
                <w:kern w:val="21"/>
                <w:sz w:val="21"/>
                <w:szCs w:val="21"/>
              </w:rPr>
              <w:t>）</w:t>
            </w:r>
          </w:p>
        </w:tc>
      </w:tr>
      <w:tr w:rsidR="00544649" w14:paraId="17BF6C71" w14:textId="77777777">
        <w:tc>
          <w:tcPr>
            <w:tcW w:w="507" w:type="dxa"/>
            <w:vMerge/>
          </w:tcPr>
          <w:p w14:paraId="76C769B3" w14:textId="77777777" w:rsidR="00544649" w:rsidRDefault="00544649">
            <w:pPr>
              <w:pStyle w:val="affb"/>
              <w:adjustRightInd w:val="0"/>
              <w:snapToGrid w:val="0"/>
              <w:spacing w:beforeLines="20" w:before="62" w:afterLines="20" w:after="62"/>
              <w:rPr>
                <w:rFonts w:cs="Times New Roman"/>
                <w:color w:val="auto"/>
                <w:kern w:val="21"/>
              </w:rPr>
            </w:pPr>
          </w:p>
        </w:tc>
        <w:tc>
          <w:tcPr>
            <w:tcW w:w="853" w:type="dxa"/>
            <w:vMerge/>
          </w:tcPr>
          <w:p w14:paraId="5B2EF0F6" w14:textId="77777777" w:rsidR="00544649" w:rsidRDefault="00544649">
            <w:pPr>
              <w:pStyle w:val="affb"/>
              <w:adjustRightInd w:val="0"/>
              <w:snapToGrid w:val="0"/>
              <w:spacing w:beforeLines="20" w:before="62" w:afterLines="20" w:after="62"/>
              <w:rPr>
                <w:rFonts w:cs="Times New Roman"/>
                <w:color w:val="auto"/>
                <w:kern w:val="21"/>
              </w:rPr>
            </w:pPr>
          </w:p>
        </w:tc>
        <w:tc>
          <w:tcPr>
            <w:tcW w:w="1959" w:type="dxa"/>
            <w:vAlign w:val="center"/>
          </w:tcPr>
          <w:p w14:paraId="32DEEDC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24</w:t>
            </w:r>
            <w:r>
              <w:rPr>
                <w:rFonts w:cs="Times New Roman"/>
                <w:kern w:val="21"/>
                <w:sz w:val="21"/>
                <w:szCs w:val="21"/>
              </w:rPr>
              <w:t>小时平均</w:t>
            </w:r>
          </w:p>
        </w:tc>
        <w:tc>
          <w:tcPr>
            <w:tcW w:w="1267" w:type="dxa"/>
            <w:vAlign w:val="center"/>
          </w:tcPr>
          <w:p w14:paraId="2D55A28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50</w:t>
            </w:r>
          </w:p>
        </w:tc>
        <w:tc>
          <w:tcPr>
            <w:tcW w:w="1368" w:type="dxa"/>
            <w:vAlign w:val="center"/>
          </w:tcPr>
          <w:p w14:paraId="49499CDD" w14:textId="77777777" w:rsidR="00544649" w:rsidRDefault="00000000">
            <w:pPr>
              <w:pStyle w:val="affb"/>
              <w:adjustRightInd w:val="0"/>
              <w:snapToGrid w:val="0"/>
              <w:spacing w:beforeLines="20" w:before="62" w:afterLines="20" w:after="62"/>
              <w:rPr>
                <w:rFonts w:cs="Times New Roman"/>
                <w:b w:val="0"/>
                <w:color w:val="auto"/>
                <w:kern w:val="21"/>
              </w:rPr>
            </w:pPr>
            <w:r>
              <w:rPr>
                <w:rFonts w:cs="Times New Roman"/>
                <w:b w:val="0"/>
                <w:color w:val="auto"/>
                <w:kern w:val="21"/>
              </w:rPr>
              <w:t>150</w:t>
            </w:r>
          </w:p>
        </w:tc>
        <w:tc>
          <w:tcPr>
            <w:tcW w:w="3106" w:type="dxa"/>
            <w:vMerge/>
          </w:tcPr>
          <w:p w14:paraId="2813B97B" w14:textId="77777777" w:rsidR="00544649" w:rsidRDefault="00544649">
            <w:pPr>
              <w:pStyle w:val="affb"/>
              <w:adjustRightInd w:val="0"/>
              <w:snapToGrid w:val="0"/>
              <w:spacing w:beforeLines="20" w:before="62" w:afterLines="20" w:after="62"/>
              <w:rPr>
                <w:rFonts w:cs="Times New Roman"/>
                <w:color w:val="auto"/>
                <w:kern w:val="21"/>
              </w:rPr>
            </w:pPr>
          </w:p>
        </w:tc>
      </w:tr>
      <w:tr w:rsidR="00544649" w14:paraId="436BD0EE" w14:textId="77777777">
        <w:tc>
          <w:tcPr>
            <w:tcW w:w="507" w:type="dxa"/>
            <w:vMerge/>
          </w:tcPr>
          <w:p w14:paraId="25AFECD7" w14:textId="77777777" w:rsidR="00544649" w:rsidRDefault="00544649">
            <w:pPr>
              <w:pStyle w:val="affb"/>
              <w:adjustRightInd w:val="0"/>
              <w:snapToGrid w:val="0"/>
              <w:spacing w:beforeLines="20" w:before="62" w:afterLines="20" w:after="62"/>
              <w:rPr>
                <w:rFonts w:cs="Times New Roman"/>
                <w:color w:val="auto"/>
                <w:kern w:val="21"/>
              </w:rPr>
            </w:pPr>
          </w:p>
        </w:tc>
        <w:tc>
          <w:tcPr>
            <w:tcW w:w="853" w:type="dxa"/>
            <w:vMerge/>
          </w:tcPr>
          <w:p w14:paraId="691DBA03" w14:textId="77777777" w:rsidR="00544649" w:rsidRDefault="00544649">
            <w:pPr>
              <w:pStyle w:val="affb"/>
              <w:adjustRightInd w:val="0"/>
              <w:snapToGrid w:val="0"/>
              <w:spacing w:beforeLines="20" w:before="62" w:afterLines="20" w:after="62"/>
              <w:rPr>
                <w:rFonts w:cs="Times New Roman"/>
                <w:color w:val="auto"/>
                <w:kern w:val="21"/>
              </w:rPr>
            </w:pPr>
          </w:p>
        </w:tc>
        <w:tc>
          <w:tcPr>
            <w:tcW w:w="1959" w:type="dxa"/>
            <w:vAlign w:val="center"/>
          </w:tcPr>
          <w:p w14:paraId="3475F0F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w:t>
            </w:r>
            <w:r>
              <w:rPr>
                <w:rFonts w:cs="Times New Roman"/>
                <w:kern w:val="21"/>
                <w:sz w:val="21"/>
                <w:szCs w:val="21"/>
              </w:rPr>
              <w:t>小时平均</w:t>
            </w:r>
          </w:p>
        </w:tc>
        <w:tc>
          <w:tcPr>
            <w:tcW w:w="1267" w:type="dxa"/>
            <w:vAlign w:val="center"/>
          </w:tcPr>
          <w:p w14:paraId="2BAAE2F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150</w:t>
            </w:r>
          </w:p>
        </w:tc>
        <w:tc>
          <w:tcPr>
            <w:tcW w:w="1368" w:type="dxa"/>
            <w:vAlign w:val="center"/>
          </w:tcPr>
          <w:p w14:paraId="55D1FB64" w14:textId="77777777" w:rsidR="00544649" w:rsidRDefault="00000000">
            <w:pPr>
              <w:pStyle w:val="affb"/>
              <w:adjustRightInd w:val="0"/>
              <w:snapToGrid w:val="0"/>
              <w:spacing w:beforeLines="20" w:before="62" w:afterLines="20" w:after="62"/>
              <w:rPr>
                <w:rFonts w:cs="Times New Roman"/>
                <w:b w:val="0"/>
                <w:color w:val="auto"/>
                <w:kern w:val="21"/>
              </w:rPr>
            </w:pPr>
            <w:r>
              <w:rPr>
                <w:rFonts w:cs="Times New Roman"/>
                <w:b w:val="0"/>
                <w:color w:val="auto"/>
                <w:kern w:val="21"/>
              </w:rPr>
              <w:t>500</w:t>
            </w:r>
          </w:p>
        </w:tc>
        <w:tc>
          <w:tcPr>
            <w:tcW w:w="3106" w:type="dxa"/>
            <w:vMerge/>
          </w:tcPr>
          <w:p w14:paraId="73A6071D" w14:textId="77777777" w:rsidR="00544649" w:rsidRDefault="00544649">
            <w:pPr>
              <w:pStyle w:val="affb"/>
              <w:adjustRightInd w:val="0"/>
              <w:snapToGrid w:val="0"/>
              <w:spacing w:beforeLines="20" w:before="62" w:afterLines="20" w:after="62"/>
              <w:rPr>
                <w:rFonts w:cs="Times New Roman"/>
                <w:color w:val="auto"/>
                <w:kern w:val="21"/>
              </w:rPr>
            </w:pPr>
          </w:p>
        </w:tc>
      </w:tr>
      <w:tr w:rsidR="00544649" w14:paraId="3832A336" w14:textId="77777777">
        <w:tc>
          <w:tcPr>
            <w:tcW w:w="507" w:type="dxa"/>
            <w:vMerge w:val="restart"/>
            <w:vAlign w:val="center"/>
          </w:tcPr>
          <w:p w14:paraId="1A3B1BC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w:t>
            </w:r>
          </w:p>
        </w:tc>
        <w:tc>
          <w:tcPr>
            <w:tcW w:w="853" w:type="dxa"/>
            <w:vMerge w:val="restart"/>
            <w:vAlign w:val="center"/>
          </w:tcPr>
          <w:p w14:paraId="68A612B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NO</w:t>
            </w:r>
            <w:r>
              <w:rPr>
                <w:rFonts w:cs="Times New Roman"/>
                <w:kern w:val="21"/>
                <w:sz w:val="21"/>
                <w:szCs w:val="21"/>
                <w:vertAlign w:val="subscript"/>
              </w:rPr>
              <w:t>2</w:t>
            </w:r>
          </w:p>
        </w:tc>
        <w:tc>
          <w:tcPr>
            <w:tcW w:w="1959" w:type="dxa"/>
            <w:vAlign w:val="center"/>
          </w:tcPr>
          <w:p w14:paraId="4628B36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年平均</w:t>
            </w:r>
          </w:p>
        </w:tc>
        <w:tc>
          <w:tcPr>
            <w:tcW w:w="1267" w:type="dxa"/>
            <w:vAlign w:val="center"/>
          </w:tcPr>
          <w:p w14:paraId="22771D6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40</w:t>
            </w:r>
          </w:p>
        </w:tc>
        <w:tc>
          <w:tcPr>
            <w:tcW w:w="1368" w:type="dxa"/>
            <w:vAlign w:val="center"/>
          </w:tcPr>
          <w:p w14:paraId="4EAEFD76" w14:textId="77777777" w:rsidR="00544649" w:rsidRDefault="00000000">
            <w:pPr>
              <w:pStyle w:val="affb"/>
              <w:adjustRightInd w:val="0"/>
              <w:snapToGrid w:val="0"/>
              <w:spacing w:beforeLines="20" w:before="62" w:afterLines="20" w:after="62"/>
              <w:rPr>
                <w:rFonts w:cs="Times New Roman"/>
                <w:b w:val="0"/>
                <w:color w:val="auto"/>
                <w:kern w:val="21"/>
              </w:rPr>
            </w:pPr>
            <w:r>
              <w:rPr>
                <w:rFonts w:cs="Times New Roman"/>
                <w:b w:val="0"/>
                <w:color w:val="auto"/>
                <w:kern w:val="21"/>
              </w:rPr>
              <w:t>40</w:t>
            </w:r>
          </w:p>
        </w:tc>
        <w:tc>
          <w:tcPr>
            <w:tcW w:w="3106" w:type="dxa"/>
            <w:vMerge/>
          </w:tcPr>
          <w:p w14:paraId="2A3E6EEF" w14:textId="77777777" w:rsidR="00544649" w:rsidRDefault="00544649">
            <w:pPr>
              <w:pStyle w:val="affb"/>
              <w:adjustRightInd w:val="0"/>
              <w:snapToGrid w:val="0"/>
              <w:spacing w:beforeLines="20" w:before="62" w:afterLines="20" w:after="62"/>
              <w:rPr>
                <w:rFonts w:cs="Times New Roman"/>
                <w:color w:val="auto"/>
                <w:kern w:val="21"/>
              </w:rPr>
            </w:pPr>
          </w:p>
        </w:tc>
      </w:tr>
      <w:tr w:rsidR="00544649" w14:paraId="1CC0C8BD" w14:textId="77777777">
        <w:tc>
          <w:tcPr>
            <w:tcW w:w="507" w:type="dxa"/>
            <w:vMerge/>
          </w:tcPr>
          <w:p w14:paraId="09AC2709" w14:textId="77777777" w:rsidR="00544649" w:rsidRDefault="00544649">
            <w:pPr>
              <w:pStyle w:val="affb"/>
              <w:adjustRightInd w:val="0"/>
              <w:snapToGrid w:val="0"/>
              <w:spacing w:beforeLines="20" w:before="62" w:afterLines="20" w:after="62"/>
              <w:rPr>
                <w:rFonts w:cs="Times New Roman"/>
                <w:color w:val="auto"/>
                <w:kern w:val="21"/>
              </w:rPr>
            </w:pPr>
          </w:p>
        </w:tc>
        <w:tc>
          <w:tcPr>
            <w:tcW w:w="853" w:type="dxa"/>
            <w:vMerge/>
          </w:tcPr>
          <w:p w14:paraId="2C6244A2" w14:textId="77777777" w:rsidR="00544649" w:rsidRDefault="00544649">
            <w:pPr>
              <w:pStyle w:val="affb"/>
              <w:adjustRightInd w:val="0"/>
              <w:snapToGrid w:val="0"/>
              <w:spacing w:beforeLines="20" w:before="62" w:afterLines="20" w:after="62"/>
              <w:rPr>
                <w:rFonts w:cs="Times New Roman"/>
                <w:color w:val="auto"/>
                <w:kern w:val="21"/>
              </w:rPr>
            </w:pPr>
          </w:p>
        </w:tc>
        <w:tc>
          <w:tcPr>
            <w:tcW w:w="1959" w:type="dxa"/>
            <w:vAlign w:val="center"/>
          </w:tcPr>
          <w:p w14:paraId="50EFD5D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24</w:t>
            </w:r>
            <w:r>
              <w:rPr>
                <w:rFonts w:cs="Times New Roman"/>
                <w:kern w:val="21"/>
                <w:sz w:val="21"/>
                <w:szCs w:val="21"/>
              </w:rPr>
              <w:t>小时平均</w:t>
            </w:r>
          </w:p>
        </w:tc>
        <w:tc>
          <w:tcPr>
            <w:tcW w:w="1267" w:type="dxa"/>
            <w:vAlign w:val="center"/>
          </w:tcPr>
          <w:p w14:paraId="1BEA7A0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80</w:t>
            </w:r>
          </w:p>
        </w:tc>
        <w:tc>
          <w:tcPr>
            <w:tcW w:w="1368" w:type="dxa"/>
            <w:vAlign w:val="center"/>
          </w:tcPr>
          <w:p w14:paraId="0D586D36" w14:textId="77777777" w:rsidR="00544649" w:rsidRDefault="00000000">
            <w:pPr>
              <w:pStyle w:val="affb"/>
              <w:adjustRightInd w:val="0"/>
              <w:snapToGrid w:val="0"/>
              <w:spacing w:beforeLines="20" w:before="62" w:afterLines="20" w:after="62"/>
              <w:rPr>
                <w:rFonts w:cs="Times New Roman"/>
                <w:b w:val="0"/>
                <w:color w:val="auto"/>
                <w:kern w:val="21"/>
              </w:rPr>
            </w:pPr>
            <w:r>
              <w:rPr>
                <w:rFonts w:cs="Times New Roman"/>
                <w:b w:val="0"/>
                <w:color w:val="auto"/>
                <w:kern w:val="21"/>
              </w:rPr>
              <w:t>80</w:t>
            </w:r>
          </w:p>
        </w:tc>
        <w:tc>
          <w:tcPr>
            <w:tcW w:w="3106" w:type="dxa"/>
            <w:vMerge/>
          </w:tcPr>
          <w:p w14:paraId="14625E1A" w14:textId="77777777" w:rsidR="00544649" w:rsidRDefault="00544649">
            <w:pPr>
              <w:pStyle w:val="affb"/>
              <w:adjustRightInd w:val="0"/>
              <w:snapToGrid w:val="0"/>
              <w:spacing w:beforeLines="20" w:before="62" w:afterLines="20" w:after="62"/>
              <w:rPr>
                <w:rFonts w:cs="Times New Roman"/>
                <w:color w:val="auto"/>
                <w:kern w:val="21"/>
              </w:rPr>
            </w:pPr>
          </w:p>
        </w:tc>
      </w:tr>
      <w:tr w:rsidR="00544649" w14:paraId="5BB30790" w14:textId="77777777">
        <w:trPr>
          <w:trHeight w:val="90"/>
        </w:trPr>
        <w:tc>
          <w:tcPr>
            <w:tcW w:w="507" w:type="dxa"/>
            <w:vMerge/>
          </w:tcPr>
          <w:p w14:paraId="2AE1C477" w14:textId="77777777" w:rsidR="00544649" w:rsidRDefault="00544649">
            <w:pPr>
              <w:pStyle w:val="affb"/>
              <w:adjustRightInd w:val="0"/>
              <w:snapToGrid w:val="0"/>
              <w:spacing w:beforeLines="20" w:before="62" w:afterLines="20" w:after="62"/>
              <w:rPr>
                <w:rFonts w:cs="Times New Roman"/>
                <w:color w:val="auto"/>
                <w:kern w:val="21"/>
              </w:rPr>
            </w:pPr>
          </w:p>
        </w:tc>
        <w:tc>
          <w:tcPr>
            <w:tcW w:w="853" w:type="dxa"/>
            <w:vMerge/>
          </w:tcPr>
          <w:p w14:paraId="323ADFD9" w14:textId="77777777" w:rsidR="00544649" w:rsidRDefault="00544649">
            <w:pPr>
              <w:pStyle w:val="affb"/>
              <w:adjustRightInd w:val="0"/>
              <w:snapToGrid w:val="0"/>
              <w:spacing w:beforeLines="20" w:before="62" w:afterLines="20" w:after="62"/>
              <w:rPr>
                <w:rFonts w:cs="Times New Roman"/>
                <w:color w:val="auto"/>
                <w:kern w:val="21"/>
              </w:rPr>
            </w:pPr>
          </w:p>
        </w:tc>
        <w:tc>
          <w:tcPr>
            <w:tcW w:w="1959" w:type="dxa"/>
            <w:vAlign w:val="center"/>
          </w:tcPr>
          <w:p w14:paraId="17AA60C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w:t>
            </w:r>
            <w:r>
              <w:rPr>
                <w:rFonts w:cs="Times New Roman"/>
                <w:kern w:val="21"/>
                <w:sz w:val="21"/>
                <w:szCs w:val="21"/>
              </w:rPr>
              <w:t>小时平均</w:t>
            </w:r>
          </w:p>
        </w:tc>
        <w:tc>
          <w:tcPr>
            <w:tcW w:w="1267" w:type="dxa"/>
            <w:vAlign w:val="center"/>
          </w:tcPr>
          <w:p w14:paraId="7E4F56B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200</w:t>
            </w:r>
          </w:p>
        </w:tc>
        <w:tc>
          <w:tcPr>
            <w:tcW w:w="1368" w:type="dxa"/>
            <w:vAlign w:val="center"/>
          </w:tcPr>
          <w:p w14:paraId="44BE423C" w14:textId="77777777" w:rsidR="00544649" w:rsidRDefault="00000000">
            <w:pPr>
              <w:pStyle w:val="affb"/>
              <w:adjustRightInd w:val="0"/>
              <w:snapToGrid w:val="0"/>
              <w:spacing w:beforeLines="20" w:before="62" w:afterLines="20" w:after="62"/>
              <w:rPr>
                <w:rFonts w:cs="Times New Roman"/>
                <w:b w:val="0"/>
                <w:color w:val="auto"/>
                <w:kern w:val="21"/>
              </w:rPr>
            </w:pPr>
            <w:r>
              <w:rPr>
                <w:rFonts w:cs="Times New Roman"/>
                <w:b w:val="0"/>
                <w:color w:val="auto"/>
                <w:kern w:val="21"/>
              </w:rPr>
              <w:t>200</w:t>
            </w:r>
          </w:p>
        </w:tc>
        <w:tc>
          <w:tcPr>
            <w:tcW w:w="3106" w:type="dxa"/>
            <w:vMerge/>
          </w:tcPr>
          <w:p w14:paraId="51FFC19A" w14:textId="77777777" w:rsidR="00544649" w:rsidRDefault="00544649">
            <w:pPr>
              <w:pStyle w:val="affb"/>
              <w:adjustRightInd w:val="0"/>
              <w:snapToGrid w:val="0"/>
              <w:spacing w:beforeLines="20" w:before="62" w:afterLines="20" w:after="62"/>
              <w:rPr>
                <w:rFonts w:cs="Times New Roman"/>
                <w:color w:val="auto"/>
                <w:kern w:val="21"/>
              </w:rPr>
            </w:pPr>
          </w:p>
        </w:tc>
      </w:tr>
      <w:tr w:rsidR="00544649" w14:paraId="2A65C9E2" w14:textId="77777777">
        <w:tc>
          <w:tcPr>
            <w:tcW w:w="507" w:type="dxa"/>
            <w:vMerge w:val="restart"/>
            <w:vAlign w:val="center"/>
          </w:tcPr>
          <w:p w14:paraId="7E35F84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3</w:t>
            </w:r>
          </w:p>
        </w:tc>
        <w:tc>
          <w:tcPr>
            <w:tcW w:w="853" w:type="dxa"/>
            <w:vMerge w:val="restart"/>
            <w:vAlign w:val="center"/>
          </w:tcPr>
          <w:p w14:paraId="7781A06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PM</w:t>
            </w:r>
            <w:r>
              <w:rPr>
                <w:rFonts w:cs="Times New Roman"/>
                <w:kern w:val="21"/>
                <w:sz w:val="21"/>
                <w:szCs w:val="21"/>
                <w:vertAlign w:val="subscript"/>
              </w:rPr>
              <w:t>10</w:t>
            </w:r>
          </w:p>
        </w:tc>
        <w:tc>
          <w:tcPr>
            <w:tcW w:w="1959" w:type="dxa"/>
            <w:vAlign w:val="center"/>
          </w:tcPr>
          <w:p w14:paraId="42F300F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年平均</w:t>
            </w:r>
          </w:p>
        </w:tc>
        <w:tc>
          <w:tcPr>
            <w:tcW w:w="1267" w:type="dxa"/>
            <w:vAlign w:val="center"/>
          </w:tcPr>
          <w:p w14:paraId="7F788EB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40</w:t>
            </w:r>
          </w:p>
        </w:tc>
        <w:tc>
          <w:tcPr>
            <w:tcW w:w="1368" w:type="dxa"/>
            <w:vAlign w:val="center"/>
          </w:tcPr>
          <w:p w14:paraId="4F0903C3" w14:textId="77777777" w:rsidR="00544649" w:rsidRDefault="00000000">
            <w:pPr>
              <w:pStyle w:val="affb"/>
              <w:adjustRightInd w:val="0"/>
              <w:snapToGrid w:val="0"/>
              <w:spacing w:beforeLines="20" w:before="62" w:afterLines="20" w:after="62"/>
              <w:rPr>
                <w:rFonts w:cs="Times New Roman"/>
                <w:b w:val="0"/>
                <w:color w:val="auto"/>
                <w:kern w:val="21"/>
              </w:rPr>
            </w:pPr>
            <w:r>
              <w:rPr>
                <w:rFonts w:cs="Times New Roman"/>
                <w:b w:val="0"/>
                <w:color w:val="auto"/>
                <w:kern w:val="21"/>
              </w:rPr>
              <w:t>70</w:t>
            </w:r>
          </w:p>
        </w:tc>
        <w:tc>
          <w:tcPr>
            <w:tcW w:w="3106" w:type="dxa"/>
            <w:vMerge/>
          </w:tcPr>
          <w:p w14:paraId="27E229AE" w14:textId="77777777" w:rsidR="00544649" w:rsidRDefault="00544649">
            <w:pPr>
              <w:pStyle w:val="affb"/>
              <w:adjustRightInd w:val="0"/>
              <w:snapToGrid w:val="0"/>
              <w:spacing w:beforeLines="20" w:before="62" w:afterLines="20" w:after="62"/>
              <w:rPr>
                <w:rFonts w:cs="Times New Roman"/>
                <w:color w:val="auto"/>
                <w:kern w:val="21"/>
              </w:rPr>
            </w:pPr>
          </w:p>
        </w:tc>
      </w:tr>
      <w:tr w:rsidR="00544649" w14:paraId="65EFCADA" w14:textId="77777777">
        <w:tc>
          <w:tcPr>
            <w:tcW w:w="507" w:type="dxa"/>
            <w:vMerge/>
          </w:tcPr>
          <w:p w14:paraId="1DFEBC7E" w14:textId="77777777" w:rsidR="00544649" w:rsidRDefault="00544649">
            <w:pPr>
              <w:pStyle w:val="affb"/>
              <w:adjustRightInd w:val="0"/>
              <w:snapToGrid w:val="0"/>
              <w:spacing w:beforeLines="20" w:before="62" w:afterLines="20" w:after="62"/>
              <w:rPr>
                <w:rFonts w:cs="Times New Roman"/>
                <w:color w:val="auto"/>
                <w:kern w:val="21"/>
              </w:rPr>
            </w:pPr>
          </w:p>
        </w:tc>
        <w:tc>
          <w:tcPr>
            <w:tcW w:w="853" w:type="dxa"/>
            <w:vMerge/>
          </w:tcPr>
          <w:p w14:paraId="5091FBFF" w14:textId="77777777" w:rsidR="00544649" w:rsidRDefault="00544649">
            <w:pPr>
              <w:pStyle w:val="affb"/>
              <w:adjustRightInd w:val="0"/>
              <w:snapToGrid w:val="0"/>
              <w:spacing w:beforeLines="20" w:before="62" w:afterLines="20" w:after="62"/>
              <w:rPr>
                <w:rFonts w:cs="Times New Roman"/>
                <w:color w:val="auto"/>
                <w:kern w:val="21"/>
              </w:rPr>
            </w:pPr>
          </w:p>
        </w:tc>
        <w:tc>
          <w:tcPr>
            <w:tcW w:w="1959" w:type="dxa"/>
            <w:vAlign w:val="center"/>
          </w:tcPr>
          <w:p w14:paraId="0B7D57C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24</w:t>
            </w:r>
            <w:r>
              <w:rPr>
                <w:rFonts w:cs="Times New Roman"/>
                <w:kern w:val="21"/>
                <w:sz w:val="21"/>
                <w:szCs w:val="21"/>
              </w:rPr>
              <w:t>小时平均</w:t>
            </w:r>
          </w:p>
        </w:tc>
        <w:tc>
          <w:tcPr>
            <w:tcW w:w="1267" w:type="dxa"/>
            <w:vAlign w:val="center"/>
          </w:tcPr>
          <w:p w14:paraId="629C531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50</w:t>
            </w:r>
          </w:p>
        </w:tc>
        <w:tc>
          <w:tcPr>
            <w:tcW w:w="1368" w:type="dxa"/>
            <w:vAlign w:val="center"/>
          </w:tcPr>
          <w:p w14:paraId="222C7A3D" w14:textId="77777777" w:rsidR="00544649" w:rsidRDefault="00000000">
            <w:pPr>
              <w:pStyle w:val="affb"/>
              <w:adjustRightInd w:val="0"/>
              <w:snapToGrid w:val="0"/>
              <w:spacing w:beforeLines="20" w:before="62" w:afterLines="20" w:after="62"/>
              <w:rPr>
                <w:rFonts w:cs="Times New Roman"/>
                <w:b w:val="0"/>
                <w:color w:val="auto"/>
                <w:kern w:val="21"/>
              </w:rPr>
            </w:pPr>
            <w:r>
              <w:rPr>
                <w:rFonts w:cs="Times New Roman"/>
                <w:b w:val="0"/>
                <w:color w:val="auto"/>
                <w:kern w:val="21"/>
              </w:rPr>
              <w:t>150</w:t>
            </w:r>
          </w:p>
        </w:tc>
        <w:tc>
          <w:tcPr>
            <w:tcW w:w="3106" w:type="dxa"/>
            <w:vMerge/>
          </w:tcPr>
          <w:p w14:paraId="1F5A4AAE" w14:textId="77777777" w:rsidR="00544649" w:rsidRDefault="00544649">
            <w:pPr>
              <w:pStyle w:val="affb"/>
              <w:adjustRightInd w:val="0"/>
              <w:snapToGrid w:val="0"/>
              <w:spacing w:beforeLines="20" w:before="62" w:afterLines="20" w:after="62"/>
              <w:rPr>
                <w:rFonts w:cs="Times New Roman"/>
                <w:color w:val="auto"/>
                <w:kern w:val="21"/>
              </w:rPr>
            </w:pPr>
          </w:p>
        </w:tc>
      </w:tr>
      <w:tr w:rsidR="00544649" w14:paraId="67936FC5" w14:textId="77777777">
        <w:tc>
          <w:tcPr>
            <w:tcW w:w="507" w:type="dxa"/>
            <w:vMerge w:val="restart"/>
            <w:vAlign w:val="center"/>
          </w:tcPr>
          <w:p w14:paraId="3B45FEA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4</w:t>
            </w:r>
          </w:p>
        </w:tc>
        <w:tc>
          <w:tcPr>
            <w:tcW w:w="853" w:type="dxa"/>
            <w:vMerge w:val="restart"/>
            <w:vAlign w:val="center"/>
          </w:tcPr>
          <w:p w14:paraId="07468D3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PM</w:t>
            </w:r>
            <w:r>
              <w:rPr>
                <w:rFonts w:cs="Times New Roman"/>
                <w:kern w:val="21"/>
                <w:sz w:val="21"/>
                <w:szCs w:val="21"/>
                <w:vertAlign w:val="subscript"/>
              </w:rPr>
              <w:t>2.5</w:t>
            </w:r>
          </w:p>
        </w:tc>
        <w:tc>
          <w:tcPr>
            <w:tcW w:w="1959" w:type="dxa"/>
            <w:vAlign w:val="center"/>
          </w:tcPr>
          <w:p w14:paraId="38A3E38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年平均</w:t>
            </w:r>
          </w:p>
        </w:tc>
        <w:tc>
          <w:tcPr>
            <w:tcW w:w="1267" w:type="dxa"/>
            <w:vAlign w:val="center"/>
          </w:tcPr>
          <w:p w14:paraId="025B76A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15</w:t>
            </w:r>
          </w:p>
        </w:tc>
        <w:tc>
          <w:tcPr>
            <w:tcW w:w="1368" w:type="dxa"/>
            <w:vAlign w:val="center"/>
          </w:tcPr>
          <w:p w14:paraId="09E38D48" w14:textId="77777777" w:rsidR="00544649" w:rsidRDefault="00000000">
            <w:pPr>
              <w:pStyle w:val="affb"/>
              <w:adjustRightInd w:val="0"/>
              <w:snapToGrid w:val="0"/>
              <w:spacing w:beforeLines="20" w:before="62" w:afterLines="20" w:after="62"/>
              <w:rPr>
                <w:rFonts w:cs="Times New Roman"/>
                <w:b w:val="0"/>
                <w:color w:val="auto"/>
                <w:kern w:val="21"/>
              </w:rPr>
            </w:pPr>
            <w:r>
              <w:rPr>
                <w:rFonts w:cs="Times New Roman"/>
                <w:b w:val="0"/>
                <w:color w:val="auto"/>
                <w:kern w:val="21"/>
              </w:rPr>
              <w:t>35</w:t>
            </w:r>
          </w:p>
        </w:tc>
        <w:tc>
          <w:tcPr>
            <w:tcW w:w="3106" w:type="dxa"/>
            <w:vMerge/>
          </w:tcPr>
          <w:p w14:paraId="79AFC7DD" w14:textId="77777777" w:rsidR="00544649" w:rsidRDefault="00544649">
            <w:pPr>
              <w:pStyle w:val="affb"/>
              <w:adjustRightInd w:val="0"/>
              <w:snapToGrid w:val="0"/>
              <w:spacing w:beforeLines="20" w:before="62" w:afterLines="20" w:after="62"/>
              <w:rPr>
                <w:rFonts w:cs="Times New Roman"/>
                <w:color w:val="auto"/>
                <w:kern w:val="21"/>
              </w:rPr>
            </w:pPr>
          </w:p>
        </w:tc>
      </w:tr>
      <w:tr w:rsidR="00544649" w14:paraId="4EC53EC2" w14:textId="77777777">
        <w:tc>
          <w:tcPr>
            <w:tcW w:w="507" w:type="dxa"/>
            <w:vMerge/>
          </w:tcPr>
          <w:p w14:paraId="1E33CB49" w14:textId="77777777" w:rsidR="00544649" w:rsidRDefault="00544649">
            <w:pPr>
              <w:pStyle w:val="affb"/>
              <w:adjustRightInd w:val="0"/>
              <w:snapToGrid w:val="0"/>
              <w:spacing w:beforeLines="20" w:before="62" w:afterLines="20" w:after="62"/>
              <w:rPr>
                <w:rFonts w:cs="Times New Roman"/>
                <w:color w:val="auto"/>
                <w:kern w:val="21"/>
              </w:rPr>
            </w:pPr>
          </w:p>
        </w:tc>
        <w:tc>
          <w:tcPr>
            <w:tcW w:w="853" w:type="dxa"/>
            <w:vMerge/>
          </w:tcPr>
          <w:p w14:paraId="440A6684" w14:textId="77777777" w:rsidR="00544649" w:rsidRDefault="00544649">
            <w:pPr>
              <w:pStyle w:val="affb"/>
              <w:adjustRightInd w:val="0"/>
              <w:snapToGrid w:val="0"/>
              <w:spacing w:beforeLines="20" w:before="62" w:afterLines="20" w:after="62"/>
              <w:rPr>
                <w:rFonts w:cs="Times New Roman"/>
                <w:color w:val="auto"/>
                <w:kern w:val="21"/>
              </w:rPr>
            </w:pPr>
          </w:p>
        </w:tc>
        <w:tc>
          <w:tcPr>
            <w:tcW w:w="1959" w:type="dxa"/>
            <w:vAlign w:val="center"/>
          </w:tcPr>
          <w:p w14:paraId="5E0BBC3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24</w:t>
            </w:r>
            <w:r>
              <w:rPr>
                <w:rFonts w:cs="Times New Roman"/>
                <w:kern w:val="21"/>
                <w:sz w:val="21"/>
                <w:szCs w:val="21"/>
              </w:rPr>
              <w:t>小时平均</w:t>
            </w:r>
          </w:p>
        </w:tc>
        <w:tc>
          <w:tcPr>
            <w:tcW w:w="1267" w:type="dxa"/>
            <w:vAlign w:val="center"/>
          </w:tcPr>
          <w:p w14:paraId="0340FAF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35</w:t>
            </w:r>
          </w:p>
        </w:tc>
        <w:tc>
          <w:tcPr>
            <w:tcW w:w="1368" w:type="dxa"/>
            <w:vAlign w:val="center"/>
          </w:tcPr>
          <w:p w14:paraId="6EE81C1C" w14:textId="77777777" w:rsidR="00544649" w:rsidRDefault="00000000">
            <w:pPr>
              <w:pStyle w:val="affb"/>
              <w:adjustRightInd w:val="0"/>
              <w:snapToGrid w:val="0"/>
              <w:spacing w:beforeLines="20" w:before="62" w:afterLines="20" w:after="62"/>
              <w:rPr>
                <w:rFonts w:cs="Times New Roman"/>
                <w:b w:val="0"/>
                <w:color w:val="auto"/>
                <w:kern w:val="21"/>
              </w:rPr>
            </w:pPr>
            <w:r>
              <w:rPr>
                <w:rFonts w:cs="Times New Roman"/>
                <w:b w:val="0"/>
                <w:color w:val="auto"/>
                <w:kern w:val="21"/>
              </w:rPr>
              <w:t>75</w:t>
            </w:r>
          </w:p>
        </w:tc>
        <w:tc>
          <w:tcPr>
            <w:tcW w:w="3106" w:type="dxa"/>
            <w:vMerge/>
          </w:tcPr>
          <w:p w14:paraId="598B443A" w14:textId="77777777" w:rsidR="00544649" w:rsidRDefault="00544649">
            <w:pPr>
              <w:pStyle w:val="affb"/>
              <w:adjustRightInd w:val="0"/>
              <w:snapToGrid w:val="0"/>
              <w:spacing w:beforeLines="20" w:before="62" w:afterLines="20" w:after="62"/>
              <w:rPr>
                <w:rFonts w:cs="Times New Roman"/>
                <w:color w:val="auto"/>
                <w:kern w:val="21"/>
              </w:rPr>
            </w:pPr>
          </w:p>
        </w:tc>
      </w:tr>
      <w:tr w:rsidR="00544649" w14:paraId="435B2964" w14:textId="77777777">
        <w:tc>
          <w:tcPr>
            <w:tcW w:w="507" w:type="dxa"/>
            <w:vMerge w:val="restart"/>
            <w:vAlign w:val="center"/>
          </w:tcPr>
          <w:p w14:paraId="0005829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5</w:t>
            </w:r>
          </w:p>
        </w:tc>
        <w:tc>
          <w:tcPr>
            <w:tcW w:w="853" w:type="dxa"/>
            <w:vMerge w:val="restart"/>
            <w:vAlign w:val="center"/>
          </w:tcPr>
          <w:p w14:paraId="6E6F230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CO</w:t>
            </w:r>
          </w:p>
        </w:tc>
        <w:tc>
          <w:tcPr>
            <w:tcW w:w="1959" w:type="dxa"/>
            <w:vAlign w:val="center"/>
          </w:tcPr>
          <w:p w14:paraId="389FDDB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w:t>
            </w:r>
            <w:r>
              <w:rPr>
                <w:rFonts w:cs="Times New Roman"/>
                <w:kern w:val="21"/>
                <w:sz w:val="21"/>
                <w:szCs w:val="21"/>
              </w:rPr>
              <w:t>小时平均</w:t>
            </w:r>
          </w:p>
        </w:tc>
        <w:tc>
          <w:tcPr>
            <w:tcW w:w="1267" w:type="dxa"/>
            <w:vAlign w:val="center"/>
          </w:tcPr>
          <w:p w14:paraId="680AC91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10</w:t>
            </w:r>
          </w:p>
        </w:tc>
        <w:tc>
          <w:tcPr>
            <w:tcW w:w="1368" w:type="dxa"/>
            <w:vAlign w:val="center"/>
          </w:tcPr>
          <w:p w14:paraId="00D270D9" w14:textId="77777777" w:rsidR="00544649" w:rsidRDefault="00000000">
            <w:pPr>
              <w:pStyle w:val="affb"/>
              <w:adjustRightInd w:val="0"/>
              <w:snapToGrid w:val="0"/>
              <w:spacing w:beforeLines="20" w:before="62" w:afterLines="20" w:after="62"/>
              <w:rPr>
                <w:rFonts w:cs="Times New Roman"/>
                <w:b w:val="0"/>
                <w:color w:val="auto"/>
                <w:kern w:val="21"/>
              </w:rPr>
            </w:pPr>
            <w:r>
              <w:rPr>
                <w:rFonts w:cs="Times New Roman"/>
                <w:b w:val="0"/>
                <w:color w:val="auto"/>
                <w:kern w:val="21"/>
              </w:rPr>
              <w:t>10</w:t>
            </w:r>
          </w:p>
        </w:tc>
        <w:tc>
          <w:tcPr>
            <w:tcW w:w="3106" w:type="dxa"/>
            <w:vMerge/>
          </w:tcPr>
          <w:p w14:paraId="243FEC5B" w14:textId="77777777" w:rsidR="00544649" w:rsidRDefault="00544649">
            <w:pPr>
              <w:pStyle w:val="affb"/>
              <w:adjustRightInd w:val="0"/>
              <w:snapToGrid w:val="0"/>
              <w:spacing w:beforeLines="20" w:before="62" w:afterLines="20" w:after="62"/>
              <w:rPr>
                <w:rFonts w:cs="Times New Roman"/>
                <w:color w:val="auto"/>
                <w:kern w:val="21"/>
              </w:rPr>
            </w:pPr>
          </w:p>
        </w:tc>
      </w:tr>
      <w:tr w:rsidR="00544649" w14:paraId="0F725882" w14:textId="77777777">
        <w:tc>
          <w:tcPr>
            <w:tcW w:w="507" w:type="dxa"/>
            <w:vMerge/>
          </w:tcPr>
          <w:p w14:paraId="1B4FA780" w14:textId="77777777" w:rsidR="00544649" w:rsidRDefault="00544649">
            <w:pPr>
              <w:pStyle w:val="affb"/>
              <w:adjustRightInd w:val="0"/>
              <w:snapToGrid w:val="0"/>
              <w:spacing w:beforeLines="20" w:before="62" w:afterLines="20" w:after="62"/>
              <w:rPr>
                <w:rFonts w:cs="Times New Roman"/>
                <w:color w:val="auto"/>
                <w:kern w:val="21"/>
              </w:rPr>
            </w:pPr>
          </w:p>
        </w:tc>
        <w:tc>
          <w:tcPr>
            <w:tcW w:w="853" w:type="dxa"/>
            <w:vMerge/>
          </w:tcPr>
          <w:p w14:paraId="59D9A447" w14:textId="77777777" w:rsidR="00544649" w:rsidRDefault="00544649">
            <w:pPr>
              <w:pStyle w:val="affb"/>
              <w:adjustRightInd w:val="0"/>
              <w:snapToGrid w:val="0"/>
              <w:spacing w:beforeLines="20" w:before="62" w:afterLines="20" w:after="62"/>
              <w:rPr>
                <w:rFonts w:cs="Times New Roman"/>
                <w:color w:val="auto"/>
                <w:kern w:val="21"/>
              </w:rPr>
            </w:pPr>
          </w:p>
        </w:tc>
        <w:tc>
          <w:tcPr>
            <w:tcW w:w="1959" w:type="dxa"/>
            <w:vAlign w:val="center"/>
          </w:tcPr>
          <w:p w14:paraId="0D801C4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24</w:t>
            </w:r>
            <w:r>
              <w:rPr>
                <w:rFonts w:cs="Times New Roman"/>
                <w:kern w:val="21"/>
                <w:sz w:val="21"/>
                <w:szCs w:val="21"/>
              </w:rPr>
              <w:t>小时平均</w:t>
            </w:r>
          </w:p>
        </w:tc>
        <w:tc>
          <w:tcPr>
            <w:tcW w:w="1267" w:type="dxa"/>
            <w:vAlign w:val="center"/>
          </w:tcPr>
          <w:p w14:paraId="06C9732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4</w:t>
            </w:r>
          </w:p>
        </w:tc>
        <w:tc>
          <w:tcPr>
            <w:tcW w:w="1368" w:type="dxa"/>
            <w:vAlign w:val="center"/>
          </w:tcPr>
          <w:p w14:paraId="7953BB8A" w14:textId="77777777" w:rsidR="00544649" w:rsidRDefault="00000000">
            <w:pPr>
              <w:pStyle w:val="affb"/>
              <w:adjustRightInd w:val="0"/>
              <w:snapToGrid w:val="0"/>
              <w:spacing w:beforeLines="20" w:before="62" w:afterLines="20" w:after="62"/>
              <w:rPr>
                <w:rFonts w:cs="Times New Roman"/>
                <w:b w:val="0"/>
                <w:color w:val="auto"/>
                <w:kern w:val="21"/>
              </w:rPr>
            </w:pPr>
            <w:r>
              <w:rPr>
                <w:rFonts w:cs="Times New Roman"/>
                <w:b w:val="0"/>
                <w:color w:val="auto"/>
                <w:kern w:val="21"/>
              </w:rPr>
              <w:t>4</w:t>
            </w:r>
          </w:p>
        </w:tc>
        <w:tc>
          <w:tcPr>
            <w:tcW w:w="3106" w:type="dxa"/>
            <w:vMerge/>
          </w:tcPr>
          <w:p w14:paraId="1C4EA08F" w14:textId="77777777" w:rsidR="00544649" w:rsidRDefault="00544649">
            <w:pPr>
              <w:pStyle w:val="affb"/>
              <w:adjustRightInd w:val="0"/>
              <w:snapToGrid w:val="0"/>
              <w:spacing w:beforeLines="20" w:before="62" w:afterLines="20" w:after="62"/>
              <w:rPr>
                <w:rFonts w:cs="Times New Roman"/>
                <w:color w:val="auto"/>
                <w:kern w:val="21"/>
              </w:rPr>
            </w:pPr>
          </w:p>
        </w:tc>
      </w:tr>
      <w:tr w:rsidR="00544649" w14:paraId="5ADC3AA9" w14:textId="77777777">
        <w:tc>
          <w:tcPr>
            <w:tcW w:w="507" w:type="dxa"/>
            <w:vMerge w:val="restart"/>
            <w:vAlign w:val="center"/>
          </w:tcPr>
          <w:p w14:paraId="30BA1C7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6</w:t>
            </w:r>
          </w:p>
        </w:tc>
        <w:tc>
          <w:tcPr>
            <w:tcW w:w="853" w:type="dxa"/>
            <w:vMerge w:val="restart"/>
            <w:vAlign w:val="center"/>
          </w:tcPr>
          <w:p w14:paraId="6EE1CAC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O</w:t>
            </w:r>
            <w:r>
              <w:rPr>
                <w:rFonts w:cs="Times New Roman"/>
                <w:kern w:val="21"/>
                <w:sz w:val="21"/>
                <w:szCs w:val="21"/>
                <w:vertAlign w:val="subscript"/>
              </w:rPr>
              <w:t>3</w:t>
            </w:r>
          </w:p>
        </w:tc>
        <w:tc>
          <w:tcPr>
            <w:tcW w:w="1959" w:type="dxa"/>
            <w:vAlign w:val="center"/>
          </w:tcPr>
          <w:p w14:paraId="672D292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日最大</w:t>
            </w:r>
            <w:r>
              <w:rPr>
                <w:rFonts w:cs="Times New Roman"/>
                <w:kern w:val="21"/>
                <w:sz w:val="21"/>
                <w:szCs w:val="21"/>
              </w:rPr>
              <w:t>8</w:t>
            </w:r>
            <w:r>
              <w:rPr>
                <w:rFonts w:cs="Times New Roman"/>
                <w:kern w:val="21"/>
                <w:sz w:val="21"/>
                <w:szCs w:val="21"/>
              </w:rPr>
              <w:t>小时平均</w:t>
            </w:r>
          </w:p>
        </w:tc>
        <w:tc>
          <w:tcPr>
            <w:tcW w:w="1267" w:type="dxa"/>
            <w:vAlign w:val="center"/>
          </w:tcPr>
          <w:p w14:paraId="4A91B15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100</w:t>
            </w:r>
          </w:p>
        </w:tc>
        <w:tc>
          <w:tcPr>
            <w:tcW w:w="1368" w:type="dxa"/>
            <w:vAlign w:val="center"/>
          </w:tcPr>
          <w:p w14:paraId="524D1219" w14:textId="77777777" w:rsidR="00544649" w:rsidRDefault="00000000">
            <w:pPr>
              <w:pStyle w:val="affb"/>
              <w:adjustRightInd w:val="0"/>
              <w:snapToGrid w:val="0"/>
              <w:spacing w:beforeLines="20" w:before="62" w:afterLines="20" w:after="62"/>
              <w:rPr>
                <w:rFonts w:cs="Times New Roman"/>
                <w:b w:val="0"/>
                <w:color w:val="auto"/>
                <w:kern w:val="21"/>
              </w:rPr>
            </w:pPr>
            <w:r>
              <w:rPr>
                <w:rFonts w:cs="Times New Roman"/>
                <w:b w:val="0"/>
                <w:color w:val="auto"/>
                <w:kern w:val="21"/>
              </w:rPr>
              <w:t>160</w:t>
            </w:r>
          </w:p>
        </w:tc>
        <w:tc>
          <w:tcPr>
            <w:tcW w:w="3106" w:type="dxa"/>
            <w:vMerge/>
          </w:tcPr>
          <w:p w14:paraId="71BC2B76" w14:textId="77777777" w:rsidR="00544649" w:rsidRDefault="00544649">
            <w:pPr>
              <w:pStyle w:val="affb"/>
              <w:adjustRightInd w:val="0"/>
              <w:snapToGrid w:val="0"/>
              <w:spacing w:beforeLines="20" w:before="62" w:afterLines="20" w:after="62"/>
              <w:rPr>
                <w:rFonts w:cs="Times New Roman"/>
                <w:color w:val="auto"/>
                <w:kern w:val="21"/>
              </w:rPr>
            </w:pPr>
          </w:p>
        </w:tc>
      </w:tr>
      <w:tr w:rsidR="00544649" w14:paraId="443E2FCC" w14:textId="77777777">
        <w:tc>
          <w:tcPr>
            <w:tcW w:w="507" w:type="dxa"/>
            <w:vMerge/>
          </w:tcPr>
          <w:p w14:paraId="4DC35BB5" w14:textId="77777777" w:rsidR="00544649" w:rsidRDefault="00544649">
            <w:pPr>
              <w:pStyle w:val="affb"/>
              <w:adjustRightInd w:val="0"/>
              <w:snapToGrid w:val="0"/>
              <w:spacing w:beforeLines="20" w:before="62" w:afterLines="20" w:after="62"/>
              <w:rPr>
                <w:rFonts w:cs="Times New Roman"/>
                <w:color w:val="auto"/>
                <w:kern w:val="21"/>
              </w:rPr>
            </w:pPr>
          </w:p>
        </w:tc>
        <w:tc>
          <w:tcPr>
            <w:tcW w:w="853" w:type="dxa"/>
            <w:vMerge/>
          </w:tcPr>
          <w:p w14:paraId="5AA20153" w14:textId="77777777" w:rsidR="00544649" w:rsidRDefault="00544649">
            <w:pPr>
              <w:pStyle w:val="affb"/>
              <w:adjustRightInd w:val="0"/>
              <w:snapToGrid w:val="0"/>
              <w:spacing w:beforeLines="20" w:before="62" w:afterLines="20" w:after="62"/>
              <w:rPr>
                <w:rFonts w:cs="Times New Roman"/>
                <w:color w:val="auto"/>
                <w:kern w:val="21"/>
              </w:rPr>
            </w:pPr>
          </w:p>
        </w:tc>
        <w:tc>
          <w:tcPr>
            <w:tcW w:w="1959" w:type="dxa"/>
            <w:vAlign w:val="center"/>
          </w:tcPr>
          <w:p w14:paraId="1419AD7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w:t>
            </w:r>
            <w:r>
              <w:rPr>
                <w:rFonts w:cs="Times New Roman"/>
                <w:kern w:val="21"/>
                <w:sz w:val="21"/>
                <w:szCs w:val="21"/>
              </w:rPr>
              <w:t>小时平均</w:t>
            </w:r>
          </w:p>
        </w:tc>
        <w:tc>
          <w:tcPr>
            <w:tcW w:w="1267" w:type="dxa"/>
            <w:vAlign w:val="center"/>
          </w:tcPr>
          <w:p w14:paraId="381F64D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160</w:t>
            </w:r>
          </w:p>
        </w:tc>
        <w:tc>
          <w:tcPr>
            <w:tcW w:w="1368" w:type="dxa"/>
            <w:vAlign w:val="center"/>
          </w:tcPr>
          <w:p w14:paraId="276BC2E7" w14:textId="77777777" w:rsidR="00544649" w:rsidRDefault="00000000">
            <w:pPr>
              <w:pStyle w:val="affb"/>
              <w:adjustRightInd w:val="0"/>
              <w:snapToGrid w:val="0"/>
              <w:spacing w:beforeLines="20" w:before="62" w:afterLines="20" w:after="62"/>
              <w:rPr>
                <w:rFonts w:cs="Times New Roman"/>
                <w:b w:val="0"/>
                <w:color w:val="auto"/>
                <w:kern w:val="21"/>
              </w:rPr>
            </w:pPr>
            <w:r>
              <w:rPr>
                <w:rFonts w:cs="Times New Roman"/>
                <w:b w:val="0"/>
                <w:color w:val="auto"/>
                <w:kern w:val="21"/>
              </w:rPr>
              <w:t>200</w:t>
            </w:r>
          </w:p>
        </w:tc>
        <w:tc>
          <w:tcPr>
            <w:tcW w:w="3106" w:type="dxa"/>
            <w:vMerge/>
          </w:tcPr>
          <w:p w14:paraId="6C20DFFF" w14:textId="77777777" w:rsidR="00544649" w:rsidRDefault="00544649">
            <w:pPr>
              <w:pStyle w:val="affb"/>
              <w:adjustRightInd w:val="0"/>
              <w:snapToGrid w:val="0"/>
              <w:spacing w:beforeLines="20" w:before="62" w:afterLines="20" w:after="62"/>
              <w:rPr>
                <w:rFonts w:cs="Times New Roman"/>
                <w:color w:val="auto"/>
                <w:kern w:val="21"/>
              </w:rPr>
            </w:pPr>
          </w:p>
        </w:tc>
      </w:tr>
      <w:tr w:rsidR="00544649" w14:paraId="0F687658" w14:textId="77777777">
        <w:tc>
          <w:tcPr>
            <w:tcW w:w="507" w:type="dxa"/>
            <w:vAlign w:val="center"/>
          </w:tcPr>
          <w:p w14:paraId="20BC902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7</w:t>
            </w:r>
          </w:p>
        </w:tc>
        <w:tc>
          <w:tcPr>
            <w:tcW w:w="853" w:type="dxa"/>
            <w:vAlign w:val="center"/>
          </w:tcPr>
          <w:p w14:paraId="7CF4243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H</w:t>
            </w:r>
            <w:r>
              <w:rPr>
                <w:rFonts w:cs="Times New Roman"/>
                <w:kern w:val="21"/>
                <w:sz w:val="21"/>
                <w:szCs w:val="21"/>
                <w:vertAlign w:val="subscript"/>
              </w:rPr>
              <w:t>2</w:t>
            </w:r>
            <w:r>
              <w:rPr>
                <w:rFonts w:cs="Times New Roman"/>
                <w:kern w:val="21"/>
                <w:sz w:val="21"/>
                <w:szCs w:val="21"/>
              </w:rPr>
              <w:t>S</w:t>
            </w:r>
          </w:p>
        </w:tc>
        <w:tc>
          <w:tcPr>
            <w:tcW w:w="1959" w:type="dxa"/>
            <w:vAlign w:val="center"/>
          </w:tcPr>
          <w:p w14:paraId="3D1DC38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w:t>
            </w:r>
            <w:r>
              <w:rPr>
                <w:rFonts w:cs="Times New Roman"/>
                <w:kern w:val="21"/>
                <w:sz w:val="21"/>
                <w:szCs w:val="21"/>
              </w:rPr>
              <w:t>小时平均</w:t>
            </w:r>
          </w:p>
        </w:tc>
        <w:tc>
          <w:tcPr>
            <w:tcW w:w="2635" w:type="dxa"/>
            <w:gridSpan w:val="2"/>
            <w:vAlign w:val="center"/>
          </w:tcPr>
          <w:p w14:paraId="39E29D0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10</w:t>
            </w:r>
          </w:p>
        </w:tc>
        <w:tc>
          <w:tcPr>
            <w:tcW w:w="3106" w:type="dxa"/>
            <w:vMerge w:val="restart"/>
            <w:vAlign w:val="center"/>
          </w:tcPr>
          <w:p w14:paraId="45B016D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《环境影响评价技术导则大气环境》（</w:t>
            </w:r>
            <w:r>
              <w:rPr>
                <w:rFonts w:cs="Times New Roman"/>
                <w:kern w:val="21"/>
                <w:sz w:val="21"/>
                <w:szCs w:val="21"/>
              </w:rPr>
              <w:t>HJ2.2-2018</w:t>
            </w:r>
            <w:r>
              <w:rPr>
                <w:rFonts w:cs="Times New Roman"/>
                <w:kern w:val="21"/>
                <w:sz w:val="21"/>
                <w:szCs w:val="21"/>
              </w:rPr>
              <w:t>）附录</w:t>
            </w:r>
            <w:r>
              <w:rPr>
                <w:rFonts w:cs="Times New Roman"/>
                <w:kern w:val="21"/>
                <w:sz w:val="21"/>
                <w:szCs w:val="21"/>
              </w:rPr>
              <w:t>D</w:t>
            </w:r>
            <w:r>
              <w:rPr>
                <w:rFonts w:cs="Times New Roman" w:hint="eastAsia"/>
                <w:kern w:val="21"/>
                <w:sz w:val="21"/>
                <w:szCs w:val="21"/>
              </w:rPr>
              <w:t>环境空气质量浓度参考限值</w:t>
            </w:r>
          </w:p>
        </w:tc>
      </w:tr>
      <w:tr w:rsidR="00544649" w14:paraId="0E997A3F" w14:textId="77777777">
        <w:tc>
          <w:tcPr>
            <w:tcW w:w="507" w:type="dxa"/>
            <w:vAlign w:val="center"/>
          </w:tcPr>
          <w:p w14:paraId="3590D1B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8</w:t>
            </w:r>
          </w:p>
        </w:tc>
        <w:tc>
          <w:tcPr>
            <w:tcW w:w="853" w:type="dxa"/>
            <w:vAlign w:val="center"/>
          </w:tcPr>
          <w:p w14:paraId="0FC9C80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NH</w:t>
            </w:r>
            <w:r>
              <w:rPr>
                <w:rFonts w:cs="Times New Roman"/>
                <w:kern w:val="21"/>
                <w:sz w:val="21"/>
                <w:szCs w:val="21"/>
                <w:vertAlign w:val="subscript"/>
              </w:rPr>
              <w:t>3</w:t>
            </w:r>
          </w:p>
        </w:tc>
        <w:tc>
          <w:tcPr>
            <w:tcW w:w="1959" w:type="dxa"/>
            <w:vAlign w:val="center"/>
          </w:tcPr>
          <w:p w14:paraId="4B0B5BA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w:t>
            </w:r>
            <w:r>
              <w:rPr>
                <w:rFonts w:cs="Times New Roman"/>
                <w:kern w:val="21"/>
                <w:sz w:val="21"/>
                <w:szCs w:val="21"/>
              </w:rPr>
              <w:t>小时平均</w:t>
            </w:r>
          </w:p>
        </w:tc>
        <w:tc>
          <w:tcPr>
            <w:tcW w:w="2635" w:type="dxa"/>
            <w:gridSpan w:val="2"/>
            <w:vAlign w:val="center"/>
          </w:tcPr>
          <w:p w14:paraId="0DC80ED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200</w:t>
            </w:r>
          </w:p>
        </w:tc>
        <w:tc>
          <w:tcPr>
            <w:tcW w:w="3106" w:type="dxa"/>
            <w:vMerge/>
            <w:vAlign w:val="center"/>
          </w:tcPr>
          <w:p w14:paraId="4EEDA9D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bl>
    <w:p w14:paraId="30F36DE6" w14:textId="77777777" w:rsidR="00544649" w:rsidRDefault="00000000">
      <w:pPr>
        <w:pStyle w:val="4"/>
        <w:adjustRightInd w:val="0"/>
        <w:snapToGrid w:val="0"/>
        <w:spacing w:after="0"/>
      </w:pPr>
      <w:r>
        <w:lastRenderedPageBreak/>
        <w:t>声环境</w:t>
      </w:r>
    </w:p>
    <w:p w14:paraId="05CBCE13" w14:textId="77777777" w:rsidR="00544649" w:rsidRDefault="00000000">
      <w:pPr>
        <w:adjustRightInd w:val="0"/>
        <w:snapToGrid w:val="0"/>
        <w:spacing w:after="0"/>
        <w:ind w:firstLine="480"/>
        <w:rPr>
          <w:rFonts w:cs="Times New Roman"/>
          <w:kern w:val="21"/>
          <w:szCs w:val="24"/>
        </w:rPr>
      </w:pPr>
      <w:r>
        <w:rPr>
          <w:rFonts w:cs="Times New Roman"/>
          <w:kern w:val="21"/>
          <w:szCs w:val="24"/>
        </w:rPr>
        <w:t>声环境质量标准执行《声环境质量标准》（</w:t>
      </w:r>
      <w:r>
        <w:rPr>
          <w:rFonts w:cs="Times New Roman"/>
          <w:kern w:val="21"/>
          <w:szCs w:val="24"/>
        </w:rPr>
        <w:t>GB3096-2008</w:t>
      </w:r>
      <w:r>
        <w:rPr>
          <w:rFonts w:cs="Times New Roman"/>
          <w:kern w:val="21"/>
          <w:szCs w:val="24"/>
        </w:rPr>
        <w:t>）中的</w:t>
      </w:r>
      <w:r>
        <w:rPr>
          <w:rFonts w:cs="Times New Roman"/>
          <w:kern w:val="21"/>
          <w:szCs w:val="24"/>
        </w:rPr>
        <w:t>2</w:t>
      </w:r>
      <w:r>
        <w:rPr>
          <w:rFonts w:cs="Times New Roman"/>
          <w:kern w:val="21"/>
          <w:szCs w:val="24"/>
        </w:rPr>
        <w:t>类标准，具体如下表所示。</w:t>
      </w:r>
    </w:p>
    <w:p w14:paraId="76AD673F" w14:textId="77777777" w:rsidR="00544649" w:rsidRDefault="00000000">
      <w:pPr>
        <w:keepNext/>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声环境质量标准单位：</w:t>
      </w:r>
      <w:r>
        <w:rPr>
          <w:rFonts w:cs="Times New Roman"/>
          <w:b/>
          <w:bCs/>
          <w:kern w:val="21"/>
          <w:sz w:val="21"/>
          <w:szCs w:val="21"/>
        </w:rPr>
        <w:t>dB</w:t>
      </w:r>
      <w:r>
        <w:rPr>
          <w:rFonts w:cs="Times New Roman"/>
          <w:b/>
          <w:bCs/>
          <w:kern w:val="21"/>
          <w:sz w:val="21"/>
          <w:szCs w:val="21"/>
        </w:rPr>
        <w:t>（</w:t>
      </w:r>
      <w:r>
        <w:rPr>
          <w:rFonts w:cs="Times New Roman"/>
          <w:b/>
          <w:bCs/>
          <w:kern w:val="21"/>
          <w:sz w:val="21"/>
          <w:szCs w:val="21"/>
        </w:rPr>
        <w:t>A</w:t>
      </w:r>
      <w:r>
        <w:rPr>
          <w:rFonts w:cs="Times New Roman"/>
          <w:b/>
          <w:bCs/>
          <w:kern w:val="21"/>
          <w:sz w:val="21"/>
          <w:szCs w:val="21"/>
        </w:rPr>
        <w:t>）</w:t>
      </w:r>
    </w:p>
    <w:tbl>
      <w:tblPr>
        <w:tblStyle w:val="afc"/>
        <w:tblW w:w="9056" w:type="dxa"/>
        <w:jc w:val="center"/>
        <w:tblLayout w:type="fixed"/>
        <w:tblLook w:val="04A0" w:firstRow="1" w:lastRow="0" w:firstColumn="1" w:lastColumn="0" w:noHBand="0" w:noVBand="1"/>
      </w:tblPr>
      <w:tblGrid>
        <w:gridCol w:w="2265"/>
        <w:gridCol w:w="2265"/>
        <w:gridCol w:w="2262"/>
        <w:gridCol w:w="2264"/>
      </w:tblGrid>
      <w:tr w:rsidR="00544649" w14:paraId="78369FA2" w14:textId="77777777">
        <w:trPr>
          <w:trHeight w:val="90"/>
          <w:tblHeader/>
          <w:jc w:val="center"/>
        </w:trPr>
        <w:tc>
          <w:tcPr>
            <w:tcW w:w="2265" w:type="dxa"/>
            <w:vMerge w:val="restart"/>
            <w:vAlign w:val="center"/>
          </w:tcPr>
          <w:p w14:paraId="755ECC80"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项目</w:t>
            </w:r>
          </w:p>
        </w:tc>
        <w:tc>
          <w:tcPr>
            <w:tcW w:w="2265" w:type="dxa"/>
            <w:vMerge w:val="restart"/>
            <w:vAlign w:val="center"/>
          </w:tcPr>
          <w:p w14:paraId="50D84B00"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执行标准类别</w:t>
            </w:r>
          </w:p>
        </w:tc>
        <w:tc>
          <w:tcPr>
            <w:tcW w:w="4526" w:type="dxa"/>
            <w:gridSpan w:val="2"/>
            <w:vAlign w:val="center"/>
          </w:tcPr>
          <w:p w14:paraId="14C22CA0"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标准值</w:t>
            </w:r>
          </w:p>
        </w:tc>
      </w:tr>
      <w:tr w:rsidR="00544649" w14:paraId="135B9E39" w14:textId="77777777">
        <w:trPr>
          <w:trHeight w:val="90"/>
          <w:tblHeader/>
          <w:jc w:val="center"/>
        </w:trPr>
        <w:tc>
          <w:tcPr>
            <w:tcW w:w="2265" w:type="dxa"/>
            <w:vMerge/>
            <w:vAlign w:val="center"/>
          </w:tcPr>
          <w:p w14:paraId="6296FBD1" w14:textId="77777777" w:rsidR="00544649" w:rsidRDefault="00544649">
            <w:pPr>
              <w:adjustRightInd w:val="0"/>
              <w:snapToGrid w:val="0"/>
              <w:spacing w:beforeLines="20" w:before="62" w:afterLines="20" w:after="62" w:line="240" w:lineRule="auto"/>
              <w:ind w:firstLineChars="0" w:firstLine="0"/>
              <w:jc w:val="center"/>
              <w:rPr>
                <w:rFonts w:cs="Times New Roman"/>
                <w:b/>
                <w:kern w:val="21"/>
                <w:sz w:val="21"/>
                <w:szCs w:val="21"/>
              </w:rPr>
            </w:pPr>
          </w:p>
        </w:tc>
        <w:tc>
          <w:tcPr>
            <w:tcW w:w="2265" w:type="dxa"/>
            <w:vMerge/>
            <w:vAlign w:val="center"/>
          </w:tcPr>
          <w:p w14:paraId="55476567" w14:textId="77777777" w:rsidR="00544649" w:rsidRDefault="00544649">
            <w:pPr>
              <w:adjustRightInd w:val="0"/>
              <w:snapToGrid w:val="0"/>
              <w:spacing w:beforeLines="20" w:before="62" w:afterLines="20" w:after="62" w:line="240" w:lineRule="auto"/>
              <w:ind w:firstLineChars="0" w:firstLine="0"/>
              <w:jc w:val="center"/>
              <w:rPr>
                <w:rFonts w:cs="Times New Roman"/>
                <w:b/>
                <w:kern w:val="21"/>
                <w:sz w:val="21"/>
                <w:szCs w:val="21"/>
              </w:rPr>
            </w:pPr>
          </w:p>
        </w:tc>
        <w:tc>
          <w:tcPr>
            <w:tcW w:w="2262" w:type="dxa"/>
            <w:vAlign w:val="center"/>
          </w:tcPr>
          <w:p w14:paraId="2F0A1083"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昼间</w:t>
            </w:r>
          </w:p>
        </w:tc>
        <w:tc>
          <w:tcPr>
            <w:tcW w:w="2264" w:type="dxa"/>
            <w:vAlign w:val="center"/>
          </w:tcPr>
          <w:p w14:paraId="3028413D"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夜间</w:t>
            </w:r>
          </w:p>
        </w:tc>
      </w:tr>
      <w:tr w:rsidR="00544649" w14:paraId="122BB0FC" w14:textId="77777777">
        <w:trPr>
          <w:trHeight w:val="90"/>
          <w:jc w:val="center"/>
        </w:trPr>
        <w:tc>
          <w:tcPr>
            <w:tcW w:w="2265" w:type="dxa"/>
            <w:vAlign w:val="center"/>
          </w:tcPr>
          <w:p w14:paraId="3CD1BB1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proofErr w:type="spellStart"/>
            <w:r>
              <w:rPr>
                <w:rFonts w:cs="Times New Roman"/>
                <w:kern w:val="21"/>
                <w:sz w:val="21"/>
                <w:szCs w:val="21"/>
              </w:rPr>
              <w:t>L</w:t>
            </w:r>
            <w:r>
              <w:rPr>
                <w:rFonts w:cs="Times New Roman"/>
                <w:kern w:val="21"/>
                <w:sz w:val="21"/>
                <w:szCs w:val="21"/>
                <w:vertAlign w:val="subscript"/>
              </w:rPr>
              <w:t>Aeq</w:t>
            </w:r>
            <w:proofErr w:type="spellEnd"/>
          </w:p>
        </w:tc>
        <w:tc>
          <w:tcPr>
            <w:tcW w:w="2265" w:type="dxa"/>
            <w:vAlign w:val="center"/>
          </w:tcPr>
          <w:p w14:paraId="5504092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w:t>
            </w:r>
            <w:r>
              <w:rPr>
                <w:rFonts w:cs="Times New Roman"/>
                <w:kern w:val="21"/>
                <w:sz w:val="21"/>
                <w:szCs w:val="21"/>
              </w:rPr>
              <w:t>类</w:t>
            </w:r>
          </w:p>
        </w:tc>
        <w:tc>
          <w:tcPr>
            <w:tcW w:w="2262" w:type="dxa"/>
            <w:vAlign w:val="center"/>
          </w:tcPr>
          <w:p w14:paraId="16E0BB5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60</w:t>
            </w:r>
          </w:p>
        </w:tc>
        <w:tc>
          <w:tcPr>
            <w:tcW w:w="2264" w:type="dxa"/>
            <w:vAlign w:val="center"/>
          </w:tcPr>
          <w:p w14:paraId="467F069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50</w:t>
            </w:r>
          </w:p>
        </w:tc>
      </w:tr>
    </w:tbl>
    <w:p w14:paraId="313171E3" w14:textId="77777777" w:rsidR="00544649" w:rsidRDefault="00000000">
      <w:pPr>
        <w:pStyle w:val="4"/>
        <w:adjustRightInd w:val="0"/>
        <w:snapToGrid w:val="0"/>
        <w:spacing w:after="0"/>
      </w:pPr>
      <w:r>
        <w:t>地下水环境</w:t>
      </w:r>
    </w:p>
    <w:p w14:paraId="50EAF019" w14:textId="77777777" w:rsidR="00544649" w:rsidRDefault="00000000">
      <w:pPr>
        <w:adjustRightInd w:val="0"/>
        <w:snapToGrid w:val="0"/>
        <w:spacing w:after="0"/>
        <w:ind w:firstLine="480"/>
        <w:rPr>
          <w:rFonts w:cs="Times New Roman"/>
          <w:kern w:val="21"/>
          <w:szCs w:val="24"/>
        </w:rPr>
      </w:pPr>
      <w:r>
        <w:rPr>
          <w:rFonts w:cs="Times New Roman"/>
          <w:kern w:val="21"/>
          <w:szCs w:val="24"/>
        </w:rPr>
        <w:t>地下水环境质量执行《地下水质量标准》（</w:t>
      </w:r>
      <w:r>
        <w:rPr>
          <w:rFonts w:cs="Times New Roman"/>
          <w:kern w:val="21"/>
          <w:szCs w:val="24"/>
        </w:rPr>
        <w:t>GB/T14848-2017</w:t>
      </w:r>
      <w:r>
        <w:rPr>
          <w:rFonts w:cs="Times New Roman"/>
          <w:kern w:val="21"/>
          <w:szCs w:val="24"/>
        </w:rPr>
        <w:t>）中的</w:t>
      </w:r>
      <w:r>
        <w:rPr>
          <w:rFonts w:cs="Times New Roman"/>
          <w:kern w:val="21"/>
          <w:szCs w:val="24"/>
        </w:rPr>
        <w:t>Ⅲ</w:t>
      </w:r>
      <w:r>
        <w:rPr>
          <w:rFonts w:cs="Times New Roman"/>
          <w:kern w:val="21"/>
          <w:szCs w:val="24"/>
        </w:rPr>
        <w:t>类标准，具体如下表所示。</w:t>
      </w:r>
    </w:p>
    <w:p w14:paraId="6009D8BB"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地下水质量标准限值单位：</w:t>
      </w:r>
      <w:r>
        <w:rPr>
          <w:rFonts w:cs="Times New Roman"/>
          <w:b/>
          <w:bCs/>
          <w:kern w:val="21"/>
          <w:sz w:val="21"/>
          <w:szCs w:val="21"/>
        </w:rPr>
        <w:t>mg/L</w:t>
      </w:r>
    </w:p>
    <w:tbl>
      <w:tblPr>
        <w:tblStyle w:val="afc"/>
        <w:tblW w:w="9060" w:type="dxa"/>
        <w:jc w:val="center"/>
        <w:tblLayout w:type="fixed"/>
        <w:tblLook w:val="04A0" w:firstRow="1" w:lastRow="0" w:firstColumn="1" w:lastColumn="0" w:noHBand="0" w:noVBand="1"/>
      </w:tblPr>
      <w:tblGrid>
        <w:gridCol w:w="870"/>
        <w:gridCol w:w="3013"/>
        <w:gridCol w:w="1506"/>
        <w:gridCol w:w="3671"/>
      </w:tblGrid>
      <w:tr w:rsidR="00544649" w14:paraId="1EA96CC0" w14:textId="77777777">
        <w:trPr>
          <w:trHeight w:val="211"/>
          <w:tblHeader/>
          <w:jc w:val="center"/>
        </w:trPr>
        <w:tc>
          <w:tcPr>
            <w:tcW w:w="870" w:type="dxa"/>
            <w:vAlign w:val="center"/>
          </w:tcPr>
          <w:p w14:paraId="74CC5C1E"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序号</w:t>
            </w:r>
          </w:p>
        </w:tc>
        <w:tc>
          <w:tcPr>
            <w:tcW w:w="3013" w:type="dxa"/>
            <w:vAlign w:val="center"/>
          </w:tcPr>
          <w:p w14:paraId="5EF6D119"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项目</w:t>
            </w:r>
          </w:p>
        </w:tc>
        <w:tc>
          <w:tcPr>
            <w:tcW w:w="1506" w:type="dxa"/>
            <w:vAlign w:val="center"/>
          </w:tcPr>
          <w:p w14:paraId="3DC0A2FE"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标准值</w:t>
            </w:r>
          </w:p>
        </w:tc>
        <w:tc>
          <w:tcPr>
            <w:tcW w:w="3671" w:type="dxa"/>
            <w:vAlign w:val="center"/>
          </w:tcPr>
          <w:p w14:paraId="2239CE3B"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执行标准</w:t>
            </w:r>
          </w:p>
        </w:tc>
      </w:tr>
      <w:tr w:rsidR="00544649" w14:paraId="59D113EE" w14:textId="77777777">
        <w:trPr>
          <w:jc w:val="center"/>
        </w:trPr>
        <w:tc>
          <w:tcPr>
            <w:tcW w:w="870" w:type="dxa"/>
            <w:vAlign w:val="center"/>
          </w:tcPr>
          <w:p w14:paraId="64BDC7E2"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w:t>
            </w:r>
          </w:p>
        </w:tc>
        <w:tc>
          <w:tcPr>
            <w:tcW w:w="3013" w:type="dxa"/>
            <w:vAlign w:val="center"/>
          </w:tcPr>
          <w:p w14:paraId="5FAA038A"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pH</w:t>
            </w:r>
            <w:r>
              <w:rPr>
                <w:rFonts w:cs="Times New Roman"/>
                <w:kern w:val="21"/>
                <w:sz w:val="21"/>
                <w:szCs w:val="21"/>
              </w:rPr>
              <w:t>（无量纲）</w:t>
            </w:r>
          </w:p>
        </w:tc>
        <w:tc>
          <w:tcPr>
            <w:tcW w:w="1506" w:type="dxa"/>
            <w:vAlign w:val="center"/>
          </w:tcPr>
          <w:p w14:paraId="1856A831"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6.5~8.5</w:t>
            </w:r>
          </w:p>
        </w:tc>
        <w:tc>
          <w:tcPr>
            <w:tcW w:w="3671" w:type="dxa"/>
            <w:vMerge w:val="restart"/>
            <w:vAlign w:val="center"/>
          </w:tcPr>
          <w:p w14:paraId="4F7F1839"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《地下水质量标准》（</w:t>
            </w:r>
            <w:r>
              <w:rPr>
                <w:rFonts w:cs="Times New Roman"/>
                <w:kern w:val="21"/>
                <w:sz w:val="21"/>
                <w:szCs w:val="21"/>
              </w:rPr>
              <w:t>GB/T14848-2017</w:t>
            </w:r>
            <w:r>
              <w:rPr>
                <w:rFonts w:cs="Times New Roman"/>
                <w:kern w:val="21"/>
                <w:sz w:val="21"/>
                <w:szCs w:val="21"/>
              </w:rPr>
              <w:t>）</w:t>
            </w:r>
            <w:r>
              <w:rPr>
                <w:rFonts w:cs="Times New Roman"/>
                <w:kern w:val="21"/>
                <w:sz w:val="21"/>
                <w:szCs w:val="21"/>
              </w:rPr>
              <w:t>Ⅲ</w:t>
            </w:r>
            <w:r>
              <w:rPr>
                <w:rFonts w:cs="Times New Roman"/>
                <w:kern w:val="21"/>
                <w:sz w:val="21"/>
                <w:szCs w:val="21"/>
              </w:rPr>
              <w:t>类标准</w:t>
            </w:r>
          </w:p>
        </w:tc>
      </w:tr>
      <w:tr w:rsidR="00544649" w14:paraId="02222461" w14:textId="77777777">
        <w:trPr>
          <w:jc w:val="center"/>
        </w:trPr>
        <w:tc>
          <w:tcPr>
            <w:tcW w:w="870" w:type="dxa"/>
            <w:vAlign w:val="center"/>
          </w:tcPr>
          <w:p w14:paraId="44F66767"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w:t>
            </w:r>
          </w:p>
        </w:tc>
        <w:tc>
          <w:tcPr>
            <w:tcW w:w="3013" w:type="dxa"/>
            <w:vAlign w:val="center"/>
          </w:tcPr>
          <w:p w14:paraId="3BE9C15F"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lang w:bidi="ar"/>
              </w:rPr>
              <w:t>氨氮</w:t>
            </w:r>
          </w:p>
        </w:tc>
        <w:tc>
          <w:tcPr>
            <w:tcW w:w="1506" w:type="dxa"/>
            <w:vAlign w:val="center"/>
          </w:tcPr>
          <w:p w14:paraId="11AC2305"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bCs/>
                <w:kern w:val="21"/>
                <w:sz w:val="21"/>
                <w:szCs w:val="21"/>
              </w:rPr>
              <w:t>0.5</w:t>
            </w:r>
          </w:p>
        </w:tc>
        <w:tc>
          <w:tcPr>
            <w:tcW w:w="3671" w:type="dxa"/>
            <w:vMerge/>
            <w:vAlign w:val="center"/>
          </w:tcPr>
          <w:p w14:paraId="13C83190"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5B00E4FC" w14:textId="77777777">
        <w:trPr>
          <w:jc w:val="center"/>
        </w:trPr>
        <w:tc>
          <w:tcPr>
            <w:tcW w:w="870" w:type="dxa"/>
            <w:vAlign w:val="center"/>
          </w:tcPr>
          <w:p w14:paraId="72DA4027"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3</w:t>
            </w:r>
          </w:p>
        </w:tc>
        <w:tc>
          <w:tcPr>
            <w:tcW w:w="3013" w:type="dxa"/>
            <w:vAlign w:val="center"/>
          </w:tcPr>
          <w:p w14:paraId="39DC0ABD"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高锰酸盐指数（耗氧量）</w:t>
            </w:r>
          </w:p>
        </w:tc>
        <w:tc>
          <w:tcPr>
            <w:tcW w:w="1506" w:type="dxa"/>
            <w:vAlign w:val="center"/>
          </w:tcPr>
          <w:p w14:paraId="4994B4B9"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bCs/>
                <w:kern w:val="21"/>
                <w:sz w:val="21"/>
                <w:szCs w:val="21"/>
              </w:rPr>
              <w:t>3.0</w:t>
            </w:r>
          </w:p>
        </w:tc>
        <w:tc>
          <w:tcPr>
            <w:tcW w:w="3671" w:type="dxa"/>
            <w:vMerge/>
            <w:vAlign w:val="center"/>
          </w:tcPr>
          <w:p w14:paraId="68E602A8"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31CE405C" w14:textId="77777777">
        <w:trPr>
          <w:jc w:val="center"/>
        </w:trPr>
        <w:tc>
          <w:tcPr>
            <w:tcW w:w="870" w:type="dxa"/>
            <w:vAlign w:val="center"/>
          </w:tcPr>
          <w:p w14:paraId="4C5D7E59"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4</w:t>
            </w:r>
          </w:p>
        </w:tc>
        <w:tc>
          <w:tcPr>
            <w:tcW w:w="3013" w:type="dxa"/>
            <w:vAlign w:val="center"/>
          </w:tcPr>
          <w:p w14:paraId="39C4FE44"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总硬度</w:t>
            </w:r>
          </w:p>
        </w:tc>
        <w:tc>
          <w:tcPr>
            <w:tcW w:w="1506" w:type="dxa"/>
            <w:vAlign w:val="center"/>
          </w:tcPr>
          <w:p w14:paraId="555B39B0"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bCs/>
                <w:kern w:val="21"/>
                <w:sz w:val="21"/>
                <w:szCs w:val="21"/>
              </w:rPr>
              <w:t>450</w:t>
            </w:r>
          </w:p>
        </w:tc>
        <w:tc>
          <w:tcPr>
            <w:tcW w:w="3671" w:type="dxa"/>
            <w:vMerge/>
            <w:vAlign w:val="center"/>
          </w:tcPr>
          <w:p w14:paraId="27C0FD9D"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231BA844" w14:textId="77777777">
        <w:trPr>
          <w:jc w:val="center"/>
        </w:trPr>
        <w:tc>
          <w:tcPr>
            <w:tcW w:w="870" w:type="dxa"/>
            <w:vAlign w:val="center"/>
          </w:tcPr>
          <w:p w14:paraId="5087D878"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5</w:t>
            </w:r>
          </w:p>
        </w:tc>
        <w:tc>
          <w:tcPr>
            <w:tcW w:w="3013" w:type="dxa"/>
            <w:vAlign w:val="center"/>
          </w:tcPr>
          <w:p w14:paraId="068865A3"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氯化物</w:t>
            </w:r>
          </w:p>
        </w:tc>
        <w:tc>
          <w:tcPr>
            <w:tcW w:w="1506" w:type="dxa"/>
            <w:vAlign w:val="center"/>
          </w:tcPr>
          <w:p w14:paraId="39AFE339"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bCs/>
                <w:kern w:val="21"/>
                <w:sz w:val="21"/>
                <w:szCs w:val="21"/>
              </w:rPr>
              <w:t>250</w:t>
            </w:r>
          </w:p>
        </w:tc>
        <w:tc>
          <w:tcPr>
            <w:tcW w:w="3671" w:type="dxa"/>
            <w:vMerge/>
            <w:vAlign w:val="center"/>
          </w:tcPr>
          <w:p w14:paraId="2BACE6B6"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132C79D3" w14:textId="77777777">
        <w:trPr>
          <w:jc w:val="center"/>
        </w:trPr>
        <w:tc>
          <w:tcPr>
            <w:tcW w:w="870" w:type="dxa"/>
            <w:vAlign w:val="center"/>
          </w:tcPr>
          <w:p w14:paraId="7712EB80"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6</w:t>
            </w:r>
          </w:p>
        </w:tc>
        <w:tc>
          <w:tcPr>
            <w:tcW w:w="3013" w:type="dxa"/>
            <w:vAlign w:val="center"/>
          </w:tcPr>
          <w:p w14:paraId="2BE1938C"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硫酸盐</w:t>
            </w:r>
          </w:p>
        </w:tc>
        <w:tc>
          <w:tcPr>
            <w:tcW w:w="1506" w:type="dxa"/>
            <w:vAlign w:val="center"/>
          </w:tcPr>
          <w:p w14:paraId="07E63A0E"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bCs/>
                <w:kern w:val="21"/>
                <w:sz w:val="21"/>
                <w:szCs w:val="21"/>
              </w:rPr>
              <w:t>250</w:t>
            </w:r>
          </w:p>
        </w:tc>
        <w:tc>
          <w:tcPr>
            <w:tcW w:w="3671" w:type="dxa"/>
            <w:vMerge/>
            <w:vAlign w:val="center"/>
          </w:tcPr>
          <w:p w14:paraId="264DD68C"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1D6673C9" w14:textId="77777777">
        <w:trPr>
          <w:trHeight w:val="90"/>
          <w:jc w:val="center"/>
        </w:trPr>
        <w:tc>
          <w:tcPr>
            <w:tcW w:w="870" w:type="dxa"/>
            <w:vAlign w:val="center"/>
          </w:tcPr>
          <w:p w14:paraId="2C4A59A3"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7</w:t>
            </w:r>
          </w:p>
        </w:tc>
        <w:tc>
          <w:tcPr>
            <w:tcW w:w="3013" w:type="dxa"/>
            <w:vAlign w:val="center"/>
          </w:tcPr>
          <w:p w14:paraId="3B5D8EB8"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碱度（</w:t>
            </w:r>
            <w:r>
              <w:rPr>
                <w:rFonts w:cs="Times New Roman"/>
                <w:kern w:val="21"/>
                <w:sz w:val="21"/>
                <w:szCs w:val="21"/>
              </w:rPr>
              <w:t>CO</w:t>
            </w:r>
            <w:r>
              <w:rPr>
                <w:rFonts w:cs="Times New Roman"/>
                <w:kern w:val="21"/>
                <w:sz w:val="21"/>
                <w:szCs w:val="21"/>
                <w:vertAlign w:val="subscript"/>
              </w:rPr>
              <w:t>3</w:t>
            </w:r>
            <w:r>
              <w:rPr>
                <w:rFonts w:cs="Times New Roman"/>
                <w:kern w:val="21"/>
                <w:sz w:val="21"/>
                <w:szCs w:val="21"/>
                <w:vertAlign w:val="superscript"/>
              </w:rPr>
              <w:t>2-</w:t>
            </w:r>
            <w:r>
              <w:rPr>
                <w:rFonts w:cs="Times New Roman"/>
                <w:kern w:val="21"/>
                <w:sz w:val="21"/>
                <w:szCs w:val="21"/>
              </w:rPr>
              <w:t>）</w:t>
            </w:r>
          </w:p>
        </w:tc>
        <w:tc>
          <w:tcPr>
            <w:tcW w:w="1506" w:type="dxa"/>
            <w:vAlign w:val="center"/>
          </w:tcPr>
          <w:p w14:paraId="0F38EDC8"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bCs/>
                <w:kern w:val="21"/>
                <w:sz w:val="21"/>
                <w:szCs w:val="21"/>
              </w:rPr>
              <w:t>/</w:t>
            </w:r>
          </w:p>
        </w:tc>
        <w:tc>
          <w:tcPr>
            <w:tcW w:w="3671" w:type="dxa"/>
            <w:vMerge/>
            <w:vAlign w:val="center"/>
          </w:tcPr>
          <w:p w14:paraId="1606C955"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41DBF137" w14:textId="77777777">
        <w:trPr>
          <w:trHeight w:val="90"/>
          <w:jc w:val="center"/>
        </w:trPr>
        <w:tc>
          <w:tcPr>
            <w:tcW w:w="870" w:type="dxa"/>
            <w:vAlign w:val="center"/>
          </w:tcPr>
          <w:p w14:paraId="7E749871"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8</w:t>
            </w:r>
          </w:p>
        </w:tc>
        <w:tc>
          <w:tcPr>
            <w:tcW w:w="3013" w:type="dxa"/>
            <w:vAlign w:val="center"/>
          </w:tcPr>
          <w:p w14:paraId="5A09309E"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碱度（</w:t>
            </w:r>
            <w:r>
              <w:rPr>
                <w:rFonts w:cs="Times New Roman"/>
                <w:kern w:val="21"/>
                <w:sz w:val="21"/>
                <w:szCs w:val="21"/>
              </w:rPr>
              <w:t>HCO</w:t>
            </w:r>
            <w:r>
              <w:rPr>
                <w:rFonts w:cs="Times New Roman"/>
                <w:kern w:val="21"/>
                <w:sz w:val="21"/>
                <w:szCs w:val="21"/>
                <w:vertAlign w:val="subscript"/>
              </w:rPr>
              <w:t>3</w:t>
            </w:r>
            <w:r>
              <w:rPr>
                <w:rFonts w:cs="Times New Roman"/>
                <w:kern w:val="21"/>
                <w:sz w:val="21"/>
                <w:szCs w:val="21"/>
                <w:vertAlign w:val="superscript"/>
              </w:rPr>
              <w:t>-</w:t>
            </w:r>
            <w:r>
              <w:rPr>
                <w:rFonts w:cs="Times New Roman"/>
                <w:kern w:val="21"/>
                <w:sz w:val="21"/>
                <w:szCs w:val="21"/>
              </w:rPr>
              <w:t>）</w:t>
            </w:r>
          </w:p>
        </w:tc>
        <w:tc>
          <w:tcPr>
            <w:tcW w:w="1506" w:type="dxa"/>
            <w:vAlign w:val="center"/>
          </w:tcPr>
          <w:p w14:paraId="2D9B0A1F"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3671" w:type="dxa"/>
            <w:vMerge/>
            <w:vAlign w:val="center"/>
          </w:tcPr>
          <w:p w14:paraId="2FE0103E"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30E640C6" w14:textId="77777777">
        <w:trPr>
          <w:jc w:val="center"/>
        </w:trPr>
        <w:tc>
          <w:tcPr>
            <w:tcW w:w="870" w:type="dxa"/>
            <w:vAlign w:val="center"/>
          </w:tcPr>
          <w:p w14:paraId="2DC1AAE4"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9</w:t>
            </w:r>
          </w:p>
        </w:tc>
        <w:tc>
          <w:tcPr>
            <w:tcW w:w="3013" w:type="dxa"/>
            <w:vAlign w:val="center"/>
          </w:tcPr>
          <w:p w14:paraId="79C5B37B"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bCs/>
                <w:kern w:val="21"/>
                <w:sz w:val="21"/>
                <w:szCs w:val="21"/>
              </w:rPr>
              <w:t>挥发</w:t>
            </w:r>
            <w:proofErr w:type="gramStart"/>
            <w:r>
              <w:rPr>
                <w:rFonts w:cs="Times New Roman"/>
                <w:bCs/>
                <w:kern w:val="21"/>
                <w:sz w:val="21"/>
                <w:szCs w:val="21"/>
              </w:rPr>
              <w:t>酚</w:t>
            </w:r>
            <w:proofErr w:type="gramEnd"/>
          </w:p>
        </w:tc>
        <w:tc>
          <w:tcPr>
            <w:tcW w:w="1506" w:type="dxa"/>
            <w:vAlign w:val="center"/>
          </w:tcPr>
          <w:p w14:paraId="308380E7"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bCs/>
                <w:kern w:val="21"/>
                <w:sz w:val="21"/>
                <w:szCs w:val="21"/>
              </w:rPr>
              <w:t>0.002</w:t>
            </w:r>
          </w:p>
        </w:tc>
        <w:tc>
          <w:tcPr>
            <w:tcW w:w="3671" w:type="dxa"/>
            <w:vMerge/>
            <w:vAlign w:val="center"/>
          </w:tcPr>
          <w:p w14:paraId="3FF4E447"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42C691E7" w14:textId="77777777">
        <w:trPr>
          <w:jc w:val="center"/>
        </w:trPr>
        <w:tc>
          <w:tcPr>
            <w:tcW w:w="870" w:type="dxa"/>
            <w:vAlign w:val="center"/>
          </w:tcPr>
          <w:p w14:paraId="0C4FC2A0"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10</w:t>
            </w:r>
          </w:p>
        </w:tc>
        <w:tc>
          <w:tcPr>
            <w:tcW w:w="3013" w:type="dxa"/>
            <w:vAlign w:val="center"/>
          </w:tcPr>
          <w:p w14:paraId="6AEA2DAB"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钾</w:t>
            </w:r>
          </w:p>
        </w:tc>
        <w:tc>
          <w:tcPr>
            <w:tcW w:w="1506" w:type="dxa"/>
            <w:vAlign w:val="center"/>
          </w:tcPr>
          <w:p w14:paraId="34E6E625"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bCs/>
                <w:kern w:val="21"/>
                <w:sz w:val="21"/>
                <w:szCs w:val="21"/>
              </w:rPr>
              <w:t>/</w:t>
            </w:r>
          </w:p>
        </w:tc>
        <w:tc>
          <w:tcPr>
            <w:tcW w:w="3671" w:type="dxa"/>
            <w:vMerge/>
            <w:vAlign w:val="center"/>
          </w:tcPr>
          <w:p w14:paraId="1917D802"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57BB120E" w14:textId="77777777">
        <w:trPr>
          <w:jc w:val="center"/>
        </w:trPr>
        <w:tc>
          <w:tcPr>
            <w:tcW w:w="870" w:type="dxa"/>
            <w:vAlign w:val="center"/>
          </w:tcPr>
          <w:p w14:paraId="56D82834"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11</w:t>
            </w:r>
          </w:p>
        </w:tc>
        <w:tc>
          <w:tcPr>
            <w:tcW w:w="3013" w:type="dxa"/>
            <w:vAlign w:val="center"/>
          </w:tcPr>
          <w:p w14:paraId="3D8B3233"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钠</w:t>
            </w:r>
          </w:p>
        </w:tc>
        <w:tc>
          <w:tcPr>
            <w:tcW w:w="1506" w:type="dxa"/>
            <w:vAlign w:val="center"/>
          </w:tcPr>
          <w:p w14:paraId="2011AA2B"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bCs/>
                <w:kern w:val="21"/>
                <w:sz w:val="21"/>
                <w:szCs w:val="21"/>
              </w:rPr>
              <w:t>200</w:t>
            </w:r>
          </w:p>
        </w:tc>
        <w:tc>
          <w:tcPr>
            <w:tcW w:w="3671" w:type="dxa"/>
            <w:vMerge/>
            <w:vAlign w:val="center"/>
          </w:tcPr>
          <w:p w14:paraId="60B9ECB7"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34D03546" w14:textId="77777777">
        <w:trPr>
          <w:jc w:val="center"/>
        </w:trPr>
        <w:tc>
          <w:tcPr>
            <w:tcW w:w="870" w:type="dxa"/>
            <w:vAlign w:val="center"/>
          </w:tcPr>
          <w:p w14:paraId="3EB07A4E"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12</w:t>
            </w:r>
          </w:p>
        </w:tc>
        <w:tc>
          <w:tcPr>
            <w:tcW w:w="3013" w:type="dxa"/>
            <w:vAlign w:val="center"/>
          </w:tcPr>
          <w:p w14:paraId="1350C64D"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钙</w:t>
            </w:r>
          </w:p>
        </w:tc>
        <w:tc>
          <w:tcPr>
            <w:tcW w:w="1506" w:type="dxa"/>
            <w:vAlign w:val="center"/>
          </w:tcPr>
          <w:p w14:paraId="1CD421C9"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bCs/>
                <w:kern w:val="21"/>
                <w:sz w:val="21"/>
                <w:szCs w:val="21"/>
              </w:rPr>
              <w:t>/</w:t>
            </w:r>
          </w:p>
        </w:tc>
        <w:tc>
          <w:tcPr>
            <w:tcW w:w="3671" w:type="dxa"/>
            <w:vMerge/>
            <w:vAlign w:val="center"/>
          </w:tcPr>
          <w:p w14:paraId="1120DD23"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025A17C3" w14:textId="77777777">
        <w:trPr>
          <w:jc w:val="center"/>
        </w:trPr>
        <w:tc>
          <w:tcPr>
            <w:tcW w:w="870" w:type="dxa"/>
            <w:vAlign w:val="center"/>
          </w:tcPr>
          <w:p w14:paraId="329882B1"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13</w:t>
            </w:r>
          </w:p>
        </w:tc>
        <w:tc>
          <w:tcPr>
            <w:tcW w:w="3013" w:type="dxa"/>
            <w:vAlign w:val="center"/>
          </w:tcPr>
          <w:p w14:paraId="1FDA85FD"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镁</w:t>
            </w:r>
          </w:p>
        </w:tc>
        <w:tc>
          <w:tcPr>
            <w:tcW w:w="1506" w:type="dxa"/>
            <w:vAlign w:val="center"/>
          </w:tcPr>
          <w:p w14:paraId="1D52EB8B"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w:t>
            </w:r>
          </w:p>
        </w:tc>
        <w:tc>
          <w:tcPr>
            <w:tcW w:w="3671" w:type="dxa"/>
            <w:vMerge/>
            <w:vAlign w:val="center"/>
          </w:tcPr>
          <w:p w14:paraId="1122E28E"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7FEB99E1" w14:textId="77777777">
        <w:trPr>
          <w:jc w:val="center"/>
        </w:trPr>
        <w:tc>
          <w:tcPr>
            <w:tcW w:w="870" w:type="dxa"/>
            <w:vAlign w:val="center"/>
          </w:tcPr>
          <w:p w14:paraId="554E53D4"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14</w:t>
            </w:r>
          </w:p>
        </w:tc>
        <w:tc>
          <w:tcPr>
            <w:tcW w:w="3013" w:type="dxa"/>
            <w:vAlign w:val="center"/>
          </w:tcPr>
          <w:p w14:paraId="38F2CA81"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铁</w:t>
            </w:r>
          </w:p>
        </w:tc>
        <w:tc>
          <w:tcPr>
            <w:tcW w:w="1506" w:type="dxa"/>
            <w:vAlign w:val="center"/>
          </w:tcPr>
          <w:p w14:paraId="554F8337"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0.3</w:t>
            </w:r>
          </w:p>
        </w:tc>
        <w:tc>
          <w:tcPr>
            <w:tcW w:w="3671" w:type="dxa"/>
            <w:vMerge/>
            <w:vAlign w:val="center"/>
          </w:tcPr>
          <w:p w14:paraId="6669B257"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4E1EC1D4" w14:textId="77777777">
        <w:trPr>
          <w:jc w:val="center"/>
        </w:trPr>
        <w:tc>
          <w:tcPr>
            <w:tcW w:w="870" w:type="dxa"/>
            <w:vAlign w:val="center"/>
          </w:tcPr>
          <w:p w14:paraId="0C7B4A9F"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15</w:t>
            </w:r>
          </w:p>
        </w:tc>
        <w:tc>
          <w:tcPr>
            <w:tcW w:w="3013" w:type="dxa"/>
            <w:vAlign w:val="center"/>
          </w:tcPr>
          <w:p w14:paraId="70EA6F3B"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锰</w:t>
            </w:r>
          </w:p>
        </w:tc>
        <w:tc>
          <w:tcPr>
            <w:tcW w:w="1506" w:type="dxa"/>
            <w:vAlign w:val="center"/>
          </w:tcPr>
          <w:p w14:paraId="6CBA107C"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0.10</w:t>
            </w:r>
          </w:p>
        </w:tc>
        <w:tc>
          <w:tcPr>
            <w:tcW w:w="3671" w:type="dxa"/>
            <w:vMerge/>
            <w:vAlign w:val="center"/>
          </w:tcPr>
          <w:p w14:paraId="39174E2C"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0F0EFEE8" w14:textId="77777777">
        <w:trPr>
          <w:jc w:val="center"/>
        </w:trPr>
        <w:tc>
          <w:tcPr>
            <w:tcW w:w="870" w:type="dxa"/>
            <w:vAlign w:val="center"/>
          </w:tcPr>
          <w:p w14:paraId="0CFEC5AC"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16</w:t>
            </w:r>
          </w:p>
        </w:tc>
        <w:tc>
          <w:tcPr>
            <w:tcW w:w="3013" w:type="dxa"/>
            <w:vAlign w:val="center"/>
          </w:tcPr>
          <w:p w14:paraId="24F2214A"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铜</w:t>
            </w:r>
          </w:p>
        </w:tc>
        <w:tc>
          <w:tcPr>
            <w:tcW w:w="1506" w:type="dxa"/>
            <w:vAlign w:val="center"/>
          </w:tcPr>
          <w:p w14:paraId="77F3EA7F"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1.00</w:t>
            </w:r>
          </w:p>
        </w:tc>
        <w:tc>
          <w:tcPr>
            <w:tcW w:w="3671" w:type="dxa"/>
            <w:vMerge/>
            <w:vAlign w:val="center"/>
          </w:tcPr>
          <w:p w14:paraId="63780970"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2192FBDF" w14:textId="77777777">
        <w:trPr>
          <w:jc w:val="center"/>
        </w:trPr>
        <w:tc>
          <w:tcPr>
            <w:tcW w:w="870" w:type="dxa"/>
            <w:vAlign w:val="center"/>
          </w:tcPr>
          <w:p w14:paraId="4D55CF5D"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17</w:t>
            </w:r>
          </w:p>
        </w:tc>
        <w:tc>
          <w:tcPr>
            <w:tcW w:w="3013" w:type="dxa"/>
            <w:vAlign w:val="center"/>
          </w:tcPr>
          <w:p w14:paraId="70010EC1"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锌</w:t>
            </w:r>
          </w:p>
        </w:tc>
        <w:tc>
          <w:tcPr>
            <w:tcW w:w="1506" w:type="dxa"/>
            <w:vAlign w:val="center"/>
          </w:tcPr>
          <w:p w14:paraId="739FF87F"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1.00</w:t>
            </w:r>
          </w:p>
        </w:tc>
        <w:tc>
          <w:tcPr>
            <w:tcW w:w="3671" w:type="dxa"/>
            <w:vMerge/>
            <w:vAlign w:val="center"/>
          </w:tcPr>
          <w:p w14:paraId="5B0D200A"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37A82308" w14:textId="77777777">
        <w:trPr>
          <w:jc w:val="center"/>
        </w:trPr>
        <w:tc>
          <w:tcPr>
            <w:tcW w:w="870" w:type="dxa"/>
            <w:vAlign w:val="center"/>
          </w:tcPr>
          <w:p w14:paraId="1ED5647E"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18</w:t>
            </w:r>
          </w:p>
        </w:tc>
        <w:tc>
          <w:tcPr>
            <w:tcW w:w="3013" w:type="dxa"/>
            <w:vAlign w:val="center"/>
          </w:tcPr>
          <w:p w14:paraId="7B7CFE60"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铝</w:t>
            </w:r>
          </w:p>
        </w:tc>
        <w:tc>
          <w:tcPr>
            <w:tcW w:w="1506" w:type="dxa"/>
            <w:vAlign w:val="center"/>
          </w:tcPr>
          <w:p w14:paraId="0537A975"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0.20</w:t>
            </w:r>
          </w:p>
        </w:tc>
        <w:tc>
          <w:tcPr>
            <w:tcW w:w="3671" w:type="dxa"/>
            <w:vMerge/>
            <w:vAlign w:val="center"/>
          </w:tcPr>
          <w:p w14:paraId="436C954A"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29FF789C" w14:textId="77777777">
        <w:trPr>
          <w:jc w:val="center"/>
        </w:trPr>
        <w:tc>
          <w:tcPr>
            <w:tcW w:w="870" w:type="dxa"/>
            <w:vAlign w:val="center"/>
          </w:tcPr>
          <w:p w14:paraId="4854BA01"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19</w:t>
            </w:r>
          </w:p>
        </w:tc>
        <w:tc>
          <w:tcPr>
            <w:tcW w:w="3013" w:type="dxa"/>
            <w:vAlign w:val="center"/>
          </w:tcPr>
          <w:p w14:paraId="757098DE"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硫化物</w:t>
            </w:r>
          </w:p>
        </w:tc>
        <w:tc>
          <w:tcPr>
            <w:tcW w:w="1506" w:type="dxa"/>
            <w:vAlign w:val="center"/>
          </w:tcPr>
          <w:p w14:paraId="7BA57B0D"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0.02</w:t>
            </w:r>
          </w:p>
        </w:tc>
        <w:tc>
          <w:tcPr>
            <w:tcW w:w="3671" w:type="dxa"/>
            <w:vMerge/>
            <w:vAlign w:val="center"/>
          </w:tcPr>
          <w:p w14:paraId="166E8C0C"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210D7E33" w14:textId="77777777">
        <w:trPr>
          <w:jc w:val="center"/>
        </w:trPr>
        <w:tc>
          <w:tcPr>
            <w:tcW w:w="870" w:type="dxa"/>
            <w:vAlign w:val="center"/>
          </w:tcPr>
          <w:p w14:paraId="48C2C0C1"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20</w:t>
            </w:r>
          </w:p>
        </w:tc>
        <w:tc>
          <w:tcPr>
            <w:tcW w:w="3013" w:type="dxa"/>
            <w:vAlign w:val="center"/>
          </w:tcPr>
          <w:p w14:paraId="72697BE9"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总大肠菌群（</w:t>
            </w:r>
            <w:r>
              <w:rPr>
                <w:rFonts w:cs="Times New Roman"/>
                <w:kern w:val="21"/>
                <w:sz w:val="21"/>
                <w:szCs w:val="21"/>
              </w:rPr>
              <w:t>MPN/100mL</w:t>
            </w:r>
            <w:r>
              <w:rPr>
                <w:rFonts w:cs="Times New Roman"/>
                <w:kern w:val="21"/>
                <w:sz w:val="21"/>
                <w:szCs w:val="21"/>
              </w:rPr>
              <w:t>）</w:t>
            </w:r>
          </w:p>
        </w:tc>
        <w:tc>
          <w:tcPr>
            <w:tcW w:w="1506" w:type="dxa"/>
            <w:vAlign w:val="center"/>
          </w:tcPr>
          <w:p w14:paraId="53C384A4"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3.0</w:t>
            </w:r>
          </w:p>
        </w:tc>
        <w:tc>
          <w:tcPr>
            <w:tcW w:w="3671" w:type="dxa"/>
            <w:vMerge/>
            <w:vAlign w:val="center"/>
          </w:tcPr>
          <w:p w14:paraId="0EC4701B"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48A199F8" w14:textId="77777777">
        <w:trPr>
          <w:jc w:val="center"/>
        </w:trPr>
        <w:tc>
          <w:tcPr>
            <w:tcW w:w="870" w:type="dxa"/>
            <w:vAlign w:val="center"/>
          </w:tcPr>
          <w:p w14:paraId="1DAF1B75"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21</w:t>
            </w:r>
          </w:p>
        </w:tc>
        <w:tc>
          <w:tcPr>
            <w:tcW w:w="3013" w:type="dxa"/>
            <w:vAlign w:val="center"/>
          </w:tcPr>
          <w:p w14:paraId="61BD226E"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亚硝酸盐</w:t>
            </w:r>
          </w:p>
        </w:tc>
        <w:tc>
          <w:tcPr>
            <w:tcW w:w="1506" w:type="dxa"/>
            <w:vAlign w:val="center"/>
          </w:tcPr>
          <w:p w14:paraId="2FDEC861"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1.00</w:t>
            </w:r>
          </w:p>
        </w:tc>
        <w:tc>
          <w:tcPr>
            <w:tcW w:w="3671" w:type="dxa"/>
            <w:vMerge/>
            <w:vAlign w:val="center"/>
          </w:tcPr>
          <w:p w14:paraId="10B9F2BB"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5550D4E4" w14:textId="77777777">
        <w:trPr>
          <w:jc w:val="center"/>
        </w:trPr>
        <w:tc>
          <w:tcPr>
            <w:tcW w:w="870" w:type="dxa"/>
            <w:vAlign w:val="center"/>
          </w:tcPr>
          <w:p w14:paraId="7A9C951C"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22</w:t>
            </w:r>
          </w:p>
        </w:tc>
        <w:tc>
          <w:tcPr>
            <w:tcW w:w="3013" w:type="dxa"/>
            <w:vAlign w:val="center"/>
          </w:tcPr>
          <w:p w14:paraId="64114117"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硝酸盐</w:t>
            </w:r>
          </w:p>
        </w:tc>
        <w:tc>
          <w:tcPr>
            <w:tcW w:w="1506" w:type="dxa"/>
            <w:vAlign w:val="center"/>
          </w:tcPr>
          <w:p w14:paraId="04FAFB2E"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20.0</w:t>
            </w:r>
          </w:p>
        </w:tc>
        <w:tc>
          <w:tcPr>
            <w:tcW w:w="3671" w:type="dxa"/>
            <w:vMerge/>
            <w:vAlign w:val="center"/>
          </w:tcPr>
          <w:p w14:paraId="2B82D5CD"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2A2DDA0E" w14:textId="77777777">
        <w:trPr>
          <w:jc w:val="center"/>
        </w:trPr>
        <w:tc>
          <w:tcPr>
            <w:tcW w:w="870" w:type="dxa"/>
            <w:vAlign w:val="center"/>
          </w:tcPr>
          <w:p w14:paraId="19040A3E"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lastRenderedPageBreak/>
              <w:t>23</w:t>
            </w:r>
          </w:p>
        </w:tc>
        <w:tc>
          <w:tcPr>
            <w:tcW w:w="3013" w:type="dxa"/>
            <w:vAlign w:val="center"/>
          </w:tcPr>
          <w:p w14:paraId="4B09B714"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氰化物</w:t>
            </w:r>
          </w:p>
        </w:tc>
        <w:tc>
          <w:tcPr>
            <w:tcW w:w="1506" w:type="dxa"/>
            <w:vAlign w:val="center"/>
          </w:tcPr>
          <w:p w14:paraId="4EC149D7"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0.05</w:t>
            </w:r>
          </w:p>
        </w:tc>
        <w:tc>
          <w:tcPr>
            <w:tcW w:w="3671" w:type="dxa"/>
            <w:vMerge/>
            <w:vAlign w:val="center"/>
          </w:tcPr>
          <w:p w14:paraId="683A9332"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2DDCDE28" w14:textId="77777777">
        <w:trPr>
          <w:jc w:val="center"/>
        </w:trPr>
        <w:tc>
          <w:tcPr>
            <w:tcW w:w="870" w:type="dxa"/>
            <w:vAlign w:val="center"/>
          </w:tcPr>
          <w:p w14:paraId="3C130C59"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24</w:t>
            </w:r>
          </w:p>
        </w:tc>
        <w:tc>
          <w:tcPr>
            <w:tcW w:w="3013" w:type="dxa"/>
            <w:vAlign w:val="center"/>
          </w:tcPr>
          <w:p w14:paraId="41CD9430"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氟化物</w:t>
            </w:r>
          </w:p>
        </w:tc>
        <w:tc>
          <w:tcPr>
            <w:tcW w:w="1506" w:type="dxa"/>
            <w:vAlign w:val="center"/>
          </w:tcPr>
          <w:p w14:paraId="06BAD7D2"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1.0</w:t>
            </w:r>
          </w:p>
        </w:tc>
        <w:tc>
          <w:tcPr>
            <w:tcW w:w="3671" w:type="dxa"/>
            <w:vMerge/>
            <w:vAlign w:val="center"/>
          </w:tcPr>
          <w:p w14:paraId="48F659B9"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7CB51889" w14:textId="77777777">
        <w:trPr>
          <w:jc w:val="center"/>
        </w:trPr>
        <w:tc>
          <w:tcPr>
            <w:tcW w:w="870" w:type="dxa"/>
            <w:vAlign w:val="center"/>
          </w:tcPr>
          <w:p w14:paraId="0D43771B"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25</w:t>
            </w:r>
          </w:p>
        </w:tc>
        <w:tc>
          <w:tcPr>
            <w:tcW w:w="3013" w:type="dxa"/>
            <w:vAlign w:val="center"/>
          </w:tcPr>
          <w:p w14:paraId="703D00BA"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碘化物</w:t>
            </w:r>
          </w:p>
        </w:tc>
        <w:tc>
          <w:tcPr>
            <w:tcW w:w="1506" w:type="dxa"/>
            <w:vAlign w:val="center"/>
          </w:tcPr>
          <w:p w14:paraId="6F51C911"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0.08</w:t>
            </w:r>
          </w:p>
        </w:tc>
        <w:tc>
          <w:tcPr>
            <w:tcW w:w="3671" w:type="dxa"/>
            <w:vMerge/>
            <w:vAlign w:val="center"/>
          </w:tcPr>
          <w:p w14:paraId="2F9B87CA"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502C9A00" w14:textId="77777777">
        <w:trPr>
          <w:jc w:val="center"/>
        </w:trPr>
        <w:tc>
          <w:tcPr>
            <w:tcW w:w="870" w:type="dxa"/>
            <w:vAlign w:val="center"/>
          </w:tcPr>
          <w:p w14:paraId="4A7B3CE6"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26</w:t>
            </w:r>
          </w:p>
        </w:tc>
        <w:tc>
          <w:tcPr>
            <w:tcW w:w="3013" w:type="dxa"/>
            <w:vAlign w:val="center"/>
          </w:tcPr>
          <w:p w14:paraId="74DC2A94"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汞</w:t>
            </w:r>
          </w:p>
        </w:tc>
        <w:tc>
          <w:tcPr>
            <w:tcW w:w="1506" w:type="dxa"/>
            <w:vAlign w:val="center"/>
          </w:tcPr>
          <w:p w14:paraId="3D5A669A"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0.001</w:t>
            </w:r>
          </w:p>
        </w:tc>
        <w:tc>
          <w:tcPr>
            <w:tcW w:w="3671" w:type="dxa"/>
            <w:vMerge/>
            <w:vAlign w:val="center"/>
          </w:tcPr>
          <w:p w14:paraId="501EFF15"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4E6AF5AC" w14:textId="77777777">
        <w:trPr>
          <w:jc w:val="center"/>
        </w:trPr>
        <w:tc>
          <w:tcPr>
            <w:tcW w:w="870" w:type="dxa"/>
            <w:vAlign w:val="center"/>
          </w:tcPr>
          <w:p w14:paraId="5A1CD5E1"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27</w:t>
            </w:r>
          </w:p>
        </w:tc>
        <w:tc>
          <w:tcPr>
            <w:tcW w:w="3013" w:type="dxa"/>
            <w:vAlign w:val="center"/>
          </w:tcPr>
          <w:p w14:paraId="1F45F773"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砷</w:t>
            </w:r>
          </w:p>
        </w:tc>
        <w:tc>
          <w:tcPr>
            <w:tcW w:w="1506" w:type="dxa"/>
            <w:vAlign w:val="center"/>
          </w:tcPr>
          <w:p w14:paraId="5A32C108"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0.01</w:t>
            </w:r>
          </w:p>
        </w:tc>
        <w:tc>
          <w:tcPr>
            <w:tcW w:w="3671" w:type="dxa"/>
            <w:vMerge/>
            <w:vAlign w:val="center"/>
          </w:tcPr>
          <w:p w14:paraId="682429F8"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7D05F640" w14:textId="77777777">
        <w:trPr>
          <w:jc w:val="center"/>
        </w:trPr>
        <w:tc>
          <w:tcPr>
            <w:tcW w:w="870" w:type="dxa"/>
            <w:vAlign w:val="center"/>
          </w:tcPr>
          <w:p w14:paraId="785F9482"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28</w:t>
            </w:r>
          </w:p>
        </w:tc>
        <w:tc>
          <w:tcPr>
            <w:tcW w:w="3013" w:type="dxa"/>
            <w:vAlign w:val="center"/>
          </w:tcPr>
          <w:p w14:paraId="05D134F1"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硒</w:t>
            </w:r>
          </w:p>
        </w:tc>
        <w:tc>
          <w:tcPr>
            <w:tcW w:w="1506" w:type="dxa"/>
            <w:vAlign w:val="center"/>
          </w:tcPr>
          <w:p w14:paraId="45E8C2D0"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0.01</w:t>
            </w:r>
          </w:p>
        </w:tc>
        <w:tc>
          <w:tcPr>
            <w:tcW w:w="3671" w:type="dxa"/>
            <w:vMerge/>
            <w:vAlign w:val="center"/>
          </w:tcPr>
          <w:p w14:paraId="0D86876C"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7BA879D4" w14:textId="77777777">
        <w:trPr>
          <w:jc w:val="center"/>
        </w:trPr>
        <w:tc>
          <w:tcPr>
            <w:tcW w:w="870" w:type="dxa"/>
            <w:vAlign w:val="center"/>
          </w:tcPr>
          <w:p w14:paraId="68C4E20B"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29</w:t>
            </w:r>
          </w:p>
        </w:tc>
        <w:tc>
          <w:tcPr>
            <w:tcW w:w="3013" w:type="dxa"/>
            <w:vAlign w:val="center"/>
          </w:tcPr>
          <w:p w14:paraId="6420B64E"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镉</w:t>
            </w:r>
          </w:p>
        </w:tc>
        <w:tc>
          <w:tcPr>
            <w:tcW w:w="1506" w:type="dxa"/>
            <w:vAlign w:val="center"/>
          </w:tcPr>
          <w:p w14:paraId="55FEC745"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0.005</w:t>
            </w:r>
          </w:p>
        </w:tc>
        <w:tc>
          <w:tcPr>
            <w:tcW w:w="3671" w:type="dxa"/>
            <w:vMerge/>
            <w:vAlign w:val="center"/>
          </w:tcPr>
          <w:p w14:paraId="2A2F825A"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7AEF7F62" w14:textId="77777777">
        <w:trPr>
          <w:jc w:val="center"/>
        </w:trPr>
        <w:tc>
          <w:tcPr>
            <w:tcW w:w="870" w:type="dxa"/>
            <w:vAlign w:val="center"/>
          </w:tcPr>
          <w:p w14:paraId="0956B0A1"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30</w:t>
            </w:r>
          </w:p>
        </w:tc>
        <w:tc>
          <w:tcPr>
            <w:tcW w:w="3013" w:type="dxa"/>
            <w:vAlign w:val="center"/>
          </w:tcPr>
          <w:p w14:paraId="5DC2D8A5"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六价铬</w:t>
            </w:r>
          </w:p>
        </w:tc>
        <w:tc>
          <w:tcPr>
            <w:tcW w:w="1506" w:type="dxa"/>
            <w:vAlign w:val="center"/>
          </w:tcPr>
          <w:p w14:paraId="16FE08B6"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0.05</w:t>
            </w:r>
          </w:p>
        </w:tc>
        <w:tc>
          <w:tcPr>
            <w:tcW w:w="3671" w:type="dxa"/>
            <w:vMerge/>
            <w:vAlign w:val="center"/>
          </w:tcPr>
          <w:p w14:paraId="2AA0EEA2"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0C337B2C" w14:textId="77777777">
        <w:trPr>
          <w:jc w:val="center"/>
        </w:trPr>
        <w:tc>
          <w:tcPr>
            <w:tcW w:w="870" w:type="dxa"/>
            <w:vAlign w:val="center"/>
          </w:tcPr>
          <w:p w14:paraId="50F6DE31"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31</w:t>
            </w:r>
          </w:p>
        </w:tc>
        <w:tc>
          <w:tcPr>
            <w:tcW w:w="3013" w:type="dxa"/>
            <w:vAlign w:val="center"/>
          </w:tcPr>
          <w:p w14:paraId="29B6E6ED"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铅</w:t>
            </w:r>
          </w:p>
        </w:tc>
        <w:tc>
          <w:tcPr>
            <w:tcW w:w="1506" w:type="dxa"/>
            <w:vAlign w:val="center"/>
          </w:tcPr>
          <w:p w14:paraId="68C5E5DE"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0.01</w:t>
            </w:r>
          </w:p>
        </w:tc>
        <w:tc>
          <w:tcPr>
            <w:tcW w:w="3671" w:type="dxa"/>
            <w:vMerge/>
            <w:vAlign w:val="center"/>
          </w:tcPr>
          <w:p w14:paraId="0B105257"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2E05E153" w14:textId="77777777">
        <w:trPr>
          <w:jc w:val="center"/>
        </w:trPr>
        <w:tc>
          <w:tcPr>
            <w:tcW w:w="870" w:type="dxa"/>
            <w:vAlign w:val="center"/>
          </w:tcPr>
          <w:p w14:paraId="2E08F6DD"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32</w:t>
            </w:r>
          </w:p>
        </w:tc>
        <w:tc>
          <w:tcPr>
            <w:tcW w:w="3013" w:type="dxa"/>
            <w:vAlign w:val="center"/>
          </w:tcPr>
          <w:p w14:paraId="28F358C0"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三氯甲烷（</w:t>
            </w:r>
            <w:proofErr w:type="spellStart"/>
            <w:r>
              <w:rPr>
                <w:rFonts w:cs="Times New Roman"/>
                <w:kern w:val="21"/>
                <w:sz w:val="21"/>
                <w:szCs w:val="21"/>
              </w:rPr>
              <w:t>μg</w:t>
            </w:r>
            <w:proofErr w:type="spellEnd"/>
            <w:r>
              <w:rPr>
                <w:rFonts w:cs="Times New Roman"/>
                <w:kern w:val="21"/>
                <w:sz w:val="21"/>
                <w:szCs w:val="21"/>
              </w:rPr>
              <w:t>/L</w:t>
            </w:r>
            <w:r>
              <w:rPr>
                <w:rFonts w:cs="Times New Roman"/>
                <w:kern w:val="21"/>
                <w:sz w:val="21"/>
                <w:szCs w:val="21"/>
              </w:rPr>
              <w:t>）</w:t>
            </w:r>
          </w:p>
        </w:tc>
        <w:tc>
          <w:tcPr>
            <w:tcW w:w="1506" w:type="dxa"/>
            <w:vAlign w:val="center"/>
          </w:tcPr>
          <w:p w14:paraId="1AA076C6"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60</w:t>
            </w:r>
          </w:p>
        </w:tc>
        <w:tc>
          <w:tcPr>
            <w:tcW w:w="3671" w:type="dxa"/>
            <w:vMerge/>
            <w:vAlign w:val="center"/>
          </w:tcPr>
          <w:p w14:paraId="18F9462D"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2592598D" w14:textId="77777777">
        <w:trPr>
          <w:jc w:val="center"/>
        </w:trPr>
        <w:tc>
          <w:tcPr>
            <w:tcW w:w="870" w:type="dxa"/>
            <w:vAlign w:val="center"/>
          </w:tcPr>
          <w:p w14:paraId="32A1F0BD"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33</w:t>
            </w:r>
          </w:p>
        </w:tc>
        <w:tc>
          <w:tcPr>
            <w:tcW w:w="3013" w:type="dxa"/>
            <w:vAlign w:val="center"/>
          </w:tcPr>
          <w:p w14:paraId="099D565C"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四氯化碳（</w:t>
            </w:r>
            <w:proofErr w:type="spellStart"/>
            <w:r>
              <w:rPr>
                <w:rFonts w:cs="Times New Roman"/>
                <w:kern w:val="21"/>
                <w:sz w:val="21"/>
                <w:szCs w:val="21"/>
              </w:rPr>
              <w:t>μg</w:t>
            </w:r>
            <w:proofErr w:type="spellEnd"/>
            <w:r>
              <w:rPr>
                <w:rFonts w:cs="Times New Roman"/>
                <w:kern w:val="21"/>
                <w:sz w:val="21"/>
                <w:szCs w:val="21"/>
              </w:rPr>
              <w:t>/L</w:t>
            </w:r>
            <w:r>
              <w:rPr>
                <w:rFonts w:cs="Times New Roman"/>
                <w:kern w:val="21"/>
                <w:sz w:val="21"/>
                <w:szCs w:val="21"/>
              </w:rPr>
              <w:t>）</w:t>
            </w:r>
          </w:p>
        </w:tc>
        <w:tc>
          <w:tcPr>
            <w:tcW w:w="1506" w:type="dxa"/>
            <w:vAlign w:val="center"/>
          </w:tcPr>
          <w:p w14:paraId="7406B6C6"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2.0</w:t>
            </w:r>
          </w:p>
        </w:tc>
        <w:tc>
          <w:tcPr>
            <w:tcW w:w="3671" w:type="dxa"/>
            <w:vMerge/>
            <w:vAlign w:val="center"/>
          </w:tcPr>
          <w:p w14:paraId="409EC257"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517BE22B" w14:textId="77777777">
        <w:trPr>
          <w:jc w:val="center"/>
        </w:trPr>
        <w:tc>
          <w:tcPr>
            <w:tcW w:w="870" w:type="dxa"/>
            <w:vAlign w:val="center"/>
          </w:tcPr>
          <w:p w14:paraId="7A8236CF"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34</w:t>
            </w:r>
          </w:p>
        </w:tc>
        <w:tc>
          <w:tcPr>
            <w:tcW w:w="3013" w:type="dxa"/>
            <w:vAlign w:val="center"/>
          </w:tcPr>
          <w:p w14:paraId="707D9311"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苯（</w:t>
            </w:r>
            <w:proofErr w:type="spellStart"/>
            <w:r>
              <w:rPr>
                <w:rFonts w:cs="Times New Roman"/>
                <w:kern w:val="21"/>
                <w:sz w:val="21"/>
                <w:szCs w:val="21"/>
              </w:rPr>
              <w:t>μg</w:t>
            </w:r>
            <w:proofErr w:type="spellEnd"/>
            <w:r>
              <w:rPr>
                <w:rFonts w:cs="Times New Roman"/>
                <w:kern w:val="21"/>
                <w:sz w:val="21"/>
                <w:szCs w:val="21"/>
              </w:rPr>
              <w:t>/L</w:t>
            </w:r>
            <w:r>
              <w:rPr>
                <w:rFonts w:cs="Times New Roman"/>
                <w:kern w:val="21"/>
                <w:sz w:val="21"/>
                <w:szCs w:val="21"/>
              </w:rPr>
              <w:t>）</w:t>
            </w:r>
          </w:p>
        </w:tc>
        <w:tc>
          <w:tcPr>
            <w:tcW w:w="1506" w:type="dxa"/>
            <w:vAlign w:val="center"/>
          </w:tcPr>
          <w:p w14:paraId="1C7FD45C"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10.0</w:t>
            </w:r>
          </w:p>
        </w:tc>
        <w:tc>
          <w:tcPr>
            <w:tcW w:w="3671" w:type="dxa"/>
            <w:vMerge/>
            <w:vAlign w:val="center"/>
          </w:tcPr>
          <w:p w14:paraId="6F029786"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7DC52D59" w14:textId="77777777">
        <w:trPr>
          <w:jc w:val="center"/>
        </w:trPr>
        <w:tc>
          <w:tcPr>
            <w:tcW w:w="870" w:type="dxa"/>
            <w:vAlign w:val="center"/>
          </w:tcPr>
          <w:p w14:paraId="18A07A71"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35</w:t>
            </w:r>
          </w:p>
        </w:tc>
        <w:tc>
          <w:tcPr>
            <w:tcW w:w="3013" w:type="dxa"/>
            <w:vAlign w:val="center"/>
          </w:tcPr>
          <w:p w14:paraId="5F860D54"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甲苯（</w:t>
            </w:r>
            <w:proofErr w:type="spellStart"/>
            <w:r>
              <w:rPr>
                <w:rFonts w:cs="Times New Roman"/>
                <w:kern w:val="21"/>
                <w:sz w:val="21"/>
                <w:szCs w:val="21"/>
              </w:rPr>
              <w:t>μg</w:t>
            </w:r>
            <w:proofErr w:type="spellEnd"/>
            <w:r>
              <w:rPr>
                <w:rFonts w:cs="Times New Roman"/>
                <w:kern w:val="21"/>
                <w:sz w:val="21"/>
                <w:szCs w:val="21"/>
              </w:rPr>
              <w:t>/L</w:t>
            </w:r>
            <w:r>
              <w:rPr>
                <w:rFonts w:cs="Times New Roman"/>
                <w:kern w:val="21"/>
                <w:sz w:val="21"/>
                <w:szCs w:val="21"/>
              </w:rPr>
              <w:t>）</w:t>
            </w:r>
          </w:p>
        </w:tc>
        <w:tc>
          <w:tcPr>
            <w:tcW w:w="1506" w:type="dxa"/>
            <w:vAlign w:val="center"/>
          </w:tcPr>
          <w:p w14:paraId="34BA25E9"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700</w:t>
            </w:r>
          </w:p>
        </w:tc>
        <w:tc>
          <w:tcPr>
            <w:tcW w:w="3671" w:type="dxa"/>
            <w:vMerge/>
            <w:vAlign w:val="center"/>
          </w:tcPr>
          <w:p w14:paraId="644D1FAD"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r>
    </w:tbl>
    <w:p w14:paraId="1069B90E" w14:textId="77777777" w:rsidR="00544649" w:rsidRDefault="00000000">
      <w:pPr>
        <w:pStyle w:val="4"/>
        <w:adjustRightInd w:val="0"/>
        <w:snapToGrid w:val="0"/>
        <w:spacing w:after="0"/>
      </w:pPr>
      <w:r>
        <w:rPr>
          <w:rFonts w:hint="eastAsia"/>
        </w:rPr>
        <w:t>1.6.2.5</w:t>
      </w:r>
      <w:r>
        <w:rPr>
          <w:rFonts w:hint="eastAsia"/>
        </w:rPr>
        <w:t>土壤环境</w:t>
      </w:r>
    </w:p>
    <w:p w14:paraId="42ECFC2B" w14:textId="77777777" w:rsidR="00544649" w:rsidRDefault="00000000">
      <w:pPr>
        <w:adjustRightInd w:val="0"/>
        <w:snapToGrid w:val="0"/>
        <w:spacing w:after="0"/>
        <w:ind w:firstLine="520"/>
        <w:rPr>
          <w:bCs/>
          <w:spacing w:val="10"/>
        </w:rPr>
      </w:pPr>
      <w:r>
        <w:rPr>
          <w:bCs/>
          <w:spacing w:val="10"/>
        </w:rPr>
        <w:t>项目土壤质量标准执行《土壤环境质量</w:t>
      </w:r>
      <w:r>
        <w:rPr>
          <w:bCs/>
          <w:spacing w:val="10"/>
        </w:rPr>
        <w:t xml:space="preserve">  </w:t>
      </w:r>
      <w:r>
        <w:rPr>
          <w:bCs/>
          <w:spacing w:val="10"/>
        </w:rPr>
        <w:t>农用地土壤污染风险管控标准（试行）》（</w:t>
      </w:r>
      <w:r>
        <w:rPr>
          <w:bCs/>
          <w:spacing w:val="10"/>
        </w:rPr>
        <w:t>GB15618-2018</w:t>
      </w:r>
      <w:r>
        <w:rPr>
          <w:bCs/>
          <w:spacing w:val="10"/>
        </w:rPr>
        <w:t>）表</w:t>
      </w:r>
      <w:r>
        <w:rPr>
          <w:bCs/>
          <w:spacing w:val="10"/>
        </w:rPr>
        <w:t>1</w:t>
      </w:r>
      <w:r>
        <w:rPr>
          <w:rFonts w:hint="eastAsia"/>
          <w:bCs/>
          <w:spacing w:val="10"/>
        </w:rPr>
        <w:t>要求</w:t>
      </w:r>
      <w:r>
        <w:rPr>
          <w:bCs/>
          <w:spacing w:val="10"/>
        </w:rPr>
        <w:t>，具体</w:t>
      </w:r>
      <w:proofErr w:type="gramStart"/>
      <w:r>
        <w:rPr>
          <w:bCs/>
          <w:spacing w:val="10"/>
        </w:rPr>
        <w:t>标准值见下表</w:t>
      </w:r>
      <w:proofErr w:type="gramEnd"/>
      <w:r>
        <w:rPr>
          <w:bCs/>
          <w:spacing w:val="10"/>
        </w:rPr>
        <w:t>：</w:t>
      </w:r>
    </w:p>
    <w:p w14:paraId="1892CC4C"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hint="eastAsia"/>
          <w:b/>
          <w:bCs/>
          <w:kern w:val="21"/>
          <w:sz w:val="21"/>
          <w:szCs w:val="21"/>
        </w:rPr>
        <w:t>农用地土壤污染风险管控标准</w:t>
      </w:r>
      <w:r>
        <w:rPr>
          <w:rFonts w:cs="Times New Roman"/>
          <w:b/>
          <w:bCs/>
          <w:kern w:val="21"/>
          <w:sz w:val="21"/>
          <w:szCs w:val="21"/>
        </w:rPr>
        <w:t>：</w:t>
      </w:r>
      <w:r>
        <w:rPr>
          <w:rFonts w:cs="Times New Roman"/>
          <w:b/>
          <w:bCs/>
          <w:kern w:val="21"/>
          <w:sz w:val="21"/>
          <w:szCs w:val="21"/>
        </w:rPr>
        <w:t>mg/</w:t>
      </w:r>
      <w:r>
        <w:rPr>
          <w:rFonts w:cs="Times New Roman" w:hint="eastAsia"/>
          <w:b/>
          <w:bCs/>
          <w:kern w:val="21"/>
          <w:sz w:val="21"/>
          <w:szCs w:val="21"/>
        </w:rPr>
        <w:t>kg</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741"/>
        <w:gridCol w:w="859"/>
        <w:gridCol w:w="1133"/>
        <w:gridCol w:w="1450"/>
        <w:gridCol w:w="1160"/>
        <w:gridCol w:w="1020"/>
        <w:gridCol w:w="2086"/>
      </w:tblGrid>
      <w:tr w:rsidR="00544649" w14:paraId="36741BC1" w14:textId="77777777">
        <w:trPr>
          <w:trHeight w:val="283"/>
          <w:jc w:val="center"/>
        </w:trPr>
        <w:tc>
          <w:tcPr>
            <w:tcW w:w="611" w:type="dxa"/>
            <w:vAlign w:val="center"/>
          </w:tcPr>
          <w:p w14:paraId="52B44ECF" w14:textId="77777777" w:rsidR="00544649" w:rsidRDefault="00000000">
            <w:pPr>
              <w:adjustRightInd w:val="0"/>
              <w:snapToGrid w:val="0"/>
              <w:spacing w:after="0" w:line="240" w:lineRule="auto"/>
              <w:ind w:firstLineChars="0" w:firstLine="0"/>
              <w:jc w:val="center"/>
              <w:rPr>
                <w:b/>
                <w:bCs/>
                <w:sz w:val="21"/>
                <w:szCs w:val="21"/>
              </w:rPr>
            </w:pPr>
            <w:r>
              <w:rPr>
                <w:rFonts w:hint="eastAsia"/>
                <w:b/>
                <w:bCs/>
                <w:sz w:val="21"/>
                <w:szCs w:val="21"/>
              </w:rPr>
              <w:t>序号</w:t>
            </w:r>
          </w:p>
        </w:tc>
        <w:tc>
          <w:tcPr>
            <w:tcW w:w="741" w:type="dxa"/>
            <w:shd w:val="clear" w:color="auto" w:fill="auto"/>
            <w:vAlign w:val="center"/>
          </w:tcPr>
          <w:p w14:paraId="6A4034D0" w14:textId="77777777" w:rsidR="00544649" w:rsidRDefault="00000000">
            <w:pPr>
              <w:adjustRightInd w:val="0"/>
              <w:snapToGrid w:val="0"/>
              <w:spacing w:after="0" w:line="240" w:lineRule="auto"/>
              <w:ind w:firstLineChars="0" w:firstLine="0"/>
              <w:jc w:val="center"/>
              <w:rPr>
                <w:b/>
                <w:bCs/>
                <w:sz w:val="21"/>
                <w:szCs w:val="21"/>
              </w:rPr>
            </w:pPr>
            <w:r>
              <w:rPr>
                <w:b/>
                <w:bCs/>
                <w:sz w:val="21"/>
                <w:szCs w:val="21"/>
              </w:rPr>
              <w:t>项目</w:t>
            </w:r>
          </w:p>
        </w:tc>
        <w:tc>
          <w:tcPr>
            <w:tcW w:w="859" w:type="dxa"/>
            <w:shd w:val="clear" w:color="auto" w:fill="auto"/>
            <w:vAlign w:val="center"/>
          </w:tcPr>
          <w:p w14:paraId="3C36F2B1" w14:textId="77777777" w:rsidR="00544649" w:rsidRDefault="00000000">
            <w:pPr>
              <w:adjustRightInd w:val="0"/>
              <w:snapToGrid w:val="0"/>
              <w:spacing w:after="0" w:line="240" w:lineRule="auto"/>
              <w:ind w:firstLineChars="0" w:firstLine="0"/>
              <w:jc w:val="center"/>
              <w:rPr>
                <w:b/>
                <w:bCs/>
                <w:sz w:val="21"/>
                <w:szCs w:val="21"/>
              </w:rPr>
            </w:pPr>
            <w:r>
              <w:rPr>
                <w:b/>
                <w:bCs/>
                <w:sz w:val="21"/>
                <w:szCs w:val="21"/>
              </w:rPr>
              <w:t>单位</w:t>
            </w:r>
          </w:p>
        </w:tc>
        <w:tc>
          <w:tcPr>
            <w:tcW w:w="4763" w:type="dxa"/>
            <w:gridSpan w:val="4"/>
            <w:shd w:val="clear" w:color="auto" w:fill="auto"/>
            <w:vAlign w:val="center"/>
          </w:tcPr>
          <w:p w14:paraId="2309560E" w14:textId="77777777" w:rsidR="00544649" w:rsidRDefault="00000000">
            <w:pPr>
              <w:adjustRightInd w:val="0"/>
              <w:snapToGrid w:val="0"/>
              <w:spacing w:after="0" w:line="240" w:lineRule="auto"/>
              <w:ind w:firstLineChars="0" w:firstLine="0"/>
              <w:jc w:val="center"/>
              <w:rPr>
                <w:b/>
                <w:bCs/>
                <w:sz w:val="21"/>
                <w:szCs w:val="21"/>
              </w:rPr>
            </w:pPr>
            <w:r>
              <w:rPr>
                <w:b/>
                <w:bCs/>
                <w:sz w:val="21"/>
                <w:szCs w:val="21"/>
              </w:rPr>
              <w:t>类别及标准值</w:t>
            </w:r>
          </w:p>
        </w:tc>
        <w:tc>
          <w:tcPr>
            <w:tcW w:w="2086" w:type="dxa"/>
            <w:vAlign w:val="center"/>
          </w:tcPr>
          <w:p w14:paraId="38372430" w14:textId="77777777" w:rsidR="00544649" w:rsidRDefault="00000000">
            <w:pPr>
              <w:adjustRightInd w:val="0"/>
              <w:snapToGrid w:val="0"/>
              <w:spacing w:after="0" w:line="240" w:lineRule="auto"/>
              <w:ind w:firstLineChars="0" w:firstLine="0"/>
              <w:jc w:val="center"/>
              <w:rPr>
                <w:b/>
                <w:bCs/>
                <w:sz w:val="21"/>
                <w:szCs w:val="21"/>
              </w:rPr>
            </w:pPr>
            <w:r>
              <w:rPr>
                <w:rFonts w:cs="Times New Roman"/>
                <w:b/>
                <w:bCs/>
                <w:kern w:val="21"/>
                <w:sz w:val="21"/>
                <w:szCs w:val="21"/>
              </w:rPr>
              <w:t>执行标准</w:t>
            </w:r>
          </w:p>
        </w:tc>
      </w:tr>
      <w:tr w:rsidR="00544649" w14:paraId="3E563800" w14:textId="77777777">
        <w:trPr>
          <w:trHeight w:val="283"/>
          <w:jc w:val="center"/>
        </w:trPr>
        <w:tc>
          <w:tcPr>
            <w:tcW w:w="611" w:type="dxa"/>
            <w:vAlign w:val="center"/>
          </w:tcPr>
          <w:p w14:paraId="1F599E8C" w14:textId="77777777" w:rsidR="00544649" w:rsidRDefault="00000000">
            <w:pPr>
              <w:adjustRightInd w:val="0"/>
              <w:snapToGrid w:val="0"/>
              <w:spacing w:after="0" w:line="240" w:lineRule="auto"/>
              <w:ind w:firstLineChars="0" w:firstLine="0"/>
              <w:jc w:val="center"/>
              <w:rPr>
                <w:sz w:val="21"/>
                <w:szCs w:val="21"/>
              </w:rPr>
            </w:pPr>
            <w:r>
              <w:rPr>
                <w:rFonts w:hint="eastAsia"/>
                <w:sz w:val="21"/>
                <w:szCs w:val="21"/>
              </w:rPr>
              <w:t>1</w:t>
            </w:r>
          </w:p>
        </w:tc>
        <w:tc>
          <w:tcPr>
            <w:tcW w:w="741" w:type="dxa"/>
            <w:shd w:val="clear" w:color="auto" w:fill="auto"/>
            <w:vAlign w:val="center"/>
          </w:tcPr>
          <w:p w14:paraId="4C2415C2" w14:textId="77777777" w:rsidR="00544649" w:rsidRDefault="00000000">
            <w:pPr>
              <w:adjustRightInd w:val="0"/>
              <w:snapToGrid w:val="0"/>
              <w:spacing w:after="0" w:line="240" w:lineRule="auto"/>
              <w:ind w:firstLineChars="0" w:firstLine="0"/>
              <w:jc w:val="center"/>
              <w:rPr>
                <w:sz w:val="21"/>
                <w:szCs w:val="21"/>
              </w:rPr>
            </w:pPr>
            <w:r>
              <w:rPr>
                <w:sz w:val="21"/>
                <w:szCs w:val="21"/>
              </w:rPr>
              <w:t>pH</w:t>
            </w:r>
          </w:p>
        </w:tc>
        <w:tc>
          <w:tcPr>
            <w:tcW w:w="859" w:type="dxa"/>
            <w:shd w:val="clear" w:color="auto" w:fill="auto"/>
            <w:vAlign w:val="center"/>
          </w:tcPr>
          <w:p w14:paraId="1F639676" w14:textId="77777777" w:rsidR="00544649" w:rsidRDefault="00000000">
            <w:pPr>
              <w:adjustRightInd w:val="0"/>
              <w:snapToGrid w:val="0"/>
              <w:spacing w:after="0" w:line="240" w:lineRule="auto"/>
              <w:ind w:firstLineChars="0" w:firstLine="0"/>
              <w:jc w:val="center"/>
              <w:rPr>
                <w:sz w:val="21"/>
                <w:szCs w:val="21"/>
              </w:rPr>
            </w:pPr>
            <w:r>
              <w:rPr>
                <w:sz w:val="21"/>
                <w:szCs w:val="21"/>
              </w:rPr>
              <w:t>无量纲</w:t>
            </w:r>
          </w:p>
        </w:tc>
        <w:tc>
          <w:tcPr>
            <w:tcW w:w="1133" w:type="dxa"/>
            <w:shd w:val="clear" w:color="auto" w:fill="auto"/>
            <w:vAlign w:val="center"/>
          </w:tcPr>
          <w:p w14:paraId="4A8FDE52" w14:textId="77777777" w:rsidR="00544649" w:rsidRDefault="00000000">
            <w:pPr>
              <w:adjustRightInd w:val="0"/>
              <w:snapToGrid w:val="0"/>
              <w:spacing w:after="0" w:line="240" w:lineRule="auto"/>
              <w:ind w:firstLineChars="0" w:firstLine="0"/>
              <w:jc w:val="center"/>
              <w:rPr>
                <w:sz w:val="21"/>
                <w:szCs w:val="21"/>
              </w:rPr>
            </w:pPr>
            <w:r>
              <w:rPr>
                <w:sz w:val="21"/>
                <w:szCs w:val="21"/>
              </w:rPr>
              <w:t>pH≤5.5</w:t>
            </w:r>
          </w:p>
        </w:tc>
        <w:tc>
          <w:tcPr>
            <w:tcW w:w="1450" w:type="dxa"/>
            <w:shd w:val="clear" w:color="auto" w:fill="auto"/>
            <w:vAlign w:val="center"/>
          </w:tcPr>
          <w:p w14:paraId="0C50C523" w14:textId="77777777" w:rsidR="00544649" w:rsidRDefault="00000000">
            <w:pPr>
              <w:adjustRightInd w:val="0"/>
              <w:snapToGrid w:val="0"/>
              <w:spacing w:after="0" w:line="240" w:lineRule="auto"/>
              <w:ind w:firstLineChars="0" w:firstLine="0"/>
              <w:jc w:val="center"/>
              <w:rPr>
                <w:sz w:val="21"/>
                <w:szCs w:val="21"/>
              </w:rPr>
            </w:pPr>
            <w:r>
              <w:rPr>
                <w:sz w:val="21"/>
                <w:szCs w:val="21"/>
              </w:rPr>
              <w:t>5.5</w:t>
            </w:r>
            <w:r>
              <w:rPr>
                <w:sz w:val="21"/>
                <w:szCs w:val="21"/>
              </w:rPr>
              <w:t>＜</w:t>
            </w:r>
            <w:r>
              <w:rPr>
                <w:sz w:val="21"/>
                <w:szCs w:val="21"/>
              </w:rPr>
              <w:t>pH≤6.5</w:t>
            </w:r>
          </w:p>
        </w:tc>
        <w:tc>
          <w:tcPr>
            <w:tcW w:w="1160" w:type="dxa"/>
            <w:shd w:val="clear" w:color="auto" w:fill="auto"/>
            <w:vAlign w:val="center"/>
          </w:tcPr>
          <w:p w14:paraId="11A77EEC" w14:textId="77777777" w:rsidR="00544649" w:rsidRDefault="00000000">
            <w:pPr>
              <w:adjustRightInd w:val="0"/>
              <w:snapToGrid w:val="0"/>
              <w:spacing w:after="0" w:line="240" w:lineRule="auto"/>
              <w:ind w:firstLineChars="0" w:firstLine="0"/>
              <w:jc w:val="center"/>
              <w:rPr>
                <w:sz w:val="21"/>
                <w:szCs w:val="21"/>
              </w:rPr>
            </w:pPr>
            <w:r>
              <w:rPr>
                <w:sz w:val="21"/>
                <w:szCs w:val="21"/>
              </w:rPr>
              <w:t>6.5</w:t>
            </w:r>
            <w:r>
              <w:rPr>
                <w:sz w:val="21"/>
                <w:szCs w:val="21"/>
              </w:rPr>
              <w:t>＜</w:t>
            </w:r>
            <w:r>
              <w:rPr>
                <w:sz w:val="21"/>
                <w:szCs w:val="21"/>
              </w:rPr>
              <w:t>pH≤7.5</w:t>
            </w:r>
          </w:p>
        </w:tc>
        <w:tc>
          <w:tcPr>
            <w:tcW w:w="1020" w:type="dxa"/>
            <w:shd w:val="clear" w:color="auto" w:fill="auto"/>
            <w:vAlign w:val="center"/>
          </w:tcPr>
          <w:p w14:paraId="61BCE7D8" w14:textId="77777777" w:rsidR="00544649" w:rsidRDefault="00000000">
            <w:pPr>
              <w:adjustRightInd w:val="0"/>
              <w:snapToGrid w:val="0"/>
              <w:spacing w:after="0" w:line="240" w:lineRule="auto"/>
              <w:ind w:firstLineChars="0" w:firstLine="0"/>
              <w:jc w:val="center"/>
              <w:rPr>
                <w:sz w:val="21"/>
                <w:szCs w:val="21"/>
              </w:rPr>
            </w:pPr>
            <w:r>
              <w:rPr>
                <w:sz w:val="21"/>
                <w:szCs w:val="21"/>
              </w:rPr>
              <w:t>pH</w:t>
            </w:r>
            <w:r>
              <w:rPr>
                <w:sz w:val="21"/>
                <w:szCs w:val="21"/>
              </w:rPr>
              <w:t>＞</w:t>
            </w:r>
            <w:r>
              <w:rPr>
                <w:sz w:val="21"/>
                <w:szCs w:val="21"/>
              </w:rPr>
              <w:t>7.5</w:t>
            </w:r>
          </w:p>
        </w:tc>
        <w:tc>
          <w:tcPr>
            <w:tcW w:w="2086" w:type="dxa"/>
            <w:vMerge w:val="restart"/>
            <w:vAlign w:val="center"/>
          </w:tcPr>
          <w:p w14:paraId="27172795" w14:textId="77777777" w:rsidR="00544649" w:rsidRDefault="00000000">
            <w:pPr>
              <w:adjustRightInd w:val="0"/>
              <w:snapToGrid w:val="0"/>
              <w:spacing w:after="0" w:line="240" w:lineRule="auto"/>
              <w:ind w:firstLineChars="0" w:firstLine="0"/>
              <w:jc w:val="center"/>
              <w:rPr>
                <w:sz w:val="21"/>
                <w:szCs w:val="21"/>
              </w:rPr>
            </w:pPr>
            <w:r>
              <w:rPr>
                <w:rFonts w:hint="eastAsia"/>
                <w:sz w:val="21"/>
                <w:szCs w:val="21"/>
              </w:rPr>
              <w:t>《土壤环境质量</w:t>
            </w:r>
            <w:r>
              <w:rPr>
                <w:rFonts w:hint="eastAsia"/>
                <w:sz w:val="21"/>
                <w:szCs w:val="21"/>
              </w:rPr>
              <w:t xml:space="preserve"> </w:t>
            </w:r>
            <w:r>
              <w:rPr>
                <w:rFonts w:hint="eastAsia"/>
                <w:sz w:val="21"/>
                <w:szCs w:val="21"/>
              </w:rPr>
              <w:t>农用地土壤污染风险管控标准（试行）》（</w:t>
            </w:r>
            <w:r>
              <w:rPr>
                <w:rFonts w:hint="eastAsia"/>
                <w:sz w:val="21"/>
                <w:szCs w:val="21"/>
              </w:rPr>
              <w:t>GB15618-2018</w:t>
            </w:r>
            <w:r>
              <w:rPr>
                <w:rFonts w:hint="eastAsia"/>
                <w:sz w:val="21"/>
                <w:szCs w:val="21"/>
              </w:rPr>
              <w:t>）筛选值</w:t>
            </w:r>
          </w:p>
        </w:tc>
      </w:tr>
      <w:tr w:rsidR="00544649" w14:paraId="7441FE7A" w14:textId="77777777">
        <w:trPr>
          <w:trHeight w:val="283"/>
          <w:jc w:val="center"/>
        </w:trPr>
        <w:tc>
          <w:tcPr>
            <w:tcW w:w="611" w:type="dxa"/>
            <w:vAlign w:val="center"/>
          </w:tcPr>
          <w:p w14:paraId="0CAF2CAC" w14:textId="77777777" w:rsidR="00544649" w:rsidRDefault="00000000">
            <w:pPr>
              <w:adjustRightInd w:val="0"/>
              <w:snapToGrid w:val="0"/>
              <w:spacing w:after="0" w:line="240" w:lineRule="auto"/>
              <w:ind w:firstLineChars="0" w:firstLine="0"/>
              <w:jc w:val="center"/>
              <w:rPr>
                <w:sz w:val="21"/>
                <w:szCs w:val="21"/>
              </w:rPr>
            </w:pPr>
            <w:r>
              <w:rPr>
                <w:rFonts w:hint="eastAsia"/>
                <w:sz w:val="21"/>
                <w:szCs w:val="21"/>
              </w:rPr>
              <w:t>2</w:t>
            </w:r>
          </w:p>
        </w:tc>
        <w:tc>
          <w:tcPr>
            <w:tcW w:w="741" w:type="dxa"/>
            <w:shd w:val="clear" w:color="auto" w:fill="auto"/>
            <w:vAlign w:val="center"/>
          </w:tcPr>
          <w:p w14:paraId="37517FB4" w14:textId="77777777" w:rsidR="00544649" w:rsidRDefault="00000000">
            <w:pPr>
              <w:adjustRightInd w:val="0"/>
              <w:snapToGrid w:val="0"/>
              <w:spacing w:after="0" w:line="240" w:lineRule="auto"/>
              <w:ind w:firstLineChars="0" w:firstLine="0"/>
              <w:jc w:val="center"/>
              <w:rPr>
                <w:sz w:val="21"/>
                <w:szCs w:val="21"/>
              </w:rPr>
            </w:pPr>
            <w:r>
              <w:rPr>
                <w:sz w:val="21"/>
                <w:szCs w:val="21"/>
              </w:rPr>
              <w:t>镉</w:t>
            </w:r>
          </w:p>
        </w:tc>
        <w:tc>
          <w:tcPr>
            <w:tcW w:w="859" w:type="dxa"/>
            <w:vMerge w:val="restart"/>
            <w:shd w:val="clear" w:color="auto" w:fill="auto"/>
            <w:vAlign w:val="center"/>
          </w:tcPr>
          <w:p w14:paraId="4C9CDF3A" w14:textId="77777777" w:rsidR="00544649" w:rsidRDefault="00000000">
            <w:pPr>
              <w:adjustRightInd w:val="0"/>
              <w:snapToGrid w:val="0"/>
              <w:spacing w:after="0" w:line="240" w:lineRule="auto"/>
              <w:ind w:firstLineChars="0" w:firstLine="0"/>
              <w:jc w:val="center"/>
              <w:rPr>
                <w:sz w:val="21"/>
                <w:szCs w:val="21"/>
              </w:rPr>
            </w:pPr>
            <w:r>
              <w:rPr>
                <w:sz w:val="21"/>
                <w:szCs w:val="21"/>
              </w:rPr>
              <w:t>mg/kg</w:t>
            </w:r>
          </w:p>
        </w:tc>
        <w:tc>
          <w:tcPr>
            <w:tcW w:w="1133" w:type="dxa"/>
            <w:shd w:val="clear" w:color="auto" w:fill="auto"/>
            <w:vAlign w:val="center"/>
          </w:tcPr>
          <w:p w14:paraId="392C8ECF" w14:textId="77777777" w:rsidR="00544649" w:rsidRDefault="00000000">
            <w:pPr>
              <w:pStyle w:val="TableParagraph"/>
              <w:adjustRightInd w:val="0"/>
              <w:snapToGrid w:val="0"/>
              <w:spacing w:after="0"/>
              <w:rPr>
                <w:rFonts w:eastAsia="宋体"/>
                <w:sz w:val="21"/>
                <w:szCs w:val="21"/>
              </w:rPr>
            </w:pPr>
            <w:r>
              <w:rPr>
                <w:sz w:val="21"/>
                <w:szCs w:val="21"/>
              </w:rPr>
              <w:t>0.3</w:t>
            </w:r>
          </w:p>
        </w:tc>
        <w:tc>
          <w:tcPr>
            <w:tcW w:w="1450" w:type="dxa"/>
            <w:shd w:val="clear" w:color="auto" w:fill="auto"/>
            <w:vAlign w:val="center"/>
          </w:tcPr>
          <w:p w14:paraId="7D6F73C3" w14:textId="77777777" w:rsidR="00544649" w:rsidRDefault="00000000">
            <w:pPr>
              <w:pStyle w:val="TableParagraph"/>
              <w:adjustRightInd w:val="0"/>
              <w:snapToGrid w:val="0"/>
              <w:spacing w:after="0"/>
              <w:rPr>
                <w:rFonts w:eastAsia="宋体"/>
                <w:sz w:val="21"/>
                <w:szCs w:val="21"/>
              </w:rPr>
            </w:pPr>
            <w:r>
              <w:rPr>
                <w:sz w:val="21"/>
                <w:szCs w:val="21"/>
              </w:rPr>
              <w:t>0.3</w:t>
            </w:r>
          </w:p>
        </w:tc>
        <w:tc>
          <w:tcPr>
            <w:tcW w:w="1160" w:type="dxa"/>
            <w:shd w:val="clear" w:color="auto" w:fill="auto"/>
            <w:vAlign w:val="center"/>
          </w:tcPr>
          <w:p w14:paraId="37B8F481" w14:textId="77777777" w:rsidR="00544649" w:rsidRDefault="00000000">
            <w:pPr>
              <w:pStyle w:val="TableParagraph"/>
              <w:adjustRightInd w:val="0"/>
              <w:snapToGrid w:val="0"/>
              <w:spacing w:after="0"/>
              <w:rPr>
                <w:rFonts w:eastAsia="宋体"/>
                <w:sz w:val="21"/>
                <w:szCs w:val="21"/>
              </w:rPr>
            </w:pPr>
            <w:r>
              <w:rPr>
                <w:sz w:val="21"/>
                <w:szCs w:val="21"/>
              </w:rPr>
              <w:t>0.3</w:t>
            </w:r>
          </w:p>
        </w:tc>
        <w:tc>
          <w:tcPr>
            <w:tcW w:w="1020" w:type="dxa"/>
            <w:shd w:val="clear" w:color="auto" w:fill="auto"/>
            <w:vAlign w:val="center"/>
          </w:tcPr>
          <w:p w14:paraId="4D88CBA9" w14:textId="77777777" w:rsidR="00544649" w:rsidRDefault="00000000">
            <w:pPr>
              <w:pStyle w:val="TableParagraph"/>
              <w:adjustRightInd w:val="0"/>
              <w:snapToGrid w:val="0"/>
              <w:spacing w:after="0"/>
              <w:rPr>
                <w:rFonts w:eastAsia="宋体"/>
                <w:sz w:val="21"/>
                <w:szCs w:val="21"/>
              </w:rPr>
            </w:pPr>
            <w:r>
              <w:rPr>
                <w:sz w:val="21"/>
                <w:szCs w:val="21"/>
              </w:rPr>
              <w:t>0.6</w:t>
            </w:r>
          </w:p>
        </w:tc>
        <w:tc>
          <w:tcPr>
            <w:tcW w:w="2086" w:type="dxa"/>
            <w:vMerge/>
            <w:vAlign w:val="center"/>
          </w:tcPr>
          <w:p w14:paraId="13F9E139" w14:textId="77777777" w:rsidR="00544649" w:rsidRDefault="00544649">
            <w:pPr>
              <w:pStyle w:val="TableParagraph"/>
              <w:adjustRightInd w:val="0"/>
              <w:snapToGrid w:val="0"/>
              <w:spacing w:after="0"/>
              <w:rPr>
                <w:sz w:val="21"/>
                <w:szCs w:val="21"/>
              </w:rPr>
            </w:pPr>
          </w:p>
        </w:tc>
      </w:tr>
      <w:tr w:rsidR="00544649" w14:paraId="0E9288F7" w14:textId="77777777">
        <w:trPr>
          <w:trHeight w:val="283"/>
          <w:jc w:val="center"/>
        </w:trPr>
        <w:tc>
          <w:tcPr>
            <w:tcW w:w="611" w:type="dxa"/>
            <w:vAlign w:val="center"/>
          </w:tcPr>
          <w:p w14:paraId="22CC860F" w14:textId="77777777" w:rsidR="00544649" w:rsidRDefault="00000000">
            <w:pPr>
              <w:adjustRightInd w:val="0"/>
              <w:snapToGrid w:val="0"/>
              <w:spacing w:after="0" w:line="240" w:lineRule="auto"/>
              <w:ind w:firstLineChars="0" w:firstLine="0"/>
              <w:jc w:val="center"/>
              <w:rPr>
                <w:sz w:val="21"/>
                <w:szCs w:val="21"/>
              </w:rPr>
            </w:pPr>
            <w:r>
              <w:rPr>
                <w:rFonts w:hint="eastAsia"/>
                <w:sz w:val="21"/>
                <w:szCs w:val="21"/>
              </w:rPr>
              <w:t>3</w:t>
            </w:r>
          </w:p>
        </w:tc>
        <w:tc>
          <w:tcPr>
            <w:tcW w:w="741" w:type="dxa"/>
            <w:shd w:val="clear" w:color="auto" w:fill="auto"/>
            <w:vAlign w:val="center"/>
          </w:tcPr>
          <w:p w14:paraId="1B3FAB1E" w14:textId="77777777" w:rsidR="00544649" w:rsidRDefault="00000000">
            <w:pPr>
              <w:adjustRightInd w:val="0"/>
              <w:snapToGrid w:val="0"/>
              <w:spacing w:after="0" w:line="240" w:lineRule="auto"/>
              <w:ind w:firstLineChars="0" w:firstLine="0"/>
              <w:jc w:val="center"/>
              <w:rPr>
                <w:sz w:val="21"/>
                <w:szCs w:val="21"/>
              </w:rPr>
            </w:pPr>
            <w:r>
              <w:rPr>
                <w:sz w:val="21"/>
                <w:szCs w:val="21"/>
              </w:rPr>
              <w:t>汞</w:t>
            </w:r>
          </w:p>
        </w:tc>
        <w:tc>
          <w:tcPr>
            <w:tcW w:w="859" w:type="dxa"/>
            <w:vMerge/>
            <w:shd w:val="clear" w:color="auto" w:fill="auto"/>
            <w:vAlign w:val="center"/>
          </w:tcPr>
          <w:p w14:paraId="7494642E" w14:textId="77777777" w:rsidR="00544649" w:rsidRDefault="00544649">
            <w:pPr>
              <w:adjustRightInd w:val="0"/>
              <w:snapToGrid w:val="0"/>
              <w:spacing w:after="0" w:line="240" w:lineRule="auto"/>
              <w:ind w:firstLineChars="0" w:firstLine="0"/>
              <w:jc w:val="center"/>
              <w:rPr>
                <w:sz w:val="21"/>
                <w:szCs w:val="21"/>
              </w:rPr>
            </w:pPr>
          </w:p>
        </w:tc>
        <w:tc>
          <w:tcPr>
            <w:tcW w:w="1133" w:type="dxa"/>
            <w:shd w:val="clear" w:color="auto" w:fill="auto"/>
            <w:vAlign w:val="center"/>
          </w:tcPr>
          <w:p w14:paraId="7BD42115" w14:textId="77777777" w:rsidR="00544649" w:rsidRDefault="00000000">
            <w:pPr>
              <w:pStyle w:val="TableParagraph"/>
              <w:adjustRightInd w:val="0"/>
              <w:snapToGrid w:val="0"/>
              <w:spacing w:after="0"/>
              <w:rPr>
                <w:rFonts w:eastAsia="宋体"/>
                <w:sz w:val="21"/>
                <w:szCs w:val="21"/>
              </w:rPr>
            </w:pPr>
            <w:r>
              <w:rPr>
                <w:sz w:val="21"/>
                <w:szCs w:val="21"/>
              </w:rPr>
              <w:t>1.3</w:t>
            </w:r>
          </w:p>
        </w:tc>
        <w:tc>
          <w:tcPr>
            <w:tcW w:w="1450" w:type="dxa"/>
            <w:shd w:val="clear" w:color="auto" w:fill="auto"/>
            <w:vAlign w:val="center"/>
          </w:tcPr>
          <w:p w14:paraId="140623E2" w14:textId="77777777" w:rsidR="00544649" w:rsidRDefault="00000000">
            <w:pPr>
              <w:pStyle w:val="TableParagraph"/>
              <w:adjustRightInd w:val="0"/>
              <w:snapToGrid w:val="0"/>
              <w:spacing w:after="0"/>
              <w:rPr>
                <w:rFonts w:eastAsia="宋体"/>
                <w:sz w:val="21"/>
                <w:szCs w:val="21"/>
              </w:rPr>
            </w:pPr>
            <w:r>
              <w:rPr>
                <w:sz w:val="21"/>
                <w:szCs w:val="21"/>
              </w:rPr>
              <w:t>1.8</w:t>
            </w:r>
          </w:p>
        </w:tc>
        <w:tc>
          <w:tcPr>
            <w:tcW w:w="1160" w:type="dxa"/>
            <w:shd w:val="clear" w:color="auto" w:fill="auto"/>
            <w:vAlign w:val="center"/>
          </w:tcPr>
          <w:p w14:paraId="4A9B5551" w14:textId="77777777" w:rsidR="00544649" w:rsidRDefault="00000000">
            <w:pPr>
              <w:pStyle w:val="TableParagraph"/>
              <w:adjustRightInd w:val="0"/>
              <w:snapToGrid w:val="0"/>
              <w:spacing w:after="0"/>
              <w:rPr>
                <w:rFonts w:eastAsia="宋体"/>
                <w:sz w:val="21"/>
                <w:szCs w:val="21"/>
              </w:rPr>
            </w:pPr>
            <w:r>
              <w:rPr>
                <w:sz w:val="21"/>
                <w:szCs w:val="21"/>
              </w:rPr>
              <w:t>2.4</w:t>
            </w:r>
          </w:p>
        </w:tc>
        <w:tc>
          <w:tcPr>
            <w:tcW w:w="1020" w:type="dxa"/>
            <w:shd w:val="clear" w:color="auto" w:fill="auto"/>
            <w:vAlign w:val="center"/>
          </w:tcPr>
          <w:p w14:paraId="4424D174" w14:textId="77777777" w:rsidR="00544649" w:rsidRDefault="00000000">
            <w:pPr>
              <w:pStyle w:val="TableParagraph"/>
              <w:adjustRightInd w:val="0"/>
              <w:snapToGrid w:val="0"/>
              <w:spacing w:after="0"/>
              <w:rPr>
                <w:rFonts w:eastAsia="宋体"/>
                <w:sz w:val="21"/>
                <w:szCs w:val="21"/>
              </w:rPr>
            </w:pPr>
            <w:r>
              <w:rPr>
                <w:sz w:val="21"/>
                <w:szCs w:val="21"/>
              </w:rPr>
              <w:t>3.4</w:t>
            </w:r>
          </w:p>
        </w:tc>
        <w:tc>
          <w:tcPr>
            <w:tcW w:w="2086" w:type="dxa"/>
            <w:vMerge/>
            <w:vAlign w:val="center"/>
          </w:tcPr>
          <w:p w14:paraId="53841E7D" w14:textId="77777777" w:rsidR="00544649" w:rsidRDefault="00544649">
            <w:pPr>
              <w:pStyle w:val="TableParagraph"/>
              <w:adjustRightInd w:val="0"/>
              <w:snapToGrid w:val="0"/>
              <w:spacing w:after="0"/>
              <w:rPr>
                <w:sz w:val="21"/>
                <w:szCs w:val="21"/>
              </w:rPr>
            </w:pPr>
          </w:p>
        </w:tc>
      </w:tr>
      <w:tr w:rsidR="00544649" w14:paraId="23B3DFDC" w14:textId="77777777">
        <w:trPr>
          <w:trHeight w:val="283"/>
          <w:jc w:val="center"/>
        </w:trPr>
        <w:tc>
          <w:tcPr>
            <w:tcW w:w="611" w:type="dxa"/>
            <w:vAlign w:val="center"/>
          </w:tcPr>
          <w:p w14:paraId="269D2042" w14:textId="77777777" w:rsidR="00544649" w:rsidRDefault="00000000">
            <w:pPr>
              <w:adjustRightInd w:val="0"/>
              <w:snapToGrid w:val="0"/>
              <w:spacing w:after="0" w:line="240" w:lineRule="auto"/>
              <w:ind w:firstLineChars="0" w:firstLine="0"/>
              <w:jc w:val="center"/>
              <w:rPr>
                <w:sz w:val="21"/>
                <w:szCs w:val="21"/>
              </w:rPr>
            </w:pPr>
            <w:r>
              <w:rPr>
                <w:rFonts w:hint="eastAsia"/>
                <w:sz w:val="21"/>
                <w:szCs w:val="21"/>
              </w:rPr>
              <w:t>4</w:t>
            </w:r>
          </w:p>
        </w:tc>
        <w:tc>
          <w:tcPr>
            <w:tcW w:w="741" w:type="dxa"/>
            <w:shd w:val="clear" w:color="auto" w:fill="auto"/>
            <w:vAlign w:val="center"/>
          </w:tcPr>
          <w:p w14:paraId="74EB441D" w14:textId="77777777" w:rsidR="00544649" w:rsidRDefault="00000000">
            <w:pPr>
              <w:adjustRightInd w:val="0"/>
              <w:snapToGrid w:val="0"/>
              <w:spacing w:after="0" w:line="240" w:lineRule="auto"/>
              <w:ind w:firstLineChars="0" w:firstLine="0"/>
              <w:jc w:val="center"/>
              <w:rPr>
                <w:sz w:val="21"/>
                <w:szCs w:val="21"/>
              </w:rPr>
            </w:pPr>
            <w:r>
              <w:rPr>
                <w:sz w:val="21"/>
                <w:szCs w:val="21"/>
              </w:rPr>
              <w:t>砷</w:t>
            </w:r>
          </w:p>
        </w:tc>
        <w:tc>
          <w:tcPr>
            <w:tcW w:w="859" w:type="dxa"/>
            <w:vMerge/>
            <w:shd w:val="clear" w:color="auto" w:fill="auto"/>
            <w:vAlign w:val="center"/>
          </w:tcPr>
          <w:p w14:paraId="00A0F8F6" w14:textId="77777777" w:rsidR="00544649" w:rsidRDefault="00544649">
            <w:pPr>
              <w:adjustRightInd w:val="0"/>
              <w:snapToGrid w:val="0"/>
              <w:spacing w:after="0" w:line="240" w:lineRule="auto"/>
              <w:ind w:firstLineChars="0" w:firstLine="0"/>
              <w:jc w:val="center"/>
              <w:rPr>
                <w:sz w:val="21"/>
                <w:szCs w:val="21"/>
              </w:rPr>
            </w:pPr>
          </w:p>
        </w:tc>
        <w:tc>
          <w:tcPr>
            <w:tcW w:w="1133" w:type="dxa"/>
            <w:shd w:val="clear" w:color="auto" w:fill="auto"/>
            <w:vAlign w:val="center"/>
          </w:tcPr>
          <w:p w14:paraId="3A7BA28D" w14:textId="77777777" w:rsidR="00544649" w:rsidRDefault="00000000">
            <w:pPr>
              <w:pStyle w:val="TableParagraph"/>
              <w:adjustRightInd w:val="0"/>
              <w:snapToGrid w:val="0"/>
              <w:spacing w:after="0"/>
              <w:rPr>
                <w:rFonts w:eastAsia="宋体"/>
                <w:sz w:val="21"/>
                <w:szCs w:val="21"/>
              </w:rPr>
            </w:pPr>
            <w:r>
              <w:rPr>
                <w:sz w:val="21"/>
                <w:szCs w:val="21"/>
              </w:rPr>
              <w:t>40</w:t>
            </w:r>
          </w:p>
        </w:tc>
        <w:tc>
          <w:tcPr>
            <w:tcW w:w="1450" w:type="dxa"/>
            <w:shd w:val="clear" w:color="auto" w:fill="auto"/>
            <w:vAlign w:val="center"/>
          </w:tcPr>
          <w:p w14:paraId="3417C302" w14:textId="77777777" w:rsidR="00544649" w:rsidRDefault="00000000">
            <w:pPr>
              <w:pStyle w:val="TableParagraph"/>
              <w:adjustRightInd w:val="0"/>
              <w:snapToGrid w:val="0"/>
              <w:spacing w:after="0"/>
              <w:rPr>
                <w:rFonts w:eastAsia="宋体"/>
                <w:sz w:val="21"/>
                <w:szCs w:val="21"/>
              </w:rPr>
            </w:pPr>
            <w:r>
              <w:rPr>
                <w:sz w:val="21"/>
                <w:szCs w:val="21"/>
              </w:rPr>
              <w:t>40</w:t>
            </w:r>
          </w:p>
        </w:tc>
        <w:tc>
          <w:tcPr>
            <w:tcW w:w="1160" w:type="dxa"/>
            <w:shd w:val="clear" w:color="auto" w:fill="auto"/>
            <w:vAlign w:val="center"/>
          </w:tcPr>
          <w:p w14:paraId="0EA0E31F" w14:textId="77777777" w:rsidR="00544649" w:rsidRDefault="00000000">
            <w:pPr>
              <w:pStyle w:val="TableParagraph"/>
              <w:adjustRightInd w:val="0"/>
              <w:snapToGrid w:val="0"/>
              <w:spacing w:after="0"/>
              <w:rPr>
                <w:rFonts w:eastAsia="宋体"/>
                <w:sz w:val="21"/>
                <w:szCs w:val="21"/>
              </w:rPr>
            </w:pPr>
            <w:r>
              <w:rPr>
                <w:sz w:val="21"/>
                <w:szCs w:val="21"/>
              </w:rPr>
              <w:t>35</w:t>
            </w:r>
          </w:p>
        </w:tc>
        <w:tc>
          <w:tcPr>
            <w:tcW w:w="1020" w:type="dxa"/>
            <w:shd w:val="clear" w:color="auto" w:fill="auto"/>
            <w:vAlign w:val="center"/>
          </w:tcPr>
          <w:p w14:paraId="4D35C300" w14:textId="77777777" w:rsidR="00544649" w:rsidRDefault="00000000">
            <w:pPr>
              <w:pStyle w:val="TableParagraph"/>
              <w:adjustRightInd w:val="0"/>
              <w:snapToGrid w:val="0"/>
              <w:spacing w:after="0"/>
              <w:rPr>
                <w:rFonts w:eastAsia="宋体"/>
                <w:sz w:val="21"/>
                <w:szCs w:val="21"/>
              </w:rPr>
            </w:pPr>
            <w:r>
              <w:rPr>
                <w:sz w:val="21"/>
                <w:szCs w:val="21"/>
              </w:rPr>
              <w:t>25</w:t>
            </w:r>
          </w:p>
        </w:tc>
        <w:tc>
          <w:tcPr>
            <w:tcW w:w="2086" w:type="dxa"/>
            <w:vMerge/>
            <w:vAlign w:val="center"/>
          </w:tcPr>
          <w:p w14:paraId="2286AD52" w14:textId="77777777" w:rsidR="00544649" w:rsidRDefault="00544649">
            <w:pPr>
              <w:pStyle w:val="TableParagraph"/>
              <w:adjustRightInd w:val="0"/>
              <w:snapToGrid w:val="0"/>
              <w:spacing w:after="0"/>
              <w:rPr>
                <w:sz w:val="21"/>
                <w:szCs w:val="21"/>
              </w:rPr>
            </w:pPr>
          </w:p>
        </w:tc>
      </w:tr>
      <w:tr w:rsidR="00544649" w14:paraId="64996819" w14:textId="77777777">
        <w:trPr>
          <w:trHeight w:val="283"/>
          <w:jc w:val="center"/>
        </w:trPr>
        <w:tc>
          <w:tcPr>
            <w:tcW w:w="611" w:type="dxa"/>
            <w:vAlign w:val="center"/>
          </w:tcPr>
          <w:p w14:paraId="469FAFD2" w14:textId="77777777" w:rsidR="00544649" w:rsidRDefault="00000000">
            <w:pPr>
              <w:adjustRightInd w:val="0"/>
              <w:snapToGrid w:val="0"/>
              <w:spacing w:after="0" w:line="240" w:lineRule="auto"/>
              <w:ind w:firstLineChars="0" w:firstLine="0"/>
              <w:jc w:val="center"/>
              <w:rPr>
                <w:sz w:val="21"/>
                <w:szCs w:val="21"/>
              </w:rPr>
            </w:pPr>
            <w:r>
              <w:rPr>
                <w:rFonts w:hint="eastAsia"/>
                <w:sz w:val="21"/>
                <w:szCs w:val="21"/>
              </w:rPr>
              <w:t>5</w:t>
            </w:r>
          </w:p>
        </w:tc>
        <w:tc>
          <w:tcPr>
            <w:tcW w:w="741" w:type="dxa"/>
            <w:shd w:val="clear" w:color="auto" w:fill="auto"/>
            <w:vAlign w:val="center"/>
          </w:tcPr>
          <w:p w14:paraId="7728EE44" w14:textId="77777777" w:rsidR="00544649" w:rsidRDefault="00000000">
            <w:pPr>
              <w:adjustRightInd w:val="0"/>
              <w:snapToGrid w:val="0"/>
              <w:spacing w:after="0" w:line="240" w:lineRule="auto"/>
              <w:ind w:firstLineChars="0" w:firstLine="0"/>
              <w:jc w:val="center"/>
              <w:rPr>
                <w:sz w:val="21"/>
                <w:szCs w:val="21"/>
              </w:rPr>
            </w:pPr>
            <w:r>
              <w:rPr>
                <w:sz w:val="21"/>
                <w:szCs w:val="21"/>
              </w:rPr>
              <w:t>铅</w:t>
            </w:r>
          </w:p>
        </w:tc>
        <w:tc>
          <w:tcPr>
            <w:tcW w:w="859" w:type="dxa"/>
            <w:vMerge/>
            <w:shd w:val="clear" w:color="auto" w:fill="auto"/>
            <w:vAlign w:val="center"/>
          </w:tcPr>
          <w:p w14:paraId="7849A4E1" w14:textId="77777777" w:rsidR="00544649" w:rsidRDefault="00544649">
            <w:pPr>
              <w:adjustRightInd w:val="0"/>
              <w:snapToGrid w:val="0"/>
              <w:spacing w:after="0" w:line="240" w:lineRule="auto"/>
              <w:ind w:firstLineChars="0" w:firstLine="0"/>
              <w:jc w:val="center"/>
              <w:rPr>
                <w:sz w:val="21"/>
                <w:szCs w:val="21"/>
              </w:rPr>
            </w:pPr>
          </w:p>
        </w:tc>
        <w:tc>
          <w:tcPr>
            <w:tcW w:w="1133" w:type="dxa"/>
            <w:shd w:val="clear" w:color="auto" w:fill="auto"/>
            <w:vAlign w:val="center"/>
          </w:tcPr>
          <w:p w14:paraId="3C474772" w14:textId="77777777" w:rsidR="00544649" w:rsidRDefault="00000000">
            <w:pPr>
              <w:pStyle w:val="TableParagraph"/>
              <w:adjustRightInd w:val="0"/>
              <w:snapToGrid w:val="0"/>
              <w:spacing w:after="0"/>
              <w:rPr>
                <w:rFonts w:eastAsia="宋体"/>
                <w:sz w:val="21"/>
                <w:szCs w:val="21"/>
              </w:rPr>
            </w:pPr>
            <w:r>
              <w:rPr>
                <w:sz w:val="21"/>
                <w:szCs w:val="21"/>
              </w:rPr>
              <w:t>70</w:t>
            </w:r>
          </w:p>
        </w:tc>
        <w:tc>
          <w:tcPr>
            <w:tcW w:w="1450" w:type="dxa"/>
            <w:shd w:val="clear" w:color="auto" w:fill="auto"/>
            <w:vAlign w:val="center"/>
          </w:tcPr>
          <w:p w14:paraId="158CB60F" w14:textId="77777777" w:rsidR="00544649" w:rsidRDefault="00000000">
            <w:pPr>
              <w:pStyle w:val="TableParagraph"/>
              <w:adjustRightInd w:val="0"/>
              <w:snapToGrid w:val="0"/>
              <w:spacing w:after="0"/>
              <w:rPr>
                <w:rFonts w:eastAsia="宋体"/>
                <w:sz w:val="21"/>
                <w:szCs w:val="21"/>
              </w:rPr>
            </w:pPr>
            <w:r>
              <w:rPr>
                <w:sz w:val="21"/>
                <w:szCs w:val="21"/>
              </w:rPr>
              <w:t>90</w:t>
            </w:r>
          </w:p>
        </w:tc>
        <w:tc>
          <w:tcPr>
            <w:tcW w:w="1160" w:type="dxa"/>
            <w:shd w:val="clear" w:color="auto" w:fill="auto"/>
            <w:vAlign w:val="center"/>
          </w:tcPr>
          <w:p w14:paraId="52312887" w14:textId="77777777" w:rsidR="00544649" w:rsidRDefault="00000000">
            <w:pPr>
              <w:pStyle w:val="TableParagraph"/>
              <w:adjustRightInd w:val="0"/>
              <w:snapToGrid w:val="0"/>
              <w:spacing w:after="0"/>
              <w:rPr>
                <w:rFonts w:eastAsia="宋体"/>
                <w:sz w:val="21"/>
                <w:szCs w:val="21"/>
              </w:rPr>
            </w:pPr>
            <w:r>
              <w:rPr>
                <w:sz w:val="21"/>
                <w:szCs w:val="21"/>
              </w:rPr>
              <w:t>120</w:t>
            </w:r>
          </w:p>
        </w:tc>
        <w:tc>
          <w:tcPr>
            <w:tcW w:w="1020" w:type="dxa"/>
            <w:shd w:val="clear" w:color="auto" w:fill="auto"/>
            <w:vAlign w:val="center"/>
          </w:tcPr>
          <w:p w14:paraId="42EC9D08" w14:textId="77777777" w:rsidR="00544649" w:rsidRDefault="00000000">
            <w:pPr>
              <w:pStyle w:val="TableParagraph"/>
              <w:adjustRightInd w:val="0"/>
              <w:snapToGrid w:val="0"/>
              <w:spacing w:after="0"/>
              <w:rPr>
                <w:rFonts w:eastAsia="宋体"/>
                <w:sz w:val="21"/>
                <w:szCs w:val="21"/>
              </w:rPr>
            </w:pPr>
            <w:r>
              <w:rPr>
                <w:sz w:val="21"/>
                <w:szCs w:val="21"/>
              </w:rPr>
              <w:t>170</w:t>
            </w:r>
          </w:p>
        </w:tc>
        <w:tc>
          <w:tcPr>
            <w:tcW w:w="2086" w:type="dxa"/>
            <w:vMerge/>
            <w:vAlign w:val="center"/>
          </w:tcPr>
          <w:p w14:paraId="0A511B85" w14:textId="77777777" w:rsidR="00544649" w:rsidRDefault="00544649">
            <w:pPr>
              <w:pStyle w:val="TableParagraph"/>
              <w:adjustRightInd w:val="0"/>
              <w:snapToGrid w:val="0"/>
              <w:spacing w:after="0"/>
              <w:rPr>
                <w:sz w:val="21"/>
                <w:szCs w:val="21"/>
              </w:rPr>
            </w:pPr>
          </w:p>
        </w:tc>
      </w:tr>
      <w:tr w:rsidR="00544649" w14:paraId="4AEA811A" w14:textId="77777777">
        <w:trPr>
          <w:trHeight w:val="283"/>
          <w:jc w:val="center"/>
        </w:trPr>
        <w:tc>
          <w:tcPr>
            <w:tcW w:w="611" w:type="dxa"/>
            <w:vAlign w:val="center"/>
          </w:tcPr>
          <w:p w14:paraId="6C3B7C6B" w14:textId="77777777" w:rsidR="00544649" w:rsidRDefault="00000000">
            <w:pPr>
              <w:adjustRightInd w:val="0"/>
              <w:snapToGrid w:val="0"/>
              <w:spacing w:after="0" w:line="240" w:lineRule="auto"/>
              <w:ind w:firstLineChars="0" w:firstLine="0"/>
              <w:jc w:val="center"/>
              <w:rPr>
                <w:sz w:val="21"/>
                <w:szCs w:val="21"/>
              </w:rPr>
            </w:pPr>
            <w:r>
              <w:rPr>
                <w:rFonts w:hint="eastAsia"/>
                <w:sz w:val="21"/>
                <w:szCs w:val="21"/>
              </w:rPr>
              <w:t>6</w:t>
            </w:r>
          </w:p>
        </w:tc>
        <w:tc>
          <w:tcPr>
            <w:tcW w:w="741" w:type="dxa"/>
            <w:shd w:val="clear" w:color="auto" w:fill="auto"/>
            <w:vAlign w:val="center"/>
          </w:tcPr>
          <w:p w14:paraId="4120FFF2" w14:textId="77777777" w:rsidR="00544649" w:rsidRDefault="00000000">
            <w:pPr>
              <w:adjustRightInd w:val="0"/>
              <w:snapToGrid w:val="0"/>
              <w:spacing w:after="0" w:line="240" w:lineRule="auto"/>
              <w:ind w:firstLineChars="0" w:firstLine="0"/>
              <w:jc w:val="center"/>
              <w:rPr>
                <w:sz w:val="21"/>
                <w:szCs w:val="21"/>
              </w:rPr>
            </w:pPr>
            <w:r>
              <w:rPr>
                <w:sz w:val="21"/>
                <w:szCs w:val="21"/>
              </w:rPr>
              <w:t>铬</w:t>
            </w:r>
          </w:p>
        </w:tc>
        <w:tc>
          <w:tcPr>
            <w:tcW w:w="859" w:type="dxa"/>
            <w:vMerge/>
            <w:shd w:val="clear" w:color="auto" w:fill="auto"/>
            <w:vAlign w:val="center"/>
          </w:tcPr>
          <w:p w14:paraId="2A07B01F" w14:textId="77777777" w:rsidR="00544649" w:rsidRDefault="00544649">
            <w:pPr>
              <w:adjustRightInd w:val="0"/>
              <w:snapToGrid w:val="0"/>
              <w:spacing w:after="0" w:line="240" w:lineRule="auto"/>
              <w:ind w:firstLineChars="0" w:firstLine="0"/>
              <w:jc w:val="center"/>
              <w:rPr>
                <w:sz w:val="21"/>
                <w:szCs w:val="21"/>
              </w:rPr>
            </w:pPr>
          </w:p>
        </w:tc>
        <w:tc>
          <w:tcPr>
            <w:tcW w:w="1133" w:type="dxa"/>
            <w:shd w:val="clear" w:color="auto" w:fill="auto"/>
            <w:vAlign w:val="center"/>
          </w:tcPr>
          <w:p w14:paraId="03FC5A80" w14:textId="77777777" w:rsidR="00544649" w:rsidRDefault="00000000">
            <w:pPr>
              <w:pStyle w:val="TableParagraph"/>
              <w:adjustRightInd w:val="0"/>
              <w:snapToGrid w:val="0"/>
              <w:spacing w:after="0"/>
              <w:rPr>
                <w:rFonts w:eastAsia="宋体"/>
                <w:sz w:val="21"/>
                <w:szCs w:val="21"/>
              </w:rPr>
            </w:pPr>
            <w:r>
              <w:rPr>
                <w:sz w:val="21"/>
                <w:szCs w:val="21"/>
              </w:rPr>
              <w:t>150</w:t>
            </w:r>
          </w:p>
        </w:tc>
        <w:tc>
          <w:tcPr>
            <w:tcW w:w="1450" w:type="dxa"/>
            <w:shd w:val="clear" w:color="auto" w:fill="auto"/>
            <w:vAlign w:val="center"/>
          </w:tcPr>
          <w:p w14:paraId="03288DB0" w14:textId="77777777" w:rsidR="00544649" w:rsidRDefault="00000000">
            <w:pPr>
              <w:pStyle w:val="TableParagraph"/>
              <w:adjustRightInd w:val="0"/>
              <w:snapToGrid w:val="0"/>
              <w:spacing w:after="0"/>
              <w:rPr>
                <w:rFonts w:eastAsia="宋体"/>
                <w:sz w:val="21"/>
                <w:szCs w:val="21"/>
              </w:rPr>
            </w:pPr>
            <w:r>
              <w:rPr>
                <w:sz w:val="21"/>
                <w:szCs w:val="21"/>
              </w:rPr>
              <w:t>150</w:t>
            </w:r>
          </w:p>
        </w:tc>
        <w:tc>
          <w:tcPr>
            <w:tcW w:w="1160" w:type="dxa"/>
            <w:shd w:val="clear" w:color="auto" w:fill="auto"/>
            <w:vAlign w:val="center"/>
          </w:tcPr>
          <w:p w14:paraId="45D03A5B" w14:textId="77777777" w:rsidR="00544649" w:rsidRDefault="00000000">
            <w:pPr>
              <w:pStyle w:val="TableParagraph"/>
              <w:adjustRightInd w:val="0"/>
              <w:snapToGrid w:val="0"/>
              <w:spacing w:after="0"/>
              <w:rPr>
                <w:rFonts w:eastAsia="宋体"/>
                <w:sz w:val="21"/>
                <w:szCs w:val="21"/>
              </w:rPr>
            </w:pPr>
            <w:r>
              <w:rPr>
                <w:sz w:val="21"/>
                <w:szCs w:val="21"/>
              </w:rPr>
              <w:t>200</w:t>
            </w:r>
          </w:p>
        </w:tc>
        <w:tc>
          <w:tcPr>
            <w:tcW w:w="1020" w:type="dxa"/>
            <w:shd w:val="clear" w:color="auto" w:fill="auto"/>
            <w:vAlign w:val="center"/>
          </w:tcPr>
          <w:p w14:paraId="605B8F59" w14:textId="77777777" w:rsidR="00544649" w:rsidRDefault="00000000">
            <w:pPr>
              <w:pStyle w:val="TableParagraph"/>
              <w:adjustRightInd w:val="0"/>
              <w:snapToGrid w:val="0"/>
              <w:spacing w:after="0"/>
              <w:rPr>
                <w:rFonts w:eastAsia="宋体"/>
                <w:sz w:val="21"/>
                <w:szCs w:val="21"/>
              </w:rPr>
            </w:pPr>
            <w:r>
              <w:rPr>
                <w:sz w:val="21"/>
                <w:szCs w:val="21"/>
              </w:rPr>
              <w:t>250</w:t>
            </w:r>
          </w:p>
        </w:tc>
        <w:tc>
          <w:tcPr>
            <w:tcW w:w="2086" w:type="dxa"/>
            <w:vMerge/>
            <w:vAlign w:val="center"/>
          </w:tcPr>
          <w:p w14:paraId="33973574" w14:textId="77777777" w:rsidR="00544649" w:rsidRDefault="00544649">
            <w:pPr>
              <w:pStyle w:val="TableParagraph"/>
              <w:adjustRightInd w:val="0"/>
              <w:snapToGrid w:val="0"/>
              <w:spacing w:after="0"/>
              <w:rPr>
                <w:sz w:val="21"/>
                <w:szCs w:val="21"/>
              </w:rPr>
            </w:pPr>
          </w:p>
        </w:tc>
      </w:tr>
      <w:tr w:rsidR="00544649" w14:paraId="3C56001F" w14:textId="77777777">
        <w:trPr>
          <w:trHeight w:val="283"/>
          <w:jc w:val="center"/>
        </w:trPr>
        <w:tc>
          <w:tcPr>
            <w:tcW w:w="611" w:type="dxa"/>
            <w:vAlign w:val="center"/>
          </w:tcPr>
          <w:p w14:paraId="216793BF" w14:textId="77777777" w:rsidR="00544649" w:rsidRDefault="00000000">
            <w:pPr>
              <w:adjustRightInd w:val="0"/>
              <w:snapToGrid w:val="0"/>
              <w:spacing w:after="0" w:line="240" w:lineRule="auto"/>
              <w:ind w:firstLineChars="0" w:firstLine="0"/>
              <w:jc w:val="center"/>
              <w:rPr>
                <w:sz w:val="21"/>
                <w:szCs w:val="21"/>
              </w:rPr>
            </w:pPr>
            <w:r>
              <w:rPr>
                <w:rFonts w:hint="eastAsia"/>
                <w:sz w:val="21"/>
                <w:szCs w:val="21"/>
              </w:rPr>
              <w:t>7</w:t>
            </w:r>
          </w:p>
        </w:tc>
        <w:tc>
          <w:tcPr>
            <w:tcW w:w="741" w:type="dxa"/>
            <w:shd w:val="clear" w:color="auto" w:fill="auto"/>
            <w:vAlign w:val="center"/>
          </w:tcPr>
          <w:p w14:paraId="1D9BBCF0" w14:textId="77777777" w:rsidR="00544649" w:rsidRDefault="00000000">
            <w:pPr>
              <w:adjustRightInd w:val="0"/>
              <w:snapToGrid w:val="0"/>
              <w:spacing w:after="0" w:line="240" w:lineRule="auto"/>
              <w:ind w:firstLineChars="0" w:firstLine="0"/>
              <w:jc w:val="center"/>
              <w:rPr>
                <w:sz w:val="21"/>
                <w:szCs w:val="21"/>
              </w:rPr>
            </w:pPr>
            <w:r>
              <w:rPr>
                <w:sz w:val="21"/>
                <w:szCs w:val="21"/>
              </w:rPr>
              <w:t>铜</w:t>
            </w:r>
          </w:p>
        </w:tc>
        <w:tc>
          <w:tcPr>
            <w:tcW w:w="859" w:type="dxa"/>
            <w:vMerge/>
            <w:shd w:val="clear" w:color="auto" w:fill="auto"/>
            <w:vAlign w:val="center"/>
          </w:tcPr>
          <w:p w14:paraId="7AABFFA7" w14:textId="77777777" w:rsidR="00544649" w:rsidRDefault="00544649">
            <w:pPr>
              <w:adjustRightInd w:val="0"/>
              <w:snapToGrid w:val="0"/>
              <w:spacing w:after="0" w:line="240" w:lineRule="auto"/>
              <w:ind w:firstLineChars="0" w:firstLine="0"/>
              <w:jc w:val="center"/>
              <w:rPr>
                <w:sz w:val="21"/>
                <w:szCs w:val="21"/>
              </w:rPr>
            </w:pPr>
          </w:p>
        </w:tc>
        <w:tc>
          <w:tcPr>
            <w:tcW w:w="1133" w:type="dxa"/>
            <w:shd w:val="clear" w:color="auto" w:fill="auto"/>
            <w:vAlign w:val="center"/>
          </w:tcPr>
          <w:p w14:paraId="337B99E9" w14:textId="77777777" w:rsidR="00544649" w:rsidRDefault="00000000">
            <w:pPr>
              <w:pStyle w:val="TableParagraph"/>
              <w:adjustRightInd w:val="0"/>
              <w:snapToGrid w:val="0"/>
              <w:spacing w:after="0"/>
              <w:rPr>
                <w:rFonts w:eastAsia="宋体"/>
                <w:sz w:val="21"/>
                <w:szCs w:val="21"/>
              </w:rPr>
            </w:pPr>
            <w:r>
              <w:rPr>
                <w:sz w:val="21"/>
                <w:szCs w:val="21"/>
              </w:rPr>
              <w:t>50</w:t>
            </w:r>
          </w:p>
        </w:tc>
        <w:tc>
          <w:tcPr>
            <w:tcW w:w="1450" w:type="dxa"/>
            <w:shd w:val="clear" w:color="auto" w:fill="auto"/>
            <w:vAlign w:val="center"/>
          </w:tcPr>
          <w:p w14:paraId="27CC5D62" w14:textId="77777777" w:rsidR="00544649" w:rsidRDefault="00000000">
            <w:pPr>
              <w:pStyle w:val="TableParagraph"/>
              <w:adjustRightInd w:val="0"/>
              <w:snapToGrid w:val="0"/>
              <w:spacing w:after="0"/>
              <w:rPr>
                <w:rFonts w:eastAsia="宋体"/>
                <w:sz w:val="21"/>
                <w:szCs w:val="21"/>
              </w:rPr>
            </w:pPr>
            <w:r>
              <w:rPr>
                <w:sz w:val="21"/>
                <w:szCs w:val="21"/>
              </w:rPr>
              <w:t>50</w:t>
            </w:r>
          </w:p>
        </w:tc>
        <w:tc>
          <w:tcPr>
            <w:tcW w:w="1160" w:type="dxa"/>
            <w:shd w:val="clear" w:color="auto" w:fill="auto"/>
            <w:vAlign w:val="center"/>
          </w:tcPr>
          <w:p w14:paraId="662734FE" w14:textId="77777777" w:rsidR="00544649" w:rsidRDefault="00000000">
            <w:pPr>
              <w:pStyle w:val="TableParagraph"/>
              <w:adjustRightInd w:val="0"/>
              <w:snapToGrid w:val="0"/>
              <w:spacing w:after="0"/>
              <w:rPr>
                <w:rFonts w:eastAsia="宋体"/>
                <w:sz w:val="21"/>
                <w:szCs w:val="21"/>
              </w:rPr>
            </w:pPr>
            <w:r>
              <w:rPr>
                <w:sz w:val="21"/>
                <w:szCs w:val="21"/>
              </w:rPr>
              <w:t>100</w:t>
            </w:r>
          </w:p>
        </w:tc>
        <w:tc>
          <w:tcPr>
            <w:tcW w:w="1020" w:type="dxa"/>
            <w:shd w:val="clear" w:color="auto" w:fill="auto"/>
            <w:vAlign w:val="center"/>
          </w:tcPr>
          <w:p w14:paraId="0928DD8D" w14:textId="77777777" w:rsidR="00544649" w:rsidRDefault="00000000">
            <w:pPr>
              <w:pStyle w:val="TableParagraph"/>
              <w:adjustRightInd w:val="0"/>
              <w:snapToGrid w:val="0"/>
              <w:spacing w:after="0"/>
              <w:rPr>
                <w:rFonts w:eastAsia="宋体"/>
                <w:sz w:val="21"/>
                <w:szCs w:val="21"/>
              </w:rPr>
            </w:pPr>
            <w:r>
              <w:rPr>
                <w:sz w:val="21"/>
                <w:szCs w:val="21"/>
              </w:rPr>
              <w:t>100</w:t>
            </w:r>
          </w:p>
        </w:tc>
        <w:tc>
          <w:tcPr>
            <w:tcW w:w="2086" w:type="dxa"/>
            <w:vMerge/>
            <w:vAlign w:val="center"/>
          </w:tcPr>
          <w:p w14:paraId="7FC82590" w14:textId="77777777" w:rsidR="00544649" w:rsidRDefault="00544649">
            <w:pPr>
              <w:pStyle w:val="TableParagraph"/>
              <w:adjustRightInd w:val="0"/>
              <w:snapToGrid w:val="0"/>
              <w:spacing w:after="0"/>
              <w:rPr>
                <w:sz w:val="21"/>
                <w:szCs w:val="21"/>
              </w:rPr>
            </w:pPr>
          </w:p>
        </w:tc>
      </w:tr>
      <w:tr w:rsidR="00544649" w14:paraId="00E919E7" w14:textId="77777777">
        <w:trPr>
          <w:trHeight w:val="283"/>
          <w:jc w:val="center"/>
        </w:trPr>
        <w:tc>
          <w:tcPr>
            <w:tcW w:w="611" w:type="dxa"/>
            <w:vAlign w:val="center"/>
          </w:tcPr>
          <w:p w14:paraId="4A4F7403" w14:textId="77777777" w:rsidR="00544649" w:rsidRDefault="00000000">
            <w:pPr>
              <w:adjustRightInd w:val="0"/>
              <w:snapToGrid w:val="0"/>
              <w:spacing w:after="0" w:line="240" w:lineRule="auto"/>
              <w:ind w:firstLineChars="0" w:firstLine="0"/>
              <w:jc w:val="center"/>
              <w:rPr>
                <w:sz w:val="21"/>
                <w:szCs w:val="21"/>
              </w:rPr>
            </w:pPr>
            <w:r>
              <w:rPr>
                <w:rFonts w:hint="eastAsia"/>
                <w:sz w:val="21"/>
                <w:szCs w:val="21"/>
              </w:rPr>
              <w:t>8</w:t>
            </w:r>
          </w:p>
        </w:tc>
        <w:tc>
          <w:tcPr>
            <w:tcW w:w="741" w:type="dxa"/>
            <w:shd w:val="clear" w:color="auto" w:fill="auto"/>
            <w:vAlign w:val="center"/>
          </w:tcPr>
          <w:p w14:paraId="65226D41" w14:textId="77777777" w:rsidR="00544649" w:rsidRDefault="00000000">
            <w:pPr>
              <w:adjustRightInd w:val="0"/>
              <w:snapToGrid w:val="0"/>
              <w:spacing w:after="0" w:line="240" w:lineRule="auto"/>
              <w:ind w:firstLineChars="0" w:firstLine="0"/>
              <w:jc w:val="center"/>
              <w:rPr>
                <w:sz w:val="21"/>
                <w:szCs w:val="21"/>
              </w:rPr>
            </w:pPr>
            <w:r>
              <w:rPr>
                <w:sz w:val="21"/>
                <w:szCs w:val="21"/>
              </w:rPr>
              <w:t>镍</w:t>
            </w:r>
          </w:p>
        </w:tc>
        <w:tc>
          <w:tcPr>
            <w:tcW w:w="859" w:type="dxa"/>
            <w:vMerge/>
            <w:shd w:val="clear" w:color="auto" w:fill="auto"/>
            <w:vAlign w:val="center"/>
          </w:tcPr>
          <w:p w14:paraId="74C65278" w14:textId="77777777" w:rsidR="00544649" w:rsidRDefault="00544649">
            <w:pPr>
              <w:adjustRightInd w:val="0"/>
              <w:snapToGrid w:val="0"/>
              <w:spacing w:after="0" w:line="240" w:lineRule="auto"/>
              <w:ind w:firstLineChars="0" w:firstLine="0"/>
              <w:jc w:val="center"/>
              <w:rPr>
                <w:sz w:val="21"/>
                <w:szCs w:val="21"/>
              </w:rPr>
            </w:pPr>
          </w:p>
        </w:tc>
        <w:tc>
          <w:tcPr>
            <w:tcW w:w="1133" w:type="dxa"/>
            <w:shd w:val="clear" w:color="auto" w:fill="auto"/>
            <w:vAlign w:val="center"/>
          </w:tcPr>
          <w:p w14:paraId="7756A918" w14:textId="77777777" w:rsidR="00544649" w:rsidRDefault="00000000">
            <w:pPr>
              <w:pStyle w:val="TableParagraph"/>
              <w:adjustRightInd w:val="0"/>
              <w:snapToGrid w:val="0"/>
              <w:spacing w:after="0"/>
              <w:rPr>
                <w:rFonts w:eastAsia="宋体"/>
                <w:sz w:val="21"/>
                <w:szCs w:val="21"/>
              </w:rPr>
            </w:pPr>
            <w:r>
              <w:rPr>
                <w:sz w:val="21"/>
                <w:szCs w:val="21"/>
              </w:rPr>
              <w:t>60</w:t>
            </w:r>
          </w:p>
        </w:tc>
        <w:tc>
          <w:tcPr>
            <w:tcW w:w="1450" w:type="dxa"/>
            <w:shd w:val="clear" w:color="auto" w:fill="auto"/>
            <w:vAlign w:val="center"/>
          </w:tcPr>
          <w:p w14:paraId="52A20650" w14:textId="77777777" w:rsidR="00544649" w:rsidRDefault="00000000">
            <w:pPr>
              <w:pStyle w:val="TableParagraph"/>
              <w:adjustRightInd w:val="0"/>
              <w:snapToGrid w:val="0"/>
              <w:spacing w:after="0"/>
              <w:rPr>
                <w:rFonts w:eastAsia="宋体"/>
                <w:sz w:val="21"/>
                <w:szCs w:val="21"/>
              </w:rPr>
            </w:pPr>
            <w:r>
              <w:rPr>
                <w:sz w:val="21"/>
                <w:szCs w:val="21"/>
              </w:rPr>
              <w:t>70</w:t>
            </w:r>
          </w:p>
        </w:tc>
        <w:tc>
          <w:tcPr>
            <w:tcW w:w="1160" w:type="dxa"/>
            <w:shd w:val="clear" w:color="auto" w:fill="auto"/>
            <w:vAlign w:val="center"/>
          </w:tcPr>
          <w:p w14:paraId="2CD90A00" w14:textId="77777777" w:rsidR="00544649" w:rsidRDefault="00000000">
            <w:pPr>
              <w:pStyle w:val="TableParagraph"/>
              <w:adjustRightInd w:val="0"/>
              <w:snapToGrid w:val="0"/>
              <w:spacing w:after="0"/>
              <w:rPr>
                <w:rFonts w:eastAsia="宋体"/>
                <w:sz w:val="21"/>
                <w:szCs w:val="21"/>
              </w:rPr>
            </w:pPr>
            <w:r>
              <w:rPr>
                <w:sz w:val="21"/>
                <w:szCs w:val="21"/>
              </w:rPr>
              <w:t>100</w:t>
            </w:r>
          </w:p>
        </w:tc>
        <w:tc>
          <w:tcPr>
            <w:tcW w:w="1020" w:type="dxa"/>
            <w:shd w:val="clear" w:color="auto" w:fill="auto"/>
            <w:vAlign w:val="center"/>
          </w:tcPr>
          <w:p w14:paraId="1D615ACC" w14:textId="77777777" w:rsidR="00544649" w:rsidRDefault="00000000">
            <w:pPr>
              <w:pStyle w:val="TableParagraph"/>
              <w:adjustRightInd w:val="0"/>
              <w:snapToGrid w:val="0"/>
              <w:spacing w:after="0"/>
              <w:rPr>
                <w:rFonts w:eastAsia="宋体"/>
                <w:sz w:val="21"/>
                <w:szCs w:val="21"/>
              </w:rPr>
            </w:pPr>
            <w:r>
              <w:rPr>
                <w:sz w:val="21"/>
                <w:szCs w:val="21"/>
              </w:rPr>
              <w:t>100</w:t>
            </w:r>
          </w:p>
        </w:tc>
        <w:tc>
          <w:tcPr>
            <w:tcW w:w="2086" w:type="dxa"/>
            <w:vMerge/>
            <w:vAlign w:val="center"/>
          </w:tcPr>
          <w:p w14:paraId="3AE511D0" w14:textId="77777777" w:rsidR="00544649" w:rsidRDefault="00544649">
            <w:pPr>
              <w:pStyle w:val="TableParagraph"/>
              <w:adjustRightInd w:val="0"/>
              <w:snapToGrid w:val="0"/>
              <w:spacing w:after="0"/>
              <w:rPr>
                <w:sz w:val="21"/>
                <w:szCs w:val="21"/>
              </w:rPr>
            </w:pPr>
          </w:p>
        </w:tc>
      </w:tr>
      <w:tr w:rsidR="00544649" w14:paraId="685E85A7" w14:textId="77777777">
        <w:trPr>
          <w:trHeight w:val="283"/>
          <w:jc w:val="center"/>
        </w:trPr>
        <w:tc>
          <w:tcPr>
            <w:tcW w:w="611" w:type="dxa"/>
            <w:vAlign w:val="center"/>
          </w:tcPr>
          <w:p w14:paraId="09937562" w14:textId="77777777" w:rsidR="00544649" w:rsidRDefault="00000000">
            <w:pPr>
              <w:adjustRightInd w:val="0"/>
              <w:snapToGrid w:val="0"/>
              <w:spacing w:after="0" w:line="240" w:lineRule="auto"/>
              <w:ind w:firstLineChars="0" w:firstLine="0"/>
              <w:jc w:val="center"/>
              <w:rPr>
                <w:sz w:val="21"/>
                <w:szCs w:val="21"/>
              </w:rPr>
            </w:pPr>
            <w:r>
              <w:rPr>
                <w:rFonts w:hint="eastAsia"/>
                <w:sz w:val="21"/>
                <w:szCs w:val="21"/>
              </w:rPr>
              <w:t>9</w:t>
            </w:r>
          </w:p>
        </w:tc>
        <w:tc>
          <w:tcPr>
            <w:tcW w:w="741" w:type="dxa"/>
            <w:shd w:val="clear" w:color="auto" w:fill="auto"/>
            <w:vAlign w:val="center"/>
          </w:tcPr>
          <w:p w14:paraId="790AE87F" w14:textId="77777777" w:rsidR="00544649" w:rsidRDefault="00000000">
            <w:pPr>
              <w:adjustRightInd w:val="0"/>
              <w:snapToGrid w:val="0"/>
              <w:spacing w:after="0" w:line="240" w:lineRule="auto"/>
              <w:ind w:firstLineChars="0" w:firstLine="0"/>
              <w:jc w:val="center"/>
              <w:rPr>
                <w:sz w:val="21"/>
                <w:szCs w:val="21"/>
              </w:rPr>
            </w:pPr>
            <w:r>
              <w:rPr>
                <w:sz w:val="21"/>
                <w:szCs w:val="21"/>
              </w:rPr>
              <w:t>锌</w:t>
            </w:r>
          </w:p>
        </w:tc>
        <w:tc>
          <w:tcPr>
            <w:tcW w:w="859" w:type="dxa"/>
            <w:vMerge/>
            <w:shd w:val="clear" w:color="auto" w:fill="auto"/>
            <w:vAlign w:val="center"/>
          </w:tcPr>
          <w:p w14:paraId="328648CF" w14:textId="77777777" w:rsidR="00544649" w:rsidRDefault="00544649">
            <w:pPr>
              <w:adjustRightInd w:val="0"/>
              <w:snapToGrid w:val="0"/>
              <w:spacing w:after="0" w:line="240" w:lineRule="auto"/>
              <w:ind w:firstLineChars="0" w:firstLine="0"/>
              <w:jc w:val="center"/>
              <w:rPr>
                <w:sz w:val="21"/>
                <w:szCs w:val="21"/>
              </w:rPr>
            </w:pPr>
          </w:p>
        </w:tc>
        <w:tc>
          <w:tcPr>
            <w:tcW w:w="1133" w:type="dxa"/>
            <w:shd w:val="clear" w:color="auto" w:fill="auto"/>
            <w:vAlign w:val="center"/>
          </w:tcPr>
          <w:p w14:paraId="64A40863" w14:textId="77777777" w:rsidR="00544649" w:rsidRDefault="00000000">
            <w:pPr>
              <w:pStyle w:val="TableParagraph"/>
              <w:adjustRightInd w:val="0"/>
              <w:snapToGrid w:val="0"/>
              <w:spacing w:after="0"/>
              <w:rPr>
                <w:rFonts w:eastAsia="宋体"/>
                <w:sz w:val="21"/>
                <w:szCs w:val="21"/>
              </w:rPr>
            </w:pPr>
            <w:r>
              <w:rPr>
                <w:sz w:val="21"/>
                <w:szCs w:val="21"/>
              </w:rPr>
              <w:t>200</w:t>
            </w:r>
          </w:p>
        </w:tc>
        <w:tc>
          <w:tcPr>
            <w:tcW w:w="1450" w:type="dxa"/>
            <w:shd w:val="clear" w:color="auto" w:fill="auto"/>
            <w:vAlign w:val="center"/>
          </w:tcPr>
          <w:p w14:paraId="03E299FB" w14:textId="77777777" w:rsidR="00544649" w:rsidRDefault="00000000">
            <w:pPr>
              <w:pStyle w:val="TableParagraph"/>
              <w:adjustRightInd w:val="0"/>
              <w:snapToGrid w:val="0"/>
              <w:spacing w:after="0"/>
              <w:rPr>
                <w:rFonts w:eastAsia="宋体"/>
                <w:sz w:val="21"/>
                <w:szCs w:val="21"/>
              </w:rPr>
            </w:pPr>
            <w:r>
              <w:rPr>
                <w:sz w:val="21"/>
                <w:szCs w:val="21"/>
              </w:rPr>
              <w:t>200</w:t>
            </w:r>
          </w:p>
        </w:tc>
        <w:tc>
          <w:tcPr>
            <w:tcW w:w="1160" w:type="dxa"/>
            <w:shd w:val="clear" w:color="auto" w:fill="auto"/>
            <w:vAlign w:val="center"/>
          </w:tcPr>
          <w:p w14:paraId="2739E7C2" w14:textId="77777777" w:rsidR="00544649" w:rsidRDefault="00000000">
            <w:pPr>
              <w:pStyle w:val="TableParagraph"/>
              <w:adjustRightInd w:val="0"/>
              <w:snapToGrid w:val="0"/>
              <w:spacing w:after="0"/>
              <w:rPr>
                <w:rFonts w:eastAsia="宋体"/>
                <w:sz w:val="21"/>
                <w:szCs w:val="21"/>
              </w:rPr>
            </w:pPr>
            <w:r>
              <w:rPr>
                <w:sz w:val="21"/>
                <w:szCs w:val="21"/>
              </w:rPr>
              <w:t>250</w:t>
            </w:r>
          </w:p>
        </w:tc>
        <w:tc>
          <w:tcPr>
            <w:tcW w:w="1020" w:type="dxa"/>
            <w:shd w:val="clear" w:color="auto" w:fill="auto"/>
            <w:vAlign w:val="center"/>
          </w:tcPr>
          <w:p w14:paraId="737CD271" w14:textId="77777777" w:rsidR="00544649" w:rsidRDefault="00000000">
            <w:pPr>
              <w:pStyle w:val="TableParagraph"/>
              <w:adjustRightInd w:val="0"/>
              <w:snapToGrid w:val="0"/>
              <w:spacing w:after="0"/>
              <w:rPr>
                <w:rFonts w:eastAsia="宋体"/>
                <w:sz w:val="21"/>
                <w:szCs w:val="21"/>
              </w:rPr>
            </w:pPr>
            <w:r>
              <w:rPr>
                <w:sz w:val="21"/>
                <w:szCs w:val="21"/>
              </w:rPr>
              <w:t>300</w:t>
            </w:r>
          </w:p>
        </w:tc>
        <w:tc>
          <w:tcPr>
            <w:tcW w:w="2086" w:type="dxa"/>
            <w:vMerge/>
            <w:vAlign w:val="center"/>
          </w:tcPr>
          <w:p w14:paraId="16A23882" w14:textId="77777777" w:rsidR="00544649" w:rsidRDefault="00544649">
            <w:pPr>
              <w:pStyle w:val="TableParagraph"/>
              <w:adjustRightInd w:val="0"/>
              <w:snapToGrid w:val="0"/>
              <w:spacing w:after="0"/>
              <w:rPr>
                <w:sz w:val="21"/>
                <w:szCs w:val="21"/>
              </w:rPr>
            </w:pPr>
          </w:p>
        </w:tc>
      </w:tr>
    </w:tbl>
    <w:p w14:paraId="0D3A3AE0" w14:textId="77777777" w:rsidR="00544649" w:rsidRDefault="00000000">
      <w:pPr>
        <w:pStyle w:val="3"/>
        <w:numPr>
          <w:ilvl w:val="2"/>
          <w:numId w:val="2"/>
        </w:numPr>
        <w:adjustRightInd w:val="0"/>
        <w:snapToGrid w:val="0"/>
        <w:spacing w:after="0"/>
        <w:rPr>
          <w:rFonts w:cs="Times New Roman"/>
          <w:kern w:val="21"/>
        </w:rPr>
      </w:pPr>
      <w:bookmarkStart w:id="124" w:name="_Toc22842"/>
      <w:bookmarkStart w:id="125" w:name="_Toc31730"/>
      <w:bookmarkStart w:id="126" w:name="_Toc195009805"/>
      <w:r>
        <w:rPr>
          <w:rFonts w:cs="Times New Roman"/>
          <w:kern w:val="21"/>
        </w:rPr>
        <w:t>污染物排放标准</w:t>
      </w:r>
      <w:bookmarkEnd w:id="124"/>
      <w:bookmarkEnd w:id="125"/>
      <w:bookmarkEnd w:id="126"/>
    </w:p>
    <w:p w14:paraId="0DF169BC" w14:textId="77777777" w:rsidR="00544649" w:rsidRDefault="00000000">
      <w:pPr>
        <w:pStyle w:val="4"/>
        <w:adjustRightInd w:val="0"/>
        <w:snapToGrid w:val="0"/>
        <w:spacing w:after="0"/>
      </w:pPr>
      <w:r>
        <w:t>废气</w:t>
      </w:r>
    </w:p>
    <w:p w14:paraId="01721A48" w14:textId="77777777" w:rsidR="00544649" w:rsidRDefault="00000000">
      <w:pPr>
        <w:adjustRightInd w:val="0"/>
        <w:snapToGrid w:val="0"/>
        <w:spacing w:after="0"/>
        <w:ind w:firstLine="482"/>
        <w:rPr>
          <w:rFonts w:cs="Times New Roman"/>
          <w:kern w:val="21"/>
          <w:szCs w:val="24"/>
        </w:rPr>
      </w:pPr>
      <w:r>
        <w:rPr>
          <w:rFonts w:cs="Times New Roman"/>
          <w:b/>
          <w:bCs/>
          <w:kern w:val="21"/>
          <w:szCs w:val="24"/>
        </w:rPr>
        <w:t>施工期：</w:t>
      </w:r>
      <w:r>
        <w:rPr>
          <w:rFonts w:cs="Times New Roman"/>
          <w:kern w:val="21"/>
          <w:szCs w:val="24"/>
        </w:rPr>
        <w:t>扬尘执行《四川省</w:t>
      </w:r>
      <w:r>
        <w:rPr>
          <w:rFonts w:cs="Times New Roman"/>
          <w:kern w:val="21"/>
          <w:szCs w:val="21"/>
        </w:rPr>
        <w:t>施工</w:t>
      </w:r>
      <w:r>
        <w:rPr>
          <w:rFonts w:cs="Times New Roman"/>
          <w:kern w:val="21"/>
          <w:szCs w:val="24"/>
        </w:rPr>
        <w:t>场地扬尘排放标准》（</w:t>
      </w:r>
      <w:r>
        <w:rPr>
          <w:rFonts w:cs="Times New Roman"/>
          <w:kern w:val="21"/>
          <w:szCs w:val="24"/>
        </w:rPr>
        <w:t>DB51/2682-2020</w:t>
      </w:r>
      <w:r>
        <w:rPr>
          <w:rFonts w:cs="Times New Roman"/>
          <w:kern w:val="21"/>
          <w:szCs w:val="24"/>
        </w:rPr>
        <w:t>）表</w:t>
      </w:r>
      <w:r>
        <w:rPr>
          <w:rFonts w:cs="Times New Roman"/>
          <w:kern w:val="21"/>
          <w:szCs w:val="24"/>
        </w:rPr>
        <w:t>1</w:t>
      </w:r>
      <w:r>
        <w:rPr>
          <w:rFonts w:cs="Times New Roman"/>
          <w:kern w:val="21"/>
          <w:szCs w:val="24"/>
        </w:rPr>
        <w:t>中有关限值标准。</w:t>
      </w:r>
    </w:p>
    <w:p w14:paraId="1166EC7D"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lang w:val="zh-CN"/>
        </w:rPr>
      </w:pPr>
      <w:r>
        <w:rPr>
          <w:rFonts w:cs="Times New Roman"/>
          <w:b/>
          <w:bCs/>
          <w:kern w:val="21"/>
          <w:sz w:val="21"/>
          <w:szCs w:val="21"/>
          <w:lang w:val="zh-CN"/>
        </w:rPr>
        <w:t>四川省施工场地扬尘排放限值单位：</w:t>
      </w:r>
      <w:r>
        <w:rPr>
          <w:rFonts w:cs="Times New Roman"/>
          <w:b/>
          <w:bCs/>
          <w:kern w:val="21"/>
          <w:sz w:val="21"/>
          <w:szCs w:val="21"/>
          <w:lang w:val="zh-CN"/>
        </w:rPr>
        <w:t>μg/m</w:t>
      </w:r>
      <w:r>
        <w:rPr>
          <w:rFonts w:cs="Times New Roman" w:hint="eastAsia"/>
          <w:b/>
          <w:bCs/>
          <w:kern w:val="21"/>
          <w:sz w:val="21"/>
          <w:szCs w:val="21"/>
          <w:vertAlign w:val="superscript"/>
        </w:rPr>
        <w:t>3</w:t>
      </w:r>
    </w:p>
    <w:tbl>
      <w:tblPr>
        <w:tblStyle w:val="110"/>
        <w:tblW w:w="9060" w:type="dxa"/>
        <w:tblInd w:w="0" w:type="dxa"/>
        <w:tblLayout w:type="fixed"/>
        <w:tblLook w:val="04A0" w:firstRow="1" w:lastRow="0" w:firstColumn="1" w:lastColumn="0" w:noHBand="0" w:noVBand="1"/>
      </w:tblPr>
      <w:tblGrid>
        <w:gridCol w:w="2223"/>
        <w:gridCol w:w="1762"/>
        <w:gridCol w:w="3361"/>
        <w:gridCol w:w="1714"/>
      </w:tblGrid>
      <w:tr w:rsidR="00544649" w14:paraId="6D387319" w14:textId="77777777">
        <w:trPr>
          <w:trHeight w:val="90"/>
          <w:tblHeader/>
        </w:trPr>
        <w:tc>
          <w:tcPr>
            <w:tcW w:w="2223" w:type="dxa"/>
          </w:tcPr>
          <w:p w14:paraId="348B30F5" w14:textId="77777777" w:rsidR="00544649" w:rsidRDefault="00000000">
            <w:pPr>
              <w:spacing w:before="62" w:after="62" w:line="240" w:lineRule="auto"/>
              <w:ind w:firstLineChars="0" w:firstLine="0"/>
              <w:jc w:val="center"/>
              <w:rPr>
                <w:rFonts w:cs="Times New Roman"/>
                <w:b/>
                <w:bCs/>
                <w:kern w:val="21"/>
                <w:sz w:val="21"/>
                <w:szCs w:val="21"/>
              </w:rPr>
            </w:pPr>
            <w:r>
              <w:rPr>
                <w:rFonts w:cs="Times New Roman"/>
                <w:b/>
                <w:bCs/>
                <w:kern w:val="21"/>
                <w:sz w:val="21"/>
                <w:szCs w:val="21"/>
              </w:rPr>
              <w:t>污染物</w:t>
            </w:r>
          </w:p>
        </w:tc>
        <w:tc>
          <w:tcPr>
            <w:tcW w:w="1762" w:type="dxa"/>
          </w:tcPr>
          <w:p w14:paraId="5AE1F929" w14:textId="77777777" w:rsidR="00544649" w:rsidRDefault="00000000">
            <w:pPr>
              <w:spacing w:before="62" w:after="62" w:line="240" w:lineRule="auto"/>
              <w:ind w:firstLineChars="0" w:firstLine="0"/>
              <w:jc w:val="center"/>
              <w:rPr>
                <w:rFonts w:cs="Times New Roman"/>
                <w:b/>
                <w:bCs/>
                <w:kern w:val="21"/>
                <w:sz w:val="21"/>
                <w:szCs w:val="21"/>
              </w:rPr>
            </w:pPr>
            <w:r>
              <w:rPr>
                <w:rFonts w:cs="Times New Roman"/>
                <w:b/>
                <w:bCs/>
                <w:kern w:val="21"/>
                <w:sz w:val="21"/>
                <w:szCs w:val="21"/>
              </w:rPr>
              <w:t>区域</w:t>
            </w:r>
          </w:p>
        </w:tc>
        <w:tc>
          <w:tcPr>
            <w:tcW w:w="3361" w:type="dxa"/>
          </w:tcPr>
          <w:p w14:paraId="2A208D66" w14:textId="77777777" w:rsidR="00544649" w:rsidRDefault="00000000">
            <w:pPr>
              <w:spacing w:before="62" w:after="62" w:line="240" w:lineRule="auto"/>
              <w:ind w:firstLineChars="0" w:firstLine="0"/>
              <w:jc w:val="center"/>
              <w:rPr>
                <w:rFonts w:cs="Times New Roman"/>
                <w:b/>
                <w:bCs/>
                <w:kern w:val="21"/>
                <w:sz w:val="21"/>
                <w:szCs w:val="21"/>
              </w:rPr>
            </w:pPr>
            <w:r>
              <w:rPr>
                <w:rFonts w:cs="Times New Roman"/>
                <w:b/>
                <w:bCs/>
                <w:kern w:val="21"/>
                <w:sz w:val="21"/>
                <w:szCs w:val="21"/>
              </w:rPr>
              <w:t>施工阶段</w:t>
            </w:r>
          </w:p>
        </w:tc>
        <w:tc>
          <w:tcPr>
            <w:tcW w:w="1714" w:type="dxa"/>
          </w:tcPr>
          <w:p w14:paraId="3DDD48A3" w14:textId="77777777" w:rsidR="00544649" w:rsidRDefault="00000000">
            <w:pPr>
              <w:spacing w:before="62" w:after="62" w:line="240" w:lineRule="auto"/>
              <w:ind w:firstLineChars="0" w:firstLine="0"/>
              <w:jc w:val="center"/>
              <w:rPr>
                <w:rFonts w:cs="Times New Roman"/>
                <w:b/>
                <w:bCs/>
                <w:kern w:val="21"/>
                <w:sz w:val="21"/>
                <w:szCs w:val="21"/>
              </w:rPr>
            </w:pPr>
            <w:r>
              <w:rPr>
                <w:rFonts w:cs="Times New Roman"/>
                <w:b/>
                <w:bCs/>
                <w:kern w:val="21"/>
                <w:sz w:val="21"/>
                <w:szCs w:val="21"/>
              </w:rPr>
              <w:t>最高排放限值</w:t>
            </w:r>
          </w:p>
        </w:tc>
      </w:tr>
      <w:tr w:rsidR="00544649" w14:paraId="3B3F29FD" w14:textId="77777777">
        <w:trPr>
          <w:trHeight w:val="63"/>
        </w:trPr>
        <w:tc>
          <w:tcPr>
            <w:tcW w:w="2223" w:type="dxa"/>
            <w:vMerge w:val="restart"/>
          </w:tcPr>
          <w:p w14:paraId="29A476C7" w14:textId="77777777" w:rsidR="00544649" w:rsidRDefault="00000000">
            <w:pPr>
              <w:spacing w:before="62" w:after="62" w:line="240" w:lineRule="auto"/>
              <w:ind w:firstLineChars="0" w:firstLine="0"/>
              <w:jc w:val="center"/>
              <w:rPr>
                <w:rFonts w:cs="Times New Roman"/>
                <w:bCs/>
                <w:kern w:val="21"/>
                <w:sz w:val="21"/>
                <w:szCs w:val="21"/>
              </w:rPr>
            </w:pPr>
            <w:r>
              <w:rPr>
                <w:rFonts w:cs="Times New Roman"/>
                <w:bCs/>
                <w:kern w:val="21"/>
                <w:sz w:val="21"/>
                <w:szCs w:val="21"/>
              </w:rPr>
              <w:t>总悬浮颗粒物</w:t>
            </w:r>
            <w:r>
              <w:rPr>
                <w:rFonts w:cs="Times New Roman"/>
                <w:bCs/>
                <w:kern w:val="21"/>
                <w:sz w:val="21"/>
                <w:szCs w:val="21"/>
              </w:rPr>
              <w:lastRenderedPageBreak/>
              <w:t>（</w:t>
            </w:r>
            <w:r>
              <w:rPr>
                <w:rFonts w:cs="Times New Roman"/>
                <w:bCs/>
                <w:kern w:val="21"/>
                <w:sz w:val="21"/>
                <w:szCs w:val="21"/>
              </w:rPr>
              <w:t>TSP</w:t>
            </w:r>
            <w:r>
              <w:rPr>
                <w:rFonts w:cs="Times New Roman"/>
                <w:bCs/>
                <w:kern w:val="21"/>
                <w:sz w:val="21"/>
                <w:szCs w:val="21"/>
              </w:rPr>
              <w:t>）</w:t>
            </w:r>
          </w:p>
        </w:tc>
        <w:tc>
          <w:tcPr>
            <w:tcW w:w="1762" w:type="dxa"/>
            <w:vMerge w:val="restart"/>
          </w:tcPr>
          <w:p w14:paraId="256D6AF7" w14:textId="77777777" w:rsidR="00544649" w:rsidRDefault="00000000">
            <w:pPr>
              <w:spacing w:before="62" w:after="62" w:line="240" w:lineRule="auto"/>
              <w:ind w:firstLineChars="0" w:firstLine="0"/>
              <w:jc w:val="center"/>
              <w:rPr>
                <w:rFonts w:cs="Times New Roman"/>
                <w:bCs/>
                <w:kern w:val="21"/>
                <w:sz w:val="21"/>
                <w:szCs w:val="21"/>
              </w:rPr>
            </w:pPr>
            <w:r>
              <w:rPr>
                <w:rFonts w:cs="Times New Roman" w:hint="eastAsia"/>
                <w:bCs/>
                <w:kern w:val="21"/>
                <w:sz w:val="21"/>
                <w:szCs w:val="21"/>
              </w:rPr>
              <w:lastRenderedPageBreak/>
              <w:t>广元</w:t>
            </w:r>
            <w:r>
              <w:rPr>
                <w:rFonts w:cs="Times New Roman"/>
                <w:bCs/>
                <w:kern w:val="21"/>
                <w:sz w:val="21"/>
                <w:szCs w:val="21"/>
              </w:rPr>
              <w:t>市</w:t>
            </w:r>
          </w:p>
        </w:tc>
        <w:tc>
          <w:tcPr>
            <w:tcW w:w="3361" w:type="dxa"/>
          </w:tcPr>
          <w:p w14:paraId="71AD41D2" w14:textId="77777777" w:rsidR="00544649" w:rsidRDefault="00000000">
            <w:pPr>
              <w:spacing w:before="62" w:after="62" w:line="240" w:lineRule="auto"/>
              <w:ind w:firstLineChars="0" w:firstLine="0"/>
              <w:jc w:val="center"/>
              <w:rPr>
                <w:rFonts w:cs="Times New Roman"/>
                <w:bCs/>
                <w:kern w:val="21"/>
                <w:sz w:val="21"/>
                <w:szCs w:val="21"/>
              </w:rPr>
            </w:pPr>
            <w:r>
              <w:rPr>
                <w:rFonts w:cs="Times New Roman"/>
                <w:bCs/>
                <w:kern w:val="21"/>
                <w:sz w:val="21"/>
                <w:szCs w:val="21"/>
              </w:rPr>
              <w:t>拆除工程</w:t>
            </w:r>
            <w:r>
              <w:rPr>
                <w:rFonts w:cs="Times New Roman"/>
                <w:bCs/>
                <w:kern w:val="21"/>
                <w:sz w:val="21"/>
                <w:szCs w:val="21"/>
              </w:rPr>
              <w:t>/</w:t>
            </w:r>
            <w:r>
              <w:rPr>
                <w:rFonts w:cs="Times New Roman"/>
                <w:bCs/>
                <w:kern w:val="21"/>
                <w:sz w:val="21"/>
                <w:szCs w:val="21"/>
              </w:rPr>
              <w:t>土方开挖</w:t>
            </w:r>
            <w:r>
              <w:rPr>
                <w:rFonts w:cs="Times New Roman"/>
                <w:bCs/>
                <w:kern w:val="21"/>
                <w:sz w:val="21"/>
                <w:szCs w:val="21"/>
              </w:rPr>
              <w:t>/</w:t>
            </w:r>
            <w:r>
              <w:rPr>
                <w:rFonts w:cs="Times New Roman"/>
                <w:bCs/>
                <w:kern w:val="21"/>
                <w:sz w:val="21"/>
                <w:szCs w:val="21"/>
              </w:rPr>
              <w:t>土方回填阶段</w:t>
            </w:r>
          </w:p>
        </w:tc>
        <w:tc>
          <w:tcPr>
            <w:tcW w:w="1714" w:type="dxa"/>
          </w:tcPr>
          <w:p w14:paraId="1EC3090E" w14:textId="77777777" w:rsidR="00544649" w:rsidRDefault="00000000">
            <w:pPr>
              <w:spacing w:before="62" w:after="62" w:line="240" w:lineRule="auto"/>
              <w:ind w:firstLineChars="0" w:firstLine="0"/>
              <w:jc w:val="center"/>
              <w:rPr>
                <w:rFonts w:cs="Times New Roman"/>
                <w:bCs/>
                <w:kern w:val="21"/>
                <w:sz w:val="21"/>
                <w:szCs w:val="21"/>
              </w:rPr>
            </w:pPr>
            <w:r>
              <w:rPr>
                <w:rFonts w:cs="Times New Roman"/>
                <w:bCs/>
                <w:kern w:val="21"/>
                <w:sz w:val="21"/>
                <w:szCs w:val="21"/>
              </w:rPr>
              <w:t>600</w:t>
            </w:r>
          </w:p>
        </w:tc>
      </w:tr>
      <w:tr w:rsidR="00544649" w14:paraId="3B75F708" w14:textId="77777777">
        <w:tc>
          <w:tcPr>
            <w:tcW w:w="2223" w:type="dxa"/>
            <w:vMerge/>
          </w:tcPr>
          <w:p w14:paraId="013AA8D4" w14:textId="77777777" w:rsidR="00544649" w:rsidRDefault="00544649">
            <w:pPr>
              <w:spacing w:before="62" w:after="62" w:line="240" w:lineRule="auto"/>
              <w:ind w:firstLineChars="0" w:firstLine="0"/>
              <w:jc w:val="center"/>
              <w:rPr>
                <w:rFonts w:cs="Times New Roman"/>
                <w:bCs/>
                <w:kern w:val="21"/>
                <w:sz w:val="21"/>
                <w:szCs w:val="21"/>
              </w:rPr>
            </w:pPr>
          </w:p>
        </w:tc>
        <w:tc>
          <w:tcPr>
            <w:tcW w:w="1762" w:type="dxa"/>
            <w:vMerge/>
          </w:tcPr>
          <w:p w14:paraId="426B7F4B" w14:textId="77777777" w:rsidR="00544649" w:rsidRDefault="00544649">
            <w:pPr>
              <w:spacing w:before="62" w:after="62" w:line="240" w:lineRule="auto"/>
              <w:ind w:firstLineChars="0" w:firstLine="0"/>
              <w:jc w:val="center"/>
              <w:rPr>
                <w:rFonts w:cs="Times New Roman"/>
                <w:bCs/>
                <w:kern w:val="21"/>
                <w:sz w:val="21"/>
                <w:szCs w:val="21"/>
              </w:rPr>
            </w:pPr>
          </w:p>
        </w:tc>
        <w:tc>
          <w:tcPr>
            <w:tcW w:w="3361" w:type="dxa"/>
          </w:tcPr>
          <w:p w14:paraId="30FF3584" w14:textId="77777777" w:rsidR="00544649" w:rsidRDefault="00000000">
            <w:pPr>
              <w:spacing w:before="62" w:after="62" w:line="240" w:lineRule="auto"/>
              <w:ind w:firstLineChars="0" w:firstLine="0"/>
              <w:jc w:val="center"/>
              <w:rPr>
                <w:rFonts w:cs="Times New Roman"/>
                <w:bCs/>
                <w:kern w:val="21"/>
                <w:sz w:val="21"/>
                <w:szCs w:val="21"/>
              </w:rPr>
            </w:pPr>
            <w:r>
              <w:rPr>
                <w:rFonts w:cs="Times New Roman"/>
                <w:bCs/>
                <w:kern w:val="21"/>
                <w:sz w:val="21"/>
                <w:szCs w:val="21"/>
              </w:rPr>
              <w:t>其他工程阶段</w:t>
            </w:r>
          </w:p>
        </w:tc>
        <w:tc>
          <w:tcPr>
            <w:tcW w:w="1714" w:type="dxa"/>
          </w:tcPr>
          <w:p w14:paraId="49B4E304" w14:textId="77777777" w:rsidR="00544649" w:rsidRDefault="00000000">
            <w:pPr>
              <w:spacing w:before="62" w:after="62" w:line="240" w:lineRule="auto"/>
              <w:ind w:firstLineChars="0" w:firstLine="0"/>
              <w:jc w:val="center"/>
              <w:rPr>
                <w:rFonts w:cs="Times New Roman"/>
                <w:bCs/>
                <w:kern w:val="21"/>
                <w:sz w:val="21"/>
                <w:szCs w:val="21"/>
              </w:rPr>
            </w:pPr>
            <w:r>
              <w:rPr>
                <w:rFonts w:cs="Times New Roman"/>
                <w:bCs/>
                <w:kern w:val="21"/>
                <w:sz w:val="21"/>
                <w:szCs w:val="21"/>
              </w:rPr>
              <w:t>250</w:t>
            </w:r>
          </w:p>
        </w:tc>
      </w:tr>
    </w:tbl>
    <w:p w14:paraId="3792BAEF" w14:textId="77777777" w:rsidR="00544649" w:rsidRDefault="00000000">
      <w:pPr>
        <w:adjustRightInd w:val="0"/>
        <w:snapToGrid w:val="0"/>
        <w:spacing w:after="0"/>
        <w:ind w:firstLine="482"/>
        <w:rPr>
          <w:rFonts w:cs="Times New Roman"/>
          <w:kern w:val="21"/>
        </w:rPr>
      </w:pPr>
      <w:r>
        <w:rPr>
          <w:rFonts w:cs="Times New Roman"/>
          <w:b/>
          <w:bCs/>
          <w:kern w:val="21"/>
          <w:szCs w:val="24"/>
        </w:rPr>
        <w:t>运营期：</w:t>
      </w:r>
      <w:r>
        <w:rPr>
          <w:rFonts w:cs="Times New Roman"/>
          <w:kern w:val="21"/>
          <w:szCs w:val="21"/>
        </w:rPr>
        <w:t>本项目臭气浓度</w:t>
      </w:r>
      <w:r>
        <w:rPr>
          <w:rFonts w:cs="Times New Roman"/>
          <w:kern w:val="21"/>
        </w:rPr>
        <w:t>无组织排放</w:t>
      </w:r>
      <w:r>
        <w:rPr>
          <w:rFonts w:cs="Times New Roman"/>
          <w:kern w:val="21"/>
          <w:szCs w:val="21"/>
        </w:rPr>
        <w:t>执</w:t>
      </w:r>
      <w:r>
        <w:rPr>
          <w:rFonts w:cs="Times New Roman"/>
          <w:kern w:val="21"/>
        </w:rPr>
        <w:t>行《畜禽养殖业污染物排放标准》（</w:t>
      </w:r>
      <w:r>
        <w:rPr>
          <w:rFonts w:cs="Times New Roman"/>
          <w:kern w:val="21"/>
        </w:rPr>
        <w:t>GB18596-2001</w:t>
      </w:r>
      <w:r>
        <w:rPr>
          <w:rFonts w:cs="Times New Roman"/>
          <w:kern w:val="21"/>
        </w:rPr>
        <w:t>）中集约化畜禽养殖业恶臭污染物排放标准；氨和硫化氢无组织排放执行《恶臭污染物排放标准》（</w:t>
      </w:r>
      <w:r>
        <w:rPr>
          <w:rFonts w:cs="Times New Roman"/>
          <w:kern w:val="21"/>
        </w:rPr>
        <w:t>GB14554-93</w:t>
      </w:r>
      <w:r>
        <w:rPr>
          <w:rFonts w:cs="Times New Roman"/>
          <w:kern w:val="21"/>
        </w:rPr>
        <w:t>）中新</w:t>
      </w:r>
      <w:r>
        <w:rPr>
          <w:rFonts w:cs="Times New Roman" w:hint="eastAsia"/>
          <w:kern w:val="21"/>
        </w:rPr>
        <w:t>、</w:t>
      </w:r>
      <w:r>
        <w:rPr>
          <w:rFonts w:cs="Times New Roman"/>
          <w:kern w:val="21"/>
        </w:rPr>
        <w:t>扩</w:t>
      </w:r>
      <w:r>
        <w:rPr>
          <w:rFonts w:cs="Times New Roman" w:hint="eastAsia"/>
          <w:kern w:val="21"/>
        </w:rPr>
        <w:t>、</w:t>
      </w:r>
      <w:r>
        <w:rPr>
          <w:rFonts w:cs="Times New Roman"/>
          <w:kern w:val="21"/>
        </w:rPr>
        <w:t>改建</w:t>
      </w:r>
      <w:r>
        <w:rPr>
          <w:rFonts w:cs="Times New Roman" w:hint="eastAsia"/>
          <w:kern w:val="21"/>
        </w:rPr>
        <w:t>项目恶臭污染物厂界标准值</w:t>
      </w:r>
      <w:r>
        <w:rPr>
          <w:rFonts w:cs="Times New Roman"/>
          <w:kern w:val="21"/>
        </w:rPr>
        <w:t>二级标准限值；</w:t>
      </w:r>
      <w:r>
        <w:rPr>
          <w:rFonts w:cs="Times New Roman" w:hint="eastAsia"/>
          <w:kern w:val="21"/>
        </w:rPr>
        <w:t>项目</w:t>
      </w:r>
      <w:proofErr w:type="gramStart"/>
      <w:r>
        <w:rPr>
          <w:rFonts w:cs="Times New Roman" w:hint="eastAsia"/>
          <w:kern w:val="21"/>
        </w:rPr>
        <w:t>育雏场</w:t>
      </w:r>
      <w:proofErr w:type="gramEnd"/>
      <w:r>
        <w:rPr>
          <w:rFonts w:cs="Times New Roman" w:hint="eastAsia"/>
          <w:kern w:val="21"/>
        </w:rPr>
        <w:t>及蛋鸡场天然气锅炉废气执行《</w:t>
      </w:r>
      <w:bookmarkStart w:id="127" w:name="OLE_LINK20"/>
      <w:bookmarkStart w:id="128" w:name="OLE_LINK19"/>
      <w:r>
        <w:rPr>
          <w:rFonts w:cs="Times New Roman" w:hint="eastAsia"/>
          <w:kern w:val="21"/>
        </w:rPr>
        <w:t>锅炉大气污染物排放标准</w:t>
      </w:r>
      <w:bookmarkEnd w:id="127"/>
      <w:bookmarkEnd w:id="128"/>
      <w:r>
        <w:rPr>
          <w:rFonts w:cs="Times New Roman" w:hint="eastAsia"/>
          <w:kern w:val="21"/>
        </w:rPr>
        <w:t>》（</w:t>
      </w:r>
      <w:r>
        <w:rPr>
          <w:rFonts w:cs="Times New Roman"/>
          <w:kern w:val="21"/>
        </w:rPr>
        <w:t>GB 13271-2014</w:t>
      </w:r>
      <w:r>
        <w:rPr>
          <w:rFonts w:cs="Times New Roman" w:hint="eastAsia"/>
          <w:kern w:val="21"/>
        </w:rPr>
        <w:t>）；</w:t>
      </w:r>
      <w:proofErr w:type="gramStart"/>
      <w:r>
        <w:rPr>
          <w:rFonts w:cs="Times New Roman" w:hint="eastAsia"/>
          <w:kern w:val="21"/>
        </w:rPr>
        <w:t>育雏场</w:t>
      </w:r>
      <w:proofErr w:type="gramEnd"/>
      <w:r>
        <w:rPr>
          <w:rFonts w:cs="Times New Roman" w:hint="eastAsia"/>
          <w:kern w:val="21"/>
        </w:rPr>
        <w:t>天然气加热设备燃烧废气无组织排放执行《大气污染物综合排放标准》（</w:t>
      </w:r>
      <w:r>
        <w:rPr>
          <w:rFonts w:cs="Times New Roman" w:hint="eastAsia"/>
          <w:kern w:val="21"/>
        </w:rPr>
        <w:t>GB16297-1996</w:t>
      </w:r>
      <w:r>
        <w:rPr>
          <w:rFonts w:cs="Times New Roman" w:hint="eastAsia"/>
          <w:kern w:val="21"/>
        </w:rPr>
        <w:t>）二级标准限值；项目</w:t>
      </w:r>
      <w:proofErr w:type="gramStart"/>
      <w:r>
        <w:rPr>
          <w:rFonts w:cs="Times New Roman" w:hint="eastAsia"/>
          <w:kern w:val="21"/>
        </w:rPr>
        <w:t>育雏场</w:t>
      </w:r>
      <w:proofErr w:type="gramEnd"/>
      <w:r>
        <w:rPr>
          <w:rFonts w:cs="Times New Roman" w:hint="eastAsia"/>
          <w:kern w:val="21"/>
        </w:rPr>
        <w:t>及蛋鸡场各设置一个食堂，均设置一个灶头，本项目食堂规模属于小型。食堂</w:t>
      </w:r>
      <w:r>
        <w:rPr>
          <w:rFonts w:cs="Times New Roman"/>
          <w:kern w:val="21"/>
        </w:rPr>
        <w:t>餐饮油烟执行《饮食业油烟排放标准》（</w:t>
      </w:r>
      <w:r>
        <w:rPr>
          <w:rFonts w:cs="Times New Roman"/>
          <w:kern w:val="21"/>
        </w:rPr>
        <w:t>GB18483-2001</w:t>
      </w:r>
      <w:r>
        <w:rPr>
          <w:rFonts w:cs="Times New Roman"/>
          <w:kern w:val="21"/>
        </w:rPr>
        <w:t>），见下表。</w:t>
      </w:r>
    </w:p>
    <w:p w14:paraId="131A322D"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hint="eastAsia"/>
          <w:b/>
          <w:bCs/>
          <w:kern w:val="21"/>
          <w:sz w:val="21"/>
          <w:szCs w:val="21"/>
          <w:lang w:val="zh-CN"/>
        </w:rPr>
        <w:t>油烟最高允许排放浓度和油烟净化设施最低去除效率</w:t>
      </w:r>
    </w:p>
    <w:tbl>
      <w:tblPr>
        <w:tblStyle w:val="afc"/>
        <w:tblW w:w="8834" w:type="dxa"/>
        <w:jc w:val="center"/>
        <w:tblLayout w:type="fixed"/>
        <w:tblLook w:val="04A0" w:firstRow="1" w:lastRow="0" w:firstColumn="1" w:lastColumn="0" w:noHBand="0" w:noVBand="1"/>
      </w:tblPr>
      <w:tblGrid>
        <w:gridCol w:w="2208"/>
        <w:gridCol w:w="2208"/>
        <w:gridCol w:w="2209"/>
        <w:gridCol w:w="2209"/>
      </w:tblGrid>
      <w:tr w:rsidR="00544649" w14:paraId="0D1BA940" w14:textId="77777777">
        <w:trPr>
          <w:jc w:val="center"/>
        </w:trPr>
        <w:tc>
          <w:tcPr>
            <w:tcW w:w="2208" w:type="dxa"/>
            <w:vAlign w:val="center"/>
          </w:tcPr>
          <w:p w14:paraId="6F03A988" w14:textId="77777777" w:rsidR="00544649" w:rsidRDefault="00000000">
            <w:pPr>
              <w:adjustRightInd w:val="0"/>
              <w:snapToGrid w:val="0"/>
              <w:spacing w:after="0" w:line="240" w:lineRule="auto"/>
              <w:ind w:firstLineChars="0" w:firstLine="0"/>
              <w:jc w:val="center"/>
              <w:rPr>
                <w:rFonts w:cs="Times New Roman"/>
                <w:b/>
                <w:bCs/>
                <w:kern w:val="21"/>
                <w:sz w:val="21"/>
                <w:szCs w:val="21"/>
              </w:rPr>
            </w:pPr>
            <w:r>
              <w:rPr>
                <w:rFonts w:cs="Times New Roman" w:hint="eastAsia"/>
                <w:b/>
                <w:bCs/>
                <w:kern w:val="21"/>
                <w:sz w:val="21"/>
                <w:szCs w:val="21"/>
              </w:rPr>
              <w:t>规模</w:t>
            </w:r>
          </w:p>
        </w:tc>
        <w:tc>
          <w:tcPr>
            <w:tcW w:w="2208" w:type="dxa"/>
            <w:vAlign w:val="center"/>
          </w:tcPr>
          <w:p w14:paraId="7A8BC7A8" w14:textId="77777777" w:rsidR="00544649" w:rsidRDefault="00000000">
            <w:pPr>
              <w:adjustRightInd w:val="0"/>
              <w:snapToGrid w:val="0"/>
              <w:spacing w:after="0" w:line="240" w:lineRule="auto"/>
              <w:ind w:firstLineChars="0" w:firstLine="0"/>
              <w:jc w:val="center"/>
              <w:rPr>
                <w:rFonts w:cs="Times New Roman"/>
                <w:b/>
                <w:bCs/>
                <w:kern w:val="21"/>
                <w:sz w:val="21"/>
                <w:szCs w:val="21"/>
              </w:rPr>
            </w:pPr>
            <w:r>
              <w:rPr>
                <w:rFonts w:cs="Times New Roman" w:hint="eastAsia"/>
                <w:b/>
                <w:bCs/>
                <w:kern w:val="21"/>
                <w:sz w:val="21"/>
                <w:szCs w:val="21"/>
              </w:rPr>
              <w:t>小型</w:t>
            </w:r>
          </w:p>
        </w:tc>
        <w:tc>
          <w:tcPr>
            <w:tcW w:w="2209" w:type="dxa"/>
            <w:vAlign w:val="center"/>
          </w:tcPr>
          <w:p w14:paraId="5F775E9B" w14:textId="77777777" w:rsidR="00544649" w:rsidRDefault="00000000">
            <w:pPr>
              <w:adjustRightInd w:val="0"/>
              <w:snapToGrid w:val="0"/>
              <w:spacing w:after="0" w:line="240" w:lineRule="auto"/>
              <w:ind w:firstLineChars="0" w:firstLine="0"/>
              <w:jc w:val="center"/>
              <w:rPr>
                <w:rFonts w:cs="Times New Roman"/>
                <w:b/>
                <w:bCs/>
                <w:kern w:val="21"/>
                <w:sz w:val="21"/>
                <w:szCs w:val="21"/>
              </w:rPr>
            </w:pPr>
            <w:r>
              <w:rPr>
                <w:rFonts w:cs="Times New Roman" w:hint="eastAsia"/>
                <w:b/>
                <w:bCs/>
                <w:kern w:val="21"/>
                <w:sz w:val="21"/>
                <w:szCs w:val="21"/>
              </w:rPr>
              <w:t>中型</w:t>
            </w:r>
          </w:p>
        </w:tc>
        <w:tc>
          <w:tcPr>
            <w:tcW w:w="2209" w:type="dxa"/>
            <w:vAlign w:val="center"/>
          </w:tcPr>
          <w:p w14:paraId="017553C7" w14:textId="77777777" w:rsidR="00544649" w:rsidRDefault="00000000">
            <w:pPr>
              <w:adjustRightInd w:val="0"/>
              <w:snapToGrid w:val="0"/>
              <w:spacing w:after="0" w:line="240" w:lineRule="auto"/>
              <w:ind w:firstLineChars="0" w:firstLine="0"/>
              <w:jc w:val="center"/>
              <w:rPr>
                <w:rFonts w:cs="Times New Roman"/>
                <w:b/>
                <w:bCs/>
                <w:kern w:val="21"/>
                <w:sz w:val="21"/>
                <w:szCs w:val="21"/>
              </w:rPr>
            </w:pPr>
            <w:r>
              <w:rPr>
                <w:rFonts w:cs="Times New Roman" w:hint="eastAsia"/>
                <w:b/>
                <w:bCs/>
                <w:kern w:val="21"/>
                <w:sz w:val="21"/>
                <w:szCs w:val="21"/>
              </w:rPr>
              <w:t>大型</w:t>
            </w:r>
          </w:p>
        </w:tc>
      </w:tr>
      <w:tr w:rsidR="00544649" w14:paraId="3FC7061B" w14:textId="77777777">
        <w:trPr>
          <w:jc w:val="center"/>
        </w:trPr>
        <w:tc>
          <w:tcPr>
            <w:tcW w:w="2208" w:type="dxa"/>
            <w:vAlign w:val="center"/>
          </w:tcPr>
          <w:p w14:paraId="7938B951" w14:textId="77777777" w:rsidR="00544649" w:rsidRDefault="00000000">
            <w:pPr>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最高允许排放浓度（</w:t>
            </w:r>
            <w:r>
              <w:rPr>
                <w:rFonts w:cs="Times New Roman" w:hint="eastAsia"/>
                <w:kern w:val="21"/>
                <w:sz w:val="21"/>
                <w:szCs w:val="21"/>
              </w:rPr>
              <w:t>mg/m</w:t>
            </w:r>
            <w:r>
              <w:rPr>
                <w:rFonts w:cs="Times New Roman" w:hint="eastAsia"/>
                <w:kern w:val="21"/>
                <w:sz w:val="21"/>
                <w:szCs w:val="21"/>
                <w:vertAlign w:val="superscript"/>
              </w:rPr>
              <w:t>3</w:t>
            </w:r>
            <w:r>
              <w:rPr>
                <w:rFonts w:cs="Times New Roman" w:hint="eastAsia"/>
                <w:kern w:val="21"/>
                <w:sz w:val="21"/>
                <w:szCs w:val="21"/>
              </w:rPr>
              <w:t>）</w:t>
            </w:r>
          </w:p>
        </w:tc>
        <w:tc>
          <w:tcPr>
            <w:tcW w:w="6626" w:type="dxa"/>
            <w:gridSpan w:val="3"/>
            <w:vAlign w:val="center"/>
          </w:tcPr>
          <w:p w14:paraId="102A3F31" w14:textId="77777777" w:rsidR="00544649" w:rsidRDefault="00000000">
            <w:pPr>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2.0</w:t>
            </w:r>
          </w:p>
        </w:tc>
      </w:tr>
      <w:tr w:rsidR="00544649" w14:paraId="69D18CB9" w14:textId="77777777">
        <w:trPr>
          <w:jc w:val="center"/>
        </w:trPr>
        <w:tc>
          <w:tcPr>
            <w:tcW w:w="2208" w:type="dxa"/>
            <w:vAlign w:val="center"/>
          </w:tcPr>
          <w:p w14:paraId="51420257" w14:textId="77777777" w:rsidR="00544649" w:rsidRDefault="00000000">
            <w:pPr>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净化设施最低去除效率（</w:t>
            </w:r>
            <w:r>
              <w:rPr>
                <w:rFonts w:cs="Times New Roman" w:hint="eastAsia"/>
                <w:kern w:val="21"/>
                <w:sz w:val="21"/>
                <w:szCs w:val="21"/>
              </w:rPr>
              <w:t>%</w:t>
            </w:r>
            <w:r>
              <w:rPr>
                <w:rFonts w:cs="Times New Roman" w:hint="eastAsia"/>
                <w:kern w:val="21"/>
                <w:sz w:val="21"/>
                <w:szCs w:val="21"/>
              </w:rPr>
              <w:t>）</w:t>
            </w:r>
          </w:p>
        </w:tc>
        <w:tc>
          <w:tcPr>
            <w:tcW w:w="2208" w:type="dxa"/>
            <w:vAlign w:val="center"/>
          </w:tcPr>
          <w:p w14:paraId="6C6096D9" w14:textId="77777777" w:rsidR="00544649" w:rsidRDefault="00000000">
            <w:pPr>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60</w:t>
            </w:r>
          </w:p>
        </w:tc>
        <w:tc>
          <w:tcPr>
            <w:tcW w:w="2209" w:type="dxa"/>
            <w:vAlign w:val="center"/>
          </w:tcPr>
          <w:p w14:paraId="5087FB77" w14:textId="77777777" w:rsidR="00544649" w:rsidRDefault="00000000">
            <w:pPr>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75</w:t>
            </w:r>
          </w:p>
        </w:tc>
        <w:tc>
          <w:tcPr>
            <w:tcW w:w="2209" w:type="dxa"/>
            <w:vAlign w:val="center"/>
          </w:tcPr>
          <w:p w14:paraId="0BC6EF28" w14:textId="77777777" w:rsidR="00544649" w:rsidRDefault="00000000">
            <w:pPr>
              <w:adjustRightInd w:val="0"/>
              <w:snapToGrid w:val="0"/>
              <w:spacing w:after="0" w:line="240" w:lineRule="auto"/>
              <w:ind w:firstLineChars="0" w:firstLine="0"/>
              <w:jc w:val="center"/>
              <w:rPr>
                <w:rFonts w:cs="Times New Roman"/>
                <w:kern w:val="21"/>
                <w:sz w:val="21"/>
                <w:szCs w:val="21"/>
              </w:rPr>
            </w:pPr>
            <w:r>
              <w:rPr>
                <w:rFonts w:cs="Times New Roman" w:hint="eastAsia"/>
                <w:kern w:val="21"/>
                <w:sz w:val="21"/>
                <w:szCs w:val="21"/>
              </w:rPr>
              <w:t>85</w:t>
            </w:r>
          </w:p>
        </w:tc>
      </w:tr>
    </w:tbl>
    <w:p w14:paraId="27108214"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项目运营期大气污染</w:t>
      </w:r>
      <w:proofErr w:type="gramStart"/>
      <w:r>
        <w:rPr>
          <w:rFonts w:cs="Times New Roman" w:hint="eastAsia"/>
          <w:kern w:val="21"/>
          <w:szCs w:val="24"/>
        </w:rPr>
        <w:t>物执行</w:t>
      </w:r>
      <w:proofErr w:type="gramEnd"/>
      <w:r>
        <w:rPr>
          <w:rFonts w:cs="Times New Roman" w:hint="eastAsia"/>
          <w:kern w:val="21"/>
          <w:szCs w:val="24"/>
        </w:rPr>
        <w:t>标准见下表。</w:t>
      </w:r>
    </w:p>
    <w:p w14:paraId="3F5B102F"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本项目运营期大气污染物排放标准</w:t>
      </w:r>
    </w:p>
    <w:tbl>
      <w:tblPr>
        <w:tblStyle w:val="afc"/>
        <w:tblW w:w="9055" w:type="dxa"/>
        <w:jc w:val="center"/>
        <w:tblLayout w:type="fixed"/>
        <w:tblLook w:val="04A0" w:firstRow="1" w:lastRow="0" w:firstColumn="1" w:lastColumn="0" w:noHBand="0" w:noVBand="1"/>
      </w:tblPr>
      <w:tblGrid>
        <w:gridCol w:w="965"/>
        <w:gridCol w:w="1297"/>
        <w:gridCol w:w="1934"/>
        <w:gridCol w:w="4859"/>
      </w:tblGrid>
      <w:tr w:rsidR="00544649" w14:paraId="367A47A7" w14:textId="77777777">
        <w:trPr>
          <w:tblHeader/>
          <w:jc w:val="center"/>
        </w:trPr>
        <w:tc>
          <w:tcPr>
            <w:tcW w:w="965" w:type="dxa"/>
            <w:vAlign w:val="center"/>
          </w:tcPr>
          <w:p w14:paraId="2388A987"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序号</w:t>
            </w:r>
          </w:p>
        </w:tc>
        <w:tc>
          <w:tcPr>
            <w:tcW w:w="1297" w:type="dxa"/>
            <w:vAlign w:val="center"/>
          </w:tcPr>
          <w:p w14:paraId="4CDC5A56"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污染因子</w:t>
            </w:r>
          </w:p>
        </w:tc>
        <w:tc>
          <w:tcPr>
            <w:tcW w:w="1934" w:type="dxa"/>
            <w:vAlign w:val="center"/>
          </w:tcPr>
          <w:p w14:paraId="3C827B38"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标准（</w:t>
            </w:r>
            <w:r>
              <w:rPr>
                <w:rFonts w:cs="Times New Roman"/>
                <w:b/>
                <w:bCs/>
                <w:kern w:val="21"/>
                <w:sz w:val="21"/>
                <w:szCs w:val="21"/>
              </w:rPr>
              <w:t>mg/m</w:t>
            </w:r>
            <w:r>
              <w:rPr>
                <w:rFonts w:cs="Times New Roman"/>
                <w:b/>
                <w:bCs/>
                <w:kern w:val="21"/>
                <w:sz w:val="21"/>
                <w:szCs w:val="21"/>
                <w:vertAlign w:val="superscript"/>
              </w:rPr>
              <w:t>3</w:t>
            </w:r>
            <w:r>
              <w:rPr>
                <w:rFonts w:cs="Times New Roman"/>
                <w:b/>
                <w:bCs/>
                <w:kern w:val="21"/>
                <w:sz w:val="21"/>
                <w:szCs w:val="21"/>
              </w:rPr>
              <w:t>）</w:t>
            </w:r>
          </w:p>
        </w:tc>
        <w:tc>
          <w:tcPr>
            <w:tcW w:w="4859" w:type="dxa"/>
            <w:vAlign w:val="center"/>
          </w:tcPr>
          <w:p w14:paraId="74BDF559"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标准依据</w:t>
            </w:r>
          </w:p>
        </w:tc>
      </w:tr>
      <w:tr w:rsidR="00544649" w14:paraId="7EF70A09" w14:textId="77777777">
        <w:trPr>
          <w:jc w:val="center"/>
        </w:trPr>
        <w:tc>
          <w:tcPr>
            <w:tcW w:w="965" w:type="dxa"/>
            <w:vMerge w:val="restart"/>
            <w:vAlign w:val="center"/>
          </w:tcPr>
          <w:p w14:paraId="0C1B8FF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恶臭污染物</w:t>
            </w:r>
          </w:p>
        </w:tc>
        <w:tc>
          <w:tcPr>
            <w:tcW w:w="1297" w:type="dxa"/>
            <w:vAlign w:val="center"/>
          </w:tcPr>
          <w:p w14:paraId="186D9B7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臭气浓度</w:t>
            </w:r>
          </w:p>
        </w:tc>
        <w:tc>
          <w:tcPr>
            <w:tcW w:w="1934" w:type="dxa"/>
            <w:vAlign w:val="center"/>
          </w:tcPr>
          <w:p w14:paraId="3FF2F82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70</w:t>
            </w:r>
            <w:r>
              <w:rPr>
                <w:rFonts w:cs="Times New Roman"/>
                <w:kern w:val="21"/>
                <w:sz w:val="21"/>
                <w:szCs w:val="21"/>
              </w:rPr>
              <w:t>（无量纲）</w:t>
            </w:r>
          </w:p>
        </w:tc>
        <w:tc>
          <w:tcPr>
            <w:tcW w:w="4859" w:type="dxa"/>
            <w:vAlign w:val="center"/>
          </w:tcPr>
          <w:p w14:paraId="6727DA8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《畜禽养殖业污染物排放标准》（</w:t>
            </w:r>
            <w:r>
              <w:rPr>
                <w:rFonts w:cs="Times New Roman"/>
                <w:kern w:val="21"/>
                <w:sz w:val="21"/>
                <w:szCs w:val="21"/>
              </w:rPr>
              <w:t>GB18596-2001</w:t>
            </w:r>
            <w:r>
              <w:rPr>
                <w:rFonts w:cs="Times New Roman"/>
                <w:kern w:val="21"/>
                <w:sz w:val="21"/>
                <w:szCs w:val="21"/>
              </w:rPr>
              <w:t>）</w:t>
            </w:r>
          </w:p>
        </w:tc>
      </w:tr>
      <w:tr w:rsidR="00544649" w14:paraId="722EF49B" w14:textId="77777777">
        <w:trPr>
          <w:trHeight w:val="389"/>
          <w:jc w:val="center"/>
        </w:trPr>
        <w:tc>
          <w:tcPr>
            <w:tcW w:w="965" w:type="dxa"/>
            <w:vMerge/>
            <w:vAlign w:val="center"/>
          </w:tcPr>
          <w:p w14:paraId="664906C9"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297" w:type="dxa"/>
            <w:vAlign w:val="center"/>
          </w:tcPr>
          <w:p w14:paraId="1A962F4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NH</w:t>
            </w:r>
            <w:r>
              <w:rPr>
                <w:rFonts w:cs="Times New Roman"/>
                <w:kern w:val="21"/>
                <w:sz w:val="21"/>
                <w:szCs w:val="21"/>
                <w:vertAlign w:val="subscript"/>
              </w:rPr>
              <w:t>3</w:t>
            </w:r>
          </w:p>
        </w:tc>
        <w:tc>
          <w:tcPr>
            <w:tcW w:w="1934" w:type="dxa"/>
            <w:vAlign w:val="center"/>
          </w:tcPr>
          <w:p w14:paraId="0E9F891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1.5</w:t>
            </w:r>
          </w:p>
        </w:tc>
        <w:tc>
          <w:tcPr>
            <w:tcW w:w="4859" w:type="dxa"/>
            <w:vMerge w:val="restart"/>
            <w:vAlign w:val="center"/>
          </w:tcPr>
          <w:p w14:paraId="195BCF5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《恶臭污染物排放标准》（</w:t>
            </w:r>
            <w:r>
              <w:rPr>
                <w:rFonts w:cs="Times New Roman"/>
                <w:kern w:val="21"/>
                <w:sz w:val="21"/>
                <w:szCs w:val="21"/>
              </w:rPr>
              <w:t>GB14554-93</w:t>
            </w:r>
            <w:r>
              <w:rPr>
                <w:rFonts w:cs="Times New Roman"/>
                <w:kern w:val="21"/>
                <w:sz w:val="21"/>
                <w:szCs w:val="21"/>
              </w:rPr>
              <w:t>）</w:t>
            </w:r>
          </w:p>
        </w:tc>
      </w:tr>
      <w:tr w:rsidR="00544649" w14:paraId="29AFAE58" w14:textId="77777777">
        <w:trPr>
          <w:jc w:val="center"/>
        </w:trPr>
        <w:tc>
          <w:tcPr>
            <w:tcW w:w="965" w:type="dxa"/>
            <w:vMerge/>
            <w:vAlign w:val="center"/>
          </w:tcPr>
          <w:p w14:paraId="0E6AC5A3"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297" w:type="dxa"/>
            <w:vAlign w:val="center"/>
          </w:tcPr>
          <w:p w14:paraId="312CC44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H</w:t>
            </w:r>
            <w:r>
              <w:rPr>
                <w:rFonts w:cs="Times New Roman"/>
                <w:kern w:val="21"/>
                <w:sz w:val="21"/>
                <w:szCs w:val="21"/>
                <w:vertAlign w:val="subscript"/>
              </w:rPr>
              <w:t>2</w:t>
            </w:r>
            <w:r>
              <w:rPr>
                <w:rFonts w:cs="Times New Roman"/>
                <w:kern w:val="21"/>
                <w:sz w:val="21"/>
                <w:szCs w:val="21"/>
              </w:rPr>
              <w:t>S</w:t>
            </w:r>
          </w:p>
        </w:tc>
        <w:tc>
          <w:tcPr>
            <w:tcW w:w="1934" w:type="dxa"/>
            <w:vAlign w:val="center"/>
          </w:tcPr>
          <w:p w14:paraId="1D7284E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0.06</w:t>
            </w:r>
          </w:p>
        </w:tc>
        <w:tc>
          <w:tcPr>
            <w:tcW w:w="4859" w:type="dxa"/>
            <w:vMerge/>
            <w:vAlign w:val="center"/>
          </w:tcPr>
          <w:p w14:paraId="4D6152BB"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609B7A9A" w14:textId="77777777">
        <w:trPr>
          <w:jc w:val="center"/>
        </w:trPr>
        <w:tc>
          <w:tcPr>
            <w:tcW w:w="965" w:type="dxa"/>
            <w:vMerge w:val="restart"/>
            <w:vAlign w:val="center"/>
          </w:tcPr>
          <w:p w14:paraId="53C03AB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天然气锅炉</w:t>
            </w:r>
          </w:p>
        </w:tc>
        <w:tc>
          <w:tcPr>
            <w:tcW w:w="1297" w:type="dxa"/>
            <w:vAlign w:val="center"/>
          </w:tcPr>
          <w:p w14:paraId="109942A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sz w:val="21"/>
                <w:szCs w:val="21"/>
              </w:rPr>
              <w:t>二氧化硫</w:t>
            </w:r>
          </w:p>
        </w:tc>
        <w:tc>
          <w:tcPr>
            <w:tcW w:w="1934" w:type="dxa"/>
            <w:vAlign w:val="center"/>
          </w:tcPr>
          <w:p w14:paraId="629F58D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sz w:val="21"/>
                <w:szCs w:val="21"/>
              </w:rPr>
              <w:t>50</w:t>
            </w:r>
          </w:p>
        </w:tc>
        <w:tc>
          <w:tcPr>
            <w:tcW w:w="4859" w:type="dxa"/>
            <w:vMerge w:val="restart"/>
            <w:vAlign w:val="center"/>
          </w:tcPr>
          <w:p w14:paraId="161FE4D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《锅炉大气污染物排放标准》（</w:t>
            </w:r>
            <w:r>
              <w:rPr>
                <w:rFonts w:cs="Times New Roman"/>
                <w:kern w:val="21"/>
                <w:sz w:val="21"/>
                <w:szCs w:val="21"/>
              </w:rPr>
              <w:t>GB13271-2014</w:t>
            </w:r>
            <w:r>
              <w:rPr>
                <w:rFonts w:cs="Times New Roman" w:hint="eastAsia"/>
                <w:kern w:val="21"/>
                <w:sz w:val="21"/>
                <w:szCs w:val="21"/>
              </w:rPr>
              <w:t>）</w:t>
            </w:r>
          </w:p>
        </w:tc>
      </w:tr>
      <w:tr w:rsidR="00544649" w14:paraId="62A3146C" w14:textId="77777777">
        <w:trPr>
          <w:jc w:val="center"/>
        </w:trPr>
        <w:tc>
          <w:tcPr>
            <w:tcW w:w="965" w:type="dxa"/>
            <w:vMerge/>
            <w:vAlign w:val="center"/>
          </w:tcPr>
          <w:p w14:paraId="47BB4601"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297" w:type="dxa"/>
            <w:vAlign w:val="center"/>
          </w:tcPr>
          <w:p w14:paraId="767968F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sz w:val="21"/>
                <w:szCs w:val="21"/>
              </w:rPr>
              <w:t>氮氧化物</w:t>
            </w:r>
          </w:p>
        </w:tc>
        <w:tc>
          <w:tcPr>
            <w:tcW w:w="1934" w:type="dxa"/>
            <w:vAlign w:val="center"/>
          </w:tcPr>
          <w:p w14:paraId="2ABC5B9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sz w:val="21"/>
                <w:szCs w:val="21"/>
              </w:rPr>
              <w:t>2</w:t>
            </w:r>
            <w:r>
              <w:rPr>
                <w:rFonts w:hint="eastAsia"/>
                <w:sz w:val="21"/>
                <w:szCs w:val="21"/>
              </w:rPr>
              <w:t>0</w:t>
            </w:r>
            <w:r>
              <w:rPr>
                <w:sz w:val="21"/>
                <w:szCs w:val="21"/>
              </w:rPr>
              <w:t>0</w:t>
            </w:r>
          </w:p>
        </w:tc>
        <w:tc>
          <w:tcPr>
            <w:tcW w:w="4859" w:type="dxa"/>
            <w:vMerge/>
            <w:vAlign w:val="center"/>
          </w:tcPr>
          <w:p w14:paraId="1713835C"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58121D6E" w14:textId="77777777">
        <w:trPr>
          <w:jc w:val="center"/>
        </w:trPr>
        <w:tc>
          <w:tcPr>
            <w:tcW w:w="965" w:type="dxa"/>
            <w:vMerge/>
            <w:vAlign w:val="center"/>
          </w:tcPr>
          <w:p w14:paraId="25534F53"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297" w:type="dxa"/>
            <w:vAlign w:val="center"/>
          </w:tcPr>
          <w:p w14:paraId="0816DFB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sz w:val="21"/>
                <w:szCs w:val="21"/>
              </w:rPr>
              <w:t>颗粒物</w:t>
            </w:r>
          </w:p>
        </w:tc>
        <w:tc>
          <w:tcPr>
            <w:tcW w:w="1934" w:type="dxa"/>
            <w:vAlign w:val="center"/>
          </w:tcPr>
          <w:p w14:paraId="7090808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sz w:val="21"/>
                <w:szCs w:val="21"/>
              </w:rPr>
              <w:t>20</w:t>
            </w:r>
          </w:p>
        </w:tc>
        <w:tc>
          <w:tcPr>
            <w:tcW w:w="4859" w:type="dxa"/>
            <w:vMerge/>
            <w:vAlign w:val="center"/>
          </w:tcPr>
          <w:p w14:paraId="729EFB0D"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01D17259" w14:textId="77777777">
        <w:trPr>
          <w:jc w:val="center"/>
        </w:trPr>
        <w:tc>
          <w:tcPr>
            <w:tcW w:w="965" w:type="dxa"/>
            <w:vMerge w:val="restart"/>
            <w:vAlign w:val="center"/>
          </w:tcPr>
          <w:p w14:paraId="49FFDA9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天然气加热设备</w:t>
            </w:r>
          </w:p>
        </w:tc>
        <w:tc>
          <w:tcPr>
            <w:tcW w:w="1297" w:type="dxa"/>
            <w:vAlign w:val="center"/>
          </w:tcPr>
          <w:p w14:paraId="77723762" w14:textId="77777777" w:rsidR="00544649" w:rsidRDefault="00000000">
            <w:pPr>
              <w:adjustRightInd w:val="0"/>
              <w:snapToGrid w:val="0"/>
              <w:spacing w:beforeLines="20" w:before="62" w:afterLines="20" w:after="62" w:line="240" w:lineRule="auto"/>
              <w:ind w:firstLineChars="0" w:firstLine="0"/>
              <w:jc w:val="center"/>
              <w:rPr>
                <w:sz w:val="21"/>
                <w:szCs w:val="21"/>
              </w:rPr>
            </w:pPr>
            <w:r>
              <w:rPr>
                <w:sz w:val="21"/>
                <w:szCs w:val="21"/>
              </w:rPr>
              <w:t>二氧化硫</w:t>
            </w:r>
          </w:p>
        </w:tc>
        <w:tc>
          <w:tcPr>
            <w:tcW w:w="1934" w:type="dxa"/>
            <w:vAlign w:val="center"/>
          </w:tcPr>
          <w:p w14:paraId="73C3AAF3" w14:textId="77777777" w:rsidR="00544649" w:rsidRDefault="00000000">
            <w:pPr>
              <w:adjustRightInd w:val="0"/>
              <w:snapToGrid w:val="0"/>
              <w:spacing w:beforeLines="20" w:before="62" w:afterLines="20" w:after="62" w:line="240" w:lineRule="auto"/>
              <w:ind w:firstLineChars="0" w:firstLine="0"/>
              <w:jc w:val="center"/>
              <w:rPr>
                <w:sz w:val="21"/>
                <w:szCs w:val="21"/>
              </w:rPr>
            </w:pPr>
            <w:r>
              <w:rPr>
                <w:rFonts w:hint="eastAsia"/>
                <w:sz w:val="21"/>
                <w:szCs w:val="21"/>
              </w:rPr>
              <w:t>0.5</w:t>
            </w:r>
          </w:p>
        </w:tc>
        <w:tc>
          <w:tcPr>
            <w:tcW w:w="4859" w:type="dxa"/>
            <w:vMerge w:val="restart"/>
            <w:vAlign w:val="center"/>
          </w:tcPr>
          <w:p w14:paraId="3482325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《大气污染物综合排放标准》（</w:t>
            </w:r>
            <w:r>
              <w:rPr>
                <w:rFonts w:cs="Times New Roman" w:hint="eastAsia"/>
                <w:kern w:val="21"/>
                <w:sz w:val="21"/>
                <w:szCs w:val="21"/>
              </w:rPr>
              <w:t>GB16297-1996</w:t>
            </w:r>
            <w:r>
              <w:rPr>
                <w:rFonts w:cs="Times New Roman" w:hint="eastAsia"/>
                <w:kern w:val="21"/>
                <w:sz w:val="21"/>
                <w:szCs w:val="21"/>
              </w:rPr>
              <w:t>）</w:t>
            </w:r>
          </w:p>
        </w:tc>
      </w:tr>
      <w:tr w:rsidR="00544649" w14:paraId="37C0FB84" w14:textId="77777777">
        <w:trPr>
          <w:jc w:val="center"/>
        </w:trPr>
        <w:tc>
          <w:tcPr>
            <w:tcW w:w="965" w:type="dxa"/>
            <w:vMerge/>
            <w:vAlign w:val="center"/>
          </w:tcPr>
          <w:p w14:paraId="5B1C6BCA"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297" w:type="dxa"/>
            <w:vAlign w:val="center"/>
          </w:tcPr>
          <w:p w14:paraId="6C600BB5" w14:textId="77777777" w:rsidR="00544649" w:rsidRDefault="00000000">
            <w:pPr>
              <w:adjustRightInd w:val="0"/>
              <w:snapToGrid w:val="0"/>
              <w:spacing w:beforeLines="20" w:before="62" w:afterLines="20" w:after="62" w:line="240" w:lineRule="auto"/>
              <w:ind w:firstLineChars="0" w:firstLine="0"/>
              <w:jc w:val="center"/>
              <w:rPr>
                <w:sz w:val="21"/>
                <w:szCs w:val="21"/>
              </w:rPr>
            </w:pPr>
            <w:r>
              <w:rPr>
                <w:sz w:val="21"/>
                <w:szCs w:val="21"/>
              </w:rPr>
              <w:t>氮氧化物</w:t>
            </w:r>
          </w:p>
        </w:tc>
        <w:tc>
          <w:tcPr>
            <w:tcW w:w="1934" w:type="dxa"/>
            <w:vAlign w:val="center"/>
          </w:tcPr>
          <w:p w14:paraId="3BAE221B" w14:textId="77777777" w:rsidR="00544649" w:rsidRDefault="00000000">
            <w:pPr>
              <w:adjustRightInd w:val="0"/>
              <w:snapToGrid w:val="0"/>
              <w:spacing w:beforeLines="20" w:before="62" w:afterLines="20" w:after="62" w:line="240" w:lineRule="auto"/>
              <w:ind w:firstLineChars="0" w:firstLine="0"/>
              <w:jc w:val="center"/>
              <w:rPr>
                <w:sz w:val="21"/>
                <w:szCs w:val="21"/>
              </w:rPr>
            </w:pPr>
            <w:r>
              <w:rPr>
                <w:rFonts w:hint="eastAsia"/>
                <w:sz w:val="21"/>
                <w:szCs w:val="21"/>
              </w:rPr>
              <w:t>0.15</w:t>
            </w:r>
          </w:p>
        </w:tc>
        <w:tc>
          <w:tcPr>
            <w:tcW w:w="4859" w:type="dxa"/>
            <w:vMerge/>
            <w:vAlign w:val="center"/>
          </w:tcPr>
          <w:p w14:paraId="225F2952"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7FA53DA3" w14:textId="77777777">
        <w:trPr>
          <w:jc w:val="center"/>
        </w:trPr>
        <w:tc>
          <w:tcPr>
            <w:tcW w:w="965" w:type="dxa"/>
            <w:vMerge/>
            <w:vAlign w:val="center"/>
          </w:tcPr>
          <w:p w14:paraId="017DD0CC"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297" w:type="dxa"/>
            <w:vAlign w:val="center"/>
          </w:tcPr>
          <w:p w14:paraId="52BFCD6B" w14:textId="77777777" w:rsidR="00544649" w:rsidRDefault="00000000">
            <w:pPr>
              <w:adjustRightInd w:val="0"/>
              <w:snapToGrid w:val="0"/>
              <w:spacing w:beforeLines="20" w:before="62" w:afterLines="20" w:after="62" w:line="240" w:lineRule="auto"/>
              <w:ind w:firstLineChars="0" w:firstLine="0"/>
              <w:jc w:val="center"/>
              <w:rPr>
                <w:sz w:val="21"/>
                <w:szCs w:val="21"/>
              </w:rPr>
            </w:pPr>
            <w:r>
              <w:rPr>
                <w:sz w:val="21"/>
                <w:szCs w:val="21"/>
              </w:rPr>
              <w:t>颗粒物</w:t>
            </w:r>
          </w:p>
        </w:tc>
        <w:tc>
          <w:tcPr>
            <w:tcW w:w="1934" w:type="dxa"/>
            <w:vAlign w:val="center"/>
          </w:tcPr>
          <w:p w14:paraId="23385B44" w14:textId="77777777" w:rsidR="00544649" w:rsidRDefault="00000000">
            <w:pPr>
              <w:adjustRightInd w:val="0"/>
              <w:snapToGrid w:val="0"/>
              <w:spacing w:beforeLines="20" w:before="62" w:afterLines="20" w:after="62" w:line="240" w:lineRule="auto"/>
              <w:ind w:firstLineChars="0" w:firstLine="0"/>
              <w:jc w:val="center"/>
              <w:rPr>
                <w:sz w:val="21"/>
                <w:szCs w:val="21"/>
              </w:rPr>
            </w:pPr>
            <w:r>
              <w:rPr>
                <w:rFonts w:hint="eastAsia"/>
                <w:sz w:val="21"/>
                <w:szCs w:val="21"/>
              </w:rPr>
              <w:t>5.0</w:t>
            </w:r>
          </w:p>
        </w:tc>
        <w:tc>
          <w:tcPr>
            <w:tcW w:w="4859" w:type="dxa"/>
            <w:vMerge/>
            <w:vAlign w:val="center"/>
          </w:tcPr>
          <w:p w14:paraId="4411F30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bl>
    <w:p w14:paraId="013A9E37" w14:textId="77777777" w:rsidR="00544649" w:rsidRDefault="00000000">
      <w:pPr>
        <w:keepNext/>
        <w:keepLines/>
        <w:numPr>
          <w:ilvl w:val="3"/>
          <w:numId w:val="2"/>
        </w:numPr>
        <w:adjustRightInd w:val="0"/>
        <w:snapToGrid w:val="0"/>
        <w:spacing w:after="0"/>
        <w:ind w:firstLineChars="0"/>
        <w:outlineLvl w:val="3"/>
        <w:rPr>
          <w:rFonts w:cs="Times New Roman"/>
          <w:b/>
          <w:bCs/>
          <w:kern w:val="21"/>
          <w:szCs w:val="24"/>
        </w:rPr>
      </w:pPr>
      <w:r>
        <w:rPr>
          <w:rFonts w:cs="Times New Roman"/>
          <w:b/>
          <w:bCs/>
          <w:kern w:val="21"/>
          <w:szCs w:val="24"/>
        </w:rPr>
        <w:t>废水</w:t>
      </w:r>
    </w:p>
    <w:p w14:paraId="40D44B2B" w14:textId="77777777" w:rsidR="00544649" w:rsidRDefault="00000000">
      <w:pPr>
        <w:adjustRightInd w:val="0"/>
        <w:snapToGrid w:val="0"/>
        <w:spacing w:after="0"/>
        <w:ind w:firstLine="480"/>
        <w:rPr>
          <w:rFonts w:cs="Times New Roman"/>
          <w:kern w:val="21"/>
        </w:rPr>
      </w:pPr>
      <w:r>
        <w:rPr>
          <w:rFonts w:cs="Times New Roman"/>
          <w:kern w:val="21"/>
        </w:rPr>
        <w:t>本项目</w:t>
      </w:r>
      <w:r>
        <w:rPr>
          <w:rFonts w:cs="Times New Roman" w:hint="eastAsia"/>
          <w:kern w:val="21"/>
          <w:szCs w:val="21"/>
        </w:rPr>
        <w:t>餐厨废水、生活污水以及养殖废水经自建污水处理设施处理达《农田灌溉水质标准》（</w:t>
      </w:r>
      <w:r>
        <w:rPr>
          <w:rFonts w:cs="Times New Roman" w:hint="eastAsia"/>
          <w:kern w:val="21"/>
          <w:szCs w:val="21"/>
        </w:rPr>
        <w:t>GB5084-2021</w:t>
      </w:r>
      <w:r>
        <w:rPr>
          <w:rFonts w:cs="Times New Roman" w:hint="eastAsia"/>
          <w:kern w:val="21"/>
          <w:szCs w:val="21"/>
        </w:rPr>
        <w:t>）</w:t>
      </w:r>
      <w:proofErr w:type="gramStart"/>
      <w:r>
        <w:rPr>
          <w:rFonts w:cs="Times New Roman" w:hint="eastAsia"/>
          <w:kern w:val="21"/>
          <w:szCs w:val="21"/>
        </w:rPr>
        <w:t>中旱作</w:t>
      </w:r>
      <w:proofErr w:type="gramEnd"/>
      <w:r>
        <w:rPr>
          <w:rFonts w:cs="Times New Roman" w:hint="eastAsia"/>
          <w:kern w:val="21"/>
          <w:szCs w:val="21"/>
        </w:rPr>
        <w:t>标准后用于林地灌溉</w:t>
      </w:r>
      <w:r>
        <w:rPr>
          <w:rFonts w:cs="Times New Roman"/>
          <w:kern w:val="21"/>
        </w:rPr>
        <w:t>。</w:t>
      </w:r>
      <w:r>
        <w:rPr>
          <w:rFonts w:cs="Times New Roman" w:hint="eastAsia"/>
          <w:kern w:val="21"/>
        </w:rPr>
        <w:t>相关限值要求见下表。</w:t>
      </w:r>
    </w:p>
    <w:p w14:paraId="2B548A63"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hint="eastAsia"/>
          <w:b/>
          <w:bCs/>
          <w:kern w:val="21"/>
          <w:sz w:val="21"/>
          <w:szCs w:val="21"/>
        </w:rPr>
        <w:t>农田灌溉水质标准</w:t>
      </w:r>
    </w:p>
    <w:tbl>
      <w:tblPr>
        <w:tblW w:w="90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96"/>
        <w:gridCol w:w="1254"/>
        <w:gridCol w:w="6010"/>
      </w:tblGrid>
      <w:tr w:rsidR="00544649" w14:paraId="0FC9EAB1" w14:textId="77777777">
        <w:trPr>
          <w:trHeight w:val="195"/>
          <w:jc w:val="center"/>
        </w:trPr>
        <w:tc>
          <w:tcPr>
            <w:tcW w:w="1796" w:type="dxa"/>
            <w:vAlign w:val="center"/>
          </w:tcPr>
          <w:p w14:paraId="654DCE21" w14:textId="77777777" w:rsidR="00544649" w:rsidRDefault="00000000">
            <w:pPr>
              <w:adjustRightInd w:val="0"/>
              <w:snapToGrid w:val="0"/>
              <w:spacing w:beforeLines="20" w:before="62" w:afterLines="20" w:after="62" w:line="240" w:lineRule="auto"/>
              <w:ind w:firstLineChars="0" w:firstLine="0"/>
              <w:jc w:val="center"/>
              <w:rPr>
                <w:rFonts w:cs="Times New Roman"/>
                <w:b/>
                <w:bCs/>
                <w:sz w:val="21"/>
                <w:szCs w:val="21"/>
              </w:rPr>
            </w:pPr>
            <w:r>
              <w:rPr>
                <w:rFonts w:cs="Times New Roman"/>
                <w:b/>
                <w:bCs/>
                <w:sz w:val="21"/>
              </w:rPr>
              <w:t>污染物名称</w:t>
            </w:r>
          </w:p>
        </w:tc>
        <w:tc>
          <w:tcPr>
            <w:tcW w:w="1254" w:type="dxa"/>
            <w:vAlign w:val="center"/>
          </w:tcPr>
          <w:p w14:paraId="74E9C3D8" w14:textId="77777777" w:rsidR="00544649" w:rsidRDefault="00000000">
            <w:pPr>
              <w:adjustRightInd w:val="0"/>
              <w:snapToGrid w:val="0"/>
              <w:spacing w:beforeLines="20" w:before="62" w:afterLines="20" w:after="62" w:line="240" w:lineRule="auto"/>
              <w:ind w:firstLineChars="0" w:firstLine="0"/>
              <w:jc w:val="center"/>
              <w:rPr>
                <w:rFonts w:cs="Times New Roman"/>
                <w:b/>
                <w:bCs/>
                <w:sz w:val="21"/>
              </w:rPr>
            </w:pPr>
            <w:r>
              <w:rPr>
                <w:rFonts w:cs="Times New Roman"/>
                <w:b/>
                <w:bCs/>
                <w:sz w:val="21"/>
              </w:rPr>
              <w:t>单位</w:t>
            </w:r>
          </w:p>
        </w:tc>
        <w:tc>
          <w:tcPr>
            <w:tcW w:w="6010" w:type="dxa"/>
            <w:vAlign w:val="center"/>
          </w:tcPr>
          <w:p w14:paraId="470B18F9" w14:textId="77777777" w:rsidR="00544649" w:rsidRDefault="00000000">
            <w:pPr>
              <w:adjustRightInd w:val="0"/>
              <w:snapToGrid w:val="0"/>
              <w:spacing w:beforeLines="20" w:before="62" w:afterLines="20" w:after="62" w:line="240" w:lineRule="auto"/>
              <w:ind w:firstLineChars="0" w:firstLine="0"/>
              <w:jc w:val="center"/>
              <w:rPr>
                <w:rFonts w:cs="Times New Roman"/>
                <w:b/>
                <w:bCs/>
                <w:sz w:val="21"/>
                <w:szCs w:val="21"/>
              </w:rPr>
            </w:pPr>
            <w:r>
              <w:rPr>
                <w:rFonts w:cs="Times New Roman"/>
                <w:b/>
                <w:bCs/>
                <w:sz w:val="21"/>
              </w:rPr>
              <w:t>《农田灌溉水质标准》（</w:t>
            </w:r>
            <w:r>
              <w:rPr>
                <w:rFonts w:eastAsia="TimesNewRomanPS-BoldMT" w:cs="Times New Roman"/>
                <w:b/>
                <w:bCs/>
                <w:sz w:val="21"/>
              </w:rPr>
              <w:t>GB5084-2021</w:t>
            </w:r>
            <w:r>
              <w:rPr>
                <w:rFonts w:cs="Times New Roman"/>
                <w:b/>
                <w:bCs/>
                <w:sz w:val="21"/>
              </w:rPr>
              <w:t>）旱作标准</w:t>
            </w:r>
          </w:p>
        </w:tc>
      </w:tr>
      <w:tr w:rsidR="00544649" w14:paraId="3410DC13" w14:textId="77777777">
        <w:trPr>
          <w:trHeight w:val="90"/>
          <w:jc w:val="center"/>
        </w:trPr>
        <w:tc>
          <w:tcPr>
            <w:tcW w:w="1796" w:type="dxa"/>
            <w:vAlign w:val="center"/>
          </w:tcPr>
          <w:p w14:paraId="503D40CC"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pH</w:t>
            </w:r>
          </w:p>
        </w:tc>
        <w:tc>
          <w:tcPr>
            <w:tcW w:w="1254" w:type="dxa"/>
            <w:vAlign w:val="center"/>
          </w:tcPr>
          <w:p w14:paraId="58EBAA4C"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mg/L</w:t>
            </w:r>
          </w:p>
        </w:tc>
        <w:tc>
          <w:tcPr>
            <w:tcW w:w="6010" w:type="dxa"/>
            <w:vAlign w:val="center"/>
          </w:tcPr>
          <w:p w14:paraId="63F11DCB"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5.5~8.5</w:t>
            </w:r>
          </w:p>
        </w:tc>
      </w:tr>
      <w:tr w:rsidR="00544649" w14:paraId="3C02BF94" w14:textId="77777777">
        <w:trPr>
          <w:trHeight w:val="65"/>
          <w:jc w:val="center"/>
        </w:trPr>
        <w:tc>
          <w:tcPr>
            <w:tcW w:w="1796" w:type="dxa"/>
            <w:vAlign w:val="center"/>
          </w:tcPr>
          <w:p w14:paraId="05D78AE4"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lastRenderedPageBreak/>
              <w:t>COD</w:t>
            </w:r>
          </w:p>
        </w:tc>
        <w:tc>
          <w:tcPr>
            <w:tcW w:w="1254" w:type="dxa"/>
          </w:tcPr>
          <w:p w14:paraId="38F7F2F8"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mg/L</w:t>
            </w:r>
          </w:p>
        </w:tc>
        <w:tc>
          <w:tcPr>
            <w:tcW w:w="6010" w:type="dxa"/>
            <w:vAlign w:val="center"/>
          </w:tcPr>
          <w:p w14:paraId="1B30D908"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200</w:t>
            </w:r>
          </w:p>
        </w:tc>
      </w:tr>
      <w:tr w:rsidR="00544649" w14:paraId="7862D45E" w14:textId="77777777">
        <w:trPr>
          <w:trHeight w:val="65"/>
          <w:jc w:val="center"/>
        </w:trPr>
        <w:tc>
          <w:tcPr>
            <w:tcW w:w="1796" w:type="dxa"/>
            <w:vAlign w:val="center"/>
          </w:tcPr>
          <w:p w14:paraId="507C6908"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BOD</w:t>
            </w:r>
            <w:r>
              <w:rPr>
                <w:rFonts w:cs="Times New Roman"/>
                <w:sz w:val="21"/>
                <w:szCs w:val="21"/>
                <w:vertAlign w:val="subscript"/>
              </w:rPr>
              <w:t>5</w:t>
            </w:r>
          </w:p>
        </w:tc>
        <w:tc>
          <w:tcPr>
            <w:tcW w:w="1254" w:type="dxa"/>
          </w:tcPr>
          <w:p w14:paraId="4FD630B2"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mg/L</w:t>
            </w:r>
          </w:p>
        </w:tc>
        <w:tc>
          <w:tcPr>
            <w:tcW w:w="6010" w:type="dxa"/>
            <w:vAlign w:val="center"/>
          </w:tcPr>
          <w:p w14:paraId="6716FFDE"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100</w:t>
            </w:r>
          </w:p>
        </w:tc>
      </w:tr>
      <w:tr w:rsidR="00544649" w14:paraId="2DCE7C85" w14:textId="77777777">
        <w:trPr>
          <w:trHeight w:val="65"/>
          <w:jc w:val="center"/>
        </w:trPr>
        <w:tc>
          <w:tcPr>
            <w:tcW w:w="1796" w:type="dxa"/>
            <w:vAlign w:val="center"/>
          </w:tcPr>
          <w:p w14:paraId="027A097F"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SS</w:t>
            </w:r>
          </w:p>
        </w:tc>
        <w:tc>
          <w:tcPr>
            <w:tcW w:w="1254" w:type="dxa"/>
          </w:tcPr>
          <w:p w14:paraId="1ECAFD9E"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mg/L</w:t>
            </w:r>
          </w:p>
        </w:tc>
        <w:tc>
          <w:tcPr>
            <w:tcW w:w="6010" w:type="dxa"/>
            <w:vAlign w:val="center"/>
          </w:tcPr>
          <w:p w14:paraId="6C705DE1"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100</w:t>
            </w:r>
          </w:p>
        </w:tc>
      </w:tr>
      <w:tr w:rsidR="00544649" w14:paraId="435AE7AE" w14:textId="77777777">
        <w:trPr>
          <w:trHeight w:val="65"/>
          <w:jc w:val="center"/>
        </w:trPr>
        <w:tc>
          <w:tcPr>
            <w:tcW w:w="1796" w:type="dxa"/>
            <w:vAlign w:val="center"/>
          </w:tcPr>
          <w:p w14:paraId="658BD6DA"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NH</w:t>
            </w:r>
            <w:r>
              <w:rPr>
                <w:rFonts w:cs="Times New Roman"/>
                <w:sz w:val="21"/>
                <w:szCs w:val="21"/>
                <w:vertAlign w:val="subscript"/>
              </w:rPr>
              <w:t>3</w:t>
            </w:r>
            <w:r>
              <w:rPr>
                <w:rFonts w:cs="Times New Roman"/>
                <w:sz w:val="21"/>
                <w:szCs w:val="21"/>
              </w:rPr>
              <w:t>-N</w:t>
            </w:r>
          </w:p>
        </w:tc>
        <w:tc>
          <w:tcPr>
            <w:tcW w:w="1254" w:type="dxa"/>
          </w:tcPr>
          <w:p w14:paraId="40BE4F8C"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mg/L</w:t>
            </w:r>
          </w:p>
        </w:tc>
        <w:tc>
          <w:tcPr>
            <w:tcW w:w="6010" w:type="dxa"/>
            <w:vAlign w:val="center"/>
          </w:tcPr>
          <w:p w14:paraId="5FFE8C58"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w:t>
            </w:r>
          </w:p>
        </w:tc>
      </w:tr>
      <w:tr w:rsidR="00544649" w14:paraId="5F153DEB" w14:textId="77777777">
        <w:trPr>
          <w:trHeight w:val="65"/>
          <w:jc w:val="center"/>
        </w:trPr>
        <w:tc>
          <w:tcPr>
            <w:tcW w:w="1796" w:type="dxa"/>
            <w:vAlign w:val="center"/>
          </w:tcPr>
          <w:p w14:paraId="1176E4A4"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总磷</w:t>
            </w:r>
          </w:p>
        </w:tc>
        <w:tc>
          <w:tcPr>
            <w:tcW w:w="1254" w:type="dxa"/>
          </w:tcPr>
          <w:p w14:paraId="192E26AC"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mg/L</w:t>
            </w:r>
          </w:p>
        </w:tc>
        <w:tc>
          <w:tcPr>
            <w:tcW w:w="6010" w:type="dxa"/>
            <w:vAlign w:val="center"/>
          </w:tcPr>
          <w:p w14:paraId="1A8E45B7"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w:t>
            </w:r>
          </w:p>
        </w:tc>
      </w:tr>
      <w:tr w:rsidR="00544649" w14:paraId="532564A1" w14:textId="77777777">
        <w:trPr>
          <w:trHeight w:val="65"/>
          <w:jc w:val="center"/>
        </w:trPr>
        <w:tc>
          <w:tcPr>
            <w:tcW w:w="1796" w:type="dxa"/>
            <w:vAlign w:val="center"/>
          </w:tcPr>
          <w:p w14:paraId="4CF5424D"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粪大肠菌群</w:t>
            </w:r>
          </w:p>
        </w:tc>
        <w:tc>
          <w:tcPr>
            <w:tcW w:w="1254" w:type="dxa"/>
            <w:vAlign w:val="center"/>
          </w:tcPr>
          <w:p w14:paraId="77FD6D52"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w:t>
            </w:r>
            <w:proofErr w:type="gramStart"/>
            <w:r>
              <w:rPr>
                <w:rFonts w:cs="Times New Roman"/>
                <w:sz w:val="21"/>
                <w:szCs w:val="21"/>
              </w:rPr>
              <w:t>个</w:t>
            </w:r>
            <w:proofErr w:type="gramEnd"/>
            <w:r>
              <w:rPr>
                <w:rFonts w:cs="Times New Roman"/>
                <w:sz w:val="21"/>
                <w:szCs w:val="21"/>
              </w:rPr>
              <w:t>/mL</w:t>
            </w:r>
            <w:r>
              <w:rPr>
                <w:rFonts w:cs="Times New Roman"/>
                <w:sz w:val="21"/>
                <w:szCs w:val="21"/>
              </w:rPr>
              <w:t>）</w:t>
            </w:r>
          </w:p>
        </w:tc>
        <w:tc>
          <w:tcPr>
            <w:tcW w:w="6010" w:type="dxa"/>
            <w:vAlign w:val="center"/>
          </w:tcPr>
          <w:p w14:paraId="5057CB77"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4000</w:t>
            </w:r>
          </w:p>
        </w:tc>
      </w:tr>
      <w:tr w:rsidR="00544649" w14:paraId="4942690D" w14:textId="77777777">
        <w:trPr>
          <w:trHeight w:val="65"/>
          <w:jc w:val="center"/>
        </w:trPr>
        <w:tc>
          <w:tcPr>
            <w:tcW w:w="1796" w:type="dxa"/>
            <w:vAlign w:val="center"/>
          </w:tcPr>
          <w:p w14:paraId="5C924A81"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蛔虫卵</w:t>
            </w:r>
          </w:p>
        </w:tc>
        <w:tc>
          <w:tcPr>
            <w:tcW w:w="1254" w:type="dxa"/>
            <w:vAlign w:val="center"/>
          </w:tcPr>
          <w:p w14:paraId="734124C8"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w:t>
            </w:r>
            <w:proofErr w:type="gramStart"/>
            <w:r>
              <w:rPr>
                <w:rFonts w:cs="Times New Roman"/>
                <w:sz w:val="21"/>
                <w:szCs w:val="21"/>
              </w:rPr>
              <w:t>个</w:t>
            </w:r>
            <w:proofErr w:type="gramEnd"/>
            <w:r>
              <w:rPr>
                <w:rFonts w:cs="Times New Roman"/>
                <w:sz w:val="21"/>
                <w:szCs w:val="21"/>
              </w:rPr>
              <w:t>/L</w:t>
            </w:r>
            <w:r>
              <w:rPr>
                <w:rFonts w:cs="Times New Roman"/>
                <w:sz w:val="21"/>
                <w:szCs w:val="21"/>
              </w:rPr>
              <w:t>）</w:t>
            </w:r>
          </w:p>
        </w:tc>
        <w:tc>
          <w:tcPr>
            <w:tcW w:w="6010" w:type="dxa"/>
            <w:vAlign w:val="center"/>
          </w:tcPr>
          <w:p w14:paraId="252CF868" w14:textId="77777777" w:rsidR="00544649" w:rsidRDefault="00000000">
            <w:pPr>
              <w:adjustRightInd w:val="0"/>
              <w:snapToGrid w:val="0"/>
              <w:spacing w:beforeLines="20" w:before="62" w:afterLines="20" w:after="62" w:line="240" w:lineRule="auto"/>
              <w:ind w:firstLineChars="0" w:firstLine="0"/>
              <w:jc w:val="center"/>
              <w:rPr>
                <w:rFonts w:cs="Times New Roman"/>
                <w:sz w:val="21"/>
                <w:szCs w:val="21"/>
              </w:rPr>
            </w:pPr>
            <w:r>
              <w:rPr>
                <w:rFonts w:cs="Times New Roman"/>
                <w:sz w:val="21"/>
                <w:szCs w:val="21"/>
              </w:rPr>
              <w:t>2.0</w:t>
            </w:r>
          </w:p>
        </w:tc>
      </w:tr>
    </w:tbl>
    <w:p w14:paraId="13C4E534" w14:textId="77777777" w:rsidR="00544649" w:rsidRDefault="00000000">
      <w:pPr>
        <w:keepNext/>
        <w:keepLines/>
        <w:numPr>
          <w:ilvl w:val="3"/>
          <w:numId w:val="2"/>
        </w:numPr>
        <w:adjustRightInd w:val="0"/>
        <w:snapToGrid w:val="0"/>
        <w:spacing w:after="0"/>
        <w:ind w:firstLineChars="0"/>
        <w:outlineLvl w:val="3"/>
        <w:rPr>
          <w:rFonts w:cs="Times New Roman"/>
          <w:b/>
          <w:bCs/>
          <w:kern w:val="21"/>
          <w:szCs w:val="24"/>
        </w:rPr>
      </w:pPr>
      <w:r>
        <w:rPr>
          <w:rFonts w:cs="Times New Roman" w:hint="eastAsia"/>
          <w:b/>
          <w:bCs/>
          <w:kern w:val="21"/>
          <w:szCs w:val="24"/>
        </w:rPr>
        <w:t>噪声</w:t>
      </w:r>
    </w:p>
    <w:p w14:paraId="0399A854" w14:textId="77777777" w:rsidR="00544649" w:rsidRDefault="00000000">
      <w:pPr>
        <w:adjustRightInd w:val="0"/>
        <w:snapToGrid w:val="0"/>
        <w:spacing w:after="0"/>
        <w:ind w:firstLine="482"/>
        <w:rPr>
          <w:rFonts w:cs="Times New Roman"/>
          <w:kern w:val="21"/>
          <w:szCs w:val="24"/>
        </w:rPr>
      </w:pPr>
      <w:r>
        <w:rPr>
          <w:rFonts w:cs="Times New Roman"/>
          <w:b/>
          <w:bCs/>
          <w:kern w:val="21"/>
          <w:szCs w:val="24"/>
        </w:rPr>
        <w:t>施工期：</w:t>
      </w:r>
      <w:r>
        <w:rPr>
          <w:rFonts w:cs="Times New Roman"/>
          <w:kern w:val="21"/>
          <w:szCs w:val="24"/>
        </w:rPr>
        <w:t>执行《建筑施工场界环境噪声排放标准》（</w:t>
      </w:r>
      <w:r>
        <w:rPr>
          <w:rFonts w:cs="Times New Roman"/>
          <w:kern w:val="21"/>
          <w:szCs w:val="24"/>
        </w:rPr>
        <w:t>GB12523-2011</w:t>
      </w:r>
      <w:r>
        <w:rPr>
          <w:rFonts w:cs="Times New Roman"/>
          <w:kern w:val="21"/>
          <w:szCs w:val="24"/>
        </w:rPr>
        <w:t>），见下表。</w:t>
      </w:r>
    </w:p>
    <w:p w14:paraId="38DB46FA"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建筑施工场界环境噪声排放标准单位：</w:t>
      </w:r>
      <w:r>
        <w:rPr>
          <w:rFonts w:cs="Times New Roman"/>
          <w:b/>
          <w:bCs/>
          <w:kern w:val="21"/>
          <w:sz w:val="21"/>
          <w:szCs w:val="21"/>
        </w:rPr>
        <w:t>dB</w:t>
      </w:r>
      <w:r>
        <w:rPr>
          <w:rFonts w:cs="Times New Roman"/>
          <w:b/>
          <w:bCs/>
          <w:kern w:val="21"/>
          <w:sz w:val="21"/>
          <w:szCs w:val="21"/>
        </w:rPr>
        <w:t>（</w:t>
      </w:r>
      <w:r>
        <w:rPr>
          <w:rFonts w:cs="Times New Roman"/>
          <w:b/>
          <w:bCs/>
          <w:kern w:val="21"/>
          <w:sz w:val="21"/>
          <w:szCs w:val="21"/>
        </w:rPr>
        <w:t>A</w:t>
      </w:r>
      <w:r>
        <w:rPr>
          <w:rFonts w:cs="Times New Roman"/>
          <w:b/>
          <w:bCs/>
          <w:kern w:val="21"/>
          <w:sz w:val="21"/>
          <w:szCs w:val="21"/>
        </w:rPr>
        <w:t>）</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3"/>
        <w:gridCol w:w="2376"/>
        <w:gridCol w:w="2147"/>
        <w:gridCol w:w="1524"/>
      </w:tblGrid>
      <w:tr w:rsidR="00544649" w14:paraId="09C3C5D4" w14:textId="77777777">
        <w:trPr>
          <w:tblHeader/>
          <w:jc w:val="center"/>
        </w:trPr>
        <w:tc>
          <w:tcPr>
            <w:tcW w:w="3013" w:type="dxa"/>
            <w:shd w:val="clear" w:color="auto" w:fill="auto"/>
            <w:vAlign w:val="center"/>
          </w:tcPr>
          <w:p w14:paraId="4F3EC1F5"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位置</w:t>
            </w:r>
          </w:p>
        </w:tc>
        <w:tc>
          <w:tcPr>
            <w:tcW w:w="4523" w:type="dxa"/>
            <w:gridSpan w:val="2"/>
            <w:shd w:val="clear" w:color="auto" w:fill="auto"/>
            <w:vAlign w:val="center"/>
          </w:tcPr>
          <w:p w14:paraId="35A3A561"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噪声级：</w:t>
            </w:r>
            <w:r>
              <w:rPr>
                <w:rFonts w:cs="Times New Roman"/>
                <w:b/>
                <w:kern w:val="21"/>
                <w:sz w:val="21"/>
                <w:szCs w:val="21"/>
              </w:rPr>
              <w:t>dB</w:t>
            </w:r>
            <w:r>
              <w:rPr>
                <w:rFonts w:cs="Times New Roman"/>
                <w:b/>
                <w:kern w:val="21"/>
                <w:sz w:val="21"/>
                <w:szCs w:val="21"/>
              </w:rPr>
              <w:t>（</w:t>
            </w:r>
            <w:r>
              <w:rPr>
                <w:rFonts w:cs="Times New Roman"/>
                <w:b/>
                <w:kern w:val="21"/>
                <w:sz w:val="21"/>
                <w:szCs w:val="21"/>
              </w:rPr>
              <w:t>A</w:t>
            </w:r>
            <w:r>
              <w:rPr>
                <w:rFonts w:cs="Times New Roman"/>
                <w:b/>
                <w:kern w:val="21"/>
                <w:sz w:val="21"/>
                <w:szCs w:val="21"/>
              </w:rPr>
              <w:t>）</w:t>
            </w:r>
          </w:p>
        </w:tc>
        <w:tc>
          <w:tcPr>
            <w:tcW w:w="1524" w:type="dxa"/>
            <w:shd w:val="clear" w:color="auto" w:fill="auto"/>
            <w:vAlign w:val="center"/>
          </w:tcPr>
          <w:p w14:paraId="620C37C1"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标准</w:t>
            </w:r>
          </w:p>
        </w:tc>
      </w:tr>
      <w:tr w:rsidR="00544649" w14:paraId="2517C3D1" w14:textId="77777777">
        <w:trPr>
          <w:jc w:val="center"/>
        </w:trPr>
        <w:tc>
          <w:tcPr>
            <w:tcW w:w="3013" w:type="dxa"/>
            <w:vMerge w:val="restart"/>
            <w:shd w:val="clear" w:color="auto" w:fill="auto"/>
            <w:vAlign w:val="center"/>
          </w:tcPr>
          <w:p w14:paraId="3688F9E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场界</w:t>
            </w:r>
          </w:p>
        </w:tc>
        <w:tc>
          <w:tcPr>
            <w:tcW w:w="2376" w:type="dxa"/>
            <w:shd w:val="clear" w:color="auto" w:fill="auto"/>
            <w:vAlign w:val="center"/>
          </w:tcPr>
          <w:p w14:paraId="3FE8135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昼间</w:t>
            </w:r>
          </w:p>
        </w:tc>
        <w:tc>
          <w:tcPr>
            <w:tcW w:w="2147" w:type="dxa"/>
            <w:shd w:val="clear" w:color="auto" w:fill="auto"/>
            <w:vAlign w:val="center"/>
          </w:tcPr>
          <w:p w14:paraId="453AFD8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夜间</w:t>
            </w:r>
          </w:p>
        </w:tc>
        <w:tc>
          <w:tcPr>
            <w:tcW w:w="1524" w:type="dxa"/>
            <w:vMerge w:val="restart"/>
            <w:shd w:val="clear" w:color="auto" w:fill="auto"/>
            <w:vAlign w:val="center"/>
          </w:tcPr>
          <w:p w14:paraId="031DB0E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GB12523-2011</w:t>
            </w:r>
          </w:p>
        </w:tc>
      </w:tr>
      <w:tr w:rsidR="00544649" w14:paraId="1382D291" w14:textId="77777777">
        <w:trPr>
          <w:jc w:val="center"/>
        </w:trPr>
        <w:tc>
          <w:tcPr>
            <w:tcW w:w="3013" w:type="dxa"/>
            <w:vMerge/>
            <w:shd w:val="clear" w:color="auto" w:fill="auto"/>
            <w:vAlign w:val="center"/>
          </w:tcPr>
          <w:p w14:paraId="1BBFEA1E"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2376" w:type="dxa"/>
            <w:shd w:val="clear" w:color="auto" w:fill="auto"/>
            <w:vAlign w:val="center"/>
          </w:tcPr>
          <w:p w14:paraId="2C854C6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70</w:t>
            </w:r>
          </w:p>
        </w:tc>
        <w:tc>
          <w:tcPr>
            <w:tcW w:w="2147" w:type="dxa"/>
            <w:shd w:val="clear" w:color="auto" w:fill="auto"/>
            <w:vAlign w:val="center"/>
          </w:tcPr>
          <w:p w14:paraId="10D1CF0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55</w:t>
            </w:r>
          </w:p>
        </w:tc>
        <w:tc>
          <w:tcPr>
            <w:tcW w:w="1524" w:type="dxa"/>
            <w:vMerge/>
            <w:shd w:val="clear" w:color="auto" w:fill="auto"/>
            <w:vAlign w:val="center"/>
          </w:tcPr>
          <w:p w14:paraId="5C005326"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4A481733" w14:textId="77777777">
        <w:trPr>
          <w:jc w:val="center"/>
        </w:trPr>
        <w:tc>
          <w:tcPr>
            <w:tcW w:w="7536" w:type="dxa"/>
            <w:gridSpan w:val="3"/>
            <w:shd w:val="clear" w:color="auto" w:fill="auto"/>
            <w:vAlign w:val="center"/>
          </w:tcPr>
          <w:p w14:paraId="1CD4BE8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夜间最大声级超过限值的幅度不得高于</w:t>
            </w:r>
            <w:r>
              <w:rPr>
                <w:rFonts w:cs="Times New Roman"/>
                <w:kern w:val="21"/>
                <w:sz w:val="21"/>
                <w:szCs w:val="21"/>
              </w:rPr>
              <w:t>15dB</w:t>
            </w:r>
            <w:r>
              <w:rPr>
                <w:rFonts w:cs="Times New Roman"/>
                <w:kern w:val="21"/>
                <w:sz w:val="21"/>
                <w:szCs w:val="21"/>
              </w:rPr>
              <w:t>（</w:t>
            </w:r>
            <w:r>
              <w:rPr>
                <w:rFonts w:cs="Times New Roman"/>
                <w:kern w:val="21"/>
                <w:sz w:val="21"/>
                <w:szCs w:val="21"/>
              </w:rPr>
              <w:t>A</w:t>
            </w:r>
            <w:r>
              <w:rPr>
                <w:rFonts w:cs="Times New Roman"/>
                <w:kern w:val="21"/>
                <w:sz w:val="21"/>
                <w:szCs w:val="21"/>
              </w:rPr>
              <w:t>）</w:t>
            </w:r>
          </w:p>
        </w:tc>
        <w:tc>
          <w:tcPr>
            <w:tcW w:w="1524" w:type="dxa"/>
            <w:vMerge/>
            <w:shd w:val="clear" w:color="auto" w:fill="auto"/>
            <w:vAlign w:val="center"/>
          </w:tcPr>
          <w:p w14:paraId="289DD6D9"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bl>
    <w:p w14:paraId="4AAEED99" w14:textId="77777777" w:rsidR="00544649" w:rsidRDefault="00000000">
      <w:pPr>
        <w:adjustRightInd w:val="0"/>
        <w:snapToGrid w:val="0"/>
        <w:spacing w:after="0"/>
        <w:ind w:firstLine="482"/>
        <w:rPr>
          <w:rFonts w:cs="Times New Roman"/>
          <w:kern w:val="21"/>
        </w:rPr>
      </w:pPr>
      <w:r>
        <w:rPr>
          <w:rFonts w:cs="Times New Roman"/>
          <w:b/>
          <w:bCs/>
          <w:kern w:val="21"/>
        </w:rPr>
        <w:t>运营期：</w:t>
      </w:r>
      <w:r>
        <w:rPr>
          <w:rFonts w:cs="Times New Roman"/>
          <w:kern w:val="21"/>
        </w:rPr>
        <w:t>执行《工业企业厂界环境噪声排放标准》（</w:t>
      </w:r>
      <w:r>
        <w:rPr>
          <w:rFonts w:cs="Times New Roman"/>
          <w:kern w:val="21"/>
        </w:rPr>
        <w:t>GB12348-2008</w:t>
      </w:r>
      <w:r>
        <w:rPr>
          <w:rFonts w:cs="Times New Roman"/>
          <w:kern w:val="21"/>
        </w:rPr>
        <w:t>）</w:t>
      </w:r>
      <w:r>
        <w:rPr>
          <w:rFonts w:cs="Times New Roman"/>
          <w:kern w:val="21"/>
        </w:rPr>
        <w:t>2</w:t>
      </w:r>
      <w:r>
        <w:rPr>
          <w:rFonts w:cs="Times New Roman"/>
          <w:kern w:val="21"/>
        </w:rPr>
        <w:t>类标准，见下表。</w:t>
      </w:r>
    </w:p>
    <w:p w14:paraId="33DDD9E7"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0"/>
        </w:rPr>
      </w:pPr>
      <w:r>
        <w:rPr>
          <w:rFonts w:cs="Times New Roman"/>
          <w:b/>
          <w:bCs/>
          <w:kern w:val="21"/>
          <w:sz w:val="21"/>
          <w:szCs w:val="20"/>
        </w:rPr>
        <w:t>工业企业厂界环境噪声排放标准单位：</w:t>
      </w:r>
      <w:r>
        <w:rPr>
          <w:rFonts w:cs="Times New Roman"/>
          <w:b/>
          <w:bCs/>
          <w:kern w:val="21"/>
          <w:sz w:val="21"/>
          <w:szCs w:val="20"/>
        </w:rPr>
        <w:t>dB</w:t>
      </w:r>
      <w:r>
        <w:rPr>
          <w:rFonts w:cs="Times New Roman"/>
          <w:b/>
          <w:bCs/>
          <w:kern w:val="21"/>
          <w:sz w:val="21"/>
          <w:szCs w:val="20"/>
        </w:rPr>
        <w:t>（</w:t>
      </w:r>
      <w:r>
        <w:rPr>
          <w:rFonts w:cs="Times New Roman"/>
          <w:b/>
          <w:bCs/>
          <w:kern w:val="21"/>
          <w:sz w:val="21"/>
          <w:szCs w:val="20"/>
        </w:rPr>
        <w:t>A</w:t>
      </w:r>
      <w:r>
        <w:rPr>
          <w:rFonts w:cs="Times New Roman"/>
          <w:b/>
          <w:bCs/>
          <w:kern w:val="21"/>
          <w:sz w:val="21"/>
          <w:szCs w:val="20"/>
        </w:rPr>
        <w:t>）</w:t>
      </w:r>
    </w:p>
    <w:tbl>
      <w:tblPr>
        <w:tblStyle w:val="afc"/>
        <w:tblW w:w="9060" w:type="dxa"/>
        <w:jc w:val="center"/>
        <w:tblLayout w:type="fixed"/>
        <w:tblLook w:val="04A0" w:firstRow="1" w:lastRow="0" w:firstColumn="1" w:lastColumn="0" w:noHBand="0" w:noVBand="1"/>
      </w:tblPr>
      <w:tblGrid>
        <w:gridCol w:w="2671"/>
        <w:gridCol w:w="2060"/>
        <w:gridCol w:w="2062"/>
        <w:gridCol w:w="2267"/>
      </w:tblGrid>
      <w:tr w:rsidR="00544649" w14:paraId="609AC9D7" w14:textId="77777777">
        <w:trPr>
          <w:trHeight w:val="90"/>
          <w:tblHeader/>
          <w:jc w:val="center"/>
        </w:trPr>
        <w:tc>
          <w:tcPr>
            <w:tcW w:w="2671" w:type="dxa"/>
            <w:vMerge w:val="restart"/>
            <w:shd w:val="clear" w:color="auto" w:fill="auto"/>
            <w:vAlign w:val="center"/>
          </w:tcPr>
          <w:p w14:paraId="60FD4C28"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场界外声环境功能区类别</w:t>
            </w:r>
          </w:p>
        </w:tc>
        <w:tc>
          <w:tcPr>
            <w:tcW w:w="4122" w:type="dxa"/>
            <w:gridSpan w:val="2"/>
            <w:shd w:val="clear" w:color="auto" w:fill="auto"/>
            <w:vAlign w:val="center"/>
          </w:tcPr>
          <w:p w14:paraId="705F812E" w14:textId="77777777" w:rsidR="00544649" w:rsidRDefault="00000000">
            <w:pPr>
              <w:pStyle w:val="affb"/>
              <w:adjustRightInd w:val="0"/>
              <w:snapToGrid w:val="0"/>
              <w:spacing w:beforeLines="20" w:before="62" w:afterLines="20" w:after="62"/>
              <w:rPr>
                <w:rFonts w:cs="Times New Roman"/>
                <w:bCs/>
                <w:color w:val="auto"/>
                <w:kern w:val="21"/>
              </w:rPr>
            </w:pPr>
            <w:r>
              <w:rPr>
                <w:rFonts w:cs="Times New Roman"/>
                <w:bCs/>
                <w:color w:val="auto"/>
                <w:kern w:val="21"/>
              </w:rPr>
              <w:t>时段</w:t>
            </w:r>
          </w:p>
        </w:tc>
        <w:tc>
          <w:tcPr>
            <w:tcW w:w="2267" w:type="dxa"/>
            <w:vMerge w:val="restart"/>
            <w:shd w:val="clear" w:color="auto" w:fill="auto"/>
            <w:vAlign w:val="center"/>
          </w:tcPr>
          <w:p w14:paraId="1AEBBC12"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标准</w:t>
            </w:r>
          </w:p>
        </w:tc>
      </w:tr>
      <w:tr w:rsidR="00544649" w14:paraId="590CCEF4" w14:textId="77777777">
        <w:trPr>
          <w:trHeight w:val="307"/>
          <w:tblHeader/>
          <w:jc w:val="center"/>
        </w:trPr>
        <w:tc>
          <w:tcPr>
            <w:tcW w:w="2671" w:type="dxa"/>
            <w:vMerge/>
            <w:shd w:val="clear" w:color="auto" w:fill="auto"/>
            <w:vAlign w:val="center"/>
          </w:tcPr>
          <w:p w14:paraId="2D3E2C00" w14:textId="77777777" w:rsidR="00544649" w:rsidRDefault="00544649">
            <w:pPr>
              <w:adjustRightInd w:val="0"/>
              <w:snapToGrid w:val="0"/>
              <w:spacing w:beforeLines="20" w:before="62" w:afterLines="20" w:after="62" w:line="240" w:lineRule="auto"/>
              <w:ind w:firstLineChars="0" w:firstLine="0"/>
              <w:jc w:val="center"/>
              <w:rPr>
                <w:rFonts w:cs="Times New Roman"/>
                <w:b/>
                <w:bCs/>
                <w:kern w:val="21"/>
                <w:sz w:val="21"/>
                <w:szCs w:val="21"/>
              </w:rPr>
            </w:pPr>
          </w:p>
        </w:tc>
        <w:tc>
          <w:tcPr>
            <w:tcW w:w="2060" w:type="dxa"/>
            <w:shd w:val="clear" w:color="auto" w:fill="auto"/>
            <w:vAlign w:val="center"/>
          </w:tcPr>
          <w:p w14:paraId="452ACF3F"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昼间</w:t>
            </w:r>
          </w:p>
        </w:tc>
        <w:tc>
          <w:tcPr>
            <w:tcW w:w="2062" w:type="dxa"/>
            <w:shd w:val="clear" w:color="auto" w:fill="auto"/>
            <w:vAlign w:val="center"/>
          </w:tcPr>
          <w:p w14:paraId="165D7629"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夜间</w:t>
            </w:r>
          </w:p>
        </w:tc>
        <w:tc>
          <w:tcPr>
            <w:tcW w:w="2267" w:type="dxa"/>
            <w:vMerge/>
            <w:shd w:val="clear" w:color="auto" w:fill="auto"/>
            <w:vAlign w:val="center"/>
          </w:tcPr>
          <w:p w14:paraId="1A8AC74F" w14:textId="77777777" w:rsidR="00544649" w:rsidRDefault="00544649">
            <w:pPr>
              <w:adjustRightInd w:val="0"/>
              <w:snapToGrid w:val="0"/>
              <w:spacing w:beforeLines="20" w:before="62" w:afterLines="20" w:after="62" w:line="240" w:lineRule="auto"/>
              <w:ind w:firstLineChars="0" w:firstLine="0"/>
              <w:jc w:val="center"/>
              <w:rPr>
                <w:rFonts w:cs="Times New Roman"/>
                <w:b/>
                <w:bCs/>
                <w:kern w:val="21"/>
                <w:sz w:val="21"/>
                <w:szCs w:val="21"/>
              </w:rPr>
            </w:pPr>
          </w:p>
        </w:tc>
      </w:tr>
      <w:tr w:rsidR="00544649" w14:paraId="1338AA6F" w14:textId="77777777">
        <w:trPr>
          <w:jc w:val="center"/>
        </w:trPr>
        <w:tc>
          <w:tcPr>
            <w:tcW w:w="2671" w:type="dxa"/>
            <w:shd w:val="clear" w:color="auto" w:fill="auto"/>
            <w:vAlign w:val="center"/>
          </w:tcPr>
          <w:p w14:paraId="5B6C5BC1"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2</w:t>
            </w:r>
            <w:r>
              <w:rPr>
                <w:rFonts w:cs="Times New Roman"/>
                <w:bCs/>
                <w:kern w:val="21"/>
                <w:sz w:val="21"/>
                <w:szCs w:val="21"/>
              </w:rPr>
              <w:t>类</w:t>
            </w:r>
          </w:p>
        </w:tc>
        <w:tc>
          <w:tcPr>
            <w:tcW w:w="2060" w:type="dxa"/>
            <w:shd w:val="clear" w:color="auto" w:fill="auto"/>
            <w:vAlign w:val="center"/>
          </w:tcPr>
          <w:p w14:paraId="6708D147"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60</w:t>
            </w:r>
          </w:p>
        </w:tc>
        <w:tc>
          <w:tcPr>
            <w:tcW w:w="2062" w:type="dxa"/>
            <w:shd w:val="clear" w:color="auto" w:fill="auto"/>
            <w:vAlign w:val="center"/>
          </w:tcPr>
          <w:p w14:paraId="58518CA6"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50</w:t>
            </w:r>
          </w:p>
        </w:tc>
        <w:tc>
          <w:tcPr>
            <w:tcW w:w="2267" w:type="dxa"/>
            <w:shd w:val="clear" w:color="auto" w:fill="auto"/>
            <w:vAlign w:val="center"/>
          </w:tcPr>
          <w:p w14:paraId="4B8D9FCF"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GB12348-2008</w:t>
            </w:r>
          </w:p>
        </w:tc>
      </w:tr>
    </w:tbl>
    <w:p w14:paraId="7FEF1CD1" w14:textId="77777777" w:rsidR="00544649" w:rsidRDefault="00000000">
      <w:pPr>
        <w:pStyle w:val="4"/>
        <w:adjustRightInd w:val="0"/>
        <w:snapToGrid w:val="0"/>
        <w:spacing w:after="0"/>
      </w:pPr>
      <w:r>
        <w:t>1.6.3.4</w:t>
      </w:r>
      <w:r>
        <w:t>固体废物</w:t>
      </w:r>
    </w:p>
    <w:p w14:paraId="13317C7C" w14:textId="77777777" w:rsidR="00544649" w:rsidRDefault="00000000">
      <w:pPr>
        <w:adjustRightInd w:val="0"/>
        <w:snapToGrid w:val="0"/>
        <w:spacing w:after="0"/>
        <w:ind w:firstLine="480"/>
        <w:rPr>
          <w:rFonts w:cs="Times New Roman"/>
          <w:kern w:val="21"/>
        </w:rPr>
      </w:pPr>
      <w:r>
        <w:rPr>
          <w:rFonts w:cs="Times New Roman"/>
          <w:kern w:val="21"/>
        </w:rPr>
        <w:t>畜禽养殖业固体废物执行《畜禽养殖业污染物排放标准》（</w:t>
      </w:r>
      <w:r>
        <w:rPr>
          <w:rFonts w:cs="Times New Roman"/>
          <w:kern w:val="21"/>
        </w:rPr>
        <w:t>GB18596-2001</w:t>
      </w:r>
      <w:r>
        <w:rPr>
          <w:rFonts w:cs="Times New Roman"/>
          <w:kern w:val="21"/>
        </w:rPr>
        <w:t>）中的畜禽养殖业废渣无害化环境标准，危险废物执行《危险废物贮存污染控制标准》（</w:t>
      </w:r>
      <w:r>
        <w:rPr>
          <w:rFonts w:cs="Times New Roman"/>
          <w:kern w:val="21"/>
        </w:rPr>
        <w:t>GB18597-2023</w:t>
      </w:r>
      <w:r>
        <w:rPr>
          <w:rFonts w:cs="Times New Roman"/>
          <w:kern w:val="21"/>
        </w:rPr>
        <w:t>）中相应标准，一般固体废物</w:t>
      </w:r>
      <w:r>
        <w:rPr>
          <w:rFonts w:cs="Times New Roman" w:hint="eastAsia"/>
          <w:kern w:val="21"/>
        </w:rPr>
        <w:t>贮存过程应满足相应的“防渗漏、防雨淋、防扬尘”等环境保护要求；</w:t>
      </w:r>
      <w:r>
        <w:rPr>
          <w:rFonts w:cs="Times New Roman"/>
          <w:kern w:val="21"/>
        </w:rPr>
        <w:t>病死鸡处理执行《病死及病害动物无害化处理技术规范》（农医发〔</w:t>
      </w:r>
      <w:r>
        <w:rPr>
          <w:rFonts w:cs="Times New Roman"/>
          <w:kern w:val="21"/>
        </w:rPr>
        <w:t>2017</w:t>
      </w:r>
      <w:r>
        <w:rPr>
          <w:rFonts w:cs="Times New Roman"/>
          <w:kern w:val="21"/>
        </w:rPr>
        <w:t>〕</w:t>
      </w:r>
      <w:r>
        <w:rPr>
          <w:rFonts w:cs="Times New Roman"/>
          <w:kern w:val="21"/>
        </w:rPr>
        <w:t>25</w:t>
      </w:r>
      <w:r>
        <w:rPr>
          <w:rFonts w:cs="Times New Roman"/>
          <w:kern w:val="21"/>
        </w:rPr>
        <w:t>号）。</w:t>
      </w:r>
    </w:p>
    <w:p w14:paraId="6C814C94"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0"/>
        </w:rPr>
      </w:pPr>
      <w:r>
        <w:rPr>
          <w:rFonts w:cs="Times New Roman"/>
          <w:b/>
          <w:bCs/>
          <w:kern w:val="21"/>
          <w:sz w:val="21"/>
          <w:szCs w:val="20"/>
        </w:rPr>
        <w:t>固体废物标准</w:t>
      </w:r>
    </w:p>
    <w:tbl>
      <w:tblPr>
        <w:tblStyle w:val="afc"/>
        <w:tblW w:w="9060" w:type="dxa"/>
        <w:jc w:val="center"/>
        <w:tblLayout w:type="fixed"/>
        <w:tblLook w:val="04A0" w:firstRow="1" w:lastRow="0" w:firstColumn="1" w:lastColumn="0" w:noHBand="0" w:noVBand="1"/>
      </w:tblPr>
      <w:tblGrid>
        <w:gridCol w:w="532"/>
        <w:gridCol w:w="1288"/>
        <w:gridCol w:w="1624"/>
        <w:gridCol w:w="1776"/>
        <w:gridCol w:w="3840"/>
      </w:tblGrid>
      <w:tr w:rsidR="00544649" w14:paraId="49E5E8FA" w14:textId="77777777">
        <w:trPr>
          <w:tblHeader/>
          <w:jc w:val="center"/>
        </w:trPr>
        <w:tc>
          <w:tcPr>
            <w:tcW w:w="532" w:type="dxa"/>
            <w:vAlign w:val="center"/>
          </w:tcPr>
          <w:p w14:paraId="3763B810"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序号</w:t>
            </w:r>
          </w:p>
        </w:tc>
        <w:tc>
          <w:tcPr>
            <w:tcW w:w="2912" w:type="dxa"/>
            <w:gridSpan w:val="2"/>
            <w:vAlign w:val="center"/>
          </w:tcPr>
          <w:p w14:paraId="0798FFAE"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控制项目</w:t>
            </w:r>
          </w:p>
        </w:tc>
        <w:tc>
          <w:tcPr>
            <w:tcW w:w="1776" w:type="dxa"/>
            <w:vAlign w:val="center"/>
          </w:tcPr>
          <w:p w14:paraId="13955CBA"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指标</w:t>
            </w:r>
          </w:p>
        </w:tc>
        <w:tc>
          <w:tcPr>
            <w:tcW w:w="3840" w:type="dxa"/>
            <w:vAlign w:val="center"/>
          </w:tcPr>
          <w:p w14:paraId="64130CFB"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执行标准</w:t>
            </w:r>
          </w:p>
        </w:tc>
      </w:tr>
      <w:tr w:rsidR="00544649" w14:paraId="67977129" w14:textId="77777777">
        <w:trPr>
          <w:jc w:val="center"/>
        </w:trPr>
        <w:tc>
          <w:tcPr>
            <w:tcW w:w="532" w:type="dxa"/>
            <w:vAlign w:val="center"/>
          </w:tcPr>
          <w:p w14:paraId="142798F6"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w:t>
            </w:r>
          </w:p>
        </w:tc>
        <w:tc>
          <w:tcPr>
            <w:tcW w:w="1288" w:type="dxa"/>
            <w:vAlign w:val="center"/>
          </w:tcPr>
          <w:p w14:paraId="4E23DC8C"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畜禽养殖业</w:t>
            </w:r>
          </w:p>
        </w:tc>
        <w:tc>
          <w:tcPr>
            <w:tcW w:w="1624" w:type="dxa"/>
            <w:vAlign w:val="center"/>
          </w:tcPr>
          <w:p w14:paraId="50D0D621"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蛔虫卵</w:t>
            </w:r>
          </w:p>
        </w:tc>
        <w:tc>
          <w:tcPr>
            <w:tcW w:w="1776" w:type="dxa"/>
            <w:vAlign w:val="center"/>
          </w:tcPr>
          <w:p w14:paraId="76B37FB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死亡率</w:t>
            </w:r>
            <w:r>
              <w:rPr>
                <w:rFonts w:cs="Times New Roman"/>
                <w:kern w:val="21"/>
                <w:szCs w:val="21"/>
              </w:rPr>
              <w:t>≥95%</w:t>
            </w:r>
          </w:p>
        </w:tc>
        <w:tc>
          <w:tcPr>
            <w:tcW w:w="3840" w:type="dxa"/>
            <w:vMerge w:val="restart"/>
            <w:vAlign w:val="center"/>
          </w:tcPr>
          <w:p w14:paraId="5F374D2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《畜禽养殖业污染物排放标准》（</w:t>
            </w:r>
            <w:r>
              <w:rPr>
                <w:rFonts w:cs="Times New Roman"/>
                <w:kern w:val="21"/>
                <w:szCs w:val="21"/>
              </w:rPr>
              <w:t>GB18596-2001</w:t>
            </w:r>
            <w:r>
              <w:rPr>
                <w:rFonts w:cs="Times New Roman"/>
                <w:kern w:val="21"/>
                <w:szCs w:val="21"/>
              </w:rPr>
              <w:t>）中</w:t>
            </w:r>
            <w:r>
              <w:rPr>
                <w:rFonts w:cs="Times New Roman"/>
                <w:kern w:val="21"/>
                <w:szCs w:val="21"/>
              </w:rPr>
              <w:t>“</w:t>
            </w:r>
            <w:r>
              <w:rPr>
                <w:rFonts w:cs="Times New Roman"/>
                <w:kern w:val="21"/>
                <w:szCs w:val="21"/>
              </w:rPr>
              <w:t>畜禽养殖业废渣无害化环境标准</w:t>
            </w:r>
            <w:r>
              <w:rPr>
                <w:rFonts w:cs="Times New Roman"/>
                <w:kern w:val="21"/>
                <w:szCs w:val="21"/>
              </w:rPr>
              <w:t>”</w:t>
            </w:r>
          </w:p>
        </w:tc>
      </w:tr>
      <w:tr w:rsidR="00544649" w14:paraId="4A0DC412" w14:textId="77777777">
        <w:trPr>
          <w:trHeight w:val="90"/>
          <w:jc w:val="center"/>
        </w:trPr>
        <w:tc>
          <w:tcPr>
            <w:tcW w:w="532" w:type="dxa"/>
            <w:vAlign w:val="center"/>
          </w:tcPr>
          <w:p w14:paraId="37DD213D"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2</w:t>
            </w:r>
          </w:p>
        </w:tc>
        <w:tc>
          <w:tcPr>
            <w:tcW w:w="1288" w:type="dxa"/>
            <w:vAlign w:val="center"/>
          </w:tcPr>
          <w:p w14:paraId="3950F7DA"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固体废物</w:t>
            </w:r>
          </w:p>
        </w:tc>
        <w:tc>
          <w:tcPr>
            <w:tcW w:w="1624" w:type="dxa"/>
            <w:vAlign w:val="center"/>
          </w:tcPr>
          <w:p w14:paraId="7241461A"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粪大肠菌群数</w:t>
            </w:r>
          </w:p>
        </w:tc>
        <w:tc>
          <w:tcPr>
            <w:tcW w:w="1776" w:type="dxa"/>
            <w:vAlign w:val="center"/>
          </w:tcPr>
          <w:p w14:paraId="4D2B407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≤10</w:t>
            </w:r>
            <w:r>
              <w:rPr>
                <w:rFonts w:cs="Times New Roman"/>
                <w:kern w:val="21"/>
                <w:szCs w:val="21"/>
                <w:vertAlign w:val="superscript"/>
              </w:rPr>
              <w:t>5</w:t>
            </w:r>
            <w:r>
              <w:rPr>
                <w:rFonts w:cs="Times New Roman"/>
                <w:kern w:val="21"/>
                <w:szCs w:val="21"/>
              </w:rPr>
              <w:t>个</w:t>
            </w:r>
            <w:r>
              <w:rPr>
                <w:rFonts w:cs="Times New Roman"/>
                <w:kern w:val="21"/>
                <w:szCs w:val="21"/>
              </w:rPr>
              <w:t>/kg</w:t>
            </w:r>
          </w:p>
        </w:tc>
        <w:tc>
          <w:tcPr>
            <w:tcW w:w="3840" w:type="dxa"/>
            <w:vMerge/>
            <w:vAlign w:val="center"/>
          </w:tcPr>
          <w:p w14:paraId="0F54FA2A" w14:textId="77777777" w:rsidR="00544649" w:rsidRDefault="00544649">
            <w:pPr>
              <w:pStyle w:val="aff7"/>
              <w:adjustRightInd w:val="0"/>
              <w:snapToGrid w:val="0"/>
              <w:spacing w:before="62" w:after="62"/>
              <w:rPr>
                <w:rFonts w:cs="Times New Roman"/>
                <w:kern w:val="21"/>
                <w:szCs w:val="21"/>
              </w:rPr>
            </w:pPr>
          </w:p>
        </w:tc>
      </w:tr>
      <w:tr w:rsidR="00544649" w14:paraId="61B617DC" w14:textId="77777777">
        <w:trPr>
          <w:trHeight w:val="90"/>
          <w:jc w:val="center"/>
        </w:trPr>
        <w:tc>
          <w:tcPr>
            <w:tcW w:w="532" w:type="dxa"/>
            <w:vAlign w:val="center"/>
          </w:tcPr>
          <w:p w14:paraId="0D27C3D4"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w:t>
            </w:r>
          </w:p>
        </w:tc>
        <w:tc>
          <w:tcPr>
            <w:tcW w:w="2912" w:type="dxa"/>
            <w:gridSpan w:val="2"/>
            <w:vAlign w:val="center"/>
          </w:tcPr>
          <w:p w14:paraId="499054F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危险废物</w:t>
            </w:r>
          </w:p>
        </w:tc>
        <w:tc>
          <w:tcPr>
            <w:tcW w:w="1776" w:type="dxa"/>
            <w:vAlign w:val="center"/>
          </w:tcPr>
          <w:p w14:paraId="41183D01"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w:t>
            </w:r>
          </w:p>
        </w:tc>
        <w:tc>
          <w:tcPr>
            <w:tcW w:w="3840" w:type="dxa"/>
            <w:vAlign w:val="center"/>
          </w:tcPr>
          <w:p w14:paraId="59E92ED2"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《危险废物贮存污染控制标准》（</w:t>
            </w:r>
            <w:r>
              <w:rPr>
                <w:rFonts w:cs="Times New Roman"/>
                <w:kern w:val="21"/>
                <w:szCs w:val="21"/>
              </w:rPr>
              <w:t>GB18597-2023</w:t>
            </w:r>
            <w:r>
              <w:rPr>
                <w:rFonts w:cs="Times New Roman"/>
                <w:kern w:val="21"/>
                <w:szCs w:val="21"/>
              </w:rPr>
              <w:t>）</w:t>
            </w:r>
          </w:p>
        </w:tc>
      </w:tr>
      <w:tr w:rsidR="00544649" w14:paraId="4C2A99E8" w14:textId="77777777">
        <w:trPr>
          <w:jc w:val="center"/>
        </w:trPr>
        <w:tc>
          <w:tcPr>
            <w:tcW w:w="532" w:type="dxa"/>
            <w:vAlign w:val="center"/>
          </w:tcPr>
          <w:p w14:paraId="21BE5081"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4</w:t>
            </w:r>
          </w:p>
        </w:tc>
        <w:tc>
          <w:tcPr>
            <w:tcW w:w="2912" w:type="dxa"/>
            <w:gridSpan w:val="2"/>
            <w:vAlign w:val="center"/>
          </w:tcPr>
          <w:p w14:paraId="1D2328D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病死鸡</w:t>
            </w:r>
          </w:p>
        </w:tc>
        <w:tc>
          <w:tcPr>
            <w:tcW w:w="1776" w:type="dxa"/>
            <w:vAlign w:val="center"/>
          </w:tcPr>
          <w:p w14:paraId="68E1F6D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w:t>
            </w:r>
          </w:p>
        </w:tc>
        <w:tc>
          <w:tcPr>
            <w:tcW w:w="3840" w:type="dxa"/>
            <w:vAlign w:val="center"/>
          </w:tcPr>
          <w:p w14:paraId="3FC6E421"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《病死及病害动物无害化处理技术规</w:t>
            </w:r>
            <w:r>
              <w:rPr>
                <w:rFonts w:cs="Times New Roman"/>
                <w:kern w:val="21"/>
                <w:szCs w:val="21"/>
              </w:rPr>
              <w:lastRenderedPageBreak/>
              <w:t>范》（农医发〔</w:t>
            </w:r>
            <w:r>
              <w:rPr>
                <w:rFonts w:cs="Times New Roman"/>
                <w:kern w:val="21"/>
                <w:szCs w:val="21"/>
              </w:rPr>
              <w:t>2017</w:t>
            </w:r>
            <w:r>
              <w:rPr>
                <w:rFonts w:cs="Times New Roman"/>
                <w:kern w:val="21"/>
                <w:szCs w:val="21"/>
              </w:rPr>
              <w:t>〕</w:t>
            </w:r>
            <w:r>
              <w:rPr>
                <w:rFonts w:cs="Times New Roman"/>
                <w:kern w:val="21"/>
                <w:szCs w:val="21"/>
              </w:rPr>
              <w:t>25</w:t>
            </w:r>
            <w:r>
              <w:rPr>
                <w:rFonts w:cs="Times New Roman"/>
                <w:kern w:val="21"/>
                <w:szCs w:val="21"/>
              </w:rPr>
              <w:t>号）</w:t>
            </w:r>
          </w:p>
        </w:tc>
      </w:tr>
    </w:tbl>
    <w:p w14:paraId="195F43E8" w14:textId="77777777" w:rsidR="00544649" w:rsidRDefault="00000000">
      <w:pPr>
        <w:pStyle w:val="2"/>
        <w:numPr>
          <w:ilvl w:val="1"/>
          <w:numId w:val="2"/>
        </w:numPr>
        <w:adjustRightInd w:val="0"/>
        <w:snapToGrid w:val="0"/>
        <w:spacing w:after="0"/>
        <w:rPr>
          <w:rFonts w:cs="Times New Roman"/>
          <w:kern w:val="21"/>
        </w:rPr>
      </w:pPr>
      <w:bookmarkStart w:id="129" w:name="_Toc31227"/>
      <w:bookmarkStart w:id="130" w:name="_Toc793"/>
      <w:bookmarkStart w:id="131" w:name="_Toc195009806"/>
      <w:r>
        <w:rPr>
          <w:rFonts w:cs="Times New Roman"/>
          <w:kern w:val="21"/>
        </w:rPr>
        <w:lastRenderedPageBreak/>
        <w:t>评价工作等级</w:t>
      </w:r>
      <w:bookmarkEnd w:id="129"/>
      <w:r>
        <w:rPr>
          <w:rFonts w:cs="Times New Roman"/>
          <w:kern w:val="21"/>
        </w:rPr>
        <w:t>及评价范围</w:t>
      </w:r>
      <w:bookmarkEnd w:id="130"/>
      <w:bookmarkEnd w:id="131"/>
    </w:p>
    <w:p w14:paraId="76BCE0F6" w14:textId="77777777" w:rsidR="00544649" w:rsidRDefault="00000000">
      <w:pPr>
        <w:adjustRightInd w:val="0"/>
        <w:snapToGrid w:val="0"/>
        <w:spacing w:after="0"/>
        <w:ind w:firstLine="480"/>
        <w:rPr>
          <w:rFonts w:cs="Times New Roman"/>
          <w:kern w:val="21"/>
        </w:rPr>
      </w:pPr>
      <w:r>
        <w:rPr>
          <w:rFonts w:cs="Times New Roman"/>
          <w:kern w:val="21"/>
        </w:rPr>
        <w:t>建设项目环境影响评价级别划分是根据建设项目可能对环境造成的影响程度和范围，以及项目所在地区的环境敏感程度所确定，本次评价根据《环境影响评价技术导则》相关要求，对拟建项目评价工作进行等级划分。</w:t>
      </w:r>
    </w:p>
    <w:p w14:paraId="470F3AB9" w14:textId="77777777" w:rsidR="00544649" w:rsidRDefault="00000000">
      <w:pPr>
        <w:pStyle w:val="3"/>
        <w:numPr>
          <w:ilvl w:val="2"/>
          <w:numId w:val="2"/>
        </w:numPr>
        <w:adjustRightInd w:val="0"/>
        <w:snapToGrid w:val="0"/>
        <w:spacing w:after="0"/>
        <w:rPr>
          <w:rFonts w:cs="Times New Roman"/>
          <w:kern w:val="21"/>
        </w:rPr>
      </w:pPr>
      <w:bookmarkStart w:id="132" w:name="_Toc28763"/>
      <w:bookmarkStart w:id="133" w:name="_Toc19397"/>
      <w:bookmarkStart w:id="134" w:name="_Toc195009807"/>
      <w:r>
        <w:rPr>
          <w:rFonts w:cs="Times New Roman"/>
          <w:kern w:val="21"/>
        </w:rPr>
        <w:t>大气环境评价</w:t>
      </w:r>
      <w:bookmarkEnd w:id="132"/>
      <w:bookmarkEnd w:id="133"/>
      <w:bookmarkEnd w:id="134"/>
    </w:p>
    <w:p w14:paraId="2E4CA0B4" w14:textId="77777777" w:rsidR="00544649" w:rsidRDefault="00000000">
      <w:pPr>
        <w:pStyle w:val="4"/>
        <w:adjustRightInd w:val="0"/>
        <w:snapToGrid w:val="0"/>
        <w:spacing w:after="0"/>
      </w:pPr>
      <w:r>
        <w:t>评价等级</w:t>
      </w:r>
    </w:p>
    <w:p w14:paraId="4CBDD688" w14:textId="77777777" w:rsidR="00544649" w:rsidRDefault="00000000">
      <w:pPr>
        <w:adjustRightInd w:val="0"/>
        <w:snapToGrid w:val="0"/>
        <w:spacing w:after="0"/>
        <w:ind w:firstLine="480"/>
        <w:rPr>
          <w:rFonts w:cs="Times New Roman"/>
          <w:kern w:val="21"/>
          <w:szCs w:val="24"/>
        </w:rPr>
      </w:pPr>
      <w:r>
        <w:rPr>
          <w:rFonts w:cs="Times New Roman"/>
          <w:kern w:val="21"/>
          <w:szCs w:val="24"/>
        </w:rPr>
        <w:t>根据《环境影响评价技术导则大气环境》（</w:t>
      </w:r>
      <w:r>
        <w:rPr>
          <w:rFonts w:cs="Times New Roman"/>
          <w:kern w:val="21"/>
          <w:szCs w:val="24"/>
        </w:rPr>
        <w:t>HJ2.2-2018</w:t>
      </w:r>
      <w:r>
        <w:rPr>
          <w:rFonts w:cs="Times New Roman"/>
          <w:kern w:val="21"/>
          <w:szCs w:val="24"/>
        </w:rPr>
        <w:t>），选择本项目污染源正常排放的主要污染物及排放参数，采用附录</w:t>
      </w:r>
      <w:r>
        <w:rPr>
          <w:rFonts w:cs="Times New Roman"/>
          <w:kern w:val="21"/>
          <w:szCs w:val="24"/>
        </w:rPr>
        <w:t>A</w:t>
      </w:r>
      <w:r>
        <w:rPr>
          <w:rFonts w:cs="Times New Roman"/>
          <w:kern w:val="21"/>
          <w:szCs w:val="24"/>
        </w:rPr>
        <w:t>推荐模型中</w:t>
      </w:r>
      <w:r>
        <w:rPr>
          <w:rFonts w:cs="Times New Roman"/>
          <w:kern w:val="21"/>
          <w:szCs w:val="24"/>
        </w:rPr>
        <w:t>AERSCREEN</w:t>
      </w:r>
      <w:r>
        <w:rPr>
          <w:rFonts w:cs="Times New Roman"/>
          <w:kern w:val="21"/>
          <w:szCs w:val="24"/>
        </w:rPr>
        <w:t>估算模型分别计算项目污染源的最大环境影响，然后</w:t>
      </w:r>
      <w:proofErr w:type="gramStart"/>
      <w:r>
        <w:rPr>
          <w:rFonts w:cs="Times New Roman"/>
          <w:kern w:val="21"/>
          <w:szCs w:val="24"/>
        </w:rPr>
        <w:t>按评价</w:t>
      </w:r>
      <w:proofErr w:type="gramEnd"/>
      <w:r>
        <w:rPr>
          <w:rFonts w:cs="Times New Roman"/>
          <w:kern w:val="21"/>
          <w:szCs w:val="24"/>
        </w:rPr>
        <w:t>工作分级判据进行分级。</w:t>
      </w:r>
    </w:p>
    <w:p w14:paraId="29DC01A4"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一、评价方法</w:t>
      </w:r>
    </w:p>
    <w:p w14:paraId="7837A912" w14:textId="77777777" w:rsidR="00544649" w:rsidRDefault="00000000">
      <w:pPr>
        <w:adjustRightInd w:val="0"/>
        <w:snapToGrid w:val="0"/>
        <w:spacing w:after="0"/>
        <w:ind w:firstLine="480"/>
        <w:rPr>
          <w:rFonts w:cs="Times New Roman"/>
          <w:kern w:val="21"/>
          <w:szCs w:val="24"/>
        </w:rPr>
      </w:pPr>
      <w:r>
        <w:rPr>
          <w:rFonts w:cs="Times New Roman"/>
          <w:kern w:val="21"/>
          <w:szCs w:val="24"/>
        </w:rPr>
        <w:t>根据工程分析所得的本项目污染物排放源强，分别计算项目排放主要污染物的最大地面空气质量浓度占标率</w:t>
      </w:r>
      <w:r>
        <w:rPr>
          <w:rFonts w:cs="Times New Roman"/>
          <w:kern w:val="21"/>
          <w:szCs w:val="24"/>
        </w:rPr>
        <w:t>Pi</w:t>
      </w:r>
      <w:r>
        <w:rPr>
          <w:rFonts w:cs="Times New Roman"/>
          <w:kern w:val="21"/>
          <w:szCs w:val="24"/>
        </w:rPr>
        <w:t>（第</w:t>
      </w:r>
      <w:proofErr w:type="spellStart"/>
      <w:r>
        <w:rPr>
          <w:rFonts w:cs="Times New Roman"/>
          <w:kern w:val="21"/>
          <w:szCs w:val="24"/>
        </w:rPr>
        <w:t>i</w:t>
      </w:r>
      <w:proofErr w:type="spellEnd"/>
      <w:proofErr w:type="gramStart"/>
      <w:r>
        <w:rPr>
          <w:rFonts w:cs="Times New Roman"/>
          <w:kern w:val="21"/>
          <w:szCs w:val="24"/>
        </w:rPr>
        <w:t>个</w:t>
      </w:r>
      <w:proofErr w:type="gramEnd"/>
      <w:r>
        <w:rPr>
          <w:rFonts w:cs="Times New Roman"/>
          <w:kern w:val="21"/>
          <w:szCs w:val="24"/>
        </w:rPr>
        <w:t>污染物，简称</w:t>
      </w:r>
      <w:r>
        <w:rPr>
          <w:rFonts w:cs="Times New Roman"/>
          <w:kern w:val="21"/>
          <w:szCs w:val="24"/>
        </w:rPr>
        <w:t>“</w:t>
      </w:r>
      <w:r>
        <w:rPr>
          <w:rFonts w:cs="Times New Roman"/>
          <w:kern w:val="21"/>
          <w:szCs w:val="24"/>
        </w:rPr>
        <w:t>最大浓度占标率</w:t>
      </w:r>
      <w:r>
        <w:rPr>
          <w:rFonts w:cs="Times New Roman"/>
          <w:kern w:val="21"/>
          <w:szCs w:val="24"/>
        </w:rPr>
        <w:t>”</w:t>
      </w:r>
      <w:r>
        <w:rPr>
          <w:rFonts w:cs="Times New Roman"/>
          <w:kern w:val="21"/>
          <w:szCs w:val="24"/>
        </w:rPr>
        <w:t>），及第</w:t>
      </w:r>
      <w:proofErr w:type="spellStart"/>
      <w:r>
        <w:rPr>
          <w:rFonts w:cs="Times New Roman"/>
          <w:kern w:val="21"/>
          <w:szCs w:val="24"/>
        </w:rPr>
        <w:t>i</w:t>
      </w:r>
      <w:proofErr w:type="spellEnd"/>
      <w:proofErr w:type="gramStart"/>
      <w:r>
        <w:rPr>
          <w:rFonts w:cs="Times New Roman"/>
          <w:kern w:val="21"/>
          <w:szCs w:val="24"/>
        </w:rPr>
        <w:t>个</w:t>
      </w:r>
      <w:proofErr w:type="gramEnd"/>
      <w:r>
        <w:rPr>
          <w:rFonts w:cs="Times New Roman"/>
          <w:kern w:val="21"/>
          <w:szCs w:val="24"/>
        </w:rPr>
        <w:t>污染物的地面空气质量浓度达到标准值的</w:t>
      </w:r>
      <w:r>
        <w:rPr>
          <w:rFonts w:cs="Times New Roman"/>
          <w:kern w:val="21"/>
          <w:szCs w:val="24"/>
        </w:rPr>
        <w:t>10%</w:t>
      </w:r>
      <w:r>
        <w:rPr>
          <w:rFonts w:cs="Times New Roman"/>
          <w:kern w:val="21"/>
          <w:szCs w:val="24"/>
        </w:rPr>
        <w:t>时所对应的最远距离</w:t>
      </w:r>
      <w:r>
        <w:rPr>
          <w:rFonts w:cs="Times New Roman"/>
          <w:kern w:val="21"/>
          <w:szCs w:val="24"/>
        </w:rPr>
        <w:t>D</w:t>
      </w:r>
      <w:r>
        <w:rPr>
          <w:rFonts w:cs="Times New Roman"/>
          <w:kern w:val="21"/>
          <w:szCs w:val="24"/>
          <w:vertAlign w:val="subscript"/>
        </w:rPr>
        <w:t>10%</w:t>
      </w:r>
      <w:r>
        <w:rPr>
          <w:rFonts w:cs="Times New Roman"/>
          <w:kern w:val="21"/>
          <w:szCs w:val="24"/>
        </w:rPr>
        <w:t>。其中</w:t>
      </w:r>
      <w:r>
        <w:rPr>
          <w:rFonts w:cs="Times New Roman"/>
          <w:kern w:val="21"/>
          <w:szCs w:val="24"/>
        </w:rPr>
        <w:t>Pi</w:t>
      </w:r>
      <w:r>
        <w:rPr>
          <w:rFonts w:cs="Times New Roman"/>
          <w:kern w:val="21"/>
          <w:szCs w:val="24"/>
        </w:rPr>
        <w:t>定义见以下公式：</w:t>
      </w:r>
    </w:p>
    <w:p w14:paraId="0A5E1619" w14:textId="77777777" w:rsidR="00544649" w:rsidRDefault="00000000">
      <w:pPr>
        <w:adjustRightInd w:val="0"/>
        <w:snapToGrid w:val="0"/>
        <w:spacing w:after="0"/>
        <w:ind w:firstLine="480"/>
        <w:jc w:val="center"/>
        <w:rPr>
          <w:rFonts w:cs="Times New Roman"/>
          <w:kern w:val="21"/>
          <w:szCs w:val="24"/>
        </w:rPr>
      </w:pPr>
      <w:r>
        <w:rPr>
          <w:rFonts w:cs="Times New Roman"/>
          <w:kern w:val="21"/>
          <w:szCs w:val="24"/>
        </w:rPr>
        <w:object w:dxaOrig="1980" w:dyaOrig="285" w14:anchorId="1B0F6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14.25pt" o:ole="">
            <v:imagedata r:id="rId30" o:title=""/>
          </v:shape>
          <o:OLEObject Type="Embed" ProgID="Equation.3" ShapeID="_x0000_i1025" DrawAspect="Content" ObjectID="_1806238021" r:id="rId31"/>
        </w:object>
      </w:r>
    </w:p>
    <w:p w14:paraId="5682689D" w14:textId="77777777" w:rsidR="00544649" w:rsidRDefault="00000000">
      <w:pPr>
        <w:adjustRightInd w:val="0"/>
        <w:snapToGrid w:val="0"/>
        <w:spacing w:after="0"/>
        <w:ind w:firstLine="480"/>
        <w:rPr>
          <w:rFonts w:cs="Times New Roman"/>
          <w:kern w:val="21"/>
          <w:szCs w:val="24"/>
        </w:rPr>
      </w:pPr>
      <w:r>
        <w:rPr>
          <w:rFonts w:cs="Times New Roman"/>
          <w:kern w:val="21"/>
          <w:szCs w:val="24"/>
        </w:rPr>
        <w:t>式中：</w:t>
      </w:r>
    </w:p>
    <w:p w14:paraId="63F43D54" w14:textId="77777777" w:rsidR="00544649" w:rsidRDefault="00000000">
      <w:pPr>
        <w:adjustRightInd w:val="0"/>
        <w:snapToGrid w:val="0"/>
        <w:spacing w:after="0"/>
        <w:ind w:firstLine="480"/>
        <w:rPr>
          <w:rFonts w:cs="Times New Roman"/>
          <w:kern w:val="21"/>
          <w:szCs w:val="24"/>
        </w:rPr>
      </w:pPr>
      <w:r>
        <w:rPr>
          <w:rFonts w:cs="Times New Roman"/>
          <w:i/>
          <w:iCs/>
          <w:kern w:val="21"/>
          <w:szCs w:val="24"/>
        </w:rPr>
        <w:t>Pi</w:t>
      </w:r>
      <w:r>
        <w:rPr>
          <w:rFonts w:cs="Times New Roman"/>
          <w:kern w:val="21"/>
          <w:szCs w:val="24"/>
        </w:rPr>
        <w:t>——</w:t>
      </w:r>
      <w:r>
        <w:rPr>
          <w:rFonts w:cs="Times New Roman"/>
          <w:kern w:val="21"/>
          <w:szCs w:val="24"/>
        </w:rPr>
        <w:t>第</w:t>
      </w:r>
      <w:proofErr w:type="spellStart"/>
      <w:r>
        <w:rPr>
          <w:rFonts w:cs="Times New Roman"/>
          <w:kern w:val="21"/>
          <w:szCs w:val="24"/>
        </w:rPr>
        <w:t>i</w:t>
      </w:r>
      <w:proofErr w:type="spellEnd"/>
      <w:r>
        <w:rPr>
          <w:rFonts w:cs="Times New Roman"/>
          <w:kern w:val="21"/>
          <w:szCs w:val="24"/>
        </w:rPr>
        <w:t>种污染物的最大地面空气质量浓度占标率，</w:t>
      </w:r>
      <w:r>
        <w:rPr>
          <w:rFonts w:cs="Times New Roman"/>
          <w:kern w:val="21"/>
          <w:szCs w:val="24"/>
        </w:rPr>
        <w:t>%</w:t>
      </w:r>
      <w:r>
        <w:rPr>
          <w:rFonts w:cs="Times New Roman"/>
          <w:kern w:val="21"/>
          <w:szCs w:val="24"/>
        </w:rPr>
        <w:t>；</w:t>
      </w:r>
    </w:p>
    <w:p w14:paraId="2BE1A7BE" w14:textId="77777777" w:rsidR="00544649" w:rsidRDefault="00000000">
      <w:pPr>
        <w:adjustRightInd w:val="0"/>
        <w:snapToGrid w:val="0"/>
        <w:spacing w:after="0"/>
        <w:ind w:firstLine="480"/>
        <w:rPr>
          <w:rFonts w:cs="Times New Roman"/>
          <w:kern w:val="21"/>
          <w:szCs w:val="24"/>
        </w:rPr>
      </w:pPr>
      <w:r>
        <w:rPr>
          <w:rFonts w:cs="Times New Roman"/>
          <w:i/>
          <w:iCs/>
          <w:kern w:val="21"/>
          <w:szCs w:val="24"/>
        </w:rPr>
        <w:t>Ci</w:t>
      </w:r>
      <w:r>
        <w:rPr>
          <w:rFonts w:cs="Times New Roman"/>
          <w:kern w:val="21"/>
          <w:szCs w:val="24"/>
        </w:rPr>
        <w:t>——</w:t>
      </w:r>
      <w:r>
        <w:rPr>
          <w:rFonts w:cs="Times New Roman"/>
          <w:kern w:val="21"/>
          <w:szCs w:val="24"/>
        </w:rPr>
        <w:t>采用估算模式计算出的第</w:t>
      </w:r>
      <w:proofErr w:type="spellStart"/>
      <w:r>
        <w:rPr>
          <w:rFonts w:cs="Times New Roman"/>
          <w:kern w:val="21"/>
          <w:szCs w:val="24"/>
        </w:rPr>
        <w:t>i</w:t>
      </w:r>
      <w:proofErr w:type="spellEnd"/>
      <w:proofErr w:type="gramStart"/>
      <w:r>
        <w:rPr>
          <w:rFonts w:cs="Times New Roman"/>
          <w:kern w:val="21"/>
          <w:szCs w:val="24"/>
        </w:rPr>
        <w:t>个</w:t>
      </w:r>
      <w:proofErr w:type="gramEnd"/>
      <w:r>
        <w:rPr>
          <w:rFonts w:cs="Times New Roman"/>
          <w:kern w:val="21"/>
          <w:szCs w:val="24"/>
        </w:rPr>
        <w:t>污染物的最大</w:t>
      </w:r>
      <w:r>
        <w:rPr>
          <w:rFonts w:cs="Times New Roman"/>
          <w:kern w:val="21"/>
          <w:szCs w:val="24"/>
        </w:rPr>
        <w:t>1h</w:t>
      </w:r>
      <w:r>
        <w:rPr>
          <w:rFonts w:cs="Times New Roman"/>
          <w:kern w:val="21"/>
          <w:szCs w:val="24"/>
        </w:rPr>
        <w:t>地面空气质量浓度，</w:t>
      </w:r>
      <w:proofErr w:type="spellStart"/>
      <w:r>
        <w:rPr>
          <w:rFonts w:cs="Times New Roman"/>
          <w:kern w:val="21"/>
          <w:szCs w:val="24"/>
        </w:rPr>
        <w:t>μg</w:t>
      </w:r>
      <w:proofErr w:type="spellEnd"/>
      <w:r>
        <w:rPr>
          <w:rFonts w:cs="Times New Roman"/>
          <w:kern w:val="21"/>
          <w:szCs w:val="24"/>
        </w:rPr>
        <w:t>/m</w:t>
      </w:r>
      <w:r>
        <w:rPr>
          <w:rFonts w:cs="Times New Roman"/>
          <w:kern w:val="21"/>
          <w:szCs w:val="24"/>
          <w:vertAlign w:val="superscript"/>
        </w:rPr>
        <w:t>3</w:t>
      </w:r>
      <w:r>
        <w:rPr>
          <w:rFonts w:cs="Times New Roman"/>
          <w:kern w:val="21"/>
          <w:szCs w:val="24"/>
        </w:rPr>
        <w:t>；</w:t>
      </w:r>
    </w:p>
    <w:p w14:paraId="0AECF0E7" w14:textId="77777777" w:rsidR="00544649" w:rsidRDefault="00000000">
      <w:pPr>
        <w:adjustRightInd w:val="0"/>
        <w:snapToGrid w:val="0"/>
        <w:spacing w:after="0"/>
        <w:ind w:firstLine="480"/>
        <w:rPr>
          <w:rFonts w:cs="Times New Roman"/>
          <w:kern w:val="21"/>
          <w:szCs w:val="24"/>
        </w:rPr>
      </w:pPr>
      <w:r>
        <w:rPr>
          <w:rFonts w:cs="Times New Roman"/>
          <w:i/>
          <w:iCs/>
          <w:kern w:val="21"/>
          <w:szCs w:val="24"/>
        </w:rPr>
        <w:t>Coi</w:t>
      </w:r>
      <w:r>
        <w:rPr>
          <w:rFonts w:cs="Times New Roman"/>
          <w:kern w:val="21"/>
          <w:szCs w:val="24"/>
        </w:rPr>
        <w:t>——</w:t>
      </w:r>
      <w:r>
        <w:rPr>
          <w:rFonts w:cs="Times New Roman"/>
          <w:kern w:val="21"/>
          <w:szCs w:val="24"/>
        </w:rPr>
        <w:t>第</w:t>
      </w:r>
      <w:proofErr w:type="spellStart"/>
      <w:r>
        <w:rPr>
          <w:rFonts w:cs="Times New Roman"/>
          <w:kern w:val="21"/>
          <w:szCs w:val="24"/>
        </w:rPr>
        <w:t>i</w:t>
      </w:r>
      <w:proofErr w:type="spellEnd"/>
      <w:proofErr w:type="gramStart"/>
      <w:r>
        <w:rPr>
          <w:rFonts w:cs="Times New Roman"/>
          <w:kern w:val="21"/>
          <w:szCs w:val="24"/>
        </w:rPr>
        <w:t>个</w:t>
      </w:r>
      <w:proofErr w:type="gramEnd"/>
      <w:r>
        <w:rPr>
          <w:rFonts w:cs="Times New Roman"/>
          <w:kern w:val="21"/>
          <w:szCs w:val="24"/>
        </w:rPr>
        <w:t>污染物的环境空气质量标准，</w:t>
      </w:r>
      <w:proofErr w:type="spellStart"/>
      <w:r>
        <w:rPr>
          <w:rFonts w:cs="Times New Roman"/>
          <w:kern w:val="21"/>
          <w:szCs w:val="24"/>
        </w:rPr>
        <w:t>μg</w:t>
      </w:r>
      <w:proofErr w:type="spellEnd"/>
      <w:r>
        <w:rPr>
          <w:rFonts w:cs="Times New Roman"/>
          <w:kern w:val="21"/>
          <w:szCs w:val="24"/>
        </w:rPr>
        <w:t>/m</w:t>
      </w:r>
      <w:r>
        <w:rPr>
          <w:rFonts w:cs="Times New Roman"/>
          <w:kern w:val="21"/>
          <w:szCs w:val="24"/>
          <w:vertAlign w:val="superscript"/>
        </w:rPr>
        <w:t>3</w:t>
      </w:r>
      <w:r>
        <w:rPr>
          <w:rFonts w:cs="Times New Roman"/>
          <w:kern w:val="21"/>
          <w:szCs w:val="24"/>
        </w:rPr>
        <w:t>。</w:t>
      </w:r>
    </w:p>
    <w:p w14:paraId="3EE28F55" w14:textId="77777777" w:rsidR="00544649" w:rsidRDefault="00000000">
      <w:pPr>
        <w:adjustRightInd w:val="0"/>
        <w:snapToGrid w:val="0"/>
        <w:spacing w:after="0"/>
        <w:ind w:firstLine="480"/>
        <w:rPr>
          <w:rFonts w:cs="Times New Roman"/>
          <w:kern w:val="21"/>
          <w:szCs w:val="24"/>
        </w:rPr>
      </w:pPr>
      <w:r>
        <w:rPr>
          <w:rFonts w:cs="Times New Roman"/>
          <w:kern w:val="21"/>
          <w:szCs w:val="24"/>
        </w:rPr>
        <w:t>评价等级按下表分级判据进行划分。最大地面空气质量浓度占标率</w:t>
      </w:r>
      <w:r>
        <w:rPr>
          <w:rFonts w:cs="Times New Roman"/>
          <w:kern w:val="21"/>
          <w:szCs w:val="24"/>
        </w:rPr>
        <w:t>Pi</w:t>
      </w:r>
      <w:r>
        <w:rPr>
          <w:rFonts w:cs="Times New Roman"/>
          <w:kern w:val="21"/>
          <w:szCs w:val="24"/>
        </w:rPr>
        <w:t>按公式计算，如污染物数</w:t>
      </w:r>
      <w:proofErr w:type="spellStart"/>
      <w:r>
        <w:rPr>
          <w:rFonts w:cs="Times New Roman"/>
          <w:kern w:val="21"/>
          <w:szCs w:val="24"/>
        </w:rPr>
        <w:t>i</w:t>
      </w:r>
      <w:proofErr w:type="spellEnd"/>
      <w:r>
        <w:rPr>
          <w:rFonts w:cs="Times New Roman"/>
          <w:kern w:val="21"/>
          <w:szCs w:val="24"/>
        </w:rPr>
        <w:t>大于</w:t>
      </w:r>
      <w:r>
        <w:rPr>
          <w:rFonts w:cs="Times New Roman"/>
          <w:kern w:val="21"/>
          <w:szCs w:val="24"/>
        </w:rPr>
        <w:t>1</w:t>
      </w:r>
      <w:r>
        <w:rPr>
          <w:rFonts w:cs="Times New Roman"/>
          <w:kern w:val="21"/>
          <w:szCs w:val="24"/>
        </w:rPr>
        <w:t>，取</w:t>
      </w:r>
      <w:r>
        <w:rPr>
          <w:rFonts w:cs="Times New Roman"/>
          <w:kern w:val="21"/>
          <w:szCs w:val="24"/>
        </w:rPr>
        <w:t>P</w:t>
      </w:r>
      <w:r>
        <w:rPr>
          <w:rFonts w:cs="Times New Roman"/>
          <w:kern w:val="21"/>
          <w:szCs w:val="24"/>
        </w:rPr>
        <w:t>值中最大者</w:t>
      </w:r>
      <w:r>
        <w:rPr>
          <w:rFonts w:cs="Times New Roman"/>
          <w:kern w:val="21"/>
          <w:szCs w:val="24"/>
        </w:rPr>
        <w:t>P</w:t>
      </w:r>
      <w:r>
        <w:rPr>
          <w:rFonts w:cs="Times New Roman"/>
          <w:kern w:val="21"/>
          <w:szCs w:val="24"/>
          <w:vertAlign w:val="subscript"/>
        </w:rPr>
        <w:t>max</w:t>
      </w:r>
      <w:r>
        <w:rPr>
          <w:rFonts w:cs="Times New Roman"/>
          <w:kern w:val="21"/>
          <w:szCs w:val="24"/>
        </w:rPr>
        <w:t>。</w:t>
      </w:r>
    </w:p>
    <w:p w14:paraId="14A17950"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大气环境影响评价工作等级判别表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0"/>
        <w:gridCol w:w="4530"/>
      </w:tblGrid>
      <w:tr w:rsidR="00544649" w14:paraId="414C0FCA" w14:textId="77777777">
        <w:trPr>
          <w:tblHeader/>
          <w:jc w:val="center"/>
        </w:trPr>
        <w:tc>
          <w:tcPr>
            <w:tcW w:w="4530" w:type="dxa"/>
            <w:shd w:val="clear" w:color="auto" w:fill="auto"/>
            <w:vAlign w:val="center"/>
          </w:tcPr>
          <w:p w14:paraId="11B7A5D7"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评价工作等级</w:t>
            </w:r>
          </w:p>
        </w:tc>
        <w:tc>
          <w:tcPr>
            <w:tcW w:w="4530" w:type="dxa"/>
            <w:shd w:val="clear" w:color="auto" w:fill="auto"/>
            <w:vAlign w:val="center"/>
          </w:tcPr>
          <w:p w14:paraId="4D61F049"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评价工作分级判据</w:t>
            </w:r>
          </w:p>
        </w:tc>
      </w:tr>
      <w:tr w:rsidR="00544649" w14:paraId="51569963" w14:textId="77777777">
        <w:trPr>
          <w:jc w:val="center"/>
        </w:trPr>
        <w:tc>
          <w:tcPr>
            <w:tcW w:w="4530" w:type="dxa"/>
            <w:shd w:val="clear" w:color="auto" w:fill="auto"/>
            <w:vAlign w:val="center"/>
          </w:tcPr>
          <w:p w14:paraId="1E06881C"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一级评价</w:t>
            </w:r>
          </w:p>
        </w:tc>
        <w:tc>
          <w:tcPr>
            <w:tcW w:w="4530" w:type="dxa"/>
            <w:shd w:val="clear" w:color="auto" w:fill="auto"/>
            <w:vAlign w:val="center"/>
          </w:tcPr>
          <w:p w14:paraId="7BA057D6"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i/>
                <w:iCs/>
                <w:kern w:val="21"/>
                <w:sz w:val="21"/>
                <w:szCs w:val="21"/>
              </w:rPr>
              <w:t>P</w:t>
            </w:r>
            <w:r>
              <w:rPr>
                <w:rFonts w:cs="Times New Roman"/>
                <w:bCs/>
                <w:kern w:val="21"/>
                <w:sz w:val="21"/>
                <w:szCs w:val="21"/>
                <w:vertAlign w:val="subscript"/>
              </w:rPr>
              <w:t>max</w:t>
            </w:r>
            <w:r>
              <w:rPr>
                <w:rFonts w:cs="Times New Roman"/>
                <w:bCs/>
                <w:kern w:val="21"/>
                <w:sz w:val="21"/>
                <w:szCs w:val="21"/>
              </w:rPr>
              <w:t>≥10%</w:t>
            </w:r>
          </w:p>
        </w:tc>
      </w:tr>
      <w:tr w:rsidR="00544649" w14:paraId="0730BB31" w14:textId="77777777">
        <w:trPr>
          <w:jc w:val="center"/>
        </w:trPr>
        <w:tc>
          <w:tcPr>
            <w:tcW w:w="4530" w:type="dxa"/>
            <w:shd w:val="clear" w:color="auto" w:fill="auto"/>
            <w:vAlign w:val="center"/>
          </w:tcPr>
          <w:p w14:paraId="0247537E"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二级评价</w:t>
            </w:r>
          </w:p>
        </w:tc>
        <w:tc>
          <w:tcPr>
            <w:tcW w:w="4530" w:type="dxa"/>
            <w:shd w:val="clear" w:color="auto" w:fill="auto"/>
            <w:vAlign w:val="center"/>
          </w:tcPr>
          <w:p w14:paraId="055ACB2A"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1%≤</w:t>
            </w:r>
            <w:r>
              <w:rPr>
                <w:rFonts w:cs="Times New Roman"/>
                <w:bCs/>
                <w:i/>
                <w:iCs/>
                <w:kern w:val="21"/>
                <w:sz w:val="21"/>
                <w:szCs w:val="21"/>
              </w:rPr>
              <w:t>P</w:t>
            </w:r>
            <w:r>
              <w:rPr>
                <w:rFonts w:cs="Times New Roman"/>
                <w:bCs/>
                <w:kern w:val="21"/>
                <w:sz w:val="21"/>
                <w:szCs w:val="21"/>
                <w:vertAlign w:val="subscript"/>
              </w:rPr>
              <w:t>max</w:t>
            </w:r>
            <w:r>
              <w:rPr>
                <w:rFonts w:cs="Times New Roman"/>
                <w:bCs/>
                <w:kern w:val="21"/>
                <w:sz w:val="21"/>
                <w:szCs w:val="21"/>
              </w:rPr>
              <w:t>＜</w:t>
            </w:r>
            <w:r>
              <w:rPr>
                <w:rFonts w:cs="Times New Roman"/>
                <w:bCs/>
                <w:kern w:val="21"/>
                <w:sz w:val="21"/>
                <w:szCs w:val="21"/>
              </w:rPr>
              <w:t>10%</w:t>
            </w:r>
          </w:p>
        </w:tc>
      </w:tr>
      <w:tr w:rsidR="00544649" w14:paraId="00D558AA" w14:textId="77777777">
        <w:trPr>
          <w:jc w:val="center"/>
        </w:trPr>
        <w:tc>
          <w:tcPr>
            <w:tcW w:w="4530" w:type="dxa"/>
            <w:shd w:val="clear" w:color="auto" w:fill="auto"/>
            <w:vAlign w:val="center"/>
          </w:tcPr>
          <w:p w14:paraId="738A025B"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三级评价</w:t>
            </w:r>
          </w:p>
        </w:tc>
        <w:tc>
          <w:tcPr>
            <w:tcW w:w="4530" w:type="dxa"/>
            <w:shd w:val="clear" w:color="auto" w:fill="auto"/>
            <w:vAlign w:val="center"/>
          </w:tcPr>
          <w:p w14:paraId="10895D84"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i/>
                <w:iCs/>
                <w:kern w:val="21"/>
                <w:sz w:val="21"/>
                <w:szCs w:val="21"/>
              </w:rPr>
              <w:t>P</w:t>
            </w:r>
            <w:r>
              <w:rPr>
                <w:rFonts w:cs="Times New Roman"/>
                <w:bCs/>
                <w:kern w:val="21"/>
                <w:sz w:val="21"/>
                <w:szCs w:val="21"/>
                <w:vertAlign w:val="subscript"/>
              </w:rPr>
              <w:t>max</w:t>
            </w:r>
            <w:r>
              <w:rPr>
                <w:rFonts w:cs="Times New Roman"/>
                <w:bCs/>
                <w:kern w:val="21"/>
                <w:sz w:val="21"/>
                <w:szCs w:val="21"/>
              </w:rPr>
              <w:t>＜</w:t>
            </w:r>
            <w:r>
              <w:rPr>
                <w:rFonts w:cs="Times New Roman"/>
                <w:bCs/>
                <w:kern w:val="21"/>
                <w:sz w:val="21"/>
                <w:szCs w:val="21"/>
              </w:rPr>
              <w:t>1%</w:t>
            </w:r>
          </w:p>
        </w:tc>
      </w:tr>
    </w:tbl>
    <w:p w14:paraId="13B71EB8"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二、污染源参数</w:t>
      </w:r>
    </w:p>
    <w:p w14:paraId="73222BB8" w14:textId="77777777" w:rsidR="00544649" w:rsidRDefault="00000000">
      <w:pPr>
        <w:adjustRightInd w:val="0"/>
        <w:snapToGrid w:val="0"/>
        <w:spacing w:after="0"/>
        <w:ind w:firstLine="480"/>
        <w:rPr>
          <w:rFonts w:cs="Times New Roman"/>
          <w:kern w:val="21"/>
          <w:szCs w:val="24"/>
        </w:rPr>
      </w:pPr>
      <w:r>
        <w:rPr>
          <w:rFonts w:cs="Times New Roman"/>
          <w:kern w:val="21"/>
          <w:szCs w:val="24"/>
        </w:rPr>
        <w:t>根据《环境影响评价技术导则大气环境》（</w:t>
      </w:r>
      <w:r>
        <w:rPr>
          <w:rFonts w:cs="Times New Roman"/>
          <w:kern w:val="21"/>
          <w:szCs w:val="24"/>
        </w:rPr>
        <w:t>HJ2.2-2018</w:t>
      </w:r>
      <w:r>
        <w:rPr>
          <w:rFonts w:cs="Times New Roman"/>
          <w:kern w:val="21"/>
          <w:szCs w:val="24"/>
        </w:rPr>
        <w:t>），当项目周边</w:t>
      </w:r>
      <w:r>
        <w:rPr>
          <w:rFonts w:cs="Times New Roman"/>
          <w:kern w:val="21"/>
          <w:szCs w:val="24"/>
        </w:rPr>
        <w:t>3km</w:t>
      </w:r>
      <w:r>
        <w:rPr>
          <w:rFonts w:cs="Times New Roman"/>
          <w:kern w:val="21"/>
          <w:szCs w:val="24"/>
        </w:rPr>
        <w:t>半径范围内一半以上面积属于城市建成区或者规划区时，选择城市，城市人口数按项目所</w:t>
      </w:r>
      <w:r>
        <w:rPr>
          <w:rFonts w:cs="Times New Roman"/>
          <w:kern w:val="21"/>
          <w:szCs w:val="24"/>
        </w:rPr>
        <w:lastRenderedPageBreak/>
        <w:t>属城市实际人口或者规划的人口数输入。根据现场调查，本项目估算模型选择农村。</w:t>
      </w:r>
    </w:p>
    <w:p w14:paraId="00F42400" w14:textId="77777777" w:rsidR="00544649" w:rsidRDefault="00000000">
      <w:pPr>
        <w:adjustRightInd w:val="0"/>
        <w:snapToGrid w:val="0"/>
        <w:spacing w:after="0"/>
        <w:ind w:firstLine="480"/>
        <w:rPr>
          <w:rFonts w:cs="Times New Roman"/>
          <w:kern w:val="21"/>
          <w:szCs w:val="24"/>
        </w:rPr>
      </w:pPr>
      <w:r>
        <w:rPr>
          <w:rFonts w:cs="Times New Roman"/>
          <w:kern w:val="21"/>
          <w:szCs w:val="24"/>
        </w:rPr>
        <w:t>本项目</w:t>
      </w:r>
      <w:r>
        <w:rPr>
          <w:rFonts w:cs="Times New Roman"/>
          <w:kern w:val="21"/>
          <w:szCs w:val="24"/>
        </w:rPr>
        <w:t>AERSCREEN</w:t>
      </w:r>
      <w:r>
        <w:rPr>
          <w:rFonts w:cs="Times New Roman"/>
          <w:kern w:val="21"/>
          <w:szCs w:val="24"/>
        </w:rPr>
        <w:t>模式预测参数见下表：</w:t>
      </w:r>
    </w:p>
    <w:p w14:paraId="3115D052"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AERSCREEN</w:t>
      </w:r>
      <w:r>
        <w:rPr>
          <w:rFonts w:cs="Times New Roman"/>
          <w:b/>
          <w:bCs/>
          <w:kern w:val="21"/>
          <w:sz w:val="21"/>
          <w:szCs w:val="21"/>
        </w:rPr>
        <w:t>模式预测参数一览表</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0"/>
        <w:gridCol w:w="3020"/>
        <w:gridCol w:w="3018"/>
      </w:tblGrid>
      <w:tr w:rsidR="00544649" w14:paraId="77E5A50E" w14:textId="77777777">
        <w:trPr>
          <w:trHeight w:val="340"/>
          <w:tblHeader/>
          <w:jc w:val="center"/>
        </w:trPr>
        <w:tc>
          <w:tcPr>
            <w:tcW w:w="6040" w:type="dxa"/>
            <w:gridSpan w:val="2"/>
            <w:vAlign w:val="center"/>
          </w:tcPr>
          <w:p w14:paraId="2CE595BC"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参数</w:t>
            </w:r>
          </w:p>
        </w:tc>
        <w:tc>
          <w:tcPr>
            <w:tcW w:w="3018" w:type="dxa"/>
            <w:vAlign w:val="center"/>
          </w:tcPr>
          <w:p w14:paraId="7EAE1842"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取值</w:t>
            </w:r>
          </w:p>
        </w:tc>
      </w:tr>
      <w:tr w:rsidR="00544649" w14:paraId="12BF95A0" w14:textId="77777777">
        <w:trPr>
          <w:trHeight w:val="340"/>
          <w:jc w:val="center"/>
        </w:trPr>
        <w:tc>
          <w:tcPr>
            <w:tcW w:w="3020" w:type="dxa"/>
            <w:vMerge w:val="restart"/>
            <w:vAlign w:val="center"/>
          </w:tcPr>
          <w:p w14:paraId="3FFA031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城市农村</w:t>
            </w:r>
            <w:r>
              <w:rPr>
                <w:rFonts w:cs="Times New Roman"/>
                <w:kern w:val="21"/>
                <w:sz w:val="21"/>
                <w:szCs w:val="21"/>
              </w:rPr>
              <w:t>/</w:t>
            </w:r>
            <w:r>
              <w:rPr>
                <w:rFonts w:cs="Times New Roman"/>
                <w:kern w:val="21"/>
                <w:sz w:val="21"/>
                <w:szCs w:val="21"/>
              </w:rPr>
              <w:t>选项</w:t>
            </w:r>
          </w:p>
        </w:tc>
        <w:tc>
          <w:tcPr>
            <w:tcW w:w="3020" w:type="dxa"/>
            <w:vAlign w:val="center"/>
          </w:tcPr>
          <w:p w14:paraId="7555970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城市</w:t>
            </w:r>
            <w:r>
              <w:rPr>
                <w:rFonts w:cs="Times New Roman"/>
                <w:kern w:val="21"/>
                <w:sz w:val="21"/>
                <w:szCs w:val="21"/>
              </w:rPr>
              <w:t>/</w:t>
            </w:r>
            <w:r>
              <w:rPr>
                <w:rFonts w:cs="Times New Roman"/>
                <w:kern w:val="21"/>
                <w:sz w:val="21"/>
                <w:szCs w:val="21"/>
              </w:rPr>
              <w:t>农村</w:t>
            </w:r>
          </w:p>
        </w:tc>
        <w:tc>
          <w:tcPr>
            <w:tcW w:w="3018" w:type="dxa"/>
            <w:vAlign w:val="center"/>
          </w:tcPr>
          <w:p w14:paraId="6F906D5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农村</w:t>
            </w:r>
          </w:p>
        </w:tc>
      </w:tr>
      <w:tr w:rsidR="00544649" w14:paraId="2761C1F5" w14:textId="77777777">
        <w:trPr>
          <w:trHeight w:val="340"/>
          <w:jc w:val="center"/>
        </w:trPr>
        <w:tc>
          <w:tcPr>
            <w:tcW w:w="3020" w:type="dxa"/>
            <w:vMerge/>
            <w:vAlign w:val="center"/>
          </w:tcPr>
          <w:p w14:paraId="5ADBC7B5"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3020" w:type="dxa"/>
            <w:vAlign w:val="center"/>
          </w:tcPr>
          <w:p w14:paraId="3C89478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人口数（城市人口数）</w:t>
            </w:r>
          </w:p>
        </w:tc>
        <w:tc>
          <w:tcPr>
            <w:tcW w:w="3018" w:type="dxa"/>
            <w:vAlign w:val="center"/>
          </w:tcPr>
          <w:p w14:paraId="798967D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r>
      <w:tr w:rsidR="00544649" w14:paraId="75B44739" w14:textId="77777777">
        <w:trPr>
          <w:trHeight w:val="340"/>
          <w:jc w:val="center"/>
        </w:trPr>
        <w:tc>
          <w:tcPr>
            <w:tcW w:w="6040" w:type="dxa"/>
            <w:gridSpan w:val="2"/>
            <w:vAlign w:val="center"/>
          </w:tcPr>
          <w:p w14:paraId="6C5A8A7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最高环境温度</w:t>
            </w:r>
          </w:p>
        </w:tc>
        <w:tc>
          <w:tcPr>
            <w:tcW w:w="3018" w:type="dxa"/>
            <w:vAlign w:val="center"/>
          </w:tcPr>
          <w:p w14:paraId="687F462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sz w:val="21"/>
                <w:szCs w:val="21"/>
              </w:rPr>
              <w:t>36.4</w:t>
            </w:r>
          </w:p>
        </w:tc>
      </w:tr>
      <w:tr w:rsidR="00544649" w14:paraId="4FDC8A48" w14:textId="77777777">
        <w:trPr>
          <w:trHeight w:val="340"/>
          <w:jc w:val="center"/>
        </w:trPr>
        <w:tc>
          <w:tcPr>
            <w:tcW w:w="6040" w:type="dxa"/>
            <w:gridSpan w:val="2"/>
            <w:vAlign w:val="center"/>
          </w:tcPr>
          <w:p w14:paraId="201D40D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最低环境温度</w:t>
            </w:r>
          </w:p>
        </w:tc>
        <w:tc>
          <w:tcPr>
            <w:tcW w:w="3018" w:type="dxa"/>
            <w:vAlign w:val="center"/>
          </w:tcPr>
          <w:p w14:paraId="1D4DE1C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sz w:val="21"/>
                <w:szCs w:val="21"/>
              </w:rPr>
              <w:t>-7.8</w:t>
            </w:r>
          </w:p>
        </w:tc>
      </w:tr>
      <w:tr w:rsidR="00544649" w14:paraId="45FBD7BD" w14:textId="77777777">
        <w:trPr>
          <w:trHeight w:val="340"/>
          <w:jc w:val="center"/>
        </w:trPr>
        <w:tc>
          <w:tcPr>
            <w:tcW w:w="6040" w:type="dxa"/>
            <w:gridSpan w:val="2"/>
            <w:vAlign w:val="center"/>
          </w:tcPr>
          <w:p w14:paraId="5AB1BBF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土地利用类型</w:t>
            </w:r>
          </w:p>
        </w:tc>
        <w:tc>
          <w:tcPr>
            <w:tcW w:w="3018" w:type="dxa"/>
            <w:vAlign w:val="center"/>
          </w:tcPr>
          <w:p w14:paraId="6F846AA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林</w:t>
            </w:r>
            <w:r>
              <w:rPr>
                <w:rFonts w:cs="Times New Roman" w:hint="eastAsia"/>
                <w:kern w:val="21"/>
                <w:sz w:val="21"/>
                <w:szCs w:val="21"/>
              </w:rPr>
              <w:t>地</w:t>
            </w:r>
          </w:p>
        </w:tc>
      </w:tr>
      <w:tr w:rsidR="00544649" w14:paraId="3C68EA82" w14:textId="77777777">
        <w:trPr>
          <w:trHeight w:val="340"/>
          <w:jc w:val="center"/>
        </w:trPr>
        <w:tc>
          <w:tcPr>
            <w:tcW w:w="6040" w:type="dxa"/>
            <w:gridSpan w:val="2"/>
            <w:vAlign w:val="center"/>
          </w:tcPr>
          <w:p w14:paraId="6990567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区域湿度条件</w:t>
            </w:r>
          </w:p>
        </w:tc>
        <w:tc>
          <w:tcPr>
            <w:tcW w:w="3018" w:type="dxa"/>
            <w:vAlign w:val="center"/>
          </w:tcPr>
          <w:p w14:paraId="6152B14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湿</w:t>
            </w:r>
          </w:p>
        </w:tc>
      </w:tr>
      <w:tr w:rsidR="00544649" w14:paraId="02B822A4" w14:textId="77777777">
        <w:trPr>
          <w:trHeight w:val="90"/>
          <w:jc w:val="center"/>
        </w:trPr>
        <w:tc>
          <w:tcPr>
            <w:tcW w:w="3020" w:type="dxa"/>
            <w:vMerge w:val="restart"/>
            <w:vAlign w:val="center"/>
          </w:tcPr>
          <w:p w14:paraId="1FF949A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是否考虑地形</w:t>
            </w:r>
          </w:p>
        </w:tc>
        <w:tc>
          <w:tcPr>
            <w:tcW w:w="3020" w:type="dxa"/>
            <w:vAlign w:val="center"/>
          </w:tcPr>
          <w:p w14:paraId="398B6FF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考虑地形</w:t>
            </w:r>
          </w:p>
        </w:tc>
        <w:tc>
          <w:tcPr>
            <w:tcW w:w="3018" w:type="dxa"/>
            <w:vAlign w:val="center"/>
          </w:tcPr>
          <w:p w14:paraId="35546BC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是</w:t>
            </w:r>
          </w:p>
        </w:tc>
      </w:tr>
      <w:tr w:rsidR="00544649" w14:paraId="343F1FF0" w14:textId="77777777">
        <w:trPr>
          <w:trHeight w:val="340"/>
          <w:jc w:val="center"/>
        </w:trPr>
        <w:tc>
          <w:tcPr>
            <w:tcW w:w="3020" w:type="dxa"/>
            <w:vMerge/>
            <w:vAlign w:val="center"/>
          </w:tcPr>
          <w:p w14:paraId="6D15A386"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3020" w:type="dxa"/>
            <w:vAlign w:val="center"/>
          </w:tcPr>
          <w:p w14:paraId="722F437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地形数据分辨率（</w:t>
            </w:r>
            <w:r>
              <w:rPr>
                <w:rFonts w:cs="Times New Roman"/>
                <w:kern w:val="21"/>
                <w:sz w:val="21"/>
                <w:szCs w:val="21"/>
              </w:rPr>
              <w:t>m</w:t>
            </w:r>
            <w:r>
              <w:rPr>
                <w:rFonts w:cs="Times New Roman"/>
                <w:kern w:val="21"/>
                <w:sz w:val="21"/>
                <w:szCs w:val="21"/>
              </w:rPr>
              <w:t>）</w:t>
            </w:r>
          </w:p>
        </w:tc>
        <w:tc>
          <w:tcPr>
            <w:tcW w:w="3018" w:type="dxa"/>
            <w:vAlign w:val="center"/>
          </w:tcPr>
          <w:p w14:paraId="1A3D144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r>
      <w:tr w:rsidR="00544649" w14:paraId="44B4F39C" w14:textId="77777777">
        <w:trPr>
          <w:trHeight w:val="340"/>
          <w:jc w:val="center"/>
        </w:trPr>
        <w:tc>
          <w:tcPr>
            <w:tcW w:w="3020" w:type="dxa"/>
            <w:vMerge w:val="restart"/>
            <w:vAlign w:val="center"/>
          </w:tcPr>
          <w:p w14:paraId="74B90C9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是否考虑海岸线熏烟</w:t>
            </w:r>
          </w:p>
        </w:tc>
        <w:tc>
          <w:tcPr>
            <w:tcW w:w="3020" w:type="dxa"/>
            <w:vAlign w:val="center"/>
          </w:tcPr>
          <w:p w14:paraId="7A258F0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考虑海岸线熏烟</w:t>
            </w:r>
          </w:p>
        </w:tc>
        <w:tc>
          <w:tcPr>
            <w:tcW w:w="3018" w:type="dxa"/>
            <w:vAlign w:val="center"/>
          </w:tcPr>
          <w:p w14:paraId="0DEC7E4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否</w:t>
            </w:r>
          </w:p>
        </w:tc>
      </w:tr>
      <w:tr w:rsidR="00544649" w14:paraId="74C715BC" w14:textId="77777777">
        <w:trPr>
          <w:trHeight w:val="340"/>
          <w:jc w:val="center"/>
        </w:trPr>
        <w:tc>
          <w:tcPr>
            <w:tcW w:w="3020" w:type="dxa"/>
            <w:vMerge/>
            <w:vAlign w:val="center"/>
          </w:tcPr>
          <w:p w14:paraId="6CF279A4"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3020" w:type="dxa"/>
            <w:vAlign w:val="center"/>
          </w:tcPr>
          <w:p w14:paraId="2D317DD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海岸线距离</w:t>
            </w:r>
            <w:r>
              <w:rPr>
                <w:rFonts w:cs="Times New Roman"/>
                <w:kern w:val="21"/>
                <w:sz w:val="21"/>
                <w:szCs w:val="21"/>
              </w:rPr>
              <w:t>/km</w:t>
            </w:r>
          </w:p>
        </w:tc>
        <w:tc>
          <w:tcPr>
            <w:tcW w:w="3018" w:type="dxa"/>
            <w:vAlign w:val="center"/>
          </w:tcPr>
          <w:p w14:paraId="5EB5854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r>
      <w:tr w:rsidR="00544649" w14:paraId="498AFA2C" w14:textId="77777777">
        <w:trPr>
          <w:trHeight w:val="340"/>
          <w:jc w:val="center"/>
        </w:trPr>
        <w:tc>
          <w:tcPr>
            <w:tcW w:w="3020" w:type="dxa"/>
            <w:vMerge/>
            <w:vAlign w:val="center"/>
          </w:tcPr>
          <w:p w14:paraId="1499D3CC"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3020" w:type="dxa"/>
            <w:vAlign w:val="center"/>
          </w:tcPr>
          <w:p w14:paraId="6C5EEE6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海岸线方向</w:t>
            </w:r>
            <w:r>
              <w:rPr>
                <w:rFonts w:cs="Times New Roman"/>
                <w:kern w:val="21"/>
                <w:sz w:val="21"/>
                <w:szCs w:val="21"/>
              </w:rPr>
              <w:t>/</w:t>
            </w:r>
            <w:r>
              <w:rPr>
                <w:rFonts w:cs="Times New Roman"/>
                <w:kern w:val="21"/>
                <w:sz w:val="21"/>
                <w:szCs w:val="21"/>
                <w:vertAlign w:val="superscript"/>
              </w:rPr>
              <w:t>o</w:t>
            </w:r>
          </w:p>
        </w:tc>
        <w:tc>
          <w:tcPr>
            <w:tcW w:w="3018" w:type="dxa"/>
            <w:vAlign w:val="center"/>
          </w:tcPr>
          <w:p w14:paraId="10EC051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r>
    </w:tbl>
    <w:p w14:paraId="73AC4F22" w14:textId="77777777" w:rsidR="00544649" w:rsidRDefault="00000000">
      <w:pPr>
        <w:numPr>
          <w:ilvl w:val="0"/>
          <w:numId w:val="20"/>
        </w:numPr>
        <w:adjustRightInd w:val="0"/>
        <w:snapToGrid w:val="0"/>
        <w:spacing w:after="0"/>
        <w:ind w:firstLine="482"/>
        <w:rPr>
          <w:rFonts w:cs="Times New Roman"/>
          <w:b/>
          <w:bCs/>
          <w:kern w:val="21"/>
          <w:szCs w:val="24"/>
        </w:rPr>
      </w:pPr>
      <w:r>
        <w:rPr>
          <w:rFonts w:cs="Times New Roman"/>
          <w:b/>
          <w:bCs/>
          <w:kern w:val="21"/>
          <w:szCs w:val="24"/>
        </w:rPr>
        <w:t>估算结果</w:t>
      </w:r>
    </w:p>
    <w:p w14:paraId="3464D3CC" w14:textId="77777777" w:rsidR="00544649" w:rsidRDefault="00000000">
      <w:pPr>
        <w:adjustRightInd w:val="0"/>
        <w:snapToGrid w:val="0"/>
        <w:spacing w:after="0"/>
        <w:ind w:firstLine="480"/>
        <w:rPr>
          <w:rFonts w:cs="Times New Roman"/>
          <w:kern w:val="21"/>
        </w:rPr>
      </w:pPr>
      <w:bookmarkStart w:id="135" w:name="_Hlk188346085"/>
      <w:r>
        <w:rPr>
          <w:rFonts w:cs="Times New Roman"/>
          <w:kern w:val="21"/>
        </w:rPr>
        <w:t>采用</w:t>
      </w:r>
      <w:r>
        <w:rPr>
          <w:rFonts w:cs="Times New Roman"/>
          <w:kern w:val="21"/>
        </w:rPr>
        <w:t>AERSCREEN</w:t>
      </w:r>
      <w:r>
        <w:rPr>
          <w:rFonts w:cs="Times New Roman"/>
          <w:kern w:val="21"/>
        </w:rPr>
        <w:t>模型进行大气评价等级计算，计算结果见下表所</w:t>
      </w:r>
      <w:r>
        <w:rPr>
          <w:rFonts w:cs="Times New Roman"/>
          <w:kern w:val="21"/>
          <w:szCs w:val="24"/>
        </w:rPr>
        <w:t>示。</w:t>
      </w:r>
    </w:p>
    <w:p w14:paraId="1B1E0A1C"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0"/>
        </w:rPr>
      </w:pPr>
      <w:r>
        <w:rPr>
          <w:rFonts w:cs="Times New Roman"/>
          <w:b/>
          <w:bCs/>
          <w:kern w:val="21"/>
          <w:sz w:val="21"/>
          <w:szCs w:val="20"/>
        </w:rPr>
        <w:t>排放源计算结果一览表</w:t>
      </w:r>
    </w:p>
    <w:tbl>
      <w:tblPr>
        <w:tblStyle w:val="17"/>
        <w:tblW w:w="9060" w:type="dxa"/>
        <w:jc w:val="center"/>
        <w:tblLayout w:type="fixed"/>
        <w:tblLook w:val="04A0" w:firstRow="1" w:lastRow="0" w:firstColumn="1" w:lastColumn="0" w:noHBand="0" w:noVBand="1"/>
      </w:tblPr>
      <w:tblGrid>
        <w:gridCol w:w="333"/>
        <w:gridCol w:w="926"/>
        <w:gridCol w:w="692"/>
        <w:gridCol w:w="1464"/>
        <w:gridCol w:w="1384"/>
        <w:gridCol w:w="1226"/>
        <w:gridCol w:w="1468"/>
        <w:gridCol w:w="875"/>
        <w:gridCol w:w="692"/>
      </w:tblGrid>
      <w:tr w:rsidR="00544649" w14:paraId="616EB43B" w14:textId="77777777">
        <w:trPr>
          <w:cantSplit/>
          <w:trHeight w:val="90"/>
          <w:jc w:val="center"/>
        </w:trPr>
        <w:tc>
          <w:tcPr>
            <w:tcW w:w="1259" w:type="dxa"/>
            <w:gridSpan w:val="2"/>
            <w:tcBorders>
              <w:top w:val="single" w:sz="4" w:space="0" w:color="auto"/>
              <w:left w:val="single" w:sz="4" w:space="0" w:color="auto"/>
              <w:bottom w:val="single" w:sz="4" w:space="0" w:color="auto"/>
              <w:right w:val="single" w:sz="4" w:space="0" w:color="auto"/>
            </w:tcBorders>
            <w:vAlign w:val="center"/>
          </w:tcPr>
          <w:p w14:paraId="6A769535"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污染源</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62470591"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污染因子</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9AD7A6B"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最大落地浓度（</w:t>
            </w:r>
            <w:proofErr w:type="spellStart"/>
            <w:r>
              <w:rPr>
                <w:rFonts w:cs="Times New Roman"/>
                <w:b/>
                <w:bCs/>
                <w:kern w:val="21"/>
                <w:szCs w:val="21"/>
              </w:rPr>
              <w:t>μg</w:t>
            </w:r>
            <w:proofErr w:type="spellEnd"/>
            <w:r>
              <w:rPr>
                <w:rFonts w:cs="Times New Roman"/>
                <w:b/>
                <w:bCs/>
                <w:kern w:val="21"/>
                <w:szCs w:val="21"/>
              </w:rPr>
              <w:t>/m</w:t>
            </w:r>
            <w:r>
              <w:rPr>
                <w:rFonts w:cs="Times New Roman"/>
                <w:b/>
                <w:bCs/>
                <w:kern w:val="21"/>
                <w:szCs w:val="21"/>
                <w:vertAlign w:val="superscript"/>
              </w:rPr>
              <w:t>3</w:t>
            </w:r>
            <w:r>
              <w:rPr>
                <w:rFonts w:cs="Times New Roman"/>
                <w:b/>
                <w:bCs/>
                <w:kern w:val="21"/>
                <w:szCs w:val="21"/>
              </w:rPr>
              <w:t>）</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F3E468A"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最大浓度落地点（</w:t>
            </w:r>
            <w:r>
              <w:rPr>
                <w:rFonts w:cs="Times New Roman"/>
                <w:b/>
                <w:bCs/>
                <w:kern w:val="21"/>
                <w:szCs w:val="21"/>
              </w:rPr>
              <w:t>m</w:t>
            </w:r>
            <w:r>
              <w:rPr>
                <w:rFonts w:cs="Times New Roman"/>
                <w:b/>
                <w:bCs/>
                <w:kern w:val="21"/>
                <w:szCs w:val="21"/>
              </w:rPr>
              <w:t>）</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43251D02"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评价标准（</w:t>
            </w:r>
            <w:proofErr w:type="spellStart"/>
            <w:r>
              <w:rPr>
                <w:rFonts w:cs="Times New Roman"/>
                <w:b/>
                <w:bCs/>
                <w:kern w:val="21"/>
                <w:szCs w:val="21"/>
              </w:rPr>
              <w:t>μg</w:t>
            </w:r>
            <w:proofErr w:type="spellEnd"/>
            <w:r>
              <w:rPr>
                <w:rFonts w:cs="Times New Roman"/>
                <w:b/>
                <w:bCs/>
                <w:kern w:val="21"/>
                <w:szCs w:val="21"/>
              </w:rPr>
              <w:t>/m</w:t>
            </w:r>
            <w:r>
              <w:rPr>
                <w:rFonts w:cs="Times New Roman"/>
                <w:b/>
                <w:bCs/>
                <w:kern w:val="21"/>
                <w:szCs w:val="21"/>
                <w:vertAlign w:val="superscript"/>
              </w:rPr>
              <w:t>3</w:t>
            </w:r>
            <w:r>
              <w:rPr>
                <w:rFonts w:cs="Times New Roman"/>
                <w:b/>
                <w:bCs/>
                <w:kern w:val="21"/>
                <w:szCs w:val="21"/>
              </w:rPr>
              <w:t>）</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01D6BFC1"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占标率（</w:t>
            </w:r>
            <w:r>
              <w:rPr>
                <w:rFonts w:cs="Times New Roman"/>
                <w:b/>
                <w:bCs/>
                <w:kern w:val="21"/>
                <w:szCs w:val="21"/>
              </w:rPr>
              <w:t>%</w:t>
            </w:r>
            <w:r>
              <w:rPr>
                <w:rFonts w:cs="Times New Roman"/>
                <w:b/>
                <w:bCs/>
                <w:kern w:val="21"/>
                <w:szCs w:val="21"/>
              </w:rPr>
              <w:t>）</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2687036A"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D10%</w:t>
            </w:r>
            <w:r>
              <w:rPr>
                <w:rFonts w:cs="Times New Roman" w:hint="eastAsia"/>
                <w:b/>
                <w:bCs/>
                <w:kern w:val="21"/>
                <w:szCs w:val="21"/>
              </w:rPr>
              <w:t>（</w:t>
            </w:r>
            <w:r>
              <w:rPr>
                <w:rFonts w:cs="Times New Roman"/>
                <w:b/>
                <w:bCs/>
                <w:kern w:val="21"/>
                <w:szCs w:val="21"/>
              </w:rPr>
              <w:t>m</w:t>
            </w:r>
            <w:r>
              <w:rPr>
                <w:rFonts w:cs="Times New Roman"/>
                <w:b/>
                <w:bCs/>
                <w:kern w:val="21"/>
                <w:szCs w:val="21"/>
              </w:rPr>
              <w:t>）</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249ACB1C"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评价等级</w:t>
            </w:r>
          </w:p>
        </w:tc>
      </w:tr>
      <w:tr w:rsidR="00544649" w14:paraId="58ECCD03" w14:textId="77777777">
        <w:trPr>
          <w:cantSplit/>
          <w:jc w:val="center"/>
        </w:trPr>
        <w:tc>
          <w:tcPr>
            <w:tcW w:w="333" w:type="dxa"/>
            <w:vMerge w:val="restart"/>
            <w:tcBorders>
              <w:top w:val="single" w:sz="4" w:space="0" w:color="auto"/>
              <w:left w:val="single" w:sz="4" w:space="0" w:color="auto"/>
              <w:right w:val="single" w:sz="4" w:space="0" w:color="auto"/>
            </w:tcBorders>
            <w:vAlign w:val="center"/>
          </w:tcPr>
          <w:p w14:paraId="6F052B13" w14:textId="77777777" w:rsidR="00544649" w:rsidRDefault="00000000">
            <w:pPr>
              <w:pStyle w:val="aff7"/>
              <w:adjustRightInd w:val="0"/>
              <w:snapToGrid w:val="0"/>
              <w:spacing w:before="62" w:after="62"/>
              <w:rPr>
                <w:rFonts w:cs="Times New Roman"/>
                <w:kern w:val="21"/>
                <w:szCs w:val="21"/>
              </w:rPr>
            </w:pPr>
            <w:proofErr w:type="gramStart"/>
            <w:r>
              <w:rPr>
                <w:rFonts w:cs="Times New Roman" w:hint="eastAsia"/>
                <w:kern w:val="21"/>
                <w:szCs w:val="21"/>
              </w:rPr>
              <w:t>育雏场</w:t>
            </w:r>
            <w:proofErr w:type="gramEnd"/>
          </w:p>
        </w:tc>
        <w:tc>
          <w:tcPr>
            <w:tcW w:w="926" w:type="dxa"/>
            <w:vMerge w:val="restart"/>
            <w:tcBorders>
              <w:top w:val="single" w:sz="4" w:space="0" w:color="auto"/>
              <w:left w:val="single" w:sz="4" w:space="0" w:color="auto"/>
              <w:right w:val="single" w:sz="4" w:space="0" w:color="auto"/>
            </w:tcBorders>
            <w:shd w:val="clear" w:color="auto" w:fill="auto"/>
            <w:vAlign w:val="center"/>
          </w:tcPr>
          <w:p w14:paraId="34526A7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鸡舍</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58CB4D1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NH</w:t>
            </w:r>
            <w:r>
              <w:rPr>
                <w:rFonts w:cs="Times New Roman"/>
                <w:kern w:val="21"/>
                <w:szCs w:val="21"/>
                <w:vertAlign w:val="subscript"/>
              </w:rPr>
              <w:t>3</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A5960D9"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bCs/>
                <w:kern w:val="21"/>
                <w:sz w:val="21"/>
                <w:szCs w:val="21"/>
              </w:rPr>
              <w:t>2.75934</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1E5111E"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eastAsia="等线" w:cs="Times New Roman" w:hint="eastAsia"/>
                <w:kern w:val="21"/>
                <w:sz w:val="21"/>
                <w:szCs w:val="21"/>
              </w:rPr>
              <w:t>53</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6BCE6CC9"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kern w:val="21"/>
                <w:szCs w:val="21"/>
              </w:rPr>
              <w:t>200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69304065"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1.3796</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7B2359C0"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16370CA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Ⅱ</w:t>
            </w:r>
          </w:p>
        </w:tc>
      </w:tr>
      <w:tr w:rsidR="00544649" w14:paraId="071B2906" w14:textId="77777777">
        <w:trPr>
          <w:cantSplit/>
          <w:jc w:val="center"/>
        </w:trPr>
        <w:tc>
          <w:tcPr>
            <w:tcW w:w="333" w:type="dxa"/>
            <w:vMerge/>
            <w:tcBorders>
              <w:left w:val="single" w:sz="4" w:space="0" w:color="auto"/>
              <w:right w:val="single" w:sz="4" w:space="0" w:color="auto"/>
            </w:tcBorders>
            <w:vAlign w:val="center"/>
          </w:tcPr>
          <w:p w14:paraId="0F81D957" w14:textId="77777777" w:rsidR="00544649" w:rsidRDefault="00544649">
            <w:pPr>
              <w:pStyle w:val="aff7"/>
              <w:adjustRightInd w:val="0"/>
              <w:snapToGrid w:val="0"/>
              <w:spacing w:before="62" w:after="62"/>
              <w:rPr>
                <w:rFonts w:cs="Times New Roman"/>
                <w:kern w:val="21"/>
                <w:szCs w:val="21"/>
              </w:rPr>
            </w:pPr>
          </w:p>
        </w:tc>
        <w:tc>
          <w:tcPr>
            <w:tcW w:w="926" w:type="dxa"/>
            <w:vMerge/>
            <w:tcBorders>
              <w:left w:val="single" w:sz="4" w:space="0" w:color="auto"/>
              <w:right w:val="single" w:sz="4" w:space="0" w:color="auto"/>
            </w:tcBorders>
            <w:shd w:val="clear" w:color="auto" w:fill="auto"/>
            <w:vAlign w:val="center"/>
          </w:tcPr>
          <w:p w14:paraId="037B8BA4" w14:textId="77777777" w:rsidR="00544649" w:rsidRDefault="00544649">
            <w:pPr>
              <w:pStyle w:val="aff7"/>
              <w:adjustRightInd w:val="0"/>
              <w:snapToGrid w:val="0"/>
              <w:spacing w:before="62" w:after="62"/>
              <w:rPr>
                <w:rFonts w:cs="Times New Roman"/>
                <w:kern w:val="21"/>
                <w:szCs w:val="21"/>
              </w:rPr>
            </w:pP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35A8CC6C"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H</w:t>
            </w:r>
            <w:r>
              <w:rPr>
                <w:rFonts w:cs="Times New Roman"/>
                <w:kern w:val="21"/>
                <w:szCs w:val="21"/>
                <w:vertAlign w:val="subscript"/>
              </w:rPr>
              <w:t>2</w:t>
            </w:r>
            <w:r>
              <w:rPr>
                <w:rFonts w:cs="Times New Roman"/>
                <w:kern w:val="21"/>
                <w:szCs w:val="21"/>
              </w:rPr>
              <w:t>S</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27B72DC4"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eastAsia="等线" w:cs="Times New Roman" w:hint="eastAsia"/>
                <w:bCs/>
                <w:kern w:val="21"/>
                <w:sz w:val="21"/>
                <w:szCs w:val="21"/>
              </w:rPr>
              <w:t>0.051972</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9638C93"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eastAsia="等线" w:cs="Times New Roman" w:hint="eastAsia"/>
                <w:kern w:val="21"/>
                <w:sz w:val="21"/>
                <w:szCs w:val="21"/>
              </w:rPr>
              <w:t>53</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3B14AB1C"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kern w:val="21"/>
                <w:szCs w:val="21"/>
              </w:rPr>
              <w:t>10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22F5247F"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0.5197</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3185CF04"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75638CBD"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III</w:t>
            </w:r>
          </w:p>
        </w:tc>
      </w:tr>
      <w:tr w:rsidR="00544649" w14:paraId="14B3F87B" w14:textId="77777777">
        <w:trPr>
          <w:cantSplit/>
          <w:jc w:val="center"/>
        </w:trPr>
        <w:tc>
          <w:tcPr>
            <w:tcW w:w="333" w:type="dxa"/>
            <w:vMerge/>
            <w:tcBorders>
              <w:left w:val="single" w:sz="4" w:space="0" w:color="auto"/>
              <w:right w:val="single" w:sz="4" w:space="0" w:color="auto"/>
            </w:tcBorders>
            <w:vAlign w:val="center"/>
          </w:tcPr>
          <w:p w14:paraId="3801701F" w14:textId="77777777" w:rsidR="00544649" w:rsidRDefault="00544649">
            <w:pPr>
              <w:pStyle w:val="aff7"/>
              <w:adjustRightInd w:val="0"/>
              <w:snapToGrid w:val="0"/>
              <w:spacing w:before="62" w:after="62"/>
              <w:rPr>
                <w:rFonts w:cs="Times New Roman"/>
                <w:kern w:val="21"/>
                <w:szCs w:val="21"/>
              </w:rPr>
            </w:pPr>
          </w:p>
        </w:tc>
        <w:tc>
          <w:tcPr>
            <w:tcW w:w="926" w:type="dxa"/>
            <w:vMerge/>
            <w:tcBorders>
              <w:left w:val="single" w:sz="4" w:space="0" w:color="auto"/>
              <w:right w:val="single" w:sz="4" w:space="0" w:color="auto"/>
            </w:tcBorders>
            <w:shd w:val="clear" w:color="auto" w:fill="auto"/>
            <w:vAlign w:val="center"/>
          </w:tcPr>
          <w:p w14:paraId="2A371DCB" w14:textId="77777777" w:rsidR="00544649" w:rsidRDefault="00544649">
            <w:pPr>
              <w:pStyle w:val="aff7"/>
              <w:adjustRightInd w:val="0"/>
              <w:snapToGrid w:val="0"/>
              <w:spacing w:before="62" w:after="62"/>
              <w:rPr>
                <w:rFonts w:cs="Times New Roman"/>
                <w:kern w:val="21"/>
                <w:szCs w:val="21"/>
              </w:rPr>
            </w:pP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1F7EC7FE" w14:textId="77777777" w:rsidR="00544649" w:rsidRDefault="00000000">
            <w:pPr>
              <w:pStyle w:val="aff7"/>
              <w:adjustRightInd w:val="0"/>
              <w:snapToGrid w:val="0"/>
              <w:spacing w:before="62" w:after="62"/>
              <w:rPr>
                <w:rFonts w:cs="Times New Roman"/>
                <w:kern w:val="21"/>
                <w:szCs w:val="21"/>
              </w:rPr>
            </w:pPr>
            <w:r>
              <w:rPr>
                <w:rFonts w:cs="Times New Roman" w:hint="eastAsia"/>
                <w:bCs/>
                <w:kern w:val="21"/>
                <w:szCs w:val="21"/>
              </w:rPr>
              <w:t>SO</w:t>
            </w:r>
            <w:r>
              <w:rPr>
                <w:rFonts w:cs="Times New Roman" w:hint="eastAsia"/>
                <w:bCs/>
                <w:kern w:val="21"/>
                <w:szCs w:val="21"/>
                <w:vertAlign w:val="subscript"/>
              </w:rPr>
              <w:t>2</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DCB2D8B"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bCs/>
                <w:kern w:val="21"/>
                <w:sz w:val="21"/>
                <w:szCs w:val="21"/>
              </w:rPr>
            </w:pPr>
            <w:r>
              <w:rPr>
                <w:rFonts w:eastAsia="等线" w:cs="Times New Roman" w:hint="eastAsia"/>
                <w:bCs/>
                <w:kern w:val="21"/>
                <w:sz w:val="21"/>
                <w:szCs w:val="21"/>
              </w:rPr>
              <w:t>12.484</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69F1845"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kern w:val="21"/>
                <w:sz w:val="21"/>
                <w:szCs w:val="21"/>
              </w:rPr>
            </w:pPr>
            <w:r>
              <w:rPr>
                <w:rFonts w:eastAsia="等线" w:cs="Times New Roman" w:hint="eastAsia"/>
                <w:kern w:val="21"/>
                <w:sz w:val="21"/>
                <w:szCs w:val="21"/>
              </w:rPr>
              <w:t>53</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3072E2B0" w14:textId="77777777" w:rsidR="00544649" w:rsidRDefault="00000000">
            <w:pPr>
              <w:pStyle w:val="aff7"/>
              <w:adjustRightInd w:val="0"/>
              <w:snapToGrid w:val="0"/>
              <w:spacing w:before="62" w:after="62"/>
              <w:rPr>
                <w:rFonts w:eastAsia="等线" w:cs="Times New Roman"/>
                <w:kern w:val="21"/>
                <w:szCs w:val="21"/>
              </w:rPr>
            </w:pPr>
            <w:r>
              <w:rPr>
                <w:rFonts w:eastAsia="等线" w:cs="Times New Roman" w:hint="eastAsia"/>
                <w:kern w:val="21"/>
                <w:szCs w:val="21"/>
              </w:rPr>
              <w:t>500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426F48B0" w14:textId="77777777" w:rsidR="00544649" w:rsidRDefault="00000000">
            <w:pPr>
              <w:pStyle w:val="aff7"/>
              <w:adjustRightInd w:val="0"/>
              <w:snapToGrid w:val="0"/>
              <w:spacing w:before="62" w:after="62"/>
              <w:rPr>
                <w:rFonts w:eastAsia="等线" w:cs="Times New Roman"/>
                <w:bCs/>
                <w:kern w:val="21"/>
                <w:szCs w:val="21"/>
              </w:rPr>
            </w:pPr>
            <w:r>
              <w:rPr>
                <w:rFonts w:eastAsia="等线" w:cs="Times New Roman" w:hint="eastAsia"/>
                <w:bCs/>
                <w:kern w:val="21"/>
                <w:szCs w:val="21"/>
              </w:rPr>
              <w:t>2.4968</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42445E1B"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53DB074D" w14:textId="77777777" w:rsidR="00544649" w:rsidRDefault="00000000">
            <w:pPr>
              <w:pStyle w:val="aff7"/>
              <w:adjustRightInd w:val="0"/>
              <w:snapToGrid w:val="0"/>
              <w:spacing w:before="62" w:after="62"/>
              <w:rPr>
                <w:rFonts w:eastAsia="等线" w:cs="Times New Roman"/>
                <w:bCs/>
                <w:kern w:val="21"/>
                <w:szCs w:val="21"/>
              </w:rPr>
            </w:pPr>
            <w:r>
              <w:rPr>
                <w:rFonts w:cs="Times New Roman"/>
                <w:kern w:val="21"/>
                <w:szCs w:val="21"/>
              </w:rPr>
              <w:t>Ⅱ</w:t>
            </w:r>
          </w:p>
        </w:tc>
      </w:tr>
      <w:tr w:rsidR="00544649" w14:paraId="627F87F1" w14:textId="77777777">
        <w:trPr>
          <w:cantSplit/>
          <w:jc w:val="center"/>
        </w:trPr>
        <w:tc>
          <w:tcPr>
            <w:tcW w:w="333" w:type="dxa"/>
            <w:vMerge/>
            <w:tcBorders>
              <w:left w:val="single" w:sz="4" w:space="0" w:color="auto"/>
              <w:right w:val="single" w:sz="4" w:space="0" w:color="auto"/>
            </w:tcBorders>
            <w:vAlign w:val="center"/>
          </w:tcPr>
          <w:p w14:paraId="5750428D" w14:textId="77777777" w:rsidR="00544649" w:rsidRDefault="00544649">
            <w:pPr>
              <w:pStyle w:val="aff7"/>
              <w:adjustRightInd w:val="0"/>
              <w:snapToGrid w:val="0"/>
              <w:spacing w:before="62" w:after="62"/>
              <w:rPr>
                <w:rFonts w:cs="Times New Roman"/>
                <w:kern w:val="21"/>
                <w:szCs w:val="21"/>
              </w:rPr>
            </w:pPr>
          </w:p>
        </w:tc>
        <w:tc>
          <w:tcPr>
            <w:tcW w:w="926" w:type="dxa"/>
            <w:vMerge/>
            <w:tcBorders>
              <w:left w:val="single" w:sz="4" w:space="0" w:color="auto"/>
              <w:right w:val="single" w:sz="4" w:space="0" w:color="auto"/>
            </w:tcBorders>
            <w:shd w:val="clear" w:color="auto" w:fill="auto"/>
            <w:vAlign w:val="center"/>
          </w:tcPr>
          <w:p w14:paraId="3D15FA15" w14:textId="77777777" w:rsidR="00544649" w:rsidRDefault="00544649">
            <w:pPr>
              <w:pStyle w:val="aff7"/>
              <w:adjustRightInd w:val="0"/>
              <w:snapToGrid w:val="0"/>
              <w:spacing w:before="62" w:after="62"/>
              <w:rPr>
                <w:rFonts w:cs="Times New Roman"/>
                <w:kern w:val="21"/>
                <w:szCs w:val="21"/>
              </w:rPr>
            </w:pP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0F27CFD3" w14:textId="77777777" w:rsidR="00544649" w:rsidRDefault="00000000">
            <w:pPr>
              <w:pStyle w:val="aff7"/>
              <w:adjustRightInd w:val="0"/>
              <w:snapToGrid w:val="0"/>
              <w:spacing w:before="62" w:after="62"/>
              <w:rPr>
                <w:rFonts w:cs="Times New Roman"/>
                <w:kern w:val="21"/>
                <w:szCs w:val="21"/>
              </w:rPr>
            </w:pPr>
            <w:r>
              <w:rPr>
                <w:rFonts w:cs="Times New Roman" w:hint="eastAsia"/>
                <w:bCs/>
                <w:kern w:val="21"/>
                <w:szCs w:val="21"/>
              </w:rPr>
              <w:t>NOx</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55C7D1D"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bCs/>
                <w:kern w:val="21"/>
                <w:sz w:val="21"/>
                <w:szCs w:val="21"/>
              </w:rPr>
            </w:pPr>
            <w:r>
              <w:rPr>
                <w:rFonts w:eastAsia="等线" w:cs="Times New Roman" w:hint="eastAsia"/>
                <w:bCs/>
                <w:kern w:val="21"/>
                <w:sz w:val="21"/>
                <w:szCs w:val="21"/>
              </w:rPr>
              <w:t>20.896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838827F"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kern w:val="21"/>
                <w:sz w:val="21"/>
                <w:szCs w:val="21"/>
              </w:rPr>
            </w:pPr>
            <w:r>
              <w:rPr>
                <w:rFonts w:eastAsia="等线" w:cs="Times New Roman" w:hint="eastAsia"/>
                <w:kern w:val="21"/>
                <w:sz w:val="21"/>
                <w:szCs w:val="21"/>
              </w:rPr>
              <w:t>53</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3AF32E7C" w14:textId="77777777" w:rsidR="00544649" w:rsidRDefault="00000000">
            <w:pPr>
              <w:pStyle w:val="aff7"/>
              <w:adjustRightInd w:val="0"/>
              <w:snapToGrid w:val="0"/>
              <w:spacing w:before="62" w:after="62"/>
              <w:rPr>
                <w:rFonts w:eastAsia="等线" w:cs="Times New Roman"/>
                <w:kern w:val="21"/>
                <w:szCs w:val="21"/>
              </w:rPr>
            </w:pPr>
            <w:r>
              <w:rPr>
                <w:rFonts w:eastAsia="等线" w:cs="Times New Roman" w:hint="eastAsia"/>
                <w:kern w:val="21"/>
                <w:szCs w:val="21"/>
              </w:rPr>
              <w:t>250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1E4B178D" w14:textId="77777777" w:rsidR="00544649" w:rsidRDefault="00000000">
            <w:pPr>
              <w:pStyle w:val="aff7"/>
              <w:adjustRightInd w:val="0"/>
              <w:snapToGrid w:val="0"/>
              <w:spacing w:before="62" w:after="62"/>
              <w:rPr>
                <w:rFonts w:eastAsia="等线" w:cs="Times New Roman"/>
                <w:bCs/>
                <w:kern w:val="21"/>
                <w:szCs w:val="21"/>
              </w:rPr>
            </w:pPr>
            <w:r>
              <w:rPr>
                <w:rFonts w:eastAsia="等线" w:cs="Times New Roman" w:hint="eastAsia"/>
                <w:bCs/>
                <w:kern w:val="21"/>
                <w:szCs w:val="21"/>
              </w:rPr>
              <w:t>8.3584</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41D34128"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60777991" w14:textId="77777777" w:rsidR="00544649" w:rsidRDefault="00000000">
            <w:pPr>
              <w:pStyle w:val="aff7"/>
              <w:adjustRightInd w:val="0"/>
              <w:snapToGrid w:val="0"/>
              <w:spacing w:before="62" w:after="62"/>
              <w:rPr>
                <w:rFonts w:eastAsia="等线" w:cs="Times New Roman"/>
                <w:bCs/>
                <w:kern w:val="21"/>
                <w:szCs w:val="21"/>
              </w:rPr>
            </w:pPr>
            <w:r>
              <w:rPr>
                <w:rFonts w:cs="Times New Roman"/>
                <w:kern w:val="21"/>
                <w:szCs w:val="21"/>
              </w:rPr>
              <w:t>Ⅱ</w:t>
            </w:r>
          </w:p>
        </w:tc>
      </w:tr>
      <w:tr w:rsidR="00544649" w14:paraId="18B97101" w14:textId="77777777">
        <w:trPr>
          <w:cantSplit/>
          <w:jc w:val="center"/>
        </w:trPr>
        <w:tc>
          <w:tcPr>
            <w:tcW w:w="333" w:type="dxa"/>
            <w:vMerge/>
            <w:tcBorders>
              <w:left w:val="single" w:sz="4" w:space="0" w:color="auto"/>
              <w:right w:val="single" w:sz="4" w:space="0" w:color="auto"/>
            </w:tcBorders>
            <w:vAlign w:val="center"/>
          </w:tcPr>
          <w:p w14:paraId="518F0157" w14:textId="77777777" w:rsidR="00544649" w:rsidRDefault="00544649">
            <w:pPr>
              <w:pStyle w:val="aff7"/>
              <w:adjustRightInd w:val="0"/>
              <w:snapToGrid w:val="0"/>
              <w:spacing w:before="62" w:after="62"/>
              <w:rPr>
                <w:rFonts w:cs="Times New Roman"/>
                <w:kern w:val="21"/>
                <w:szCs w:val="21"/>
              </w:rPr>
            </w:pPr>
          </w:p>
        </w:tc>
        <w:tc>
          <w:tcPr>
            <w:tcW w:w="926" w:type="dxa"/>
            <w:vMerge/>
            <w:tcBorders>
              <w:left w:val="single" w:sz="4" w:space="0" w:color="auto"/>
              <w:bottom w:val="single" w:sz="4" w:space="0" w:color="auto"/>
              <w:right w:val="single" w:sz="4" w:space="0" w:color="auto"/>
            </w:tcBorders>
            <w:shd w:val="clear" w:color="auto" w:fill="auto"/>
            <w:vAlign w:val="center"/>
          </w:tcPr>
          <w:p w14:paraId="763349CF" w14:textId="77777777" w:rsidR="00544649" w:rsidRDefault="00544649">
            <w:pPr>
              <w:pStyle w:val="aff7"/>
              <w:adjustRightInd w:val="0"/>
              <w:snapToGrid w:val="0"/>
              <w:spacing w:before="62" w:after="62"/>
              <w:rPr>
                <w:rFonts w:cs="Times New Roman"/>
                <w:kern w:val="21"/>
                <w:szCs w:val="21"/>
              </w:rPr>
            </w:pP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28A376EC" w14:textId="77777777" w:rsidR="00544649" w:rsidRDefault="00000000">
            <w:pPr>
              <w:pStyle w:val="aff7"/>
              <w:adjustRightInd w:val="0"/>
              <w:snapToGrid w:val="0"/>
              <w:spacing w:before="62" w:after="62"/>
              <w:rPr>
                <w:rFonts w:cs="Times New Roman"/>
                <w:kern w:val="21"/>
                <w:szCs w:val="21"/>
              </w:rPr>
            </w:pPr>
            <w:r>
              <w:rPr>
                <w:rFonts w:cs="Times New Roman" w:hint="eastAsia"/>
                <w:bCs/>
                <w:kern w:val="21"/>
                <w:szCs w:val="21"/>
              </w:rPr>
              <w:t>颗粒物</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221604CB"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bCs/>
                <w:kern w:val="21"/>
                <w:sz w:val="21"/>
                <w:szCs w:val="21"/>
              </w:rPr>
            </w:pPr>
            <w:r>
              <w:rPr>
                <w:rFonts w:eastAsia="等线" w:cs="Times New Roman" w:hint="eastAsia"/>
                <w:bCs/>
                <w:kern w:val="21"/>
                <w:sz w:val="21"/>
                <w:szCs w:val="21"/>
              </w:rPr>
              <w:t>2.8129</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1C2970B"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kern w:val="21"/>
                <w:sz w:val="21"/>
                <w:szCs w:val="21"/>
              </w:rPr>
            </w:pPr>
            <w:r>
              <w:rPr>
                <w:rFonts w:eastAsia="等线" w:cs="Times New Roman" w:hint="eastAsia"/>
                <w:kern w:val="21"/>
                <w:sz w:val="21"/>
                <w:szCs w:val="21"/>
              </w:rPr>
              <w:t>53</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61295CC8" w14:textId="77777777" w:rsidR="00544649" w:rsidRDefault="00000000">
            <w:pPr>
              <w:pStyle w:val="aff7"/>
              <w:adjustRightInd w:val="0"/>
              <w:snapToGrid w:val="0"/>
              <w:spacing w:before="62" w:after="62"/>
              <w:rPr>
                <w:rFonts w:eastAsia="等线" w:cs="Times New Roman"/>
                <w:kern w:val="21"/>
                <w:szCs w:val="21"/>
              </w:rPr>
            </w:pPr>
            <w:r>
              <w:rPr>
                <w:rFonts w:eastAsia="等线" w:cs="Times New Roman" w:hint="eastAsia"/>
                <w:kern w:val="21"/>
                <w:szCs w:val="21"/>
              </w:rPr>
              <w:t>900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0AD9520E" w14:textId="77777777" w:rsidR="00544649" w:rsidRDefault="00000000">
            <w:pPr>
              <w:pStyle w:val="aff7"/>
              <w:adjustRightInd w:val="0"/>
              <w:snapToGrid w:val="0"/>
              <w:spacing w:before="62" w:after="62"/>
              <w:rPr>
                <w:rFonts w:eastAsia="等线" w:cs="Times New Roman"/>
                <w:bCs/>
                <w:kern w:val="21"/>
                <w:szCs w:val="21"/>
              </w:rPr>
            </w:pPr>
            <w:r>
              <w:rPr>
                <w:rFonts w:eastAsia="等线" w:cs="Times New Roman" w:hint="eastAsia"/>
                <w:bCs/>
                <w:kern w:val="21"/>
                <w:szCs w:val="21"/>
              </w:rPr>
              <w:t>3.1254</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4E2D9E0E"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4715570D" w14:textId="77777777" w:rsidR="00544649" w:rsidRDefault="00000000">
            <w:pPr>
              <w:pStyle w:val="aff7"/>
              <w:adjustRightInd w:val="0"/>
              <w:snapToGrid w:val="0"/>
              <w:spacing w:before="62" w:after="62"/>
              <w:rPr>
                <w:rFonts w:eastAsia="等线" w:cs="Times New Roman"/>
                <w:bCs/>
                <w:kern w:val="21"/>
                <w:szCs w:val="21"/>
              </w:rPr>
            </w:pPr>
            <w:r>
              <w:rPr>
                <w:rFonts w:eastAsia="等线" w:cs="Times New Roman" w:hint="eastAsia"/>
                <w:bCs/>
                <w:kern w:val="21"/>
                <w:szCs w:val="21"/>
              </w:rPr>
              <w:t>III</w:t>
            </w:r>
          </w:p>
        </w:tc>
      </w:tr>
      <w:tr w:rsidR="00544649" w14:paraId="30381430" w14:textId="77777777">
        <w:trPr>
          <w:cantSplit/>
          <w:jc w:val="center"/>
        </w:trPr>
        <w:tc>
          <w:tcPr>
            <w:tcW w:w="333" w:type="dxa"/>
            <w:vMerge/>
            <w:tcBorders>
              <w:left w:val="single" w:sz="4" w:space="0" w:color="auto"/>
              <w:right w:val="single" w:sz="4" w:space="0" w:color="auto"/>
            </w:tcBorders>
            <w:vAlign w:val="center"/>
          </w:tcPr>
          <w:p w14:paraId="1D3100B1" w14:textId="77777777" w:rsidR="00544649" w:rsidRDefault="00544649">
            <w:pPr>
              <w:pStyle w:val="aff7"/>
              <w:adjustRightInd w:val="0"/>
              <w:snapToGrid w:val="0"/>
              <w:spacing w:before="62" w:after="62"/>
              <w:rPr>
                <w:rFonts w:cs="Times New Roman"/>
                <w:kern w:val="21"/>
                <w:szCs w:val="21"/>
              </w:rPr>
            </w:pPr>
          </w:p>
        </w:tc>
        <w:tc>
          <w:tcPr>
            <w:tcW w:w="926" w:type="dxa"/>
            <w:vMerge w:val="restart"/>
            <w:tcBorders>
              <w:top w:val="single" w:sz="4" w:space="0" w:color="auto"/>
              <w:left w:val="single" w:sz="4" w:space="0" w:color="auto"/>
              <w:right w:val="single" w:sz="4" w:space="0" w:color="auto"/>
            </w:tcBorders>
            <w:shd w:val="clear" w:color="auto" w:fill="auto"/>
            <w:vAlign w:val="center"/>
          </w:tcPr>
          <w:p w14:paraId="7BF44B2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污水处理设施</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65F43AF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NH</w:t>
            </w:r>
            <w:r>
              <w:rPr>
                <w:rFonts w:cs="Times New Roman"/>
                <w:kern w:val="21"/>
                <w:szCs w:val="21"/>
                <w:vertAlign w:val="subscript"/>
              </w:rPr>
              <w:t>3</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6586CBE7"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bCs/>
                <w:kern w:val="21"/>
                <w:sz w:val="21"/>
                <w:szCs w:val="21"/>
              </w:rPr>
            </w:pPr>
            <w:r>
              <w:rPr>
                <w:rFonts w:eastAsia="等线" w:cs="Times New Roman" w:hint="eastAsia"/>
                <w:bCs/>
                <w:kern w:val="21"/>
                <w:sz w:val="21"/>
                <w:szCs w:val="21"/>
              </w:rPr>
              <w:t>0.34316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F494344"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kern w:val="21"/>
                <w:sz w:val="21"/>
                <w:szCs w:val="21"/>
              </w:rPr>
            </w:pPr>
            <w:r>
              <w:rPr>
                <w:rFonts w:eastAsia="等线" w:cs="Times New Roman" w:hint="eastAsia"/>
                <w:kern w:val="21"/>
                <w:sz w:val="21"/>
                <w:szCs w:val="21"/>
              </w:rPr>
              <w:t>13</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38A68C8D"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kern w:val="21"/>
                <w:szCs w:val="21"/>
              </w:rPr>
              <w:t>200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686AD902"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0.1715</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66140F1F"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tcPr>
          <w:p w14:paraId="2A94F998"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III</w:t>
            </w:r>
          </w:p>
        </w:tc>
      </w:tr>
      <w:tr w:rsidR="00544649" w14:paraId="5E78E2D5" w14:textId="77777777">
        <w:trPr>
          <w:cantSplit/>
          <w:jc w:val="center"/>
        </w:trPr>
        <w:tc>
          <w:tcPr>
            <w:tcW w:w="333" w:type="dxa"/>
            <w:vMerge/>
            <w:tcBorders>
              <w:left w:val="single" w:sz="4" w:space="0" w:color="auto"/>
              <w:right w:val="single" w:sz="4" w:space="0" w:color="auto"/>
            </w:tcBorders>
            <w:vAlign w:val="center"/>
          </w:tcPr>
          <w:p w14:paraId="726B325A" w14:textId="77777777" w:rsidR="00544649" w:rsidRDefault="00544649">
            <w:pPr>
              <w:pStyle w:val="aff7"/>
              <w:adjustRightInd w:val="0"/>
              <w:snapToGrid w:val="0"/>
              <w:spacing w:before="62" w:after="62"/>
              <w:rPr>
                <w:rFonts w:cs="Times New Roman"/>
                <w:kern w:val="21"/>
                <w:szCs w:val="21"/>
              </w:rPr>
            </w:pPr>
          </w:p>
        </w:tc>
        <w:tc>
          <w:tcPr>
            <w:tcW w:w="926" w:type="dxa"/>
            <w:vMerge/>
            <w:tcBorders>
              <w:left w:val="single" w:sz="4" w:space="0" w:color="auto"/>
              <w:right w:val="single" w:sz="4" w:space="0" w:color="auto"/>
            </w:tcBorders>
            <w:shd w:val="clear" w:color="auto" w:fill="auto"/>
            <w:vAlign w:val="center"/>
          </w:tcPr>
          <w:p w14:paraId="15779A63" w14:textId="77777777" w:rsidR="00544649" w:rsidRDefault="00544649">
            <w:pPr>
              <w:pStyle w:val="aff7"/>
              <w:adjustRightInd w:val="0"/>
              <w:snapToGrid w:val="0"/>
              <w:spacing w:before="62" w:after="62"/>
              <w:rPr>
                <w:rFonts w:cs="Times New Roman"/>
                <w:kern w:val="21"/>
                <w:szCs w:val="21"/>
              </w:rPr>
            </w:pP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286A8CD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H</w:t>
            </w:r>
            <w:r>
              <w:rPr>
                <w:rFonts w:cs="Times New Roman"/>
                <w:kern w:val="21"/>
                <w:szCs w:val="21"/>
                <w:vertAlign w:val="subscript"/>
              </w:rPr>
              <w:t>2</w:t>
            </w:r>
            <w:r>
              <w:rPr>
                <w:rFonts w:cs="Times New Roman"/>
                <w:kern w:val="21"/>
                <w:szCs w:val="21"/>
              </w:rPr>
              <w:t>S</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1AA951B9"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bCs/>
                <w:kern w:val="21"/>
                <w:sz w:val="21"/>
                <w:szCs w:val="21"/>
              </w:rPr>
            </w:pPr>
            <w:r>
              <w:rPr>
                <w:rFonts w:eastAsia="等线" w:cs="Times New Roman" w:hint="eastAsia"/>
                <w:bCs/>
                <w:kern w:val="21"/>
                <w:sz w:val="21"/>
                <w:szCs w:val="21"/>
              </w:rPr>
              <w:t>0.00574</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CB0DC3A"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kern w:val="21"/>
                <w:sz w:val="21"/>
                <w:szCs w:val="21"/>
              </w:rPr>
            </w:pPr>
            <w:r>
              <w:rPr>
                <w:rFonts w:eastAsia="等线" w:cs="Times New Roman" w:hint="eastAsia"/>
                <w:kern w:val="21"/>
                <w:sz w:val="21"/>
                <w:szCs w:val="21"/>
              </w:rPr>
              <w:t>13</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57FD9BD9"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kern w:val="21"/>
                <w:szCs w:val="21"/>
              </w:rPr>
              <w:t>10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3750BA8F"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0.0574</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2F11DAEA"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tcPr>
          <w:p w14:paraId="5B080A1D"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III</w:t>
            </w:r>
          </w:p>
        </w:tc>
      </w:tr>
      <w:tr w:rsidR="00544649" w14:paraId="147FA066" w14:textId="77777777">
        <w:trPr>
          <w:cantSplit/>
          <w:jc w:val="center"/>
        </w:trPr>
        <w:tc>
          <w:tcPr>
            <w:tcW w:w="333" w:type="dxa"/>
            <w:vMerge w:val="restart"/>
            <w:tcBorders>
              <w:left w:val="single" w:sz="4" w:space="0" w:color="auto"/>
              <w:right w:val="single" w:sz="4" w:space="0" w:color="auto"/>
            </w:tcBorders>
            <w:vAlign w:val="center"/>
          </w:tcPr>
          <w:p w14:paraId="5EA2FF96"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蛋鸡场</w:t>
            </w:r>
          </w:p>
        </w:tc>
        <w:tc>
          <w:tcPr>
            <w:tcW w:w="926" w:type="dxa"/>
            <w:vMerge w:val="restart"/>
            <w:tcBorders>
              <w:left w:val="single" w:sz="4" w:space="0" w:color="auto"/>
              <w:right w:val="single" w:sz="4" w:space="0" w:color="auto"/>
            </w:tcBorders>
            <w:shd w:val="clear" w:color="auto" w:fill="auto"/>
            <w:vAlign w:val="center"/>
          </w:tcPr>
          <w:p w14:paraId="2E34012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鸡舍</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1C1CD89D"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NH</w:t>
            </w:r>
            <w:r>
              <w:rPr>
                <w:rFonts w:cs="Times New Roman"/>
                <w:kern w:val="21"/>
                <w:szCs w:val="21"/>
                <w:vertAlign w:val="subscript"/>
              </w:rPr>
              <w:t>3</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19AEAF4B"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bCs/>
                <w:kern w:val="21"/>
                <w:sz w:val="21"/>
                <w:szCs w:val="21"/>
              </w:rPr>
            </w:pPr>
            <w:r>
              <w:rPr>
                <w:rFonts w:cs="Times New Roman" w:hint="eastAsia"/>
                <w:bCs/>
                <w:kern w:val="21"/>
                <w:sz w:val="21"/>
                <w:szCs w:val="21"/>
              </w:rPr>
              <w:t>1.9677</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D8782D2"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kern w:val="21"/>
                <w:sz w:val="21"/>
                <w:szCs w:val="21"/>
              </w:rPr>
            </w:pPr>
            <w:r>
              <w:rPr>
                <w:rFonts w:eastAsia="等线" w:cs="Times New Roman" w:hint="eastAsia"/>
                <w:kern w:val="21"/>
                <w:sz w:val="21"/>
                <w:szCs w:val="21"/>
              </w:rPr>
              <w:t>191</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32B2A36F"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kern w:val="21"/>
                <w:szCs w:val="21"/>
              </w:rPr>
              <w:t>200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0A349772"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0.9838</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1EA293C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5E0C2F4E"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III</w:t>
            </w:r>
          </w:p>
        </w:tc>
      </w:tr>
      <w:tr w:rsidR="00544649" w14:paraId="7A846C8E" w14:textId="77777777">
        <w:trPr>
          <w:cantSplit/>
          <w:jc w:val="center"/>
        </w:trPr>
        <w:tc>
          <w:tcPr>
            <w:tcW w:w="333" w:type="dxa"/>
            <w:vMerge/>
            <w:tcBorders>
              <w:left w:val="single" w:sz="4" w:space="0" w:color="auto"/>
              <w:right w:val="single" w:sz="4" w:space="0" w:color="auto"/>
            </w:tcBorders>
            <w:vAlign w:val="center"/>
          </w:tcPr>
          <w:p w14:paraId="7F393374" w14:textId="77777777" w:rsidR="00544649" w:rsidRDefault="00544649">
            <w:pPr>
              <w:pStyle w:val="aff7"/>
              <w:adjustRightInd w:val="0"/>
              <w:snapToGrid w:val="0"/>
              <w:spacing w:before="62" w:after="62"/>
              <w:rPr>
                <w:rFonts w:cs="Times New Roman"/>
                <w:kern w:val="21"/>
                <w:szCs w:val="21"/>
              </w:rPr>
            </w:pPr>
          </w:p>
        </w:tc>
        <w:tc>
          <w:tcPr>
            <w:tcW w:w="926" w:type="dxa"/>
            <w:vMerge/>
            <w:tcBorders>
              <w:left w:val="single" w:sz="4" w:space="0" w:color="auto"/>
              <w:right w:val="single" w:sz="4" w:space="0" w:color="auto"/>
            </w:tcBorders>
            <w:shd w:val="clear" w:color="auto" w:fill="auto"/>
            <w:vAlign w:val="center"/>
          </w:tcPr>
          <w:p w14:paraId="5077F781" w14:textId="77777777" w:rsidR="00544649" w:rsidRDefault="00544649">
            <w:pPr>
              <w:pStyle w:val="aff7"/>
              <w:adjustRightInd w:val="0"/>
              <w:snapToGrid w:val="0"/>
              <w:spacing w:before="62" w:after="62"/>
              <w:rPr>
                <w:rFonts w:cs="Times New Roman"/>
                <w:kern w:val="21"/>
                <w:szCs w:val="21"/>
              </w:rPr>
            </w:pP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255EEE3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H</w:t>
            </w:r>
            <w:r>
              <w:rPr>
                <w:rFonts w:cs="Times New Roman"/>
                <w:kern w:val="21"/>
                <w:szCs w:val="21"/>
                <w:vertAlign w:val="subscript"/>
              </w:rPr>
              <w:t>2</w:t>
            </w:r>
            <w:r>
              <w:rPr>
                <w:rFonts w:cs="Times New Roman"/>
                <w:kern w:val="21"/>
                <w:szCs w:val="21"/>
              </w:rPr>
              <w:t>S</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45E4E84E"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bCs/>
                <w:kern w:val="21"/>
                <w:sz w:val="21"/>
                <w:szCs w:val="21"/>
              </w:rPr>
            </w:pPr>
            <w:r>
              <w:rPr>
                <w:rFonts w:eastAsia="等线" w:cs="Times New Roman" w:hint="eastAsia"/>
                <w:bCs/>
                <w:kern w:val="21"/>
                <w:sz w:val="21"/>
                <w:szCs w:val="21"/>
              </w:rPr>
              <w:t>0.05509</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9B0C0A3"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kern w:val="21"/>
                <w:sz w:val="21"/>
                <w:szCs w:val="21"/>
              </w:rPr>
            </w:pPr>
            <w:r>
              <w:rPr>
                <w:rFonts w:eastAsia="等线" w:cs="Times New Roman" w:hint="eastAsia"/>
                <w:bCs/>
                <w:kern w:val="21"/>
                <w:sz w:val="21"/>
                <w:szCs w:val="21"/>
              </w:rPr>
              <w:t>191</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0CDB3849"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kern w:val="21"/>
                <w:szCs w:val="21"/>
              </w:rPr>
              <w:t>10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510B00CA"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0.5509</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2E2A2F0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235B2418"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III</w:t>
            </w:r>
          </w:p>
        </w:tc>
      </w:tr>
      <w:tr w:rsidR="00544649" w14:paraId="7C637927" w14:textId="77777777">
        <w:trPr>
          <w:cantSplit/>
          <w:jc w:val="center"/>
        </w:trPr>
        <w:tc>
          <w:tcPr>
            <w:tcW w:w="333" w:type="dxa"/>
            <w:vMerge/>
            <w:tcBorders>
              <w:left w:val="single" w:sz="4" w:space="0" w:color="auto"/>
              <w:right w:val="single" w:sz="4" w:space="0" w:color="auto"/>
            </w:tcBorders>
            <w:vAlign w:val="center"/>
          </w:tcPr>
          <w:p w14:paraId="45457A7F" w14:textId="77777777" w:rsidR="00544649" w:rsidRDefault="00544649">
            <w:pPr>
              <w:pStyle w:val="aff7"/>
              <w:adjustRightInd w:val="0"/>
              <w:snapToGrid w:val="0"/>
              <w:spacing w:before="62" w:after="62"/>
              <w:rPr>
                <w:rFonts w:cs="Times New Roman"/>
                <w:kern w:val="21"/>
                <w:szCs w:val="21"/>
              </w:rPr>
            </w:pPr>
          </w:p>
        </w:tc>
        <w:tc>
          <w:tcPr>
            <w:tcW w:w="926" w:type="dxa"/>
            <w:vMerge w:val="restart"/>
            <w:tcBorders>
              <w:left w:val="single" w:sz="4" w:space="0" w:color="auto"/>
              <w:right w:val="single" w:sz="4" w:space="0" w:color="auto"/>
            </w:tcBorders>
            <w:shd w:val="clear" w:color="auto" w:fill="auto"/>
            <w:vAlign w:val="center"/>
          </w:tcPr>
          <w:p w14:paraId="15793E2B"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污水处理设施</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6752BDE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NH</w:t>
            </w:r>
            <w:r>
              <w:rPr>
                <w:rFonts w:cs="Times New Roman"/>
                <w:kern w:val="21"/>
                <w:szCs w:val="21"/>
                <w:vertAlign w:val="subscript"/>
              </w:rPr>
              <w:t>3</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6C4C2F4A"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bCs/>
                <w:kern w:val="21"/>
                <w:sz w:val="21"/>
                <w:szCs w:val="21"/>
              </w:rPr>
            </w:pPr>
            <w:r>
              <w:rPr>
                <w:rFonts w:eastAsia="等线" w:cs="Times New Roman" w:hint="eastAsia"/>
                <w:bCs/>
                <w:kern w:val="21"/>
                <w:sz w:val="21"/>
                <w:szCs w:val="21"/>
              </w:rPr>
              <w:t>14.118</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1BF2B0F"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kern w:val="21"/>
                <w:sz w:val="21"/>
                <w:szCs w:val="21"/>
              </w:rPr>
            </w:pPr>
            <w:r>
              <w:rPr>
                <w:rFonts w:eastAsia="等线" w:cs="Times New Roman" w:hint="eastAsia"/>
                <w:kern w:val="21"/>
                <w:sz w:val="21"/>
                <w:szCs w:val="21"/>
              </w:rPr>
              <w:t>27</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5DE3BDFB"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kern w:val="21"/>
                <w:szCs w:val="21"/>
              </w:rPr>
              <w:t>200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04FC36BB"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7.059</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5ACC50AA"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6B3F7474"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Ⅱ</w:t>
            </w:r>
          </w:p>
        </w:tc>
      </w:tr>
      <w:tr w:rsidR="00544649" w14:paraId="4F266E1F" w14:textId="77777777">
        <w:trPr>
          <w:cantSplit/>
          <w:jc w:val="center"/>
        </w:trPr>
        <w:tc>
          <w:tcPr>
            <w:tcW w:w="333" w:type="dxa"/>
            <w:vMerge/>
            <w:tcBorders>
              <w:left w:val="single" w:sz="4" w:space="0" w:color="auto"/>
              <w:right w:val="single" w:sz="4" w:space="0" w:color="auto"/>
            </w:tcBorders>
            <w:vAlign w:val="center"/>
          </w:tcPr>
          <w:p w14:paraId="0F2BC67B" w14:textId="77777777" w:rsidR="00544649" w:rsidRDefault="00544649">
            <w:pPr>
              <w:pStyle w:val="aff7"/>
              <w:adjustRightInd w:val="0"/>
              <w:snapToGrid w:val="0"/>
              <w:spacing w:before="62" w:after="62"/>
              <w:rPr>
                <w:rFonts w:cs="Times New Roman"/>
                <w:kern w:val="21"/>
                <w:szCs w:val="21"/>
              </w:rPr>
            </w:pPr>
          </w:p>
        </w:tc>
        <w:tc>
          <w:tcPr>
            <w:tcW w:w="926" w:type="dxa"/>
            <w:vMerge/>
            <w:tcBorders>
              <w:left w:val="single" w:sz="4" w:space="0" w:color="auto"/>
              <w:right w:val="single" w:sz="4" w:space="0" w:color="auto"/>
            </w:tcBorders>
            <w:shd w:val="clear" w:color="auto" w:fill="auto"/>
            <w:vAlign w:val="center"/>
          </w:tcPr>
          <w:p w14:paraId="1D6A1329" w14:textId="77777777" w:rsidR="00544649" w:rsidRDefault="00544649">
            <w:pPr>
              <w:pStyle w:val="aff7"/>
              <w:adjustRightInd w:val="0"/>
              <w:snapToGrid w:val="0"/>
              <w:spacing w:before="62" w:after="62"/>
              <w:rPr>
                <w:rFonts w:cs="Times New Roman"/>
                <w:kern w:val="21"/>
                <w:szCs w:val="21"/>
              </w:rPr>
            </w:pP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096DC16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H</w:t>
            </w:r>
            <w:r>
              <w:rPr>
                <w:rFonts w:cs="Times New Roman"/>
                <w:kern w:val="21"/>
                <w:szCs w:val="21"/>
                <w:vertAlign w:val="subscript"/>
              </w:rPr>
              <w:t>2</w:t>
            </w:r>
            <w:r>
              <w:rPr>
                <w:rFonts w:cs="Times New Roman"/>
                <w:kern w:val="21"/>
                <w:szCs w:val="21"/>
              </w:rPr>
              <w:t>S</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2A10DB1"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bCs/>
                <w:kern w:val="21"/>
                <w:sz w:val="21"/>
                <w:szCs w:val="21"/>
              </w:rPr>
            </w:pPr>
            <w:r>
              <w:rPr>
                <w:rFonts w:eastAsia="等线" w:cs="Times New Roman" w:hint="eastAsia"/>
                <w:bCs/>
                <w:kern w:val="21"/>
                <w:sz w:val="21"/>
                <w:szCs w:val="21"/>
              </w:rPr>
              <w:t>0.2172</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7971C84"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kern w:val="21"/>
                <w:sz w:val="21"/>
                <w:szCs w:val="21"/>
              </w:rPr>
            </w:pPr>
            <w:r>
              <w:rPr>
                <w:rFonts w:eastAsia="等线" w:cs="Times New Roman" w:hint="eastAsia"/>
                <w:kern w:val="21"/>
                <w:sz w:val="21"/>
                <w:szCs w:val="21"/>
              </w:rPr>
              <w:t>27</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4B2DA5EE"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kern w:val="21"/>
                <w:szCs w:val="21"/>
              </w:rPr>
              <w:t>10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31437B38"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2.172</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04DAF26F"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5E932CB1"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Ⅱ</w:t>
            </w:r>
          </w:p>
        </w:tc>
      </w:tr>
      <w:tr w:rsidR="00544649" w14:paraId="71A50347" w14:textId="77777777">
        <w:trPr>
          <w:cantSplit/>
          <w:jc w:val="center"/>
        </w:trPr>
        <w:tc>
          <w:tcPr>
            <w:tcW w:w="333" w:type="dxa"/>
            <w:vMerge w:val="restart"/>
            <w:tcBorders>
              <w:left w:val="single" w:sz="4" w:space="0" w:color="auto"/>
              <w:right w:val="single" w:sz="4" w:space="0" w:color="auto"/>
            </w:tcBorders>
            <w:vAlign w:val="center"/>
          </w:tcPr>
          <w:p w14:paraId="105B83B7"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有组织</w:t>
            </w:r>
          </w:p>
        </w:tc>
        <w:tc>
          <w:tcPr>
            <w:tcW w:w="926" w:type="dxa"/>
            <w:vMerge w:val="restart"/>
            <w:tcBorders>
              <w:left w:val="single" w:sz="4" w:space="0" w:color="auto"/>
              <w:right w:val="single" w:sz="4" w:space="0" w:color="auto"/>
            </w:tcBorders>
            <w:shd w:val="clear" w:color="auto" w:fill="auto"/>
            <w:vAlign w:val="center"/>
          </w:tcPr>
          <w:p w14:paraId="21D8BEE7"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DA001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132058F8"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kern w:val="21"/>
                <w:szCs w:val="21"/>
              </w:rPr>
              <w:t>SO</w:t>
            </w:r>
            <w:r>
              <w:rPr>
                <w:rFonts w:eastAsia="等线" w:cs="Times New Roman" w:hint="eastAsia"/>
                <w:kern w:val="21"/>
                <w:szCs w:val="21"/>
                <w:vertAlign w:val="subscript"/>
              </w:rPr>
              <w:t>2</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5B01ECA5"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bCs/>
                <w:kern w:val="21"/>
                <w:sz w:val="21"/>
                <w:szCs w:val="21"/>
              </w:rPr>
            </w:pPr>
            <w:r>
              <w:rPr>
                <w:rFonts w:cs="Times New Roman" w:hint="eastAsia"/>
                <w:bCs/>
                <w:kern w:val="21"/>
                <w:sz w:val="21"/>
                <w:szCs w:val="21"/>
              </w:rPr>
              <w:t>0.13659</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3E06BE0"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kern w:val="21"/>
                <w:sz w:val="21"/>
                <w:szCs w:val="21"/>
              </w:rPr>
            </w:pPr>
            <w:r>
              <w:rPr>
                <w:rFonts w:eastAsia="等线" w:cs="Times New Roman" w:hint="eastAsia"/>
                <w:kern w:val="21"/>
                <w:sz w:val="21"/>
                <w:szCs w:val="21"/>
              </w:rPr>
              <w:t>167</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03976CD6" w14:textId="77777777" w:rsidR="00544649" w:rsidRDefault="00000000">
            <w:pPr>
              <w:pStyle w:val="aff7"/>
              <w:adjustRightInd w:val="0"/>
              <w:snapToGrid w:val="0"/>
              <w:spacing w:before="62" w:after="62"/>
              <w:rPr>
                <w:rFonts w:eastAsia="等线" w:cs="Times New Roman"/>
                <w:kern w:val="21"/>
                <w:szCs w:val="21"/>
              </w:rPr>
            </w:pPr>
            <w:r>
              <w:rPr>
                <w:rFonts w:eastAsia="等线" w:cs="Times New Roman" w:hint="eastAsia"/>
                <w:kern w:val="21"/>
                <w:szCs w:val="21"/>
              </w:rPr>
              <w:t>500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6336F5FA" w14:textId="77777777" w:rsidR="00544649" w:rsidRDefault="00000000">
            <w:pPr>
              <w:pStyle w:val="aff7"/>
              <w:adjustRightInd w:val="0"/>
              <w:snapToGrid w:val="0"/>
              <w:spacing w:before="62" w:after="62"/>
              <w:rPr>
                <w:rFonts w:eastAsia="等线" w:cs="Times New Roman"/>
                <w:bCs/>
                <w:kern w:val="21"/>
                <w:szCs w:val="21"/>
              </w:rPr>
            </w:pPr>
            <w:r>
              <w:rPr>
                <w:rFonts w:eastAsia="等线" w:cs="Times New Roman" w:hint="eastAsia"/>
                <w:bCs/>
                <w:kern w:val="21"/>
                <w:szCs w:val="21"/>
              </w:rPr>
              <w:t>0.0273</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4E87666A"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3B70CE3E"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III</w:t>
            </w:r>
          </w:p>
        </w:tc>
      </w:tr>
      <w:tr w:rsidR="00544649" w14:paraId="13A93640" w14:textId="77777777">
        <w:trPr>
          <w:cantSplit/>
          <w:jc w:val="center"/>
        </w:trPr>
        <w:tc>
          <w:tcPr>
            <w:tcW w:w="333" w:type="dxa"/>
            <w:vMerge/>
            <w:tcBorders>
              <w:left w:val="single" w:sz="4" w:space="0" w:color="auto"/>
              <w:right w:val="single" w:sz="4" w:space="0" w:color="auto"/>
            </w:tcBorders>
            <w:vAlign w:val="center"/>
          </w:tcPr>
          <w:p w14:paraId="627BA411" w14:textId="77777777" w:rsidR="00544649" w:rsidRDefault="00544649">
            <w:pPr>
              <w:pStyle w:val="aff7"/>
              <w:adjustRightInd w:val="0"/>
              <w:snapToGrid w:val="0"/>
              <w:spacing w:before="62" w:after="62"/>
              <w:rPr>
                <w:rFonts w:cs="Times New Roman"/>
                <w:kern w:val="21"/>
                <w:szCs w:val="21"/>
              </w:rPr>
            </w:pPr>
          </w:p>
        </w:tc>
        <w:tc>
          <w:tcPr>
            <w:tcW w:w="926" w:type="dxa"/>
            <w:vMerge/>
            <w:tcBorders>
              <w:left w:val="single" w:sz="4" w:space="0" w:color="auto"/>
              <w:right w:val="single" w:sz="4" w:space="0" w:color="auto"/>
            </w:tcBorders>
            <w:shd w:val="clear" w:color="auto" w:fill="auto"/>
            <w:vAlign w:val="center"/>
          </w:tcPr>
          <w:p w14:paraId="3C5201F5" w14:textId="77777777" w:rsidR="00544649" w:rsidRDefault="00544649">
            <w:pPr>
              <w:pStyle w:val="aff7"/>
              <w:adjustRightInd w:val="0"/>
              <w:snapToGrid w:val="0"/>
              <w:spacing w:before="62" w:after="62"/>
              <w:rPr>
                <w:rFonts w:cs="Times New Roman"/>
                <w:kern w:val="21"/>
                <w:szCs w:val="21"/>
              </w:rPr>
            </w:pP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3121EF6B"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kern w:val="21"/>
                <w:szCs w:val="21"/>
              </w:rPr>
              <w:t>NOx</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7DEAA66C"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bCs/>
                <w:kern w:val="21"/>
                <w:sz w:val="21"/>
                <w:szCs w:val="21"/>
              </w:rPr>
            </w:pPr>
            <w:r>
              <w:rPr>
                <w:rFonts w:eastAsia="等线" w:cs="Times New Roman" w:hint="eastAsia"/>
                <w:bCs/>
                <w:kern w:val="21"/>
                <w:sz w:val="21"/>
                <w:szCs w:val="21"/>
              </w:rPr>
              <w:t>0.698127</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DFF732C"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kern w:val="21"/>
                <w:sz w:val="21"/>
                <w:szCs w:val="21"/>
              </w:rPr>
            </w:pPr>
            <w:r>
              <w:rPr>
                <w:rFonts w:eastAsia="等线" w:cs="Times New Roman" w:hint="eastAsia"/>
                <w:kern w:val="21"/>
                <w:sz w:val="21"/>
                <w:szCs w:val="21"/>
              </w:rPr>
              <w:t>167</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3BF2353A" w14:textId="77777777" w:rsidR="00544649" w:rsidRDefault="00000000">
            <w:pPr>
              <w:pStyle w:val="aff7"/>
              <w:adjustRightInd w:val="0"/>
              <w:snapToGrid w:val="0"/>
              <w:spacing w:before="62" w:after="62"/>
              <w:rPr>
                <w:rFonts w:eastAsia="等线" w:cs="Times New Roman"/>
                <w:kern w:val="21"/>
                <w:szCs w:val="21"/>
              </w:rPr>
            </w:pPr>
            <w:r>
              <w:rPr>
                <w:rFonts w:eastAsia="等线" w:cs="Times New Roman" w:hint="eastAsia"/>
                <w:kern w:val="21"/>
                <w:szCs w:val="21"/>
              </w:rPr>
              <w:t>250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55F0CE88" w14:textId="77777777" w:rsidR="00544649" w:rsidRDefault="00000000">
            <w:pPr>
              <w:pStyle w:val="aff7"/>
              <w:adjustRightInd w:val="0"/>
              <w:snapToGrid w:val="0"/>
              <w:spacing w:before="62" w:after="62"/>
              <w:rPr>
                <w:rFonts w:eastAsia="等线" w:cs="Times New Roman"/>
                <w:bCs/>
                <w:kern w:val="21"/>
                <w:szCs w:val="21"/>
              </w:rPr>
            </w:pPr>
            <w:r>
              <w:rPr>
                <w:rFonts w:eastAsia="等线" w:cs="Times New Roman" w:hint="eastAsia"/>
                <w:bCs/>
                <w:kern w:val="21"/>
                <w:szCs w:val="21"/>
              </w:rPr>
              <w:t>0.0279</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123016CB"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59E725FD"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III</w:t>
            </w:r>
          </w:p>
        </w:tc>
      </w:tr>
      <w:tr w:rsidR="00544649" w14:paraId="2C1F21B6" w14:textId="77777777">
        <w:trPr>
          <w:cantSplit/>
          <w:jc w:val="center"/>
        </w:trPr>
        <w:tc>
          <w:tcPr>
            <w:tcW w:w="333" w:type="dxa"/>
            <w:vMerge/>
            <w:tcBorders>
              <w:left w:val="single" w:sz="4" w:space="0" w:color="auto"/>
              <w:right w:val="single" w:sz="4" w:space="0" w:color="auto"/>
            </w:tcBorders>
            <w:vAlign w:val="center"/>
          </w:tcPr>
          <w:p w14:paraId="5D92F8D5" w14:textId="77777777" w:rsidR="00544649" w:rsidRDefault="00544649">
            <w:pPr>
              <w:pStyle w:val="aff7"/>
              <w:adjustRightInd w:val="0"/>
              <w:snapToGrid w:val="0"/>
              <w:spacing w:before="62" w:after="62"/>
              <w:rPr>
                <w:rFonts w:cs="Times New Roman"/>
                <w:kern w:val="21"/>
                <w:szCs w:val="21"/>
              </w:rPr>
            </w:pPr>
          </w:p>
        </w:tc>
        <w:tc>
          <w:tcPr>
            <w:tcW w:w="926" w:type="dxa"/>
            <w:vMerge/>
            <w:tcBorders>
              <w:left w:val="single" w:sz="4" w:space="0" w:color="auto"/>
              <w:right w:val="single" w:sz="4" w:space="0" w:color="auto"/>
            </w:tcBorders>
            <w:shd w:val="clear" w:color="auto" w:fill="auto"/>
            <w:vAlign w:val="center"/>
          </w:tcPr>
          <w:p w14:paraId="6A60FD6F" w14:textId="77777777" w:rsidR="00544649" w:rsidRDefault="00544649">
            <w:pPr>
              <w:pStyle w:val="aff7"/>
              <w:adjustRightInd w:val="0"/>
              <w:snapToGrid w:val="0"/>
              <w:spacing w:before="62" w:after="62"/>
              <w:rPr>
                <w:rFonts w:cs="Times New Roman"/>
                <w:kern w:val="21"/>
                <w:szCs w:val="21"/>
              </w:rPr>
            </w:pP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25E78768"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kern w:val="21"/>
                <w:szCs w:val="21"/>
              </w:rPr>
              <w:t>PM</w:t>
            </w:r>
            <w:r>
              <w:rPr>
                <w:rFonts w:eastAsia="等线" w:cs="Times New Roman" w:hint="eastAsia"/>
                <w:kern w:val="21"/>
                <w:szCs w:val="21"/>
                <w:vertAlign w:val="subscript"/>
              </w:rPr>
              <w:t>10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E4272D4"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bCs/>
                <w:kern w:val="21"/>
                <w:sz w:val="21"/>
                <w:szCs w:val="21"/>
              </w:rPr>
            </w:pPr>
            <w:r>
              <w:rPr>
                <w:rFonts w:eastAsia="等线" w:cs="Times New Roman" w:hint="eastAsia"/>
                <w:bCs/>
                <w:kern w:val="21"/>
                <w:sz w:val="21"/>
                <w:szCs w:val="21"/>
              </w:rPr>
              <w:t>0.0278239</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63C04E3"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kern w:val="21"/>
                <w:sz w:val="21"/>
                <w:szCs w:val="21"/>
              </w:rPr>
            </w:pPr>
            <w:r>
              <w:rPr>
                <w:rFonts w:eastAsia="等线" w:cs="Times New Roman" w:hint="eastAsia"/>
                <w:kern w:val="21"/>
                <w:sz w:val="21"/>
                <w:szCs w:val="21"/>
              </w:rPr>
              <w:t>167</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17943216" w14:textId="77777777" w:rsidR="00544649" w:rsidRDefault="00000000">
            <w:pPr>
              <w:pStyle w:val="aff7"/>
              <w:adjustRightInd w:val="0"/>
              <w:snapToGrid w:val="0"/>
              <w:spacing w:before="62" w:after="62"/>
              <w:rPr>
                <w:rFonts w:eastAsia="等线" w:cs="Times New Roman"/>
                <w:kern w:val="21"/>
                <w:szCs w:val="21"/>
              </w:rPr>
            </w:pPr>
            <w:r>
              <w:rPr>
                <w:rFonts w:eastAsia="等线" w:cs="Times New Roman" w:hint="eastAsia"/>
                <w:kern w:val="21"/>
                <w:szCs w:val="21"/>
              </w:rPr>
              <w:t>450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2B52439F" w14:textId="77777777" w:rsidR="00544649" w:rsidRDefault="00000000">
            <w:pPr>
              <w:pStyle w:val="aff7"/>
              <w:adjustRightInd w:val="0"/>
              <w:snapToGrid w:val="0"/>
              <w:spacing w:before="62" w:after="62"/>
              <w:rPr>
                <w:rFonts w:eastAsia="等线" w:cs="Times New Roman"/>
                <w:bCs/>
                <w:kern w:val="21"/>
                <w:szCs w:val="21"/>
              </w:rPr>
            </w:pPr>
            <w:r>
              <w:rPr>
                <w:rFonts w:eastAsia="等线" w:cs="Times New Roman" w:hint="eastAsia"/>
                <w:bCs/>
                <w:kern w:val="21"/>
                <w:szCs w:val="21"/>
              </w:rPr>
              <w:t>0.0139</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0DF8E522"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207B0FF0"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III</w:t>
            </w:r>
          </w:p>
        </w:tc>
      </w:tr>
      <w:tr w:rsidR="00544649" w14:paraId="665679D7" w14:textId="77777777">
        <w:trPr>
          <w:cantSplit/>
          <w:jc w:val="center"/>
        </w:trPr>
        <w:tc>
          <w:tcPr>
            <w:tcW w:w="333" w:type="dxa"/>
            <w:vMerge w:val="restart"/>
            <w:tcBorders>
              <w:left w:val="single" w:sz="4" w:space="0" w:color="auto"/>
              <w:right w:val="single" w:sz="4" w:space="0" w:color="auto"/>
            </w:tcBorders>
            <w:vAlign w:val="center"/>
          </w:tcPr>
          <w:p w14:paraId="415D0D72"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有</w:t>
            </w:r>
            <w:r>
              <w:rPr>
                <w:rFonts w:cs="Times New Roman" w:hint="eastAsia"/>
                <w:kern w:val="21"/>
                <w:szCs w:val="21"/>
              </w:rPr>
              <w:lastRenderedPageBreak/>
              <w:t>组织</w:t>
            </w:r>
          </w:p>
        </w:tc>
        <w:tc>
          <w:tcPr>
            <w:tcW w:w="926" w:type="dxa"/>
            <w:vMerge w:val="restart"/>
            <w:tcBorders>
              <w:left w:val="single" w:sz="4" w:space="0" w:color="auto"/>
              <w:right w:val="single" w:sz="4" w:space="0" w:color="auto"/>
            </w:tcBorders>
            <w:shd w:val="clear" w:color="auto" w:fill="auto"/>
            <w:vAlign w:val="center"/>
          </w:tcPr>
          <w:p w14:paraId="29D9AF73"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lastRenderedPageBreak/>
              <w:t>DA002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1F2C8ADF"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kern w:val="21"/>
                <w:szCs w:val="21"/>
              </w:rPr>
              <w:t>SO</w:t>
            </w:r>
            <w:r>
              <w:rPr>
                <w:rFonts w:eastAsia="等线" w:cs="Times New Roman" w:hint="eastAsia"/>
                <w:kern w:val="21"/>
                <w:szCs w:val="21"/>
                <w:vertAlign w:val="subscript"/>
              </w:rPr>
              <w:t>2</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AD85A6B"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bCs/>
                <w:kern w:val="21"/>
                <w:sz w:val="21"/>
                <w:szCs w:val="21"/>
              </w:rPr>
            </w:pPr>
            <w:r>
              <w:rPr>
                <w:rFonts w:eastAsia="等线" w:cs="Times New Roman" w:hint="eastAsia"/>
                <w:bCs/>
                <w:kern w:val="21"/>
                <w:sz w:val="21"/>
                <w:szCs w:val="21"/>
              </w:rPr>
              <w:t>0.4199</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9116056"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kern w:val="21"/>
                <w:sz w:val="21"/>
                <w:szCs w:val="21"/>
              </w:rPr>
            </w:pPr>
            <w:r>
              <w:rPr>
                <w:rFonts w:eastAsia="等线" w:cs="Times New Roman" w:hint="eastAsia"/>
                <w:kern w:val="21"/>
                <w:sz w:val="21"/>
                <w:szCs w:val="21"/>
              </w:rPr>
              <w:t>167</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1AA99631" w14:textId="77777777" w:rsidR="00544649" w:rsidRDefault="00000000">
            <w:pPr>
              <w:pStyle w:val="aff7"/>
              <w:adjustRightInd w:val="0"/>
              <w:snapToGrid w:val="0"/>
              <w:spacing w:before="62" w:after="62"/>
              <w:rPr>
                <w:rFonts w:eastAsia="等线" w:cs="Times New Roman"/>
                <w:kern w:val="21"/>
                <w:szCs w:val="21"/>
              </w:rPr>
            </w:pPr>
            <w:r>
              <w:rPr>
                <w:rFonts w:eastAsia="等线" w:cs="Times New Roman" w:hint="eastAsia"/>
                <w:kern w:val="21"/>
                <w:szCs w:val="21"/>
              </w:rPr>
              <w:t>500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76F38C32" w14:textId="77777777" w:rsidR="00544649" w:rsidRDefault="00000000">
            <w:pPr>
              <w:pStyle w:val="aff7"/>
              <w:adjustRightInd w:val="0"/>
              <w:snapToGrid w:val="0"/>
              <w:spacing w:before="62" w:after="62"/>
              <w:rPr>
                <w:rFonts w:eastAsia="等线" w:cs="Times New Roman"/>
                <w:bCs/>
                <w:kern w:val="21"/>
                <w:szCs w:val="21"/>
              </w:rPr>
            </w:pPr>
            <w:r>
              <w:rPr>
                <w:rFonts w:eastAsia="等线" w:cs="Times New Roman" w:hint="eastAsia"/>
                <w:bCs/>
                <w:kern w:val="21"/>
                <w:szCs w:val="21"/>
              </w:rPr>
              <w:t>0.0839</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7856556B"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2317E26F"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III</w:t>
            </w:r>
          </w:p>
        </w:tc>
      </w:tr>
      <w:tr w:rsidR="00544649" w14:paraId="53D2339D" w14:textId="77777777">
        <w:trPr>
          <w:cantSplit/>
          <w:jc w:val="center"/>
        </w:trPr>
        <w:tc>
          <w:tcPr>
            <w:tcW w:w="333" w:type="dxa"/>
            <w:vMerge/>
            <w:tcBorders>
              <w:left w:val="single" w:sz="4" w:space="0" w:color="auto"/>
              <w:right w:val="single" w:sz="4" w:space="0" w:color="auto"/>
            </w:tcBorders>
            <w:vAlign w:val="center"/>
          </w:tcPr>
          <w:p w14:paraId="1E8D0BD1" w14:textId="77777777" w:rsidR="00544649" w:rsidRDefault="00544649">
            <w:pPr>
              <w:pStyle w:val="aff7"/>
              <w:adjustRightInd w:val="0"/>
              <w:snapToGrid w:val="0"/>
              <w:spacing w:before="62" w:after="62"/>
              <w:rPr>
                <w:rFonts w:cs="Times New Roman"/>
                <w:kern w:val="21"/>
                <w:szCs w:val="21"/>
              </w:rPr>
            </w:pPr>
          </w:p>
        </w:tc>
        <w:tc>
          <w:tcPr>
            <w:tcW w:w="926" w:type="dxa"/>
            <w:vMerge/>
            <w:tcBorders>
              <w:left w:val="single" w:sz="4" w:space="0" w:color="auto"/>
              <w:right w:val="single" w:sz="4" w:space="0" w:color="auto"/>
            </w:tcBorders>
            <w:shd w:val="clear" w:color="auto" w:fill="auto"/>
            <w:vAlign w:val="center"/>
          </w:tcPr>
          <w:p w14:paraId="240B1B2F" w14:textId="77777777" w:rsidR="00544649" w:rsidRDefault="00544649">
            <w:pPr>
              <w:pStyle w:val="aff7"/>
              <w:adjustRightInd w:val="0"/>
              <w:snapToGrid w:val="0"/>
              <w:spacing w:before="62" w:after="62"/>
              <w:rPr>
                <w:rFonts w:cs="Times New Roman"/>
                <w:kern w:val="21"/>
                <w:szCs w:val="21"/>
              </w:rPr>
            </w:pP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591E8DC6"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kern w:val="21"/>
                <w:szCs w:val="21"/>
              </w:rPr>
              <w:t>NOx</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0431CB83"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bCs/>
                <w:kern w:val="21"/>
                <w:sz w:val="21"/>
                <w:szCs w:val="21"/>
              </w:rPr>
            </w:pPr>
            <w:r>
              <w:rPr>
                <w:rFonts w:eastAsia="等线" w:cs="Times New Roman" w:hint="eastAsia"/>
                <w:bCs/>
                <w:kern w:val="21"/>
                <w:sz w:val="21"/>
                <w:szCs w:val="21"/>
              </w:rPr>
              <w:t>1.96291</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5590742"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kern w:val="21"/>
                <w:sz w:val="21"/>
                <w:szCs w:val="21"/>
              </w:rPr>
            </w:pPr>
            <w:r>
              <w:rPr>
                <w:rFonts w:eastAsia="等线" w:cs="Times New Roman" w:hint="eastAsia"/>
                <w:kern w:val="21"/>
                <w:sz w:val="21"/>
                <w:szCs w:val="21"/>
              </w:rPr>
              <w:t>167</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437817F6" w14:textId="77777777" w:rsidR="00544649" w:rsidRDefault="00000000">
            <w:pPr>
              <w:pStyle w:val="aff7"/>
              <w:adjustRightInd w:val="0"/>
              <w:snapToGrid w:val="0"/>
              <w:spacing w:before="62" w:after="62"/>
              <w:rPr>
                <w:rFonts w:eastAsia="等线" w:cs="Times New Roman"/>
                <w:kern w:val="21"/>
                <w:szCs w:val="21"/>
              </w:rPr>
            </w:pPr>
            <w:r>
              <w:rPr>
                <w:rFonts w:eastAsia="等线" w:cs="Times New Roman" w:hint="eastAsia"/>
                <w:kern w:val="21"/>
                <w:szCs w:val="21"/>
              </w:rPr>
              <w:t>250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713C1FEA" w14:textId="77777777" w:rsidR="00544649" w:rsidRDefault="00000000">
            <w:pPr>
              <w:pStyle w:val="aff7"/>
              <w:adjustRightInd w:val="0"/>
              <w:snapToGrid w:val="0"/>
              <w:spacing w:before="62" w:after="62"/>
              <w:rPr>
                <w:rFonts w:eastAsia="等线" w:cs="Times New Roman"/>
                <w:bCs/>
                <w:kern w:val="21"/>
                <w:szCs w:val="21"/>
              </w:rPr>
            </w:pPr>
            <w:r>
              <w:rPr>
                <w:rFonts w:eastAsia="等线" w:cs="Times New Roman" w:hint="eastAsia"/>
                <w:bCs/>
                <w:kern w:val="21"/>
                <w:szCs w:val="21"/>
              </w:rPr>
              <w:t>0.0785</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2AA15543"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0A50AB8F"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III</w:t>
            </w:r>
          </w:p>
        </w:tc>
      </w:tr>
      <w:tr w:rsidR="00544649" w14:paraId="540B5AE6" w14:textId="77777777">
        <w:trPr>
          <w:cantSplit/>
          <w:jc w:val="center"/>
        </w:trPr>
        <w:tc>
          <w:tcPr>
            <w:tcW w:w="333" w:type="dxa"/>
            <w:vMerge/>
            <w:tcBorders>
              <w:left w:val="single" w:sz="4" w:space="0" w:color="auto"/>
              <w:bottom w:val="single" w:sz="4" w:space="0" w:color="auto"/>
              <w:right w:val="single" w:sz="4" w:space="0" w:color="auto"/>
            </w:tcBorders>
            <w:vAlign w:val="center"/>
          </w:tcPr>
          <w:p w14:paraId="4212DD62" w14:textId="77777777" w:rsidR="00544649" w:rsidRDefault="00544649">
            <w:pPr>
              <w:pStyle w:val="aff7"/>
              <w:adjustRightInd w:val="0"/>
              <w:snapToGrid w:val="0"/>
              <w:spacing w:before="62" w:after="62"/>
              <w:rPr>
                <w:rFonts w:cs="Times New Roman"/>
                <w:kern w:val="21"/>
                <w:szCs w:val="21"/>
              </w:rPr>
            </w:pPr>
          </w:p>
        </w:tc>
        <w:tc>
          <w:tcPr>
            <w:tcW w:w="926" w:type="dxa"/>
            <w:vMerge/>
            <w:tcBorders>
              <w:left w:val="single" w:sz="4" w:space="0" w:color="auto"/>
              <w:bottom w:val="single" w:sz="4" w:space="0" w:color="auto"/>
              <w:right w:val="single" w:sz="4" w:space="0" w:color="auto"/>
            </w:tcBorders>
            <w:shd w:val="clear" w:color="auto" w:fill="auto"/>
            <w:vAlign w:val="center"/>
          </w:tcPr>
          <w:p w14:paraId="68C3E026" w14:textId="77777777" w:rsidR="00544649" w:rsidRDefault="00544649">
            <w:pPr>
              <w:pStyle w:val="aff7"/>
              <w:adjustRightInd w:val="0"/>
              <w:snapToGrid w:val="0"/>
              <w:spacing w:before="62" w:after="62"/>
              <w:rPr>
                <w:rFonts w:cs="Times New Roman"/>
                <w:kern w:val="21"/>
                <w:szCs w:val="21"/>
              </w:rPr>
            </w:pP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3D7B130E"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kern w:val="21"/>
                <w:szCs w:val="21"/>
              </w:rPr>
              <w:t>PM</w:t>
            </w:r>
            <w:r>
              <w:rPr>
                <w:rFonts w:eastAsia="等线" w:cs="Times New Roman" w:hint="eastAsia"/>
                <w:kern w:val="21"/>
                <w:szCs w:val="21"/>
                <w:vertAlign w:val="subscript"/>
              </w:rPr>
              <w:t>10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3596E697"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bCs/>
                <w:kern w:val="21"/>
                <w:sz w:val="21"/>
                <w:szCs w:val="21"/>
              </w:rPr>
            </w:pPr>
            <w:r>
              <w:rPr>
                <w:rFonts w:eastAsia="等线" w:cs="Times New Roman" w:hint="eastAsia"/>
                <w:bCs/>
                <w:kern w:val="21"/>
                <w:sz w:val="21"/>
                <w:szCs w:val="21"/>
              </w:rPr>
              <w:t>0.0961217</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918F4E9" w14:textId="77777777" w:rsidR="00544649" w:rsidRDefault="00000000">
            <w:pPr>
              <w:widowControl/>
              <w:adjustRightInd w:val="0"/>
              <w:snapToGrid w:val="0"/>
              <w:spacing w:beforeLines="20" w:before="62" w:afterLines="20" w:after="62" w:line="240" w:lineRule="auto"/>
              <w:ind w:firstLineChars="0" w:firstLine="0"/>
              <w:jc w:val="center"/>
              <w:rPr>
                <w:rFonts w:eastAsia="等线" w:cs="Times New Roman"/>
                <w:kern w:val="21"/>
                <w:sz w:val="21"/>
                <w:szCs w:val="21"/>
              </w:rPr>
            </w:pPr>
            <w:r>
              <w:rPr>
                <w:rFonts w:eastAsia="等线" w:cs="Times New Roman" w:hint="eastAsia"/>
                <w:kern w:val="21"/>
                <w:sz w:val="21"/>
                <w:szCs w:val="21"/>
              </w:rPr>
              <w:t>167</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14:paraId="4D78887A" w14:textId="77777777" w:rsidR="00544649" w:rsidRDefault="00000000">
            <w:pPr>
              <w:pStyle w:val="aff7"/>
              <w:adjustRightInd w:val="0"/>
              <w:snapToGrid w:val="0"/>
              <w:spacing w:before="62" w:after="62"/>
              <w:rPr>
                <w:rFonts w:eastAsia="等线" w:cs="Times New Roman"/>
                <w:kern w:val="21"/>
                <w:szCs w:val="21"/>
              </w:rPr>
            </w:pPr>
            <w:r>
              <w:rPr>
                <w:rFonts w:eastAsia="等线" w:cs="Times New Roman" w:hint="eastAsia"/>
                <w:kern w:val="21"/>
                <w:szCs w:val="21"/>
              </w:rPr>
              <w:t>200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241897A6" w14:textId="77777777" w:rsidR="00544649" w:rsidRDefault="00000000">
            <w:pPr>
              <w:pStyle w:val="aff7"/>
              <w:adjustRightInd w:val="0"/>
              <w:snapToGrid w:val="0"/>
              <w:spacing w:before="62" w:after="62"/>
              <w:rPr>
                <w:rFonts w:eastAsia="等线" w:cs="Times New Roman"/>
                <w:bCs/>
                <w:kern w:val="21"/>
                <w:szCs w:val="21"/>
              </w:rPr>
            </w:pPr>
            <w:r>
              <w:rPr>
                <w:rFonts w:eastAsia="等线" w:cs="Times New Roman" w:hint="eastAsia"/>
                <w:bCs/>
                <w:kern w:val="21"/>
                <w:szCs w:val="21"/>
              </w:rPr>
              <w:t>0.048</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5E7E8149"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3632C063" w14:textId="77777777" w:rsidR="00544649" w:rsidRDefault="00000000">
            <w:pPr>
              <w:pStyle w:val="aff7"/>
              <w:adjustRightInd w:val="0"/>
              <w:snapToGrid w:val="0"/>
              <w:spacing w:before="62" w:after="62"/>
              <w:rPr>
                <w:rFonts w:cs="Times New Roman"/>
                <w:kern w:val="21"/>
                <w:szCs w:val="21"/>
              </w:rPr>
            </w:pPr>
            <w:r>
              <w:rPr>
                <w:rFonts w:eastAsia="等线" w:cs="Times New Roman" w:hint="eastAsia"/>
                <w:bCs/>
                <w:kern w:val="21"/>
                <w:szCs w:val="21"/>
              </w:rPr>
              <w:t>III</w:t>
            </w:r>
          </w:p>
        </w:tc>
      </w:tr>
    </w:tbl>
    <w:bookmarkEnd w:id="135"/>
    <w:p w14:paraId="52AB0797" w14:textId="77777777" w:rsidR="00544649" w:rsidRDefault="00000000">
      <w:pPr>
        <w:adjustRightInd w:val="0"/>
        <w:snapToGrid w:val="0"/>
        <w:spacing w:after="0"/>
        <w:ind w:firstLine="480"/>
        <w:rPr>
          <w:rFonts w:cs="Times New Roman"/>
          <w:kern w:val="21"/>
        </w:rPr>
      </w:pPr>
      <w:r>
        <w:rPr>
          <w:rFonts w:cs="Times New Roman"/>
          <w:kern w:val="21"/>
        </w:rPr>
        <w:t>由上表计算结果可知，本项目</w:t>
      </w:r>
      <w:r>
        <w:rPr>
          <w:rFonts w:cs="Times New Roman" w:hint="eastAsia"/>
          <w:kern w:val="21"/>
        </w:rPr>
        <w:t>新</w:t>
      </w:r>
      <w:r>
        <w:rPr>
          <w:rFonts w:cs="Times New Roman"/>
          <w:kern w:val="21"/>
        </w:rPr>
        <w:t>建完成后最大地面浓度占标率为</w:t>
      </w:r>
      <w:r>
        <w:rPr>
          <w:kern w:val="21"/>
          <w:szCs w:val="24"/>
        </w:rPr>
        <w:t>P</w:t>
      </w:r>
      <w:r>
        <w:rPr>
          <w:kern w:val="21"/>
          <w:szCs w:val="24"/>
          <w:vertAlign w:val="subscript"/>
        </w:rPr>
        <w:t>max</w:t>
      </w:r>
      <w:r>
        <w:rPr>
          <w:kern w:val="21"/>
          <w:szCs w:val="24"/>
        </w:rPr>
        <w:t>=8.3584</w:t>
      </w:r>
      <w:r>
        <w:rPr>
          <w:rFonts w:hint="eastAsia"/>
          <w:kern w:val="21"/>
          <w:szCs w:val="24"/>
        </w:rPr>
        <w:t>%</w:t>
      </w:r>
      <w:r>
        <w:rPr>
          <w:rFonts w:cs="Times New Roman"/>
          <w:kern w:val="21"/>
        </w:rPr>
        <w:t>＜</w:t>
      </w:r>
      <w:r>
        <w:rPr>
          <w:rFonts w:cs="Times New Roman"/>
          <w:kern w:val="21"/>
        </w:rPr>
        <w:t>10%</w:t>
      </w:r>
      <w:r>
        <w:rPr>
          <w:rFonts w:cs="Times New Roman"/>
          <w:kern w:val="21"/>
        </w:rPr>
        <w:t>，根据《环境影响评价技术导则大气环境》（</w:t>
      </w:r>
      <w:r>
        <w:rPr>
          <w:rFonts w:cs="Times New Roman"/>
          <w:kern w:val="21"/>
        </w:rPr>
        <w:t>HJ2.2-2018</w:t>
      </w:r>
      <w:r>
        <w:rPr>
          <w:rFonts w:cs="Times New Roman"/>
          <w:kern w:val="21"/>
        </w:rPr>
        <w:t>）中的评价等级判定依据，确定本项目大气环境影响评价等级为</w:t>
      </w:r>
      <w:r>
        <w:rPr>
          <w:rFonts w:cs="Times New Roman"/>
          <w:b/>
          <w:bCs/>
          <w:kern w:val="21"/>
        </w:rPr>
        <w:t>二级</w:t>
      </w:r>
      <w:r>
        <w:rPr>
          <w:rFonts w:cs="Times New Roman"/>
          <w:kern w:val="21"/>
        </w:rPr>
        <w:t>。</w:t>
      </w:r>
    </w:p>
    <w:p w14:paraId="064F0420" w14:textId="77777777" w:rsidR="00544649" w:rsidRDefault="00000000">
      <w:pPr>
        <w:keepNext/>
        <w:keepLines/>
        <w:numPr>
          <w:ilvl w:val="3"/>
          <w:numId w:val="2"/>
        </w:numPr>
        <w:adjustRightInd w:val="0"/>
        <w:snapToGrid w:val="0"/>
        <w:spacing w:after="0"/>
        <w:ind w:firstLineChars="0"/>
        <w:outlineLvl w:val="3"/>
        <w:rPr>
          <w:rFonts w:cs="Times New Roman"/>
          <w:b/>
          <w:bCs/>
          <w:kern w:val="21"/>
          <w:szCs w:val="24"/>
        </w:rPr>
      </w:pPr>
      <w:r>
        <w:rPr>
          <w:rFonts w:cs="Times New Roman"/>
          <w:b/>
          <w:bCs/>
          <w:kern w:val="21"/>
          <w:szCs w:val="24"/>
        </w:rPr>
        <w:t>评价范围</w:t>
      </w:r>
    </w:p>
    <w:p w14:paraId="205DF20E" w14:textId="77777777" w:rsidR="00544649" w:rsidRDefault="00000000">
      <w:pPr>
        <w:adjustRightInd w:val="0"/>
        <w:snapToGrid w:val="0"/>
        <w:spacing w:after="0"/>
        <w:ind w:firstLine="480"/>
        <w:rPr>
          <w:rFonts w:cs="Times New Roman"/>
          <w:kern w:val="21"/>
        </w:rPr>
      </w:pPr>
      <w:r>
        <w:rPr>
          <w:rFonts w:cs="Times New Roman"/>
          <w:kern w:val="21"/>
        </w:rPr>
        <w:t>本项目大气评价等级为二级，主要大气污染物影响范围较小，依据《环境影响评价技术导则大气环境》（</w:t>
      </w:r>
      <w:r>
        <w:rPr>
          <w:rFonts w:cs="Times New Roman"/>
          <w:kern w:val="21"/>
        </w:rPr>
        <w:t>HJ2.2-2018</w:t>
      </w:r>
      <w:r>
        <w:rPr>
          <w:rFonts w:cs="Times New Roman"/>
          <w:kern w:val="21"/>
        </w:rPr>
        <w:t>），项目大气环境评价范围为以项目边界外延后边长</w:t>
      </w:r>
      <w:r>
        <w:rPr>
          <w:rFonts w:cs="Times New Roman"/>
          <w:kern w:val="21"/>
        </w:rPr>
        <w:t>5km</w:t>
      </w:r>
      <w:r>
        <w:rPr>
          <w:rFonts w:cs="Times New Roman"/>
          <w:kern w:val="21"/>
        </w:rPr>
        <w:t>的正方形范围。</w:t>
      </w:r>
    </w:p>
    <w:p w14:paraId="4F1BBFED" w14:textId="77777777" w:rsidR="00544649" w:rsidRDefault="00000000">
      <w:pPr>
        <w:adjustRightInd w:val="0"/>
        <w:snapToGrid w:val="0"/>
        <w:spacing w:after="0" w:line="240" w:lineRule="auto"/>
        <w:ind w:firstLineChars="0" w:firstLine="0"/>
        <w:jc w:val="center"/>
        <w:rPr>
          <w:rFonts w:cs="Times New Roman"/>
          <w:kern w:val="21"/>
        </w:rPr>
      </w:pPr>
      <w:r>
        <w:rPr>
          <w:noProof/>
        </w:rPr>
        <w:drawing>
          <wp:inline distT="0" distB="0" distL="0" distR="0" wp14:anchorId="089630E3" wp14:editId="04DE3907">
            <wp:extent cx="5615940" cy="3406140"/>
            <wp:effectExtent l="0" t="0" r="3810" b="3810"/>
            <wp:docPr id="4371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046" name="图片 1"/>
                    <pic:cNvPicPr>
                      <a:picLocks noChangeAspect="1"/>
                    </pic:cNvPicPr>
                  </pic:nvPicPr>
                  <pic:blipFill>
                    <a:blip r:embed="rId32"/>
                    <a:stretch>
                      <a:fillRect/>
                    </a:stretch>
                  </pic:blipFill>
                  <pic:spPr>
                    <a:xfrm>
                      <a:off x="0" y="0"/>
                      <a:ext cx="5615940" cy="3406140"/>
                    </a:xfrm>
                    <a:prstGeom prst="rect">
                      <a:avLst/>
                    </a:prstGeom>
                  </pic:spPr>
                </pic:pic>
              </a:graphicData>
            </a:graphic>
          </wp:inline>
        </w:drawing>
      </w:r>
    </w:p>
    <w:p w14:paraId="769ED3D1" w14:textId="77777777" w:rsidR="00544649" w:rsidRDefault="00000000">
      <w:pPr>
        <w:numPr>
          <w:ilvl w:val="0"/>
          <w:numId w:val="14"/>
        </w:numPr>
        <w:adjustRightInd w:val="0"/>
        <w:snapToGrid w:val="0"/>
        <w:spacing w:after="0" w:line="240" w:lineRule="auto"/>
        <w:ind w:left="0" w:firstLineChars="0" w:firstLine="0"/>
        <w:jc w:val="center"/>
        <w:rPr>
          <w:rFonts w:cs="Times New Roman"/>
          <w:b/>
          <w:bCs/>
          <w:kern w:val="21"/>
          <w:sz w:val="21"/>
          <w:szCs w:val="21"/>
        </w:rPr>
      </w:pPr>
      <w:r>
        <w:rPr>
          <w:rFonts w:cs="Times New Roman"/>
          <w:b/>
          <w:kern w:val="21"/>
          <w:sz w:val="21"/>
          <w:szCs w:val="21"/>
        </w:rPr>
        <w:t>本项目</w:t>
      </w:r>
      <w:r>
        <w:rPr>
          <w:rFonts w:cs="Times New Roman" w:hint="eastAsia"/>
          <w:b/>
          <w:bCs/>
          <w:kern w:val="21"/>
          <w:sz w:val="21"/>
          <w:szCs w:val="21"/>
        </w:rPr>
        <w:t>大气评价范围图</w:t>
      </w:r>
    </w:p>
    <w:p w14:paraId="4630E845" w14:textId="77777777" w:rsidR="00544649" w:rsidRDefault="00000000">
      <w:pPr>
        <w:pStyle w:val="3"/>
        <w:numPr>
          <w:ilvl w:val="2"/>
          <w:numId w:val="2"/>
        </w:numPr>
        <w:adjustRightInd w:val="0"/>
        <w:snapToGrid w:val="0"/>
        <w:spacing w:after="0"/>
        <w:rPr>
          <w:rFonts w:cs="Times New Roman"/>
          <w:kern w:val="21"/>
        </w:rPr>
      </w:pPr>
      <w:bookmarkStart w:id="136" w:name="_Toc1361"/>
      <w:bookmarkStart w:id="137" w:name="_Toc31707"/>
      <w:bookmarkStart w:id="138" w:name="_Toc195009808"/>
      <w:r>
        <w:rPr>
          <w:rFonts w:cs="Times New Roman"/>
          <w:kern w:val="21"/>
        </w:rPr>
        <w:t>地表水环境评价</w:t>
      </w:r>
      <w:bookmarkEnd w:id="136"/>
      <w:bookmarkEnd w:id="137"/>
      <w:bookmarkEnd w:id="138"/>
    </w:p>
    <w:p w14:paraId="5D4B75E8" w14:textId="77777777" w:rsidR="00544649" w:rsidRDefault="00000000">
      <w:pPr>
        <w:keepNext/>
        <w:keepLines/>
        <w:numPr>
          <w:ilvl w:val="3"/>
          <w:numId w:val="2"/>
        </w:numPr>
        <w:adjustRightInd w:val="0"/>
        <w:snapToGrid w:val="0"/>
        <w:spacing w:after="0"/>
        <w:ind w:firstLineChars="0"/>
        <w:outlineLvl w:val="3"/>
        <w:rPr>
          <w:rFonts w:cs="Times New Roman"/>
          <w:b/>
          <w:kern w:val="21"/>
          <w:szCs w:val="28"/>
        </w:rPr>
      </w:pPr>
      <w:r>
        <w:rPr>
          <w:rFonts w:cs="Times New Roman"/>
          <w:b/>
          <w:kern w:val="21"/>
          <w:szCs w:val="28"/>
        </w:rPr>
        <w:t>评价等级</w:t>
      </w:r>
    </w:p>
    <w:p w14:paraId="32F73321" w14:textId="77777777" w:rsidR="00544649" w:rsidRDefault="00000000">
      <w:pPr>
        <w:adjustRightInd w:val="0"/>
        <w:snapToGrid w:val="0"/>
        <w:spacing w:after="0"/>
        <w:ind w:firstLine="480"/>
        <w:rPr>
          <w:rFonts w:cs="Times New Roman"/>
          <w:kern w:val="21"/>
          <w:szCs w:val="24"/>
        </w:rPr>
      </w:pPr>
      <w:r>
        <w:rPr>
          <w:rFonts w:cs="Times New Roman"/>
          <w:kern w:val="21"/>
          <w:szCs w:val="24"/>
        </w:rPr>
        <w:t>根据《环境影响评价技术导则地表水环境》（</w:t>
      </w:r>
      <w:r>
        <w:rPr>
          <w:rFonts w:cs="Times New Roman"/>
          <w:kern w:val="21"/>
          <w:szCs w:val="24"/>
        </w:rPr>
        <w:t>HJ2.3-2018</w:t>
      </w:r>
      <w:r>
        <w:rPr>
          <w:rFonts w:cs="Times New Roman"/>
          <w:kern w:val="21"/>
          <w:szCs w:val="24"/>
        </w:rPr>
        <w:t>），水污染影响型建设项目评价等级判定见下表。</w:t>
      </w:r>
    </w:p>
    <w:p w14:paraId="50713767"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水污染影响型建设项目评价等级判定</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746"/>
        <w:gridCol w:w="5485"/>
      </w:tblGrid>
      <w:tr w:rsidR="00544649" w14:paraId="6EBACF87" w14:textId="77777777">
        <w:trPr>
          <w:trHeight w:val="218"/>
          <w:tblHeader/>
          <w:jc w:val="center"/>
        </w:trPr>
        <w:tc>
          <w:tcPr>
            <w:tcW w:w="1715" w:type="dxa"/>
            <w:vMerge w:val="restart"/>
            <w:shd w:val="clear" w:color="auto" w:fill="auto"/>
            <w:vAlign w:val="center"/>
          </w:tcPr>
          <w:p w14:paraId="22675006"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评价等级</w:t>
            </w:r>
          </w:p>
        </w:tc>
        <w:tc>
          <w:tcPr>
            <w:tcW w:w="7231" w:type="dxa"/>
            <w:gridSpan w:val="2"/>
            <w:shd w:val="clear" w:color="auto" w:fill="auto"/>
            <w:vAlign w:val="center"/>
          </w:tcPr>
          <w:p w14:paraId="7075B557"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判定依据</w:t>
            </w:r>
          </w:p>
        </w:tc>
      </w:tr>
      <w:tr w:rsidR="00544649" w14:paraId="6E41353C" w14:textId="77777777">
        <w:trPr>
          <w:trHeight w:val="90"/>
          <w:tblHeader/>
          <w:jc w:val="center"/>
        </w:trPr>
        <w:tc>
          <w:tcPr>
            <w:tcW w:w="1715" w:type="dxa"/>
            <w:vMerge/>
            <w:shd w:val="clear" w:color="auto" w:fill="auto"/>
            <w:vAlign w:val="center"/>
          </w:tcPr>
          <w:p w14:paraId="0FB850E0" w14:textId="77777777" w:rsidR="00544649" w:rsidRDefault="00544649">
            <w:pPr>
              <w:adjustRightInd w:val="0"/>
              <w:snapToGrid w:val="0"/>
              <w:spacing w:beforeLines="20" w:before="62" w:afterLines="20" w:after="62" w:line="240" w:lineRule="auto"/>
              <w:ind w:firstLineChars="0" w:firstLine="0"/>
              <w:jc w:val="center"/>
              <w:rPr>
                <w:rFonts w:cs="Times New Roman"/>
                <w:b/>
                <w:bCs/>
                <w:kern w:val="21"/>
                <w:sz w:val="21"/>
                <w:szCs w:val="21"/>
              </w:rPr>
            </w:pPr>
          </w:p>
        </w:tc>
        <w:tc>
          <w:tcPr>
            <w:tcW w:w="1746" w:type="dxa"/>
            <w:shd w:val="clear" w:color="auto" w:fill="auto"/>
            <w:vAlign w:val="center"/>
          </w:tcPr>
          <w:p w14:paraId="2D036B55"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排放方式</w:t>
            </w:r>
          </w:p>
        </w:tc>
        <w:tc>
          <w:tcPr>
            <w:tcW w:w="5485" w:type="dxa"/>
            <w:shd w:val="clear" w:color="auto" w:fill="auto"/>
            <w:vAlign w:val="center"/>
          </w:tcPr>
          <w:p w14:paraId="77395A11"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废水排放量</w:t>
            </w:r>
            <w:r>
              <w:rPr>
                <w:rFonts w:cs="Times New Roman"/>
                <w:b/>
                <w:bCs/>
                <w:kern w:val="21"/>
                <w:sz w:val="21"/>
                <w:szCs w:val="21"/>
              </w:rPr>
              <w:t>Q</w:t>
            </w:r>
            <w:r>
              <w:rPr>
                <w:rFonts w:cs="Times New Roman"/>
                <w:b/>
                <w:bCs/>
                <w:kern w:val="21"/>
                <w:sz w:val="21"/>
                <w:szCs w:val="21"/>
              </w:rPr>
              <w:t>（</w:t>
            </w:r>
            <w:r>
              <w:rPr>
                <w:rFonts w:cs="Times New Roman"/>
                <w:b/>
                <w:bCs/>
                <w:kern w:val="21"/>
                <w:sz w:val="21"/>
                <w:szCs w:val="21"/>
              </w:rPr>
              <w:t>m</w:t>
            </w:r>
            <w:r>
              <w:rPr>
                <w:rFonts w:cs="Times New Roman"/>
                <w:b/>
                <w:bCs/>
                <w:kern w:val="21"/>
                <w:sz w:val="21"/>
                <w:szCs w:val="21"/>
                <w:vertAlign w:val="superscript"/>
              </w:rPr>
              <w:t>3</w:t>
            </w:r>
            <w:r>
              <w:rPr>
                <w:rFonts w:cs="Times New Roman"/>
                <w:b/>
                <w:bCs/>
                <w:kern w:val="21"/>
                <w:sz w:val="21"/>
                <w:szCs w:val="21"/>
              </w:rPr>
              <w:t>/d</w:t>
            </w:r>
            <w:r>
              <w:rPr>
                <w:rFonts w:cs="Times New Roman"/>
                <w:b/>
                <w:bCs/>
                <w:kern w:val="21"/>
                <w:sz w:val="21"/>
                <w:szCs w:val="21"/>
              </w:rPr>
              <w:t>）；水污染当量数</w:t>
            </w:r>
            <w:r>
              <w:rPr>
                <w:rFonts w:cs="Times New Roman"/>
                <w:b/>
                <w:bCs/>
                <w:kern w:val="21"/>
                <w:sz w:val="21"/>
                <w:szCs w:val="21"/>
              </w:rPr>
              <w:t>W</w:t>
            </w:r>
            <w:r>
              <w:rPr>
                <w:rFonts w:cs="Times New Roman"/>
                <w:b/>
                <w:bCs/>
                <w:kern w:val="21"/>
                <w:sz w:val="21"/>
                <w:szCs w:val="21"/>
              </w:rPr>
              <w:t>（无量纲）</w:t>
            </w:r>
          </w:p>
        </w:tc>
      </w:tr>
      <w:tr w:rsidR="00544649" w14:paraId="413D59F7" w14:textId="77777777">
        <w:trPr>
          <w:jc w:val="center"/>
        </w:trPr>
        <w:tc>
          <w:tcPr>
            <w:tcW w:w="1715" w:type="dxa"/>
            <w:shd w:val="clear" w:color="auto" w:fill="auto"/>
            <w:vAlign w:val="center"/>
          </w:tcPr>
          <w:p w14:paraId="56A430C3"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一级</w:t>
            </w:r>
          </w:p>
        </w:tc>
        <w:tc>
          <w:tcPr>
            <w:tcW w:w="1746" w:type="dxa"/>
            <w:shd w:val="clear" w:color="auto" w:fill="auto"/>
            <w:vAlign w:val="center"/>
          </w:tcPr>
          <w:p w14:paraId="73EF8D51"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直接排放</w:t>
            </w:r>
          </w:p>
        </w:tc>
        <w:tc>
          <w:tcPr>
            <w:tcW w:w="5485" w:type="dxa"/>
            <w:shd w:val="clear" w:color="auto" w:fill="auto"/>
            <w:vAlign w:val="center"/>
          </w:tcPr>
          <w:p w14:paraId="480D4C85"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Q≥20000</w:t>
            </w:r>
            <w:r>
              <w:rPr>
                <w:rFonts w:cs="Times New Roman"/>
                <w:bCs/>
                <w:kern w:val="21"/>
                <w:sz w:val="21"/>
                <w:szCs w:val="21"/>
              </w:rPr>
              <w:t>或</w:t>
            </w:r>
            <w:r>
              <w:rPr>
                <w:rFonts w:cs="Times New Roman"/>
                <w:bCs/>
                <w:kern w:val="21"/>
                <w:sz w:val="21"/>
                <w:szCs w:val="21"/>
              </w:rPr>
              <w:t>W≥600000</w:t>
            </w:r>
          </w:p>
        </w:tc>
      </w:tr>
      <w:tr w:rsidR="00544649" w14:paraId="6A4CC12B" w14:textId="77777777">
        <w:trPr>
          <w:jc w:val="center"/>
        </w:trPr>
        <w:tc>
          <w:tcPr>
            <w:tcW w:w="1715" w:type="dxa"/>
            <w:shd w:val="clear" w:color="auto" w:fill="auto"/>
            <w:vAlign w:val="center"/>
          </w:tcPr>
          <w:p w14:paraId="69B135CA"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二级</w:t>
            </w:r>
          </w:p>
        </w:tc>
        <w:tc>
          <w:tcPr>
            <w:tcW w:w="1746" w:type="dxa"/>
            <w:shd w:val="clear" w:color="auto" w:fill="auto"/>
            <w:vAlign w:val="center"/>
          </w:tcPr>
          <w:p w14:paraId="4E697726"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直接排放</w:t>
            </w:r>
          </w:p>
        </w:tc>
        <w:tc>
          <w:tcPr>
            <w:tcW w:w="5485" w:type="dxa"/>
            <w:shd w:val="clear" w:color="auto" w:fill="auto"/>
            <w:vAlign w:val="center"/>
          </w:tcPr>
          <w:p w14:paraId="3F0CD4CE"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其他</w:t>
            </w:r>
          </w:p>
        </w:tc>
      </w:tr>
      <w:tr w:rsidR="00544649" w14:paraId="7AB66D13" w14:textId="77777777">
        <w:trPr>
          <w:jc w:val="center"/>
        </w:trPr>
        <w:tc>
          <w:tcPr>
            <w:tcW w:w="1715" w:type="dxa"/>
            <w:shd w:val="clear" w:color="auto" w:fill="auto"/>
            <w:vAlign w:val="center"/>
          </w:tcPr>
          <w:p w14:paraId="1D9B82C3"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三级</w:t>
            </w:r>
            <w:r>
              <w:rPr>
                <w:rFonts w:cs="Times New Roman"/>
                <w:bCs/>
                <w:kern w:val="21"/>
                <w:sz w:val="21"/>
                <w:szCs w:val="21"/>
              </w:rPr>
              <w:t>A</w:t>
            </w:r>
          </w:p>
        </w:tc>
        <w:tc>
          <w:tcPr>
            <w:tcW w:w="1746" w:type="dxa"/>
            <w:shd w:val="clear" w:color="auto" w:fill="auto"/>
            <w:vAlign w:val="center"/>
          </w:tcPr>
          <w:p w14:paraId="71F43B25"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直接排放</w:t>
            </w:r>
          </w:p>
        </w:tc>
        <w:tc>
          <w:tcPr>
            <w:tcW w:w="5485" w:type="dxa"/>
            <w:shd w:val="clear" w:color="auto" w:fill="auto"/>
            <w:vAlign w:val="center"/>
          </w:tcPr>
          <w:p w14:paraId="418DDF25"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Q</w:t>
            </w:r>
            <w:r>
              <w:rPr>
                <w:rFonts w:cs="Times New Roman"/>
                <w:bCs/>
                <w:kern w:val="21"/>
                <w:sz w:val="21"/>
                <w:szCs w:val="21"/>
              </w:rPr>
              <w:t>＜</w:t>
            </w:r>
            <w:r>
              <w:rPr>
                <w:rFonts w:cs="Times New Roman"/>
                <w:bCs/>
                <w:kern w:val="21"/>
                <w:sz w:val="21"/>
                <w:szCs w:val="21"/>
              </w:rPr>
              <w:t>200</w:t>
            </w:r>
            <w:r>
              <w:rPr>
                <w:rFonts w:cs="Times New Roman"/>
                <w:bCs/>
                <w:kern w:val="21"/>
                <w:sz w:val="21"/>
                <w:szCs w:val="21"/>
              </w:rPr>
              <w:t>且</w:t>
            </w:r>
            <w:r>
              <w:rPr>
                <w:rFonts w:cs="Times New Roman"/>
                <w:bCs/>
                <w:kern w:val="21"/>
                <w:sz w:val="21"/>
                <w:szCs w:val="21"/>
              </w:rPr>
              <w:t>W</w:t>
            </w:r>
            <w:r>
              <w:rPr>
                <w:rFonts w:cs="Times New Roman"/>
                <w:bCs/>
                <w:kern w:val="21"/>
                <w:sz w:val="21"/>
                <w:szCs w:val="21"/>
              </w:rPr>
              <w:t>＜</w:t>
            </w:r>
            <w:r>
              <w:rPr>
                <w:rFonts w:cs="Times New Roman"/>
                <w:bCs/>
                <w:kern w:val="21"/>
                <w:sz w:val="21"/>
                <w:szCs w:val="21"/>
              </w:rPr>
              <w:t>6000</w:t>
            </w:r>
          </w:p>
        </w:tc>
      </w:tr>
      <w:tr w:rsidR="00544649" w14:paraId="24F714E1" w14:textId="77777777">
        <w:trPr>
          <w:jc w:val="center"/>
        </w:trPr>
        <w:tc>
          <w:tcPr>
            <w:tcW w:w="1715" w:type="dxa"/>
            <w:shd w:val="clear" w:color="auto" w:fill="auto"/>
            <w:vAlign w:val="center"/>
          </w:tcPr>
          <w:p w14:paraId="43835B8D"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lastRenderedPageBreak/>
              <w:t>三级</w:t>
            </w:r>
            <w:r>
              <w:rPr>
                <w:rFonts w:cs="Times New Roman"/>
                <w:bCs/>
                <w:kern w:val="21"/>
                <w:sz w:val="21"/>
                <w:szCs w:val="21"/>
              </w:rPr>
              <w:t>B</w:t>
            </w:r>
          </w:p>
        </w:tc>
        <w:tc>
          <w:tcPr>
            <w:tcW w:w="1746" w:type="dxa"/>
            <w:shd w:val="clear" w:color="auto" w:fill="auto"/>
            <w:vAlign w:val="center"/>
          </w:tcPr>
          <w:p w14:paraId="215C0E8F"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间接排放</w:t>
            </w:r>
          </w:p>
        </w:tc>
        <w:tc>
          <w:tcPr>
            <w:tcW w:w="5485" w:type="dxa"/>
            <w:shd w:val="clear" w:color="auto" w:fill="auto"/>
            <w:vAlign w:val="center"/>
          </w:tcPr>
          <w:p w14:paraId="63A751B9"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w:t>
            </w:r>
          </w:p>
        </w:tc>
      </w:tr>
      <w:tr w:rsidR="00544649" w14:paraId="6521DE47" w14:textId="77777777">
        <w:trPr>
          <w:jc w:val="center"/>
        </w:trPr>
        <w:tc>
          <w:tcPr>
            <w:tcW w:w="8946" w:type="dxa"/>
            <w:gridSpan w:val="3"/>
            <w:shd w:val="clear" w:color="auto" w:fill="auto"/>
            <w:vAlign w:val="center"/>
          </w:tcPr>
          <w:p w14:paraId="35E8BA14"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bCs/>
                <w:kern w:val="21"/>
                <w:sz w:val="21"/>
                <w:szCs w:val="21"/>
              </w:rPr>
              <w:t>注</w:t>
            </w:r>
            <w:r>
              <w:rPr>
                <w:rFonts w:cs="Times New Roman"/>
                <w:bCs/>
                <w:kern w:val="21"/>
                <w:sz w:val="21"/>
                <w:szCs w:val="21"/>
              </w:rPr>
              <w:t>1</w:t>
            </w:r>
            <w:r>
              <w:rPr>
                <w:rFonts w:cs="Times New Roman"/>
                <w:bCs/>
                <w:kern w:val="21"/>
                <w:sz w:val="21"/>
                <w:szCs w:val="21"/>
              </w:rPr>
              <w:t>：水污染物当量数等于该污染物的年排放量除以该污染物的污染当量值（见附录</w:t>
            </w:r>
            <w:r>
              <w:rPr>
                <w:rFonts w:cs="Times New Roman"/>
                <w:bCs/>
                <w:kern w:val="21"/>
                <w:sz w:val="21"/>
                <w:szCs w:val="21"/>
              </w:rPr>
              <w:t>A</w:t>
            </w:r>
            <w:r>
              <w:rPr>
                <w:rFonts w:cs="Times New Roman"/>
                <w:bCs/>
                <w:kern w:val="21"/>
                <w:sz w:val="21"/>
                <w:szCs w:val="21"/>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3C376FE7"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bCs/>
                <w:kern w:val="21"/>
                <w:sz w:val="21"/>
                <w:szCs w:val="21"/>
              </w:rPr>
              <w:t>注</w:t>
            </w:r>
            <w:r>
              <w:rPr>
                <w:rFonts w:cs="Times New Roman"/>
                <w:bCs/>
                <w:kern w:val="21"/>
                <w:sz w:val="21"/>
                <w:szCs w:val="21"/>
              </w:rPr>
              <w:t>2</w:t>
            </w:r>
            <w:r>
              <w:rPr>
                <w:rFonts w:cs="Times New Roman"/>
                <w:bCs/>
                <w:kern w:val="21"/>
                <w:sz w:val="21"/>
                <w:szCs w:val="21"/>
              </w:rPr>
              <w:t>：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35CCB434"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bCs/>
                <w:kern w:val="21"/>
                <w:sz w:val="21"/>
                <w:szCs w:val="21"/>
              </w:rPr>
              <w:t>注</w:t>
            </w:r>
            <w:r>
              <w:rPr>
                <w:rFonts w:cs="Times New Roman"/>
                <w:bCs/>
                <w:kern w:val="21"/>
                <w:sz w:val="21"/>
                <w:szCs w:val="21"/>
              </w:rPr>
              <w:t>3</w:t>
            </w:r>
            <w:r>
              <w:rPr>
                <w:rFonts w:cs="Times New Roman"/>
                <w:bCs/>
                <w:kern w:val="21"/>
                <w:sz w:val="21"/>
                <w:szCs w:val="21"/>
              </w:rPr>
              <w:t>：场区存在堆积物（露天堆放的原料、燃料、废渣等以及垃圾堆放场）、降尘污染的，应将初期雨污水纳入废水排放量，相应的主要污染物纳入水污染当量计算。</w:t>
            </w:r>
          </w:p>
          <w:p w14:paraId="092A0D14"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bCs/>
                <w:kern w:val="21"/>
                <w:sz w:val="21"/>
                <w:szCs w:val="21"/>
              </w:rPr>
              <w:t>注</w:t>
            </w:r>
            <w:r>
              <w:rPr>
                <w:rFonts w:cs="Times New Roman"/>
                <w:bCs/>
                <w:kern w:val="21"/>
                <w:sz w:val="21"/>
                <w:szCs w:val="21"/>
              </w:rPr>
              <w:t>4</w:t>
            </w:r>
            <w:r>
              <w:rPr>
                <w:rFonts w:cs="Times New Roman"/>
                <w:bCs/>
                <w:kern w:val="21"/>
                <w:sz w:val="21"/>
                <w:szCs w:val="21"/>
              </w:rPr>
              <w:t>：建设项目直接</w:t>
            </w:r>
            <w:proofErr w:type="gramStart"/>
            <w:r>
              <w:rPr>
                <w:rFonts w:cs="Times New Roman"/>
                <w:bCs/>
                <w:kern w:val="21"/>
                <w:sz w:val="21"/>
                <w:szCs w:val="21"/>
              </w:rPr>
              <w:t>排放第</w:t>
            </w:r>
            <w:proofErr w:type="gramEnd"/>
            <w:r>
              <w:rPr>
                <w:rFonts w:cs="Times New Roman"/>
                <w:bCs/>
                <w:kern w:val="21"/>
                <w:sz w:val="21"/>
                <w:szCs w:val="21"/>
              </w:rPr>
              <w:t>一类污染物的，其评价等级为一级；建设项目直接排放的污染物为受纳水体超标因子的，评价等级不低于二级。</w:t>
            </w:r>
          </w:p>
          <w:p w14:paraId="2D44781B"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bCs/>
                <w:kern w:val="21"/>
                <w:sz w:val="21"/>
                <w:szCs w:val="21"/>
              </w:rPr>
              <w:t>注</w:t>
            </w:r>
            <w:r>
              <w:rPr>
                <w:rFonts w:cs="Times New Roman"/>
                <w:bCs/>
                <w:kern w:val="21"/>
                <w:sz w:val="21"/>
                <w:szCs w:val="21"/>
              </w:rPr>
              <w:t>5</w:t>
            </w:r>
            <w:r>
              <w:rPr>
                <w:rFonts w:cs="Times New Roman"/>
                <w:bCs/>
                <w:kern w:val="21"/>
                <w:sz w:val="21"/>
                <w:szCs w:val="21"/>
              </w:rPr>
              <w:t>：直接排放受纳水体影响范围涉及饮用水水源保护区、饮用水取水口、重点保护与珍稀水生生物的栖息地、重要水生生物的自然产卵场等保护目标时，评价等级不低于二级。</w:t>
            </w:r>
          </w:p>
          <w:p w14:paraId="36C0745B"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bCs/>
                <w:kern w:val="21"/>
                <w:sz w:val="21"/>
                <w:szCs w:val="21"/>
              </w:rPr>
              <w:t>注</w:t>
            </w:r>
            <w:r>
              <w:rPr>
                <w:rFonts w:cs="Times New Roman"/>
                <w:bCs/>
                <w:kern w:val="21"/>
                <w:sz w:val="21"/>
                <w:szCs w:val="21"/>
              </w:rPr>
              <w:t>6</w:t>
            </w:r>
            <w:r>
              <w:rPr>
                <w:rFonts w:cs="Times New Roman"/>
                <w:bCs/>
                <w:kern w:val="21"/>
                <w:sz w:val="21"/>
                <w:szCs w:val="21"/>
              </w:rPr>
              <w:t>：建设项目向河流、湖库排放温排水引起受纳水体水温变化超过水环境质量标准要求，</w:t>
            </w:r>
            <w:proofErr w:type="gramStart"/>
            <w:r>
              <w:rPr>
                <w:rFonts w:cs="Times New Roman"/>
                <w:bCs/>
                <w:kern w:val="21"/>
                <w:sz w:val="21"/>
                <w:szCs w:val="21"/>
              </w:rPr>
              <w:t>且评价</w:t>
            </w:r>
            <w:proofErr w:type="gramEnd"/>
            <w:r>
              <w:rPr>
                <w:rFonts w:cs="Times New Roman"/>
                <w:bCs/>
                <w:kern w:val="21"/>
                <w:sz w:val="21"/>
                <w:szCs w:val="21"/>
              </w:rPr>
              <w:t>范围有水温敏感目标时，评价等级为一级。</w:t>
            </w:r>
          </w:p>
          <w:p w14:paraId="103CAB04"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bCs/>
                <w:kern w:val="21"/>
                <w:sz w:val="21"/>
                <w:szCs w:val="21"/>
              </w:rPr>
              <w:t>注</w:t>
            </w:r>
            <w:r>
              <w:rPr>
                <w:rFonts w:cs="Times New Roman"/>
                <w:bCs/>
                <w:kern w:val="21"/>
                <w:sz w:val="21"/>
                <w:szCs w:val="21"/>
              </w:rPr>
              <w:t>7</w:t>
            </w:r>
            <w:r>
              <w:rPr>
                <w:rFonts w:cs="Times New Roman"/>
                <w:bCs/>
                <w:kern w:val="21"/>
                <w:sz w:val="21"/>
                <w:szCs w:val="21"/>
              </w:rPr>
              <w:t>：建设项目利用海水作为调节温度介质，排水量</w:t>
            </w:r>
            <w:r>
              <w:rPr>
                <w:rFonts w:cs="Times New Roman"/>
                <w:bCs/>
                <w:kern w:val="21"/>
                <w:sz w:val="21"/>
                <w:szCs w:val="21"/>
              </w:rPr>
              <w:t>≥500</w:t>
            </w:r>
            <w:r>
              <w:rPr>
                <w:rFonts w:cs="Times New Roman"/>
                <w:bCs/>
                <w:kern w:val="21"/>
                <w:sz w:val="21"/>
                <w:szCs w:val="21"/>
              </w:rPr>
              <w:t>万</w:t>
            </w:r>
            <w:r>
              <w:rPr>
                <w:rFonts w:cs="Times New Roman"/>
                <w:bCs/>
                <w:kern w:val="21"/>
                <w:sz w:val="21"/>
                <w:szCs w:val="21"/>
              </w:rPr>
              <w:t>m</w:t>
            </w:r>
            <w:r>
              <w:rPr>
                <w:rFonts w:cs="Times New Roman"/>
                <w:bCs/>
                <w:kern w:val="21"/>
                <w:sz w:val="21"/>
                <w:szCs w:val="21"/>
                <w:vertAlign w:val="superscript"/>
              </w:rPr>
              <w:t>3</w:t>
            </w:r>
            <w:r>
              <w:rPr>
                <w:rFonts w:cs="Times New Roman"/>
                <w:bCs/>
                <w:kern w:val="21"/>
                <w:sz w:val="21"/>
                <w:szCs w:val="21"/>
              </w:rPr>
              <w:t>/d</w:t>
            </w:r>
            <w:r>
              <w:rPr>
                <w:rFonts w:cs="Times New Roman"/>
                <w:bCs/>
                <w:kern w:val="21"/>
                <w:sz w:val="21"/>
                <w:szCs w:val="21"/>
              </w:rPr>
              <w:t>，评价等级为一级；排水量</w:t>
            </w:r>
            <w:proofErr w:type="gramStart"/>
            <w:r>
              <w:rPr>
                <w:rFonts w:cs="Times New Roman"/>
                <w:bCs/>
                <w:kern w:val="21"/>
                <w:sz w:val="21"/>
                <w:szCs w:val="21"/>
              </w:rPr>
              <w:t>〈</w:t>
            </w:r>
            <w:proofErr w:type="gramEnd"/>
            <w:r>
              <w:rPr>
                <w:rFonts w:cs="Times New Roman"/>
                <w:bCs/>
                <w:kern w:val="21"/>
                <w:sz w:val="21"/>
                <w:szCs w:val="21"/>
              </w:rPr>
              <w:t>500</w:t>
            </w:r>
            <w:r>
              <w:rPr>
                <w:rFonts w:cs="Times New Roman"/>
                <w:bCs/>
                <w:kern w:val="21"/>
                <w:sz w:val="21"/>
                <w:szCs w:val="21"/>
              </w:rPr>
              <w:t>万</w:t>
            </w:r>
            <w:r>
              <w:rPr>
                <w:rFonts w:cs="Times New Roman"/>
                <w:bCs/>
                <w:kern w:val="21"/>
                <w:sz w:val="21"/>
                <w:szCs w:val="21"/>
              </w:rPr>
              <w:t>m</w:t>
            </w:r>
            <w:r>
              <w:rPr>
                <w:rFonts w:cs="Times New Roman"/>
                <w:bCs/>
                <w:kern w:val="21"/>
                <w:sz w:val="21"/>
                <w:szCs w:val="21"/>
                <w:vertAlign w:val="superscript"/>
              </w:rPr>
              <w:t>3</w:t>
            </w:r>
            <w:r>
              <w:rPr>
                <w:rFonts w:cs="Times New Roman"/>
                <w:bCs/>
                <w:kern w:val="21"/>
                <w:sz w:val="21"/>
                <w:szCs w:val="21"/>
              </w:rPr>
              <w:t>/d</w:t>
            </w:r>
            <w:r>
              <w:rPr>
                <w:rFonts w:cs="Times New Roman"/>
                <w:bCs/>
                <w:kern w:val="21"/>
                <w:sz w:val="21"/>
                <w:szCs w:val="21"/>
              </w:rPr>
              <w:t>，评价等级为二级。</w:t>
            </w:r>
          </w:p>
          <w:p w14:paraId="027977C6"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bCs/>
                <w:kern w:val="21"/>
                <w:sz w:val="21"/>
                <w:szCs w:val="21"/>
              </w:rPr>
              <w:t>注</w:t>
            </w:r>
            <w:r>
              <w:rPr>
                <w:rFonts w:cs="Times New Roman"/>
                <w:bCs/>
                <w:kern w:val="21"/>
                <w:sz w:val="21"/>
                <w:szCs w:val="21"/>
              </w:rPr>
              <w:t>8</w:t>
            </w:r>
            <w:r>
              <w:rPr>
                <w:rFonts w:cs="Times New Roman"/>
                <w:bCs/>
                <w:kern w:val="21"/>
                <w:sz w:val="21"/>
                <w:szCs w:val="21"/>
              </w:rPr>
              <w:t>：仅涉及清净下水排放的，如其排放水质满足受纳水体水环境质量标准要求的，评价等级为三级</w:t>
            </w:r>
            <w:r>
              <w:rPr>
                <w:rFonts w:cs="Times New Roman"/>
                <w:bCs/>
                <w:kern w:val="21"/>
                <w:sz w:val="21"/>
                <w:szCs w:val="21"/>
              </w:rPr>
              <w:t>A</w:t>
            </w:r>
          </w:p>
          <w:p w14:paraId="08F486B4"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bCs/>
                <w:kern w:val="21"/>
                <w:sz w:val="21"/>
                <w:szCs w:val="21"/>
              </w:rPr>
              <w:t>注</w:t>
            </w:r>
            <w:r>
              <w:rPr>
                <w:rFonts w:cs="Times New Roman"/>
                <w:bCs/>
                <w:kern w:val="21"/>
                <w:sz w:val="21"/>
                <w:szCs w:val="21"/>
              </w:rPr>
              <w:t>9</w:t>
            </w:r>
            <w:r>
              <w:rPr>
                <w:rFonts w:cs="Times New Roman"/>
                <w:bCs/>
                <w:kern w:val="21"/>
                <w:sz w:val="21"/>
                <w:szCs w:val="21"/>
              </w:rPr>
              <w:t>：依托现有排放口，</w:t>
            </w:r>
            <w:proofErr w:type="gramStart"/>
            <w:r>
              <w:rPr>
                <w:rFonts w:cs="Times New Roman"/>
                <w:bCs/>
                <w:kern w:val="21"/>
                <w:sz w:val="21"/>
                <w:szCs w:val="21"/>
              </w:rPr>
              <w:t>且对外</w:t>
            </w:r>
            <w:proofErr w:type="gramEnd"/>
            <w:r>
              <w:rPr>
                <w:rFonts w:cs="Times New Roman"/>
                <w:bCs/>
                <w:kern w:val="21"/>
                <w:sz w:val="21"/>
                <w:szCs w:val="21"/>
              </w:rPr>
              <w:t>环境未新增排放污染物的直接排放建设项目，评价等级参照间接排放，定为三级</w:t>
            </w:r>
            <w:r>
              <w:rPr>
                <w:rFonts w:cs="Times New Roman"/>
                <w:bCs/>
                <w:kern w:val="21"/>
                <w:sz w:val="21"/>
                <w:szCs w:val="21"/>
              </w:rPr>
              <w:t>B</w:t>
            </w:r>
            <w:r>
              <w:rPr>
                <w:rFonts w:cs="Times New Roman"/>
                <w:bCs/>
                <w:kern w:val="21"/>
                <w:sz w:val="21"/>
                <w:szCs w:val="21"/>
              </w:rPr>
              <w:t>。</w:t>
            </w:r>
          </w:p>
          <w:p w14:paraId="27E05B78"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bCs/>
                <w:kern w:val="21"/>
                <w:sz w:val="21"/>
                <w:szCs w:val="21"/>
              </w:rPr>
              <w:t>注</w:t>
            </w:r>
            <w:r>
              <w:rPr>
                <w:rFonts w:cs="Times New Roman"/>
                <w:bCs/>
                <w:kern w:val="21"/>
                <w:sz w:val="21"/>
                <w:szCs w:val="21"/>
              </w:rPr>
              <w:t>10</w:t>
            </w:r>
            <w:r>
              <w:rPr>
                <w:rFonts w:cs="Times New Roman"/>
                <w:bCs/>
                <w:kern w:val="21"/>
                <w:sz w:val="21"/>
                <w:szCs w:val="21"/>
              </w:rPr>
              <w:t>：建设项目生产工艺中有废水产生，但作为回水利用，不排放到外环境的，按三级</w:t>
            </w:r>
            <w:r>
              <w:rPr>
                <w:rFonts w:cs="Times New Roman"/>
                <w:bCs/>
                <w:kern w:val="21"/>
                <w:sz w:val="21"/>
                <w:szCs w:val="21"/>
              </w:rPr>
              <w:t>B</w:t>
            </w:r>
            <w:r>
              <w:rPr>
                <w:rFonts w:cs="Times New Roman"/>
                <w:bCs/>
                <w:kern w:val="21"/>
                <w:sz w:val="21"/>
                <w:szCs w:val="21"/>
              </w:rPr>
              <w:t>评价</w:t>
            </w:r>
          </w:p>
        </w:tc>
      </w:tr>
    </w:tbl>
    <w:p w14:paraId="5F5936A0" w14:textId="77777777" w:rsidR="00544649" w:rsidRDefault="00000000">
      <w:pPr>
        <w:adjustRightInd w:val="0"/>
        <w:snapToGrid w:val="0"/>
        <w:spacing w:after="0"/>
        <w:ind w:firstLine="480"/>
        <w:rPr>
          <w:rFonts w:cs="Times New Roman"/>
          <w:kern w:val="21"/>
        </w:rPr>
      </w:pPr>
      <w:r>
        <w:rPr>
          <w:rFonts w:cs="Times New Roman" w:hint="eastAsia"/>
          <w:kern w:val="21"/>
        </w:rPr>
        <w:t>本项目运营期废水主要为食堂餐厨废水、员工生活污水鸡舍冲洗废水以及蛋品清洗废水</w:t>
      </w:r>
      <w:r>
        <w:rPr>
          <w:rFonts w:cs="Times New Roman"/>
          <w:kern w:val="21"/>
        </w:rPr>
        <w:t>，</w:t>
      </w:r>
      <w:r>
        <w:rPr>
          <w:rFonts w:cs="Times New Roman" w:hint="eastAsia"/>
          <w:kern w:val="21"/>
        </w:rPr>
        <w:t>经项目自建污水处理设施处理达</w:t>
      </w:r>
      <w:r>
        <w:rPr>
          <w:rFonts w:cs="Times New Roman" w:hint="eastAsia"/>
          <w:kern w:val="21"/>
          <w:szCs w:val="21"/>
        </w:rPr>
        <w:t>《农田灌溉水质标准》（</w:t>
      </w:r>
      <w:r>
        <w:rPr>
          <w:rFonts w:cs="Times New Roman" w:hint="eastAsia"/>
          <w:kern w:val="21"/>
          <w:szCs w:val="21"/>
        </w:rPr>
        <w:t>GB5084-2021</w:t>
      </w:r>
      <w:r>
        <w:rPr>
          <w:rFonts w:cs="Times New Roman" w:hint="eastAsia"/>
          <w:kern w:val="21"/>
          <w:szCs w:val="21"/>
        </w:rPr>
        <w:t>）</w:t>
      </w:r>
      <w:proofErr w:type="gramStart"/>
      <w:r>
        <w:rPr>
          <w:rFonts w:cs="Times New Roman" w:hint="eastAsia"/>
          <w:kern w:val="21"/>
          <w:szCs w:val="21"/>
        </w:rPr>
        <w:t>中旱作</w:t>
      </w:r>
      <w:proofErr w:type="gramEnd"/>
      <w:r>
        <w:rPr>
          <w:rFonts w:cs="Times New Roman" w:hint="eastAsia"/>
          <w:kern w:val="21"/>
          <w:szCs w:val="21"/>
        </w:rPr>
        <w:t>标准后用于林地灌溉</w:t>
      </w:r>
      <w:r>
        <w:rPr>
          <w:rFonts w:cs="Times New Roman" w:hint="eastAsia"/>
          <w:kern w:val="21"/>
        </w:rPr>
        <w:t>，</w:t>
      </w:r>
      <w:r>
        <w:rPr>
          <w:rFonts w:cs="Times New Roman"/>
          <w:kern w:val="21"/>
        </w:rPr>
        <w:t>不外排。</w:t>
      </w:r>
    </w:p>
    <w:p w14:paraId="7C917EC6" w14:textId="77777777" w:rsidR="00544649" w:rsidRDefault="00000000">
      <w:pPr>
        <w:adjustRightInd w:val="0"/>
        <w:snapToGrid w:val="0"/>
        <w:spacing w:after="0"/>
        <w:ind w:firstLine="480"/>
        <w:rPr>
          <w:rFonts w:cs="Times New Roman"/>
          <w:kern w:val="21"/>
        </w:rPr>
      </w:pPr>
      <w:r>
        <w:rPr>
          <w:rFonts w:cs="Times New Roman"/>
          <w:kern w:val="21"/>
          <w:szCs w:val="24"/>
        </w:rPr>
        <w:t>根据现场调查，本项目受纳水体影响范围不涉及饮用水水源保护区、饮用水取水</w:t>
      </w:r>
      <w:r>
        <w:rPr>
          <w:rFonts w:cs="Times New Roman"/>
          <w:kern w:val="21"/>
        </w:rPr>
        <w:t>口、重点保护与珍稀水生生物的栖息地、重要水生生物的自然产卵场等保护目标；本项目不排放温排水。</w:t>
      </w:r>
    </w:p>
    <w:p w14:paraId="74B96C49" w14:textId="77777777" w:rsidR="00544649" w:rsidRDefault="00000000">
      <w:pPr>
        <w:adjustRightInd w:val="0"/>
        <w:snapToGrid w:val="0"/>
        <w:spacing w:after="0"/>
        <w:ind w:firstLine="480"/>
        <w:rPr>
          <w:rFonts w:cs="Times New Roman"/>
          <w:kern w:val="21"/>
        </w:rPr>
      </w:pPr>
      <w:r>
        <w:rPr>
          <w:rFonts w:cs="Times New Roman"/>
          <w:kern w:val="21"/>
        </w:rPr>
        <w:t>综上，确定地表水环境水污染影响</w:t>
      </w:r>
      <w:proofErr w:type="gramStart"/>
      <w:r>
        <w:rPr>
          <w:rFonts w:cs="Times New Roman"/>
          <w:kern w:val="21"/>
        </w:rPr>
        <w:t>型评价</w:t>
      </w:r>
      <w:proofErr w:type="gramEnd"/>
      <w:r>
        <w:rPr>
          <w:rFonts w:cs="Times New Roman"/>
          <w:kern w:val="21"/>
        </w:rPr>
        <w:t>等级为</w:t>
      </w:r>
      <w:r>
        <w:rPr>
          <w:rFonts w:cs="Times New Roman"/>
          <w:b/>
          <w:bCs/>
          <w:kern w:val="21"/>
        </w:rPr>
        <w:t>三级</w:t>
      </w:r>
      <w:r>
        <w:rPr>
          <w:rFonts w:cs="Times New Roman"/>
          <w:b/>
          <w:bCs/>
          <w:kern w:val="21"/>
        </w:rPr>
        <w:t>B</w:t>
      </w:r>
      <w:r>
        <w:rPr>
          <w:rFonts w:cs="Times New Roman"/>
          <w:kern w:val="21"/>
        </w:rPr>
        <w:t>。</w:t>
      </w:r>
    </w:p>
    <w:p w14:paraId="087C1E31" w14:textId="77777777" w:rsidR="00544649" w:rsidRDefault="00000000">
      <w:pPr>
        <w:keepNext/>
        <w:keepLines/>
        <w:numPr>
          <w:ilvl w:val="3"/>
          <w:numId w:val="2"/>
        </w:numPr>
        <w:adjustRightInd w:val="0"/>
        <w:snapToGrid w:val="0"/>
        <w:spacing w:after="0"/>
        <w:ind w:firstLineChars="0"/>
        <w:outlineLvl w:val="3"/>
        <w:rPr>
          <w:rFonts w:cs="Times New Roman"/>
          <w:b/>
          <w:bCs/>
          <w:kern w:val="21"/>
          <w:szCs w:val="24"/>
        </w:rPr>
      </w:pPr>
      <w:r>
        <w:rPr>
          <w:rFonts w:cs="Times New Roman"/>
          <w:b/>
          <w:bCs/>
          <w:kern w:val="21"/>
          <w:szCs w:val="24"/>
        </w:rPr>
        <w:t>评价范围</w:t>
      </w:r>
    </w:p>
    <w:p w14:paraId="1C9EE00C" w14:textId="77777777" w:rsidR="00544649" w:rsidRDefault="00000000">
      <w:pPr>
        <w:adjustRightInd w:val="0"/>
        <w:snapToGrid w:val="0"/>
        <w:spacing w:after="0"/>
        <w:ind w:firstLine="480"/>
        <w:rPr>
          <w:rFonts w:cs="Times New Roman"/>
          <w:kern w:val="21"/>
        </w:rPr>
      </w:pPr>
      <w:r>
        <w:rPr>
          <w:rFonts w:cs="Times New Roman"/>
          <w:kern w:val="21"/>
        </w:rPr>
        <w:t>本项目运营期产生的废水经场内</w:t>
      </w:r>
      <w:r>
        <w:rPr>
          <w:rFonts w:cs="Times New Roman" w:hint="eastAsia"/>
          <w:kern w:val="21"/>
        </w:rPr>
        <w:t>污水处理设施处理达《农田灌溉水质标准》（</w:t>
      </w:r>
      <w:r>
        <w:rPr>
          <w:rFonts w:cs="Times New Roman" w:hint="eastAsia"/>
          <w:kern w:val="21"/>
        </w:rPr>
        <w:t>GB5084-2021</w:t>
      </w:r>
      <w:r>
        <w:rPr>
          <w:rFonts w:cs="Times New Roman" w:hint="eastAsia"/>
          <w:kern w:val="21"/>
        </w:rPr>
        <w:t>）</w:t>
      </w:r>
      <w:proofErr w:type="gramStart"/>
      <w:r>
        <w:rPr>
          <w:rFonts w:cs="Times New Roman" w:hint="eastAsia"/>
          <w:kern w:val="21"/>
        </w:rPr>
        <w:t>中旱作</w:t>
      </w:r>
      <w:proofErr w:type="gramEnd"/>
      <w:r>
        <w:rPr>
          <w:rFonts w:cs="Times New Roman" w:hint="eastAsia"/>
          <w:kern w:val="21"/>
        </w:rPr>
        <w:t>标准后用于林地灌溉</w:t>
      </w:r>
      <w:r>
        <w:rPr>
          <w:rFonts w:cs="Times New Roman"/>
          <w:kern w:val="21"/>
        </w:rPr>
        <w:t>，不外排。根据《环境影响评价</w:t>
      </w:r>
      <w:r>
        <w:rPr>
          <w:rFonts w:cs="Times New Roman"/>
          <w:kern w:val="21"/>
          <w:szCs w:val="24"/>
        </w:rPr>
        <w:t>技术</w:t>
      </w:r>
      <w:r>
        <w:rPr>
          <w:rFonts w:cs="Times New Roman"/>
          <w:kern w:val="21"/>
        </w:rPr>
        <w:t>导则地表水环境》（</w:t>
      </w:r>
      <w:r>
        <w:rPr>
          <w:rFonts w:cs="Times New Roman"/>
          <w:kern w:val="21"/>
        </w:rPr>
        <w:t>HJ2.3-2018</w:t>
      </w:r>
      <w:r>
        <w:rPr>
          <w:rFonts w:cs="Times New Roman"/>
          <w:kern w:val="21"/>
        </w:rPr>
        <w:t>）</w:t>
      </w:r>
      <w:r>
        <w:rPr>
          <w:rFonts w:cs="Times New Roman" w:hint="eastAsia"/>
          <w:kern w:val="21"/>
        </w:rPr>
        <w:t>“</w:t>
      </w:r>
      <w:r>
        <w:rPr>
          <w:rFonts w:cs="Times New Roman"/>
          <w:kern w:val="21"/>
        </w:rPr>
        <w:t>建设项目生产工艺中有废水产生，但作为回水利用，不排放到外环境的，按三级</w:t>
      </w:r>
      <w:r>
        <w:rPr>
          <w:rFonts w:cs="Times New Roman"/>
          <w:kern w:val="21"/>
        </w:rPr>
        <w:t>B</w:t>
      </w:r>
      <w:r>
        <w:rPr>
          <w:rFonts w:cs="Times New Roman"/>
          <w:kern w:val="21"/>
        </w:rPr>
        <w:t>评价</w:t>
      </w:r>
      <w:r>
        <w:rPr>
          <w:rFonts w:cs="Times New Roman" w:hint="eastAsia"/>
          <w:kern w:val="21"/>
        </w:rPr>
        <w:t>”</w:t>
      </w:r>
      <w:r>
        <w:rPr>
          <w:rFonts w:cs="Times New Roman"/>
          <w:kern w:val="21"/>
        </w:rPr>
        <w:t>。因此，</w:t>
      </w:r>
      <w:r>
        <w:rPr>
          <w:rFonts w:cs="Times New Roman" w:hint="eastAsia"/>
          <w:kern w:val="21"/>
        </w:rPr>
        <w:t>本次评价</w:t>
      </w:r>
      <w:r>
        <w:rPr>
          <w:rFonts w:cs="Times New Roman"/>
          <w:kern w:val="21"/>
        </w:rPr>
        <w:t>重点评价废水零排放的可靠性、合理性以及废水资源化利用的可行性及合理性进行分析。</w:t>
      </w:r>
    </w:p>
    <w:p w14:paraId="1605E036" w14:textId="77777777" w:rsidR="00544649" w:rsidRDefault="00000000">
      <w:pPr>
        <w:pStyle w:val="3"/>
        <w:numPr>
          <w:ilvl w:val="2"/>
          <w:numId w:val="2"/>
        </w:numPr>
        <w:adjustRightInd w:val="0"/>
        <w:snapToGrid w:val="0"/>
        <w:spacing w:after="0"/>
        <w:rPr>
          <w:rFonts w:cs="Times New Roman"/>
          <w:kern w:val="21"/>
        </w:rPr>
      </w:pPr>
      <w:bookmarkStart w:id="139" w:name="_Toc20557"/>
      <w:bookmarkStart w:id="140" w:name="_Toc17661"/>
      <w:bookmarkStart w:id="141" w:name="_Toc195009809"/>
      <w:r>
        <w:rPr>
          <w:rFonts w:cs="Times New Roman"/>
          <w:kern w:val="21"/>
        </w:rPr>
        <w:lastRenderedPageBreak/>
        <w:t>地下水环境评价</w:t>
      </w:r>
      <w:bookmarkEnd w:id="139"/>
      <w:bookmarkEnd w:id="140"/>
      <w:bookmarkEnd w:id="141"/>
    </w:p>
    <w:p w14:paraId="7A7745C4" w14:textId="77777777" w:rsidR="00544649" w:rsidRDefault="00000000">
      <w:pPr>
        <w:pStyle w:val="4"/>
        <w:adjustRightInd w:val="0"/>
        <w:snapToGrid w:val="0"/>
        <w:spacing w:after="0"/>
      </w:pPr>
      <w:r>
        <w:t>评价等级</w:t>
      </w:r>
    </w:p>
    <w:p w14:paraId="4CBC5B5A" w14:textId="77777777" w:rsidR="00544649" w:rsidRDefault="00000000">
      <w:pPr>
        <w:adjustRightInd w:val="0"/>
        <w:snapToGrid w:val="0"/>
        <w:spacing w:after="0"/>
        <w:ind w:firstLine="480"/>
        <w:rPr>
          <w:rFonts w:cs="Times New Roman"/>
          <w:kern w:val="21"/>
          <w:szCs w:val="24"/>
        </w:rPr>
      </w:pPr>
      <w:r>
        <w:rPr>
          <w:rFonts w:cs="Times New Roman"/>
          <w:kern w:val="21"/>
          <w:szCs w:val="24"/>
        </w:rPr>
        <w:t>根据《环境影响评价技术导则地下水环境》（</w:t>
      </w:r>
      <w:r>
        <w:rPr>
          <w:rFonts w:cs="Times New Roman"/>
          <w:kern w:val="21"/>
          <w:szCs w:val="24"/>
        </w:rPr>
        <w:t>HJ610-2016</w:t>
      </w:r>
      <w:r>
        <w:rPr>
          <w:rFonts w:cs="Times New Roman"/>
          <w:kern w:val="21"/>
          <w:szCs w:val="24"/>
        </w:rPr>
        <w:t>）</w:t>
      </w:r>
      <w:proofErr w:type="gramStart"/>
      <w:r>
        <w:rPr>
          <w:rFonts w:cs="Times New Roman"/>
          <w:kern w:val="21"/>
          <w:szCs w:val="24"/>
        </w:rPr>
        <w:t>中项目</w:t>
      </w:r>
      <w:proofErr w:type="gramEnd"/>
      <w:r>
        <w:rPr>
          <w:rFonts w:cs="Times New Roman"/>
          <w:kern w:val="21"/>
          <w:szCs w:val="24"/>
        </w:rPr>
        <w:t>类别和地下水环境敏感程度确定评价工作等级。</w:t>
      </w:r>
    </w:p>
    <w:p w14:paraId="71095BF1"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一、项目类别</w:t>
      </w:r>
    </w:p>
    <w:p w14:paraId="0F191B00" w14:textId="77777777" w:rsidR="00544649" w:rsidRDefault="00000000">
      <w:pPr>
        <w:adjustRightInd w:val="0"/>
        <w:snapToGrid w:val="0"/>
        <w:spacing w:after="0"/>
        <w:ind w:firstLine="480"/>
        <w:rPr>
          <w:rFonts w:cs="Times New Roman"/>
          <w:kern w:val="21"/>
          <w:szCs w:val="24"/>
        </w:rPr>
      </w:pPr>
      <w:r>
        <w:rPr>
          <w:rFonts w:cs="Times New Roman"/>
          <w:kern w:val="21"/>
          <w:szCs w:val="24"/>
        </w:rPr>
        <w:t>根据建设项目对地下水环境影响程度，结合《建设项目环境影响评价分类管理名录》，将建设项目分为四类，其中</w:t>
      </w:r>
      <w:r>
        <w:rPr>
          <w:rFonts w:cs="Times New Roman"/>
          <w:kern w:val="21"/>
          <w:szCs w:val="24"/>
        </w:rPr>
        <w:t>I</w:t>
      </w:r>
      <w:r>
        <w:rPr>
          <w:rFonts w:cs="Times New Roman"/>
          <w:kern w:val="21"/>
          <w:szCs w:val="24"/>
        </w:rPr>
        <w:t>类、</w:t>
      </w:r>
      <w:r>
        <w:rPr>
          <w:rFonts w:cs="Times New Roman"/>
          <w:kern w:val="21"/>
          <w:szCs w:val="24"/>
        </w:rPr>
        <w:t>Ⅱ</w:t>
      </w:r>
      <w:r>
        <w:rPr>
          <w:rFonts w:cs="Times New Roman"/>
          <w:kern w:val="21"/>
          <w:szCs w:val="24"/>
        </w:rPr>
        <w:t>类及</w:t>
      </w:r>
      <w:r>
        <w:rPr>
          <w:rFonts w:cs="Times New Roman"/>
          <w:kern w:val="21"/>
          <w:szCs w:val="24"/>
        </w:rPr>
        <w:t>Ⅲ</w:t>
      </w:r>
      <w:r>
        <w:rPr>
          <w:rFonts w:cs="Times New Roman"/>
          <w:kern w:val="21"/>
          <w:szCs w:val="24"/>
        </w:rPr>
        <w:t>类建设项目的地下水环境影响评价应执行本标准，</w:t>
      </w:r>
      <w:r>
        <w:rPr>
          <w:rFonts w:cs="Times New Roman"/>
          <w:kern w:val="21"/>
          <w:szCs w:val="24"/>
        </w:rPr>
        <w:t>Ⅳ</w:t>
      </w:r>
      <w:r>
        <w:rPr>
          <w:rFonts w:cs="Times New Roman"/>
          <w:kern w:val="21"/>
          <w:szCs w:val="24"/>
        </w:rPr>
        <w:t>类建设项目不开展地下水环境影响评价，分类详见《环境影响评价技术导则</w:t>
      </w:r>
      <w:r>
        <w:rPr>
          <w:rFonts w:cs="Times New Roman" w:hint="eastAsia"/>
          <w:kern w:val="21"/>
          <w:szCs w:val="24"/>
        </w:rPr>
        <w:t xml:space="preserve"> </w:t>
      </w:r>
      <w:r>
        <w:rPr>
          <w:rFonts w:cs="Times New Roman"/>
          <w:kern w:val="21"/>
          <w:szCs w:val="24"/>
        </w:rPr>
        <w:t>地下水环境》（</w:t>
      </w:r>
      <w:r>
        <w:rPr>
          <w:rFonts w:cs="Times New Roman"/>
          <w:kern w:val="21"/>
          <w:szCs w:val="24"/>
        </w:rPr>
        <w:t>HJ610-2016</w:t>
      </w:r>
      <w:r>
        <w:rPr>
          <w:rFonts w:cs="Times New Roman"/>
          <w:kern w:val="21"/>
          <w:szCs w:val="24"/>
        </w:rPr>
        <w:t>）附录</w:t>
      </w:r>
      <w:r>
        <w:rPr>
          <w:rFonts w:cs="Times New Roman"/>
          <w:kern w:val="21"/>
          <w:szCs w:val="24"/>
        </w:rPr>
        <w:t>A</w:t>
      </w:r>
      <w:r>
        <w:rPr>
          <w:rFonts w:cs="Times New Roman"/>
          <w:kern w:val="21"/>
          <w:szCs w:val="24"/>
        </w:rPr>
        <w:t>（以下简称附录</w:t>
      </w:r>
      <w:r>
        <w:rPr>
          <w:rFonts w:cs="Times New Roman"/>
          <w:kern w:val="21"/>
          <w:szCs w:val="24"/>
        </w:rPr>
        <w:t>A</w:t>
      </w:r>
      <w:r>
        <w:rPr>
          <w:rFonts w:cs="Times New Roman"/>
          <w:kern w:val="21"/>
          <w:szCs w:val="24"/>
        </w:rPr>
        <w:t>）。</w:t>
      </w:r>
    </w:p>
    <w:p w14:paraId="512D7896" w14:textId="77777777" w:rsidR="00544649" w:rsidRDefault="00000000">
      <w:pPr>
        <w:adjustRightInd w:val="0"/>
        <w:snapToGrid w:val="0"/>
        <w:spacing w:after="0"/>
        <w:ind w:firstLine="480"/>
        <w:rPr>
          <w:rFonts w:cs="Times New Roman"/>
          <w:kern w:val="21"/>
          <w:szCs w:val="24"/>
        </w:rPr>
      </w:pPr>
      <w:r>
        <w:rPr>
          <w:rFonts w:cs="Times New Roman"/>
          <w:kern w:val="21"/>
          <w:szCs w:val="24"/>
        </w:rPr>
        <w:t>本项目所属地下水环境影响类别见下表。</w:t>
      </w:r>
    </w:p>
    <w:p w14:paraId="5877E510"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0"/>
        </w:rPr>
      </w:pPr>
      <w:r>
        <w:rPr>
          <w:rFonts w:cs="Times New Roman"/>
          <w:b/>
          <w:bCs/>
          <w:kern w:val="21"/>
          <w:sz w:val="21"/>
          <w:szCs w:val="20"/>
        </w:rPr>
        <w:t>附录</w:t>
      </w:r>
      <w:r>
        <w:rPr>
          <w:rFonts w:cs="Times New Roman"/>
          <w:b/>
          <w:bCs/>
          <w:kern w:val="21"/>
          <w:sz w:val="21"/>
          <w:szCs w:val="20"/>
        </w:rPr>
        <w:t>A</w:t>
      </w:r>
      <w:r>
        <w:rPr>
          <w:rFonts w:cs="Times New Roman"/>
          <w:b/>
          <w:bCs/>
          <w:kern w:val="21"/>
          <w:sz w:val="21"/>
          <w:szCs w:val="20"/>
        </w:rPr>
        <w:t>（规范附录）地下水环境影响评价行业分类表</w:t>
      </w: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2949"/>
        <w:gridCol w:w="915"/>
        <w:gridCol w:w="1483"/>
        <w:gridCol w:w="1527"/>
      </w:tblGrid>
      <w:tr w:rsidR="00544649" w14:paraId="20DA5D91" w14:textId="77777777">
        <w:trPr>
          <w:trHeight w:val="92"/>
          <w:jc w:val="center"/>
        </w:trPr>
        <w:tc>
          <w:tcPr>
            <w:tcW w:w="2181" w:type="dxa"/>
            <w:vMerge w:val="restart"/>
            <w:tcBorders>
              <w:tl2br w:val="single" w:sz="4" w:space="0" w:color="auto"/>
            </w:tcBorders>
            <w:shd w:val="clear" w:color="auto" w:fill="auto"/>
            <w:vAlign w:val="center"/>
          </w:tcPr>
          <w:p w14:paraId="0A9B7719" w14:textId="77777777" w:rsidR="00544649" w:rsidRDefault="00000000">
            <w:pPr>
              <w:adjustRightInd w:val="0"/>
              <w:snapToGrid w:val="0"/>
              <w:spacing w:beforeLines="20" w:before="62" w:afterLines="20" w:after="62" w:line="240" w:lineRule="auto"/>
              <w:ind w:firstLineChars="0" w:firstLine="0"/>
              <w:jc w:val="right"/>
              <w:rPr>
                <w:rFonts w:cs="Times New Roman"/>
                <w:b/>
                <w:bCs/>
                <w:kern w:val="21"/>
                <w:sz w:val="21"/>
                <w:szCs w:val="24"/>
              </w:rPr>
            </w:pPr>
            <w:r>
              <w:rPr>
                <w:rFonts w:cs="Times New Roman"/>
                <w:b/>
                <w:bCs/>
                <w:kern w:val="21"/>
                <w:sz w:val="21"/>
                <w:szCs w:val="24"/>
              </w:rPr>
              <w:t>环评类别</w:t>
            </w:r>
          </w:p>
          <w:p w14:paraId="0934BD39" w14:textId="77777777" w:rsidR="00544649" w:rsidRDefault="00000000">
            <w:pPr>
              <w:adjustRightInd w:val="0"/>
              <w:snapToGrid w:val="0"/>
              <w:spacing w:beforeLines="20" w:before="62" w:afterLines="20" w:after="62" w:line="240" w:lineRule="auto"/>
              <w:ind w:firstLineChars="0" w:firstLine="0"/>
              <w:rPr>
                <w:rFonts w:cs="Times New Roman"/>
                <w:b/>
                <w:bCs/>
                <w:kern w:val="21"/>
                <w:sz w:val="21"/>
                <w:szCs w:val="24"/>
              </w:rPr>
            </w:pPr>
            <w:r>
              <w:rPr>
                <w:rFonts w:cs="Times New Roman"/>
                <w:b/>
                <w:bCs/>
                <w:kern w:val="21"/>
                <w:sz w:val="21"/>
                <w:szCs w:val="24"/>
              </w:rPr>
              <w:t>行业类别</w:t>
            </w:r>
          </w:p>
        </w:tc>
        <w:tc>
          <w:tcPr>
            <w:tcW w:w="2949" w:type="dxa"/>
            <w:vMerge w:val="restart"/>
            <w:shd w:val="clear" w:color="auto" w:fill="auto"/>
            <w:vAlign w:val="center"/>
          </w:tcPr>
          <w:p w14:paraId="474BDD98"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4"/>
              </w:rPr>
            </w:pPr>
            <w:r>
              <w:rPr>
                <w:rFonts w:cs="Times New Roman"/>
                <w:b/>
                <w:bCs/>
                <w:kern w:val="21"/>
                <w:sz w:val="21"/>
                <w:szCs w:val="24"/>
              </w:rPr>
              <w:t>报告书</w:t>
            </w:r>
          </w:p>
        </w:tc>
        <w:tc>
          <w:tcPr>
            <w:tcW w:w="915" w:type="dxa"/>
            <w:vMerge w:val="restart"/>
            <w:shd w:val="clear" w:color="auto" w:fill="auto"/>
            <w:vAlign w:val="center"/>
          </w:tcPr>
          <w:p w14:paraId="4480D84D"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4"/>
              </w:rPr>
            </w:pPr>
            <w:r>
              <w:rPr>
                <w:rFonts w:cs="Times New Roman"/>
                <w:b/>
                <w:bCs/>
                <w:kern w:val="21"/>
                <w:sz w:val="21"/>
                <w:szCs w:val="24"/>
              </w:rPr>
              <w:t>报告表</w:t>
            </w:r>
          </w:p>
        </w:tc>
        <w:tc>
          <w:tcPr>
            <w:tcW w:w="3010" w:type="dxa"/>
            <w:gridSpan w:val="2"/>
            <w:shd w:val="clear" w:color="auto" w:fill="auto"/>
            <w:vAlign w:val="center"/>
          </w:tcPr>
          <w:p w14:paraId="1DF6D1C6"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4"/>
              </w:rPr>
            </w:pPr>
            <w:r>
              <w:rPr>
                <w:rFonts w:cs="Times New Roman"/>
                <w:b/>
                <w:bCs/>
                <w:kern w:val="21"/>
                <w:sz w:val="21"/>
                <w:szCs w:val="24"/>
              </w:rPr>
              <w:t>地下水环境影响评价项目类别</w:t>
            </w:r>
          </w:p>
        </w:tc>
      </w:tr>
      <w:tr w:rsidR="00544649" w14:paraId="5FAFEC11" w14:textId="77777777">
        <w:trPr>
          <w:trHeight w:val="90"/>
          <w:jc w:val="center"/>
        </w:trPr>
        <w:tc>
          <w:tcPr>
            <w:tcW w:w="2181" w:type="dxa"/>
            <w:vMerge/>
            <w:shd w:val="clear" w:color="auto" w:fill="auto"/>
            <w:vAlign w:val="center"/>
          </w:tcPr>
          <w:p w14:paraId="744445D6" w14:textId="77777777" w:rsidR="00544649" w:rsidRDefault="00544649">
            <w:pPr>
              <w:adjustRightInd w:val="0"/>
              <w:snapToGrid w:val="0"/>
              <w:spacing w:beforeLines="20" w:before="62" w:afterLines="20" w:after="62" w:line="240" w:lineRule="auto"/>
              <w:ind w:firstLineChars="0" w:firstLine="0"/>
              <w:jc w:val="center"/>
              <w:rPr>
                <w:rFonts w:cs="Times New Roman"/>
                <w:b/>
                <w:bCs/>
                <w:kern w:val="21"/>
                <w:sz w:val="21"/>
                <w:szCs w:val="24"/>
              </w:rPr>
            </w:pPr>
          </w:p>
        </w:tc>
        <w:tc>
          <w:tcPr>
            <w:tcW w:w="2949" w:type="dxa"/>
            <w:vMerge/>
            <w:shd w:val="clear" w:color="auto" w:fill="auto"/>
            <w:vAlign w:val="center"/>
          </w:tcPr>
          <w:p w14:paraId="7A380B7D" w14:textId="77777777" w:rsidR="00544649" w:rsidRDefault="00544649">
            <w:pPr>
              <w:adjustRightInd w:val="0"/>
              <w:snapToGrid w:val="0"/>
              <w:spacing w:beforeLines="20" w:before="62" w:afterLines="20" w:after="62" w:line="240" w:lineRule="auto"/>
              <w:ind w:firstLineChars="0" w:firstLine="0"/>
              <w:jc w:val="center"/>
              <w:rPr>
                <w:rFonts w:cs="Times New Roman"/>
                <w:b/>
                <w:bCs/>
                <w:kern w:val="21"/>
                <w:sz w:val="21"/>
                <w:szCs w:val="24"/>
              </w:rPr>
            </w:pPr>
          </w:p>
        </w:tc>
        <w:tc>
          <w:tcPr>
            <w:tcW w:w="915" w:type="dxa"/>
            <w:vMerge/>
            <w:shd w:val="clear" w:color="auto" w:fill="auto"/>
            <w:vAlign w:val="center"/>
          </w:tcPr>
          <w:p w14:paraId="531DB837" w14:textId="77777777" w:rsidR="00544649" w:rsidRDefault="00544649">
            <w:pPr>
              <w:adjustRightInd w:val="0"/>
              <w:snapToGrid w:val="0"/>
              <w:spacing w:beforeLines="20" w:before="62" w:afterLines="20" w:after="62" w:line="240" w:lineRule="auto"/>
              <w:ind w:firstLineChars="0" w:firstLine="0"/>
              <w:jc w:val="center"/>
              <w:rPr>
                <w:rFonts w:cs="Times New Roman"/>
                <w:b/>
                <w:bCs/>
                <w:kern w:val="21"/>
                <w:sz w:val="21"/>
                <w:szCs w:val="24"/>
              </w:rPr>
            </w:pPr>
          </w:p>
        </w:tc>
        <w:tc>
          <w:tcPr>
            <w:tcW w:w="1483" w:type="dxa"/>
            <w:shd w:val="clear" w:color="auto" w:fill="auto"/>
            <w:vAlign w:val="center"/>
          </w:tcPr>
          <w:p w14:paraId="3630EEEC"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4"/>
              </w:rPr>
            </w:pPr>
            <w:r>
              <w:rPr>
                <w:rFonts w:cs="Times New Roman"/>
                <w:b/>
                <w:bCs/>
                <w:kern w:val="21"/>
                <w:sz w:val="21"/>
                <w:szCs w:val="24"/>
              </w:rPr>
              <w:t>报告书</w:t>
            </w:r>
          </w:p>
        </w:tc>
        <w:tc>
          <w:tcPr>
            <w:tcW w:w="1527" w:type="dxa"/>
            <w:shd w:val="clear" w:color="auto" w:fill="auto"/>
            <w:vAlign w:val="center"/>
          </w:tcPr>
          <w:p w14:paraId="0E4A9E84"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4"/>
              </w:rPr>
            </w:pPr>
            <w:r>
              <w:rPr>
                <w:rFonts w:cs="Times New Roman"/>
                <w:b/>
                <w:bCs/>
                <w:kern w:val="21"/>
                <w:sz w:val="21"/>
                <w:szCs w:val="24"/>
              </w:rPr>
              <w:t>报告表</w:t>
            </w:r>
          </w:p>
        </w:tc>
      </w:tr>
      <w:tr w:rsidR="00544649" w14:paraId="7A1E521F" w14:textId="77777777">
        <w:trPr>
          <w:jc w:val="center"/>
        </w:trPr>
        <w:tc>
          <w:tcPr>
            <w:tcW w:w="2181" w:type="dxa"/>
            <w:shd w:val="clear" w:color="auto" w:fill="auto"/>
            <w:vAlign w:val="center"/>
          </w:tcPr>
          <w:p w14:paraId="7B003844"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4"/>
              </w:rPr>
            </w:pPr>
            <w:r>
              <w:rPr>
                <w:rFonts w:cs="Times New Roman"/>
                <w:kern w:val="21"/>
                <w:sz w:val="21"/>
                <w:szCs w:val="21"/>
              </w:rPr>
              <w:t>B.</w:t>
            </w:r>
            <w:r>
              <w:rPr>
                <w:rFonts w:cs="Times New Roman"/>
                <w:kern w:val="21"/>
                <w:sz w:val="21"/>
                <w:szCs w:val="21"/>
              </w:rPr>
              <w:t>农、林、牧、渔、海洋</w:t>
            </w:r>
            <w:r>
              <w:rPr>
                <w:rFonts w:cs="Times New Roman"/>
                <w:bCs/>
                <w:kern w:val="21"/>
                <w:sz w:val="21"/>
                <w:szCs w:val="24"/>
              </w:rPr>
              <w:t>14</w:t>
            </w:r>
            <w:r>
              <w:rPr>
                <w:rFonts w:cs="Times New Roman"/>
                <w:bCs/>
                <w:kern w:val="21"/>
                <w:sz w:val="21"/>
                <w:szCs w:val="24"/>
              </w:rPr>
              <w:t>、畜禽养殖场、养殖小区</w:t>
            </w:r>
          </w:p>
        </w:tc>
        <w:tc>
          <w:tcPr>
            <w:tcW w:w="2949" w:type="dxa"/>
            <w:shd w:val="clear" w:color="auto" w:fill="auto"/>
            <w:vAlign w:val="center"/>
          </w:tcPr>
          <w:p w14:paraId="527B7EB7"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4"/>
              </w:rPr>
            </w:pPr>
            <w:r>
              <w:rPr>
                <w:rFonts w:cs="Times New Roman"/>
                <w:bCs/>
                <w:kern w:val="21"/>
                <w:sz w:val="21"/>
                <w:szCs w:val="24"/>
              </w:rPr>
              <w:t>年出栏生猪</w:t>
            </w:r>
            <w:r>
              <w:rPr>
                <w:rFonts w:cs="Times New Roman"/>
                <w:bCs/>
                <w:kern w:val="21"/>
                <w:sz w:val="21"/>
                <w:szCs w:val="24"/>
              </w:rPr>
              <w:t>5000</w:t>
            </w:r>
            <w:r>
              <w:rPr>
                <w:rFonts w:cs="Times New Roman"/>
                <w:bCs/>
                <w:kern w:val="21"/>
                <w:sz w:val="21"/>
                <w:szCs w:val="24"/>
              </w:rPr>
              <w:t>头（其他畜禽种类折合猪的养殖规模）及以上；涉及环境敏感区的</w:t>
            </w:r>
          </w:p>
        </w:tc>
        <w:tc>
          <w:tcPr>
            <w:tcW w:w="915" w:type="dxa"/>
            <w:shd w:val="clear" w:color="auto" w:fill="auto"/>
            <w:vAlign w:val="center"/>
          </w:tcPr>
          <w:p w14:paraId="66B90F9D"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4"/>
              </w:rPr>
            </w:pPr>
            <w:r>
              <w:rPr>
                <w:rFonts w:cs="Times New Roman"/>
                <w:bCs/>
                <w:kern w:val="21"/>
                <w:sz w:val="21"/>
                <w:szCs w:val="24"/>
              </w:rPr>
              <w:t>/</w:t>
            </w:r>
          </w:p>
        </w:tc>
        <w:tc>
          <w:tcPr>
            <w:tcW w:w="1483" w:type="dxa"/>
            <w:shd w:val="clear" w:color="auto" w:fill="auto"/>
            <w:vAlign w:val="center"/>
          </w:tcPr>
          <w:p w14:paraId="6498F1C5"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4"/>
              </w:rPr>
            </w:pPr>
            <w:r>
              <w:rPr>
                <w:rFonts w:cs="Times New Roman"/>
                <w:b/>
                <w:kern w:val="21"/>
                <w:sz w:val="21"/>
                <w:szCs w:val="24"/>
              </w:rPr>
              <w:t>Ⅲ</w:t>
            </w:r>
            <w:r>
              <w:rPr>
                <w:rFonts w:cs="Times New Roman"/>
                <w:b/>
                <w:kern w:val="21"/>
                <w:sz w:val="21"/>
                <w:szCs w:val="24"/>
              </w:rPr>
              <w:t>类</w:t>
            </w:r>
          </w:p>
        </w:tc>
        <w:tc>
          <w:tcPr>
            <w:tcW w:w="1527" w:type="dxa"/>
            <w:shd w:val="clear" w:color="auto" w:fill="auto"/>
            <w:vAlign w:val="center"/>
          </w:tcPr>
          <w:p w14:paraId="5A7FF672" w14:textId="77777777" w:rsidR="00544649" w:rsidRDefault="00544649">
            <w:pPr>
              <w:adjustRightInd w:val="0"/>
              <w:snapToGrid w:val="0"/>
              <w:spacing w:beforeLines="20" w:before="62" w:afterLines="20" w:after="62" w:line="240" w:lineRule="auto"/>
              <w:ind w:firstLineChars="0" w:firstLine="0"/>
              <w:jc w:val="center"/>
              <w:rPr>
                <w:rFonts w:cs="Times New Roman"/>
                <w:bCs/>
                <w:kern w:val="21"/>
                <w:sz w:val="21"/>
                <w:szCs w:val="24"/>
              </w:rPr>
            </w:pPr>
          </w:p>
        </w:tc>
      </w:tr>
    </w:tbl>
    <w:p w14:paraId="78415FE0" w14:textId="77777777" w:rsidR="00544649" w:rsidRDefault="00000000">
      <w:pPr>
        <w:adjustRightInd w:val="0"/>
        <w:snapToGrid w:val="0"/>
        <w:spacing w:after="0"/>
        <w:ind w:firstLine="480"/>
        <w:rPr>
          <w:rFonts w:cs="Times New Roman"/>
          <w:kern w:val="21"/>
        </w:rPr>
      </w:pPr>
      <w:r>
        <w:rPr>
          <w:rFonts w:cs="Times New Roman"/>
          <w:kern w:val="21"/>
          <w:szCs w:val="24"/>
        </w:rPr>
        <w:t>由上表可知，</w:t>
      </w:r>
      <w:r>
        <w:rPr>
          <w:rFonts w:cs="Times New Roman"/>
          <w:kern w:val="21"/>
          <w:szCs w:val="21"/>
        </w:rPr>
        <w:t>本项目为</w:t>
      </w:r>
      <w:r>
        <w:rPr>
          <w:rFonts w:cs="Times New Roman"/>
          <w:kern w:val="21"/>
          <w:szCs w:val="21"/>
        </w:rPr>
        <w:t>Ⅲ</w:t>
      </w:r>
      <w:r>
        <w:rPr>
          <w:rFonts w:cs="Times New Roman"/>
          <w:kern w:val="21"/>
          <w:szCs w:val="21"/>
        </w:rPr>
        <w:t>类项目。</w:t>
      </w:r>
    </w:p>
    <w:p w14:paraId="7F0814E0"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二、地下水环境敏感程度</w:t>
      </w:r>
    </w:p>
    <w:p w14:paraId="7415C2FE" w14:textId="77777777" w:rsidR="00544649" w:rsidRDefault="00000000">
      <w:pPr>
        <w:adjustRightInd w:val="0"/>
        <w:snapToGrid w:val="0"/>
        <w:spacing w:after="0"/>
        <w:ind w:firstLine="480"/>
        <w:rPr>
          <w:rFonts w:cs="Times New Roman"/>
          <w:kern w:val="21"/>
          <w:szCs w:val="24"/>
        </w:rPr>
      </w:pPr>
      <w:r>
        <w:rPr>
          <w:rFonts w:cs="Times New Roman"/>
          <w:kern w:val="21"/>
          <w:szCs w:val="24"/>
        </w:rPr>
        <w:t>建设项目地下水环境影响评价等级划分应根据建设项目行业分类和地下水环境敏感程度进行判定。</w:t>
      </w:r>
    </w:p>
    <w:p w14:paraId="01E68097"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0"/>
        </w:rPr>
      </w:pPr>
      <w:r>
        <w:rPr>
          <w:rFonts w:cs="Times New Roman"/>
          <w:b/>
          <w:bCs/>
          <w:kern w:val="21"/>
          <w:sz w:val="21"/>
          <w:szCs w:val="20"/>
        </w:rPr>
        <w:t>本项目地下水环境敏感程度分级</w:t>
      </w:r>
    </w:p>
    <w:tbl>
      <w:tblPr>
        <w:tblStyle w:val="afc"/>
        <w:tblW w:w="9060" w:type="dxa"/>
        <w:jc w:val="center"/>
        <w:tblLayout w:type="fixed"/>
        <w:tblLook w:val="04A0" w:firstRow="1" w:lastRow="0" w:firstColumn="1" w:lastColumn="0" w:noHBand="0" w:noVBand="1"/>
      </w:tblPr>
      <w:tblGrid>
        <w:gridCol w:w="1026"/>
        <w:gridCol w:w="5075"/>
        <w:gridCol w:w="2959"/>
      </w:tblGrid>
      <w:tr w:rsidR="00544649" w14:paraId="07520017" w14:textId="77777777">
        <w:trPr>
          <w:tblHeader/>
          <w:jc w:val="center"/>
        </w:trPr>
        <w:tc>
          <w:tcPr>
            <w:tcW w:w="1026" w:type="dxa"/>
            <w:vAlign w:val="center"/>
          </w:tcPr>
          <w:p w14:paraId="02DFCD24"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分级</w:t>
            </w:r>
          </w:p>
        </w:tc>
        <w:tc>
          <w:tcPr>
            <w:tcW w:w="5075" w:type="dxa"/>
            <w:vAlign w:val="center"/>
          </w:tcPr>
          <w:p w14:paraId="5ECD9EF8"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项目场地的地下水环境敏感特征</w:t>
            </w:r>
          </w:p>
        </w:tc>
        <w:tc>
          <w:tcPr>
            <w:tcW w:w="2959" w:type="dxa"/>
            <w:vAlign w:val="center"/>
          </w:tcPr>
          <w:p w14:paraId="1158661C"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本项目</w:t>
            </w:r>
          </w:p>
        </w:tc>
      </w:tr>
      <w:tr w:rsidR="00544649" w14:paraId="37528A59" w14:textId="77777777">
        <w:trPr>
          <w:trHeight w:val="90"/>
          <w:jc w:val="center"/>
        </w:trPr>
        <w:tc>
          <w:tcPr>
            <w:tcW w:w="1026" w:type="dxa"/>
            <w:vAlign w:val="center"/>
          </w:tcPr>
          <w:p w14:paraId="6FDA238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敏感</w:t>
            </w:r>
          </w:p>
        </w:tc>
        <w:tc>
          <w:tcPr>
            <w:tcW w:w="5075" w:type="dxa"/>
            <w:vAlign w:val="center"/>
          </w:tcPr>
          <w:p w14:paraId="1E91121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集中式饮用水源地（包括已建成的在用、备用、应急水源地，在建和规划的水源地）准保护区；除集中式饮用水源地以外的国家或地方政府设定的与地下水环境相关的其他保护区，如热水、矿泉水、温泉等特殊地下水资源保护区。</w:t>
            </w:r>
          </w:p>
        </w:tc>
        <w:tc>
          <w:tcPr>
            <w:tcW w:w="2959" w:type="dxa"/>
            <w:vMerge w:val="restart"/>
            <w:vAlign w:val="center"/>
          </w:tcPr>
          <w:p w14:paraId="3E6EAF9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根据现场调查和建设单位介绍，项目地下水评价范围主要涉及荒地、分散式居民点、农田等，项目调查范围内不存在集中式饮用水源地，不存在国家或地方政府设定的与地下水环境相关的其他保护区，</w:t>
            </w:r>
            <w:r>
              <w:rPr>
                <w:rFonts w:cs="Times New Roman" w:hint="eastAsia"/>
                <w:kern w:val="21"/>
                <w:sz w:val="21"/>
                <w:szCs w:val="21"/>
              </w:rPr>
              <w:t>项目周边少数居民饮用</w:t>
            </w:r>
            <w:proofErr w:type="gramStart"/>
            <w:r>
              <w:rPr>
                <w:rFonts w:cs="Times New Roman" w:hint="eastAsia"/>
                <w:kern w:val="21"/>
                <w:sz w:val="21"/>
                <w:szCs w:val="21"/>
              </w:rPr>
              <w:t>水采</w:t>
            </w:r>
            <w:proofErr w:type="gramEnd"/>
            <w:r>
              <w:rPr>
                <w:rFonts w:cs="Times New Roman" w:hint="eastAsia"/>
                <w:kern w:val="21"/>
                <w:sz w:val="21"/>
                <w:szCs w:val="21"/>
              </w:rPr>
              <w:t>用地下水作为引用水源，</w:t>
            </w:r>
            <w:r>
              <w:rPr>
                <w:rFonts w:cs="Times New Roman"/>
                <w:kern w:val="21"/>
                <w:sz w:val="21"/>
                <w:szCs w:val="21"/>
              </w:rPr>
              <w:t>因此，地下水评价范围内地下水环境敏感程度为</w:t>
            </w:r>
            <w:r>
              <w:rPr>
                <w:rFonts w:cs="Times New Roman" w:hint="eastAsia"/>
                <w:kern w:val="21"/>
                <w:sz w:val="21"/>
                <w:szCs w:val="21"/>
              </w:rPr>
              <w:t>较</w:t>
            </w:r>
            <w:r>
              <w:rPr>
                <w:rFonts w:cs="Times New Roman"/>
                <w:kern w:val="21"/>
                <w:sz w:val="21"/>
                <w:szCs w:val="21"/>
              </w:rPr>
              <w:t>敏感。</w:t>
            </w:r>
          </w:p>
        </w:tc>
      </w:tr>
      <w:tr w:rsidR="00544649" w14:paraId="1182552C" w14:textId="77777777">
        <w:trPr>
          <w:jc w:val="center"/>
        </w:trPr>
        <w:tc>
          <w:tcPr>
            <w:tcW w:w="1026" w:type="dxa"/>
            <w:vAlign w:val="center"/>
          </w:tcPr>
          <w:p w14:paraId="74923A0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较敏感</w:t>
            </w:r>
          </w:p>
        </w:tc>
        <w:tc>
          <w:tcPr>
            <w:tcW w:w="5075" w:type="dxa"/>
            <w:vAlign w:val="center"/>
          </w:tcPr>
          <w:p w14:paraId="28C99D4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集中式饮用水源地（包括已建成的在用、备用、应急水源地，在建和规划的水源地）准保护区以外的补给径流区；特殊地下水资源（如矿泉水、温泉等）保护区以外的分布区以及分散居民饮用水源等其他未列入上述敏感分级的环境敏感区。</w:t>
            </w:r>
          </w:p>
        </w:tc>
        <w:tc>
          <w:tcPr>
            <w:tcW w:w="2959" w:type="dxa"/>
            <w:vMerge/>
            <w:vAlign w:val="center"/>
          </w:tcPr>
          <w:p w14:paraId="59A45CA0"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4994FDC7" w14:textId="77777777">
        <w:trPr>
          <w:jc w:val="center"/>
        </w:trPr>
        <w:tc>
          <w:tcPr>
            <w:tcW w:w="1026" w:type="dxa"/>
            <w:vAlign w:val="center"/>
          </w:tcPr>
          <w:p w14:paraId="500A33C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不敏感</w:t>
            </w:r>
          </w:p>
        </w:tc>
        <w:tc>
          <w:tcPr>
            <w:tcW w:w="5075" w:type="dxa"/>
            <w:vAlign w:val="center"/>
          </w:tcPr>
          <w:p w14:paraId="32722FD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上述地区之外的其他地区</w:t>
            </w:r>
          </w:p>
        </w:tc>
        <w:tc>
          <w:tcPr>
            <w:tcW w:w="2959" w:type="dxa"/>
            <w:vMerge/>
            <w:vAlign w:val="center"/>
          </w:tcPr>
          <w:p w14:paraId="61A31CCE"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54C76314" w14:textId="77777777">
        <w:trPr>
          <w:trHeight w:val="90"/>
          <w:jc w:val="center"/>
        </w:trPr>
        <w:tc>
          <w:tcPr>
            <w:tcW w:w="9060" w:type="dxa"/>
            <w:gridSpan w:val="3"/>
            <w:vAlign w:val="center"/>
          </w:tcPr>
          <w:p w14:paraId="73D88731" w14:textId="77777777" w:rsidR="00544649" w:rsidRDefault="00000000">
            <w:pPr>
              <w:adjustRightInd w:val="0"/>
              <w:snapToGrid w:val="0"/>
              <w:spacing w:beforeLines="20" w:before="62" w:afterLines="20" w:after="62" w:line="240" w:lineRule="auto"/>
              <w:ind w:firstLineChars="0" w:firstLine="0"/>
              <w:rPr>
                <w:rFonts w:cs="Times New Roman"/>
                <w:kern w:val="21"/>
                <w:sz w:val="18"/>
                <w:szCs w:val="18"/>
              </w:rPr>
            </w:pPr>
            <w:r>
              <w:rPr>
                <w:rFonts w:cs="Times New Roman"/>
                <w:b/>
                <w:bCs/>
                <w:kern w:val="21"/>
                <w:sz w:val="21"/>
                <w:szCs w:val="21"/>
              </w:rPr>
              <w:t>注：</w:t>
            </w:r>
            <w:r>
              <w:rPr>
                <w:rFonts w:cs="Times New Roman"/>
                <w:kern w:val="21"/>
                <w:sz w:val="21"/>
                <w:szCs w:val="21"/>
              </w:rPr>
              <w:t>“</w:t>
            </w:r>
            <w:r>
              <w:rPr>
                <w:rFonts w:cs="Times New Roman"/>
                <w:kern w:val="21"/>
                <w:sz w:val="21"/>
                <w:szCs w:val="21"/>
              </w:rPr>
              <w:t>环境敏感区</w:t>
            </w:r>
            <w:r>
              <w:rPr>
                <w:rFonts w:cs="Times New Roman"/>
                <w:kern w:val="21"/>
                <w:sz w:val="21"/>
                <w:szCs w:val="21"/>
              </w:rPr>
              <w:t>”</w:t>
            </w:r>
            <w:r>
              <w:rPr>
                <w:rFonts w:cs="Times New Roman"/>
                <w:kern w:val="21"/>
                <w:sz w:val="21"/>
                <w:szCs w:val="21"/>
              </w:rPr>
              <w:t>指《建设项目环境影响评价分类管理名录》中所界定的涉及地下水的环境敏感区。</w:t>
            </w:r>
          </w:p>
        </w:tc>
      </w:tr>
    </w:tbl>
    <w:p w14:paraId="0030CEE9" w14:textId="77777777" w:rsidR="00544649" w:rsidRDefault="00000000">
      <w:pPr>
        <w:adjustRightInd w:val="0"/>
        <w:snapToGrid w:val="0"/>
        <w:spacing w:after="0"/>
        <w:ind w:firstLine="480"/>
        <w:rPr>
          <w:rFonts w:cs="Times New Roman"/>
          <w:kern w:val="21"/>
          <w:szCs w:val="24"/>
        </w:rPr>
      </w:pPr>
      <w:r>
        <w:rPr>
          <w:rFonts w:cs="Times New Roman"/>
          <w:kern w:val="21"/>
          <w:szCs w:val="24"/>
        </w:rPr>
        <w:t>本项目位于</w:t>
      </w:r>
      <w:r>
        <w:rPr>
          <w:rFonts w:cs="Times New Roman" w:hint="eastAsia"/>
          <w:kern w:val="21"/>
          <w:szCs w:val="24"/>
        </w:rPr>
        <w:t>广元</w:t>
      </w:r>
      <w:r>
        <w:rPr>
          <w:rFonts w:cs="Times New Roman"/>
          <w:kern w:val="21"/>
          <w:szCs w:val="24"/>
        </w:rPr>
        <w:t>市</w:t>
      </w:r>
      <w:r>
        <w:rPr>
          <w:rFonts w:cs="Times New Roman" w:hint="eastAsia"/>
          <w:kern w:val="21"/>
          <w:szCs w:val="24"/>
        </w:rPr>
        <w:t>剑阁</w:t>
      </w:r>
      <w:r>
        <w:rPr>
          <w:rFonts w:cs="Times New Roman"/>
          <w:kern w:val="21"/>
          <w:szCs w:val="24"/>
        </w:rPr>
        <w:t>县，根据现场调查，</w:t>
      </w:r>
      <w:proofErr w:type="gramStart"/>
      <w:r>
        <w:rPr>
          <w:rFonts w:cs="Times New Roman"/>
          <w:kern w:val="21"/>
          <w:szCs w:val="24"/>
        </w:rPr>
        <w:t>评价区</w:t>
      </w:r>
      <w:proofErr w:type="gramEnd"/>
      <w:r>
        <w:rPr>
          <w:rFonts w:cs="Times New Roman"/>
          <w:kern w:val="21"/>
          <w:szCs w:val="24"/>
        </w:rPr>
        <w:t>范围内无任何已划定保护区的</w:t>
      </w:r>
      <w:r>
        <w:rPr>
          <w:rFonts w:cs="Times New Roman"/>
          <w:kern w:val="21"/>
          <w:szCs w:val="24"/>
        </w:rPr>
        <w:lastRenderedPageBreak/>
        <w:t>集中式饮用水水源地，无热水、矿泉水、温泉等特殊地下水资源保护区</w:t>
      </w:r>
      <w:r>
        <w:rPr>
          <w:rFonts w:cs="Times New Roman" w:hint="eastAsia"/>
          <w:kern w:val="21"/>
          <w:szCs w:val="24"/>
        </w:rPr>
        <w:t>；项目周边少数居民生活用水采用地下井水，</w:t>
      </w:r>
      <w:r>
        <w:rPr>
          <w:rFonts w:cs="Times New Roman"/>
          <w:kern w:val="21"/>
          <w:szCs w:val="24"/>
        </w:rPr>
        <w:t>存在分散居民饮用水源</w:t>
      </w:r>
      <w:r>
        <w:rPr>
          <w:rFonts w:cs="Times New Roman" w:hint="eastAsia"/>
          <w:kern w:val="21"/>
          <w:szCs w:val="24"/>
        </w:rPr>
        <w:t>，项目场地的地下水环境敏感特征为较敏感</w:t>
      </w:r>
      <w:r>
        <w:rPr>
          <w:rFonts w:cs="Times New Roman"/>
          <w:kern w:val="21"/>
          <w:szCs w:val="24"/>
        </w:rPr>
        <w:t>。</w:t>
      </w:r>
    </w:p>
    <w:p w14:paraId="6B7E6F8C"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三、评价等级</w:t>
      </w:r>
    </w:p>
    <w:p w14:paraId="6C8A42D2" w14:textId="77777777" w:rsidR="00544649" w:rsidRDefault="00000000">
      <w:pPr>
        <w:adjustRightInd w:val="0"/>
        <w:snapToGrid w:val="0"/>
        <w:spacing w:after="0"/>
        <w:ind w:firstLine="480"/>
        <w:rPr>
          <w:rFonts w:cs="Times New Roman"/>
          <w:kern w:val="21"/>
        </w:rPr>
      </w:pPr>
      <w:r>
        <w:rPr>
          <w:rFonts w:cs="Times New Roman"/>
          <w:kern w:val="21"/>
          <w:szCs w:val="24"/>
        </w:rPr>
        <w:t>根据《环境影响评价技术导则地下水环境》（</w:t>
      </w:r>
      <w:r>
        <w:rPr>
          <w:rFonts w:cs="Times New Roman"/>
          <w:kern w:val="21"/>
          <w:szCs w:val="24"/>
        </w:rPr>
        <w:t>HJ610-2016</w:t>
      </w:r>
      <w:r>
        <w:rPr>
          <w:rFonts w:cs="Times New Roman"/>
          <w:kern w:val="21"/>
          <w:szCs w:val="24"/>
        </w:rPr>
        <w:t>），建设项目地下水环境影响评价工作等级划分见下表。</w:t>
      </w:r>
    </w:p>
    <w:p w14:paraId="0F326F59"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0"/>
        </w:rPr>
      </w:pPr>
      <w:r>
        <w:rPr>
          <w:rFonts w:cs="Times New Roman"/>
          <w:b/>
          <w:bCs/>
          <w:kern w:val="21"/>
          <w:sz w:val="21"/>
          <w:szCs w:val="20"/>
        </w:rPr>
        <w:t>建设项目评价工作等级分级表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0"/>
        <w:gridCol w:w="2194"/>
        <w:gridCol w:w="2193"/>
        <w:gridCol w:w="2193"/>
      </w:tblGrid>
      <w:tr w:rsidR="00544649" w14:paraId="1F3B52F9" w14:textId="77777777">
        <w:trPr>
          <w:trHeight w:val="96"/>
          <w:tblHeader/>
          <w:jc w:val="center"/>
        </w:trPr>
        <w:tc>
          <w:tcPr>
            <w:tcW w:w="2480" w:type="dxa"/>
            <w:tcBorders>
              <w:tl2br w:val="single" w:sz="4" w:space="0" w:color="auto"/>
            </w:tcBorders>
            <w:shd w:val="clear" w:color="auto" w:fill="auto"/>
            <w:vAlign w:val="center"/>
          </w:tcPr>
          <w:p w14:paraId="1CE662F4" w14:textId="77777777" w:rsidR="00544649" w:rsidRDefault="00000000">
            <w:pPr>
              <w:adjustRightInd w:val="0"/>
              <w:snapToGrid w:val="0"/>
              <w:spacing w:beforeLines="20" w:before="62" w:afterLines="20" w:after="62" w:line="240" w:lineRule="auto"/>
              <w:ind w:firstLineChars="0" w:firstLine="0"/>
              <w:jc w:val="right"/>
              <w:rPr>
                <w:rFonts w:cs="Times New Roman"/>
                <w:b/>
                <w:bCs/>
                <w:kern w:val="21"/>
                <w:sz w:val="21"/>
                <w:szCs w:val="21"/>
              </w:rPr>
            </w:pPr>
            <w:r>
              <w:rPr>
                <w:rFonts w:cs="Times New Roman"/>
                <w:b/>
                <w:bCs/>
                <w:kern w:val="21"/>
                <w:sz w:val="21"/>
                <w:szCs w:val="21"/>
              </w:rPr>
              <w:t>项目类别</w:t>
            </w:r>
          </w:p>
          <w:p w14:paraId="4D6EF844" w14:textId="77777777" w:rsidR="00544649" w:rsidRDefault="00000000">
            <w:pPr>
              <w:adjustRightInd w:val="0"/>
              <w:snapToGrid w:val="0"/>
              <w:spacing w:beforeLines="20" w:before="62" w:afterLines="20" w:after="62" w:line="240" w:lineRule="auto"/>
              <w:ind w:firstLineChars="0" w:firstLine="0"/>
              <w:rPr>
                <w:rFonts w:cs="Times New Roman"/>
                <w:b/>
                <w:bCs/>
                <w:kern w:val="21"/>
                <w:sz w:val="21"/>
                <w:szCs w:val="21"/>
              </w:rPr>
            </w:pPr>
            <w:r>
              <w:rPr>
                <w:rFonts w:cs="Times New Roman"/>
                <w:b/>
                <w:bCs/>
                <w:kern w:val="21"/>
                <w:sz w:val="21"/>
                <w:szCs w:val="21"/>
              </w:rPr>
              <w:t>环境敏感程度</w:t>
            </w:r>
          </w:p>
        </w:tc>
        <w:tc>
          <w:tcPr>
            <w:tcW w:w="2194" w:type="dxa"/>
            <w:shd w:val="clear" w:color="auto" w:fill="auto"/>
            <w:vAlign w:val="center"/>
          </w:tcPr>
          <w:p w14:paraId="35372970"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I</w:t>
            </w:r>
            <w:r>
              <w:rPr>
                <w:rFonts w:cs="Times New Roman"/>
                <w:b/>
                <w:bCs/>
                <w:kern w:val="21"/>
                <w:sz w:val="21"/>
                <w:szCs w:val="21"/>
              </w:rPr>
              <w:t>类项目</w:t>
            </w:r>
          </w:p>
        </w:tc>
        <w:tc>
          <w:tcPr>
            <w:tcW w:w="2193" w:type="dxa"/>
            <w:shd w:val="clear" w:color="auto" w:fill="auto"/>
            <w:vAlign w:val="center"/>
          </w:tcPr>
          <w:p w14:paraId="203D7446"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Ⅱ</w:t>
            </w:r>
            <w:r>
              <w:rPr>
                <w:rFonts w:cs="Times New Roman"/>
                <w:b/>
                <w:bCs/>
                <w:kern w:val="21"/>
                <w:sz w:val="21"/>
                <w:szCs w:val="21"/>
              </w:rPr>
              <w:t>类项目</w:t>
            </w:r>
          </w:p>
        </w:tc>
        <w:tc>
          <w:tcPr>
            <w:tcW w:w="2193" w:type="dxa"/>
            <w:shd w:val="clear" w:color="auto" w:fill="auto"/>
            <w:vAlign w:val="center"/>
          </w:tcPr>
          <w:p w14:paraId="70A258F3"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Ⅲ</w:t>
            </w:r>
            <w:r>
              <w:rPr>
                <w:rFonts w:cs="Times New Roman"/>
                <w:b/>
                <w:bCs/>
                <w:kern w:val="21"/>
                <w:sz w:val="21"/>
                <w:szCs w:val="21"/>
              </w:rPr>
              <w:t>类项目</w:t>
            </w:r>
          </w:p>
        </w:tc>
      </w:tr>
      <w:tr w:rsidR="00544649" w14:paraId="03925B3F" w14:textId="77777777">
        <w:trPr>
          <w:jc w:val="center"/>
        </w:trPr>
        <w:tc>
          <w:tcPr>
            <w:tcW w:w="2480" w:type="dxa"/>
            <w:shd w:val="clear" w:color="auto" w:fill="auto"/>
            <w:vAlign w:val="center"/>
          </w:tcPr>
          <w:p w14:paraId="41EAD520"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敏感</w:t>
            </w:r>
          </w:p>
        </w:tc>
        <w:tc>
          <w:tcPr>
            <w:tcW w:w="2194" w:type="dxa"/>
            <w:shd w:val="clear" w:color="auto" w:fill="auto"/>
            <w:vAlign w:val="center"/>
          </w:tcPr>
          <w:p w14:paraId="68FF0F14"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proofErr w:type="gramStart"/>
            <w:r>
              <w:rPr>
                <w:rFonts w:cs="Times New Roman"/>
                <w:bCs/>
                <w:kern w:val="21"/>
                <w:sz w:val="21"/>
                <w:szCs w:val="21"/>
              </w:rPr>
              <w:t>一</w:t>
            </w:r>
            <w:proofErr w:type="gramEnd"/>
          </w:p>
        </w:tc>
        <w:tc>
          <w:tcPr>
            <w:tcW w:w="2193" w:type="dxa"/>
            <w:shd w:val="clear" w:color="auto" w:fill="auto"/>
            <w:vAlign w:val="center"/>
          </w:tcPr>
          <w:p w14:paraId="1BF26608"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proofErr w:type="gramStart"/>
            <w:r>
              <w:rPr>
                <w:rFonts w:cs="Times New Roman"/>
                <w:bCs/>
                <w:kern w:val="21"/>
                <w:sz w:val="21"/>
                <w:szCs w:val="21"/>
              </w:rPr>
              <w:t>一</w:t>
            </w:r>
            <w:proofErr w:type="gramEnd"/>
          </w:p>
        </w:tc>
        <w:tc>
          <w:tcPr>
            <w:tcW w:w="2193" w:type="dxa"/>
            <w:shd w:val="clear" w:color="auto" w:fill="auto"/>
            <w:vAlign w:val="center"/>
          </w:tcPr>
          <w:p w14:paraId="3D410CBC"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二</w:t>
            </w:r>
          </w:p>
        </w:tc>
      </w:tr>
      <w:tr w:rsidR="00544649" w14:paraId="3DFC7804" w14:textId="77777777">
        <w:trPr>
          <w:jc w:val="center"/>
        </w:trPr>
        <w:tc>
          <w:tcPr>
            <w:tcW w:w="2480" w:type="dxa"/>
            <w:shd w:val="clear" w:color="auto" w:fill="auto"/>
            <w:vAlign w:val="center"/>
          </w:tcPr>
          <w:p w14:paraId="20C33649"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较敏感</w:t>
            </w:r>
          </w:p>
        </w:tc>
        <w:tc>
          <w:tcPr>
            <w:tcW w:w="2194" w:type="dxa"/>
            <w:shd w:val="clear" w:color="auto" w:fill="auto"/>
            <w:vAlign w:val="center"/>
          </w:tcPr>
          <w:p w14:paraId="7C066369"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较敏感</w:t>
            </w:r>
          </w:p>
        </w:tc>
        <w:tc>
          <w:tcPr>
            <w:tcW w:w="2193" w:type="dxa"/>
            <w:shd w:val="clear" w:color="auto" w:fill="auto"/>
            <w:vAlign w:val="center"/>
          </w:tcPr>
          <w:p w14:paraId="1C20ABA2"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proofErr w:type="gramStart"/>
            <w:r>
              <w:rPr>
                <w:rFonts w:cs="Times New Roman"/>
                <w:bCs/>
                <w:kern w:val="21"/>
                <w:sz w:val="21"/>
                <w:szCs w:val="21"/>
              </w:rPr>
              <w:t>一</w:t>
            </w:r>
            <w:proofErr w:type="gramEnd"/>
          </w:p>
        </w:tc>
        <w:tc>
          <w:tcPr>
            <w:tcW w:w="2193" w:type="dxa"/>
            <w:shd w:val="clear" w:color="auto" w:fill="D8D8D8" w:themeFill="background1" w:themeFillShade="D8"/>
            <w:vAlign w:val="center"/>
          </w:tcPr>
          <w:p w14:paraId="2C651C53"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Cs/>
                <w:kern w:val="21"/>
                <w:sz w:val="21"/>
                <w:szCs w:val="21"/>
              </w:rPr>
              <w:t>二</w:t>
            </w:r>
          </w:p>
        </w:tc>
      </w:tr>
      <w:tr w:rsidR="00544649" w14:paraId="7A28C7A0" w14:textId="77777777">
        <w:trPr>
          <w:jc w:val="center"/>
        </w:trPr>
        <w:tc>
          <w:tcPr>
            <w:tcW w:w="2480" w:type="dxa"/>
            <w:shd w:val="clear" w:color="auto" w:fill="auto"/>
            <w:vAlign w:val="center"/>
          </w:tcPr>
          <w:p w14:paraId="1994FF75"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不敏感</w:t>
            </w:r>
          </w:p>
        </w:tc>
        <w:tc>
          <w:tcPr>
            <w:tcW w:w="2194" w:type="dxa"/>
            <w:shd w:val="clear" w:color="auto" w:fill="auto"/>
            <w:vAlign w:val="center"/>
          </w:tcPr>
          <w:p w14:paraId="0418E25B"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
                <w:kern w:val="21"/>
                <w:sz w:val="21"/>
                <w:szCs w:val="21"/>
              </w:rPr>
              <w:t>二</w:t>
            </w:r>
          </w:p>
        </w:tc>
        <w:tc>
          <w:tcPr>
            <w:tcW w:w="2193" w:type="dxa"/>
            <w:shd w:val="clear" w:color="auto" w:fill="auto"/>
            <w:vAlign w:val="center"/>
          </w:tcPr>
          <w:p w14:paraId="49B06F09"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三</w:t>
            </w:r>
          </w:p>
        </w:tc>
        <w:tc>
          <w:tcPr>
            <w:tcW w:w="2193" w:type="dxa"/>
            <w:shd w:val="clear" w:color="auto" w:fill="auto"/>
            <w:vAlign w:val="center"/>
          </w:tcPr>
          <w:p w14:paraId="10A08C08"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三</w:t>
            </w:r>
          </w:p>
        </w:tc>
      </w:tr>
    </w:tbl>
    <w:p w14:paraId="097F3239" w14:textId="77777777" w:rsidR="00544649" w:rsidRDefault="00000000">
      <w:pPr>
        <w:adjustRightInd w:val="0"/>
        <w:snapToGrid w:val="0"/>
        <w:spacing w:after="0"/>
        <w:ind w:firstLine="480"/>
        <w:rPr>
          <w:rFonts w:cs="Times New Roman"/>
          <w:kern w:val="21"/>
          <w:szCs w:val="24"/>
        </w:rPr>
      </w:pPr>
      <w:r>
        <w:rPr>
          <w:rFonts w:cs="Times New Roman"/>
          <w:kern w:val="21"/>
          <w:szCs w:val="24"/>
        </w:rPr>
        <w:t>由表可知，本项目地下水环境影响评价工作等级为</w:t>
      </w:r>
      <w:r>
        <w:rPr>
          <w:rFonts w:cs="Times New Roman"/>
          <w:b/>
          <w:bCs/>
          <w:kern w:val="21"/>
          <w:szCs w:val="24"/>
        </w:rPr>
        <w:t>三级</w:t>
      </w:r>
      <w:r>
        <w:rPr>
          <w:rFonts w:cs="Times New Roman"/>
          <w:kern w:val="21"/>
          <w:szCs w:val="24"/>
        </w:rPr>
        <w:t>。</w:t>
      </w:r>
    </w:p>
    <w:p w14:paraId="6FB67A2A" w14:textId="77777777" w:rsidR="00544649" w:rsidRDefault="00000000">
      <w:pPr>
        <w:keepNext/>
        <w:keepLines/>
        <w:numPr>
          <w:ilvl w:val="3"/>
          <w:numId w:val="2"/>
        </w:numPr>
        <w:adjustRightInd w:val="0"/>
        <w:snapToGrid w:val="0"/>
        <w:spacing w:after="0"/>
        <w:ind w:firstLineChars="0"/>
        <w:outlineLvl w:val="3"/>
        <w:rPr>
          <w:rFonts w:cs="Times New Roman"/>
          <w:b/>
          <w:bCs/>
          <w:kern w:val="21"/>
          <w:szCs w:val="24"/>
        </w:rPr>
      </w:pPr>
      <w:r>
        <w:rPr>
          <w:rFonts w:cs="Times New Roman"/>
          <w:b/>
          <w:bCs/>
          <w:kern w:val="21"/>
          <w:szCs w:val="24"/>
        </w:rPr>
        <w:t>评价范围</w:t>
      </w:r>
    </w:p>
    <w:p w14:paraId="467985B5" w14:textId="77777777" w:rsidR="00544649" w:rsidRDefault="00000000">
      <w:pPr>
        <w:adjustRightInd w:val="0"/>
        <w:snapToGrid w:val="0"/>
        <w:spacing w:after="0"/>
        <w:ind w:firstLine="480"/>
        <w:rPr>
          <w:rFonts w:cs="Times New Roman"/>
          <w:kern w:val="21"/>
        </w:rPr>
      </w:pPr>
      <w:r>
        <w:rPr>
          <w:rFonts w:cs="Times New Roman"/>
          <w:kern w:val="21"/>
        </w:rPr>
        <w:t>根据《环境影响评价技术导则地下水环境》（</w:t>
      </w:r>
      <w:r>
        <w:rPr>
          <w:rFonts w:cs="Times New Roman"/>
          <w:kern w:val="21"/>
        </w:rPr>
        <w:t>HJ610-2016</w:t>
      </w:r>
      <w:r>
        <w:rPr>
          <w:rFonts w:cs="Times New Roman"/>
          <w:kern w:val="21"/>
        </w:rPr>
        <w:t>）</w:t>
      </w:r>
      <w:r>
        <w:rPr>
          <w:rFonts w:cs="Times New Roman" w:hint="eastAsia"/>
          <w:kern w:val="21"/>
          <w:szCs w:val="24"/>
        </w:rPr>
        <w:t>，结合地形地貌特征、水文地质条件，本项目采用公式法确定地下水评价范围。其中，公式计算法所采用导则推荐公式：</w:t>
      </w:r>
    </w:p>
    <w:p w14:paraId="3F0B52B0" w14:textId="77777777" w:rsidR="00544649" w:rsidRDefault="00000000">
      <w:pPr>
        <w:adjustRightInd w:val="0"/>
        <w:snapToGrid w:val="0"/>
        <w:spacing w:after="0"/>
        <w:ind w:firstLine="480"/>
        <w:jc w:val="center"/>
        <w:rPr>
          <w:rFonts w:ascii="宋体" w:hAnsi="Calibri" w:cs="Times New Roman"/>
          <w:kern w:val="21"/>
          <w:szCs w:val="24"/>
        </w:rPr>
      </w:pPr>
      <w:r>
        <w:rPr>
          <w:rFonts w:cs="宋体" w:hint="eastAsia"/>
          <w:kern w:val="21"/>
          <w:szCs w:val="24"/>
        </w:rPr>
        <w:object w:dxaOrig="1980" w:dyaOrig="345" w14:anchorId="1CA4A60F">
          <v:shape id="_x0000_i1026" type="#_x0000_t75" style="width:99pt;height:17.25pt" o:ole="">
            <v:imagedata r:id="rId33" o:title=""/>
          </v:shape>
          <o:OLEObject Type="Embed" ProgID="Equation.3" ShapeID="_x0000_i1026" DrawAspect="Content" ObjectID="_1806238022" r:id="rId34"/>
        </w:object>
      </w:r>
    </w:p>
    <w:p w14:paraId="306FECED" w14:textId="77777777" w:rsidR="00544649" w:rsidRDefault="00000000">
      <w:pPr>
        <w:adjustRightInd w:val="0"/>
        <w:snapToGrid w:val="0"/>
        <w:spacing w:after="0"/>
        <w:ind w:firstLine="480"/>
        <w:rPr>
          <w:rFonts w:cs="Times New Roman"/>
          <w:kern w:val="21"/>
          <w:szCs w:val="24"/>
        </w:rPr>
      </w:pPr>
      <w:r>
        <w:rPr>
          <w:rFonts w:cs="Times New Roman"/>
          <w:kern w:val="21"/>
          <w:szCs w:val="24"/>
        </w:rPr>
        <w:t>式中：</w:t>
      </w:r>
    </w:p>
    <w:p w14:paraId="50E10269" w14:textId="77777777" w:rsidR="00544649" w:rsidRDefault="00000000">
      <w:pPr>
        <w:adjustRightInd w:val="0"/>
        <w:snapToGrid w:val="0"/>
        <w:spacing w:after="0"/>
        <w:ind w:firstLine="480"/>
        <w:rPr>
          <w:rFonts w:cs="Times New Roman"/>
          <w:kern w:val="21"/>
          <w:szCs w:val="24"/>
        </w:rPr>
      </w:pPr>
      <w:r>
        <w:rPr>
          <w:rFonts w:cs="Times New Roman"/>
          <w:i/>
          <w:iCs/>
          <w:kern w:val="21"/>
          <w:szCs w:val="24"/>
        </w:rPr>
        <w:t>L——</w:t>
      </w:r>
      <w:r>
        <w:rPr>
          <w:rFonts w:cs="Times New Roman"/>
          <w:kern w:val="21"/>
          <w:szCs w:val="24"/>
        </w:rPr>
        <w:t>下游迁移距离，</w:t>
      </w:r>
      <w:r>
        <w:rPr>
          <w:rFonts w:cs="Times New Roman"/>
          <w:kern w:val="21"/>
          <w:szCs w:val="24"/>
        </w:rPr>
        <w:t>m</w:t>
      </w:r>
      <w:r>
        <w:rPr>
          <w:rFonts w:cs="Times New Roman"/>
          <w:kern w:val="21"/>
          <w:szCs w:val="24"/>
        </w:rPr>
        <w:t>；</w:t>
      </w:r>
    </w:p>
    <w:p w14:paraId="63264677" w14:textId="77777777" w:rsidR="00544649" w:rsidRDefault="00000000">
      <w:pPr>
        <w:adjustRightInd w:val="0"/>
        <w:snapToGrid w:val="0"/>
        <w:spacing w:after="0"/>
        <w:ind w:firstLine="480"/>
        <w:rPr>
          <w:rFonts w:cs="Times New Roman"/>
          <w:kern w:val="21"/>
          <w:szCs w:val="24"/>
        </w:rPr>
      </w:pPr>
      <w:r>
        <w:rPr>
          <w:rFonts w:cs="Times New Roman"/>
          <w:i/>
          <w:iCs/>
          <w:kern w:val="21"/>
          <w:szCs w:val="24"/>
        </w:rPr>
        <w:t>α——</w:t>
      </w:r>
      <w:r>
        <w:rPr>
          <w:rFonts w:cs="Times New Roman"/>
          <w:kern w:val="21"/>
          <w:szCs w:val="24"/>
        </w:rPr>
        <w:t>变化系数，</w:t>
      </w:r>
      <w:r>
        <w:rPr>
          <w:rFonts w:cs="Times New Roman"/>
          <w:kern w:val="21"/>
          <w:szCs w:val="24"/>
        </w:rPr>
        <w:t>α≥1</w:t>
      </w:r>
      <w:r>
        <w:rPr>
          <w:rFonts w:cs="Times New Roman"/>
          <w:kern w:val="21"/>
          <w:szCs w:val="24"/>
        </w:rPr>
        <w:t>，</w:t>
      </w:r>
      <w:r>
        <w:rPr>
          <w:rFonts w:cs="Times New Roman" w:hint="eastAsia"/>
          <w:kern w:val="21"/>
          <w:szCs w:val="24"/>
        </w:rPr>
        <w:t>一般取</w:t>
      </w:r>
      <w:r>
        <w:rPr>
          <w:rFonts w:cs="Times New Roman" w:hint="eastAsia"/>
          <w:kern w:val="21"/>
          <w:szCs w:val="24"/>
        </w:rPr>
        <w:t>2</w:t>
      </w:r>
      <w:r>
        <w:rPr>
          <w:rFonts w:cs="Times New Roman"/>
          <w:kern w:val="21"/>
          <w:szCs w:val="24"/>
        </w:rPr>
        <w:t>；</w:t>
      </w:r>
    </w:p>
    <w:p w14:paraId="4E6A38A4" w14:textId="77777777" w:rsidR="00544649" w:rsidRDefault="00000000">
      <w:pPr>
        <w:adjustRightInd w:val="0"/>
        <w:snapToGrid w:val="0"/>
        <w:spacing w:after="0"/>
        <w:ind w:firstLine="480"/>
        <w:rPr>
          <w:rFonts w:cs="Times New Roman"/>
          <w:kern w:val="21"/>
        </w:rPr>
      </w:pPr>
      <w:r>
        <w:rPr>
          <w:rFonts w:cs="Times New Roman"/>
          <w:i/>
          <w:iCs/>
          <w:kern w:val="21"/>
          <w:szCs w:val="24"/>
        </w:rPr>
        <w:t>K——</w:t>
      </w:r>
      <w:r>
        <w:rPr>
          <w:rFonts w:cs="Times New Roman"/>
          <w:kern w:val="21"/>
          <w:szCs w:val="24"/>
        </w:rPr>
        <w:t>渗透系数，</w:t>
      </w:r>
      <w:r>
        <w:rPr>
          <w:rFonts w:cs="Times New Roman"/>
          <w:kern w:val="21"/>
          <w:szCs w:val="24"/>
        </w:rPr>
        <w:t>m/d</w:t>
      </w:r>
      <w:r>
        <w:rPr>
          <w:rFonts w:cs="Times New Roman"/>
          <w:kern w:val="21"/>
          <w:szCs w:val="24"/>
        </w:rPr>
        <w:t>，</w:t>
      </w:r>
      <w:r>
        <w:rPr>
          <w:rFonts w:cs="Times New Roman" w:hint="eastAsia"/>
          <w:kern w:val="21"/>
          <w:szCs w:val="24"/>
        </w:rPr>
        <w:t>根据《水文地质手册》及项目区域水文地质资料，项目区域含水层渗透系数取</w:t>
      </w:r>
      <w:r>
        <w:rPr>
          <w:rFonts w:cs="Times New Roman" w:hint="eastAsia"/>
          <w:kern w:val="21"/>
        </w:rPr>
        <w:t>0.5</w:t>
      </w:r>
      <w:r>
        <w:rPr>
          <w:rFonts w:cs="Times New Roman"/>
          <w:kern w:val="21"/>
        </w:rPr>
        <w:t>m/d</w:t>
      </w:r>
      <w:r>
        <w:rPr>
          <w:rFonts w:cs="Times New Roman"/>
          <w:kern w:val="21"/>
        </w:rPr>
        <w:t>；</w:t>
      </w:r>
    </w:p>
    <w:p w14:paraId="5C0BDD9E" w14:textId="77777777" w:rsidR="00544649" w:rsidRDefault="00000000">
      <w:pPr>
        <w:adjustRightInd w:val="0"/>
        <w:snapToGrid w:val="0"/>
        <w:spacing w:after="0"/>
        <w:ind w:firstLine="480"/>
        <w:rPr>
          <w:rFonts w:cs="Times New Roman"/>
          <w:kern w:val="21"/>
        </w:rPr>
      </w:pPr>
      <w:r>
        <w:rPr>
          <w:rFonts w:cs="Times New Roman"/>
          <w:i/>
          <w:iCs/>
          <w:kern w:val="21"/>
          <w:szCs w:val="24"/>
        </w:rPr>
        <w:t>I——</w:t>
      </w:r>
      <w:r>
        <w:rPr>
          <w:rFonts w:cs="Times New Roman"/>
          <w:kern w:val="21"/>
          <w:szCs w:val="24"/>
        </w:rPr>
        <w:t>水力坡度，无量纲，</w:t>
      </w:r>
      <w:r>
        <w:rPr>
          <w:rFonts w:cs="Times New Roman" w:hint="eastAsia"/>
          <w:kern w:val="21"/>
          <w:szCs w:val="24"/>
        </w:rPr>
        <w:t>根据项目区域水文地质资料，</w:t>
      </w:r>
      <w:r>
        <w:rPr>
          <w:rFonts w:cs="Times New Roman"/>
          <w:kern w:val="21"/>
          <w:szCs w:val="24"/>
        </w:rPr>
        <w:t>本项目取</w:t>
      </w:r>
      <w:r>
        <w:rPr>
          <w:rFonts w:cs="Times New Roman"/>
          <w:kern w:val="21"/>
        </w:rPr>
        <w:t>0.0</w:t>
      </w:r>
      <w:r>
        <w:rPr>
          <w:rFonts w:cs="Times New Roman" w:hint="eastAsia"/>
          <w:kern w:val="21"/>
        </w:rPr>
        <w:t>2</w:t>
      </w:r>
      <w:r>
        <w:rPr>
          <w:rFonts w:cs="Times New Roman"/>
          <w:kern w:val="21"/>
          <w:szCs w:val="24"/>
        </w:rPr>
        <w:t>m/d</w:t>
      </w:r>
      <w:r>
        <w:rPr>
          <w:rFonts w:cs="Times New Roman"/>
          <w:kern w:val="21"/>
        </w:rPr>
        <w:t>；</w:t>
      </w:r>
    </w:p>
    <w:p w14:paraId="4E41E1C5" w14:textId="77777777" w:rsidR="00544649" w:rsidRDefault="00000000">
      <w:pPr>
        <w:adjustRightInd w:val="0"/>
        <w:snapToGrid w:val="0"/>
        <w:spacing w:after="0"/>
        <w:ind w:firstLine="480"/>
        <w:rPr>
          <w:rFonts w:cs="Times New Roman"/>
          <w:kern w:val="21"/>
        </w:rPr>
      </w:pPr>
      <w:r>
        <w:rPr>
          <w:rFonts w:cs="Times New Roman"/>
          <w:i/>
          <w:iCs/>
          <w:kern w:val="21"/>
          <w:szCs w:val="24"/>
        </w:rPr>
        <w:t>T——</w:t>
      </w:r>
      <w:r>
        <w:rPr>
          <w:rFonts w:cs="Times New Roman"/>
          <w:kern w:val="21"/>
          <w:szCs w:val="24"/>
        </w:rPr>
        <w:t>质点迁移天数，取值不小于</w:t>
      </w:r>
      <w:r>
        <w:rPr>
          <w:rFonts w:cs="Times New Roman"/>
          <w:kern w:val="21"/>
          <w:szCs w:val="24"/>
        </w:rPr>
        <w:t>5000d</w:t>
      </w:r>
      <w:r>
        <w:rPr>
          <w:rFonts w:cs="Times New Roman"/>
          <w:kern w:val="21"/>
          <w:szCs w:val="24"/>
        </w:rPr>
        <w:t>，本项目取</w:t>
      </w:r>
      <w:r>
        <w:rPr>
          <w:rFonts w:cs="Times New Roman"/>
          <w:kern w:val="21"/>
          <w:szCs w:val="24"/>
        </w:rPr>
        <w:t>7300d</w:t>
      </w:r>
      <w:r>
        <w:rPr>
          <w:rFonts w:cs="Times New Roman"/>
          <w:kern w:val="21"/>
          <w:szCs w:val="24"/>
        </w:rPr>
        <w:t>；</w:t>
      </w:r>
    </w:p>
    <w:p w14:paraId="507F2792" w14:textId="77777777" w:rsidR="00544649" w:rsidRDefault="00000000">
      <w:pPr>
        <w:adjustRightInd w:val="0"/>
        <w:snapToGrid w:val="0"/>
        <w:spacing w:after="0"/>
        <w:ind w:firstLine="480"/>
        <w:rPr>
          <w:rFonts w:cs="Times New Roman"/>
          <w:kern w:val="21"/>
        </w:rPr>
      </w:pPr>
      <w:r>
        <w:rPr>
          <w:rFonts w:cs="Times New Roman"/>
          <w:i/>
          <w:iCs/>
          <w:kern w:val="21"/>
          <w:szCs w:val="24"/>
        </w:rPr>
        <w:t>n</w:t>
      </w:r>
      <w:r>
        <w:rPr>
          <w:rFonts w:cs="Times New Roman"/>
          <w:i/>
          <w:iCs/>
          <w:kern w:val="21"/>
          <w:szCs w:val="24"/>
          <w:vertAlign w:val="subscript"/>
        </w:rPr>
        <w:t>e</w:t>
      </w:r>
      <w:r>
        <w:rPr>
          <w:rFonts w:cs="Times New Roman"/>
          <w:i/>
          <w:iCs/>
          <w:kern w:val="21"/>
          <w:szCs w:val="24"/>
        </w:rPr>
        <w:t>——</w:t>
      </w:r>
      <w:r>
        <w:rPr>
          <w:rFonts w:cs="Times New Roman"/>
          <w:kern w:val="21"/>
          <w:szCs w:val="24"/>
        </w:rPr>
        <w:t>有效孔隙度，无量纲，</w:t>
      </w:r>
      <w:r>
        <w:rPr>
          <w:rFonts w:cs="Times New Roman" w:hint="eastAsia"/>
          <w:kern w:val="21"/>
          <w:szCs w:val="24"/>
        </w:rPr>
        <w:t>根据水文地质参数经验值，</w:t>
      </w:r>
      <w:r>
        <w:rPr>
          <w:rFonts w:cs="Times New Roman"/>
          <w:kern w:val="21"/>
          <w:szCs w:val="24"/>
        </w:rPr>
        <w:t>本项目取</w:t>
      </w:r>
      <w:r>
        <w:rPr>
          <w:rFonts w:cs="Times New Roman"/>
          <w:kern w:val="21"/>
        </w:rPr>
        <w:t>0.</w:t>
      </w:r>
      <w:r>
        <w:rPr>
          <w:rFonts w:cs="Times New Roman" w:hint="eastAsia"/>
          <w:kern w:val="21"/>
        </w:rPr>
        <w:t>1</w:t>
      </w:r>
      <w:r>
        <w:rPr>
          <w:rFonts w:cs="Times New Roman"/>
          <w:kern w:val="21"/>
        </w:rPr>
        <w:t>。</w:t>
      </w:r>
    </w:p>
    <w:p w14:paraId="6BFCB7D7" w14:textId="4A103D76" w:rsidR="00544649" w:rsidRDefault="00000000" w:rsidP="007D51AC">
      <w:pPr>
        <w:adjustRightInd w:val="0"/>
        <w:snapToGrid w:val="0"/>
        <w:spacing w:after="0"/>
        <w:ind w:firstLine="480"/>
        <w:rPr>
          <w:rFonts w:cs="Times New Roman"/>
          <w:kern w:val="21"/>
        </w:rPr>
      </w:pPr>
      <w:r>
        <w:rPr>
          <w:rFonts w:cs="Times New Roman"/>
          <w:kern w:val="21"/>
        </w:rPr>
        <w:t>经过计算可知，</w:t>
      </w:r>
      <w:r>
        <w:rPr>
          <w:rFonts w:cs="Times New Roman"/>
          <w:kern w:val="21"/>
        </w:rPr>
        <w:t>L</w:t>
      </w:r>
      <w:r>
        <w:rPr>
          <w:rFonts w:cs="Times New Roman"/>
          <w:kern w:val="21"/>
        </w:rPr>
        <w:t>为</w:t>
      </w:r>
      <w:r>
        <w:rPr>
          <w:rFonts w:cs="Times New Roman" w:hint="eastAsia"/>
          <w:kern w:val="21"/>
        </w:rPr>
        <w:t>1460</w:t>
      </w:r>
      <w:r>
        <w:rPr>
          <w:rFonts w:cs="Times New Roman"/>
          <w:kern w:val="21"/>
        </w:rPr>
        <w:t>m</w:t>
      </w:r>
      <w:r>
        <w:rPr>
          <w:rFonts w:cs="Times New Roman"/>
          <w:kern w:val="21"/>
        </w:rPr>
        <w:t>，以项目区域上游</w:t>
      </w:r>
      <w:r>
        <w:rPr>
          <w:rFonts w:cs="Times New Roman" w:hint="eastAsia"/>
          <w:kern w:val="21"/>
        </w:rPr>
        <w:t>以延伸</w:t>
      </w:r>
      <w:r>
        <w:rPr>
          <w:rFonts w:cs="Times New Roman" w:hint="eastAsia"/>
          <w:kern w:val="21"/>
        </w:rPr>
        <w:t>L/2</w:t>
      </w:r>
      <w:r>
        <w:rPr>
          <w:rFonts w:cs="Times New Roman" w:hint="eastAsia"/>
          <w:kern w:val="21"/>
        </w:rPr>
        <w:t>即</w:t>
      </w:r>
      <w:r>
        <w:rPr>
          <w:rFonts w:cs="Times New Roman" w:hint="eastAsia"/>
          <w:kern w:val="21"/>
        </w:rPr>
        <w:t>73</w:t>
      </w:r>
      <w:r>
        <w:rPr>
          <w:rFonts w:cs="Times New Roman"/>
          <w:kern w:val="21"/>
        </w:rPr>
        <w:t>0m</w:t>
      </w:r>
      <w:r>
        <w:rPr>
          <w:rFonts w:cs="Times New Roman"/>
          <w:kern w:val="21"/>
        </w:rPr>
        <w:t>，</w:t>
      </w:r>
      <w:r>
        <w:rPr>
          <w:rFonts w:cs="Times New Roman" w:hint="eastAsia"/>
          <w:kern w:val="21"/>
          <w:szCs w:val="24"/>
        </w:rPr>
        <w:t>场地</w:t>
      </w:r>
      <w:r>
        <w:rPr>
          <w:rFonts w:cs="Times New Roman"/>
          <w:kern w:val="21"/>
        </w:rPr>
        <w:t>两侧</w:t>
      </w:r>
      <w:r>
        <w:rPr>
          <w:rFonts w:cs="Times New Roman" w:hint="eastAsia"/>
          <w:kern w:val="21"/>
          <w:szCs w:val="24"/>
        </w:rPr>
        <w:t>以延伸</w:t>
      </w:r>
      <w:r>
        <w:rPr>
          <w:rFonts w:cs="Times New Roman" w:hint="eastAsia"/>
          <w:kern w:val="21"/>
          <w:szCs w:val="24"/>
        </w:rPr>
        <w:t>L/2</w:t>
      </w:r>
      <w:r>
        <w:rPr>
          <w:rFonts w:cs="Times New Roman" w:hint="eastAsia"/>
          <w:kern w:val="21"/>
          <w:szCs w:val="24"/>
        </w:rPr>
        <w:t>即</w:t>
      </w:r>
      <w:r>
        <w:rPr>
          <w:rFonts w:cs="Times New Roman" w:hint="eastAsia"/>
          <w:kern w:val="21"/>
        </w:rPr>
        <w:t>730</w:t>
      </w:r>
      <w:r>
        <w:rPr>
          <w:rFonts w:cs="Times New Roman"/>
          <w:kern w:val="21"/>
        </w:rPr>
        <w:t>m</w:t>
      </w:r>
      <w:r>
        <w:rPr>
          <w:rFonts w:cs="Times New Roman" w:hint="eastAsia"/>
          <w:kern w:val="21"/>
          <w:szCs w:val="24"/>
        </w:rPr>
        <w:t>为界</w:t>
      </w:r>
      <w:r>
        <w:rPr>
          <w:rFonts w:cs="Times New Roman"/>
          <w:kern w:val="21"/>
        </w:rPr>
        <w:t>，</w:t>
      </w:r>
      <w:r>
        <w:rPr>
          <w:rFonts w:cs="Times New Roman" w:hint="eastAsia"/>
          <w:kern w:val="21"/>
          <w:szCs w:val="24"/>
        </w:rPr>
        <w:t>场地下游以延伸</w:t>
      </w:r>
      <w:r>
        <w:rPr>
          <w:rFonts w:cs="Times New Roman" w:hint="eastAsia"/>
          <w:kern w:val="21"/>
          <w:szCs w:val="24"/>
        </w:rPr>
        <w:t>L</w:t>
      </w:r>
      <w:r>
        <w:rPr>
          <w:rFonts w:cs="Times New Roman" w:hint="eastAsia"/>
          <w:kern w:val="21"/>
          <w:szCs w:val="24"/>
        </w:rPr>
        <w:t>即</w:t>
      </w:r>
      <w:r>
        <w:rPr>
          <w:rFonts w:cs="Times New Roman" w:hint="eastAsia"/>
          <w:kern w:val="21"/>
        </w:rPr>
        <w:t>1460</w:t>
      </w:r>
      <w:r>
        <w:rPr>
          <w:rFonts w:cs="Times New Roman"/>
          <w:kern w:val="21"/>
        </w:rPr>
        <w:t>m</w:t>
      </w:r>
      <w:r>
        <w:rPr>
          <w:rFonts w:cs="Times New Roman"/>
          <w:kern w:val="21"/>
        </w:rPr>
        <w:t>边界，</w:t>
      </w:r>
      <w:r>
        <w:rPr>
          <w:rFonts w:cs="Times New Roman" w:hint="eastAsia"/>
          <w:kern w:val="21"/>
          <w:szCs w:val="24"/>
        </w:rPr>
        <w:t>计算出地下水环境评价范围为</w:t>
      </w:r>
      <w:r>
        <w:rPr>
          <w:rFonts w:cs="Times New Roman" w:hint="eastAsia"/>
          <w:kern w:val="21"/>
        </w:rPr>
        <w:t>5.9</w:t>
      </w:r>
      <w:r>
        <w:rPr>
          <w:rFonts w:cs="Times New Roman"/>
          <w:kern w:val="21"/>
        </w:rPr>
        <w:t>km</w:t>
      </w:r>
      <w:r>
        <w:rPr>
          <w:rFonts w:cs="Times New Roman"/>
          <w:kern w:val="21"/>
          <w:vertAlign w:val="superscript"/>
        </w:rPr>
        <w:t>2</w:t>
      </w:r>
      <w:r>
        <w:rPr>
          <w:rFonts w:cs="Times New Roman"/>
          <w:kern w:val="21"/>
        </w:rPr>
        <w:t>。</w:t>
      </w:r>
      <w:r>
        <w:rPr>
          <w:rFonts w:cs="Times New Roman" w:hint="eastAsia"/>
          <w:kern w:val="21"/>
        </w:rPr>
        <w:t>评价范围见下图。</w:t>
      </w:r>
    </w:p>
    <w:p w14:paraId="0EF30444" w14:textId="3FC990B8" w:rsidR="007D51AC" w:rsidRDefault="007D51AC" w:rsidP="007D51AC">
      <w:pPr>
        <w:adjustRightInd w:val="0"/>
        <w:snapToGrid w:val="0"/>
        <w:spacing w:after="0"/>
        <w:ind w:firstLine="480"/>
        <w:rPr>
          <w:rFonts w:cs="Times New Roman"/>
          <w:kern w:val="21"/>
          <w:sz w:val="21"/>
          <w:szCs w:val="21"/>
        </w:rPr>
      </w:pPr>
      <w:r>
        <w:rPr>
          <w:rFonts w:cs="Times New Roman" w:hint="eastAsia"/>
          <w:kern w:val="21"/>
        </w:rPr>
        <w:t>略。</w:t>
      </w:r>
    </w:p>
    <w:p w14:paraId="5925B195" w14:textId="77777777" w:rsidR="00544649" w:rsidRDefault="00000000">
      <w:pPr>
        <w:pStyle w:val="3"/>
        <w:numPr>
          <w:ilvl w:val="2"/>
          <w:numId w:val="2"/>
        </w:numPr>
        <w:adjustRightInd w:val="0"/>
        <w:snapToGrid w:val="0"/>
        <w:spacing w:after="0"/>
        <w:rPr>
          <w:rFonts w:cs="Times New Roman"/>
          <w:kern w:val="21"/>
        </w:rPr>
      </w:pPr>
      <w:bookmarkStart w:id="142" w:name="_Toc27483"/>
      <w:bookmarkStart w:id="143" w:name="_Toc26006"/>
      <w:bookmarkStart w:id="144" w:name="_Toc195009810"/>
      <w:r>
        <w:rPr>
          <w:rFonts w:cs="Times New Roman"/>
          <w:kern w:val="21"/>
        </w:rPr>
        <w:lastRenderedPageBreak/>
        <w:t>声环境评价</w:t>
      </w:r>
      <w:bookmarkEnd w:id="142"/>
      <w:bookmarkEnd w:id="143"/>
      <w:bookmarkEnd w:id="144"/>
    </w:p>
    <w:p w14:paraId="161A9259" w14:textId="77777777" w:rsidR="00544649" w:rsidRDefault="00000000">
      <w:pPr>
        <w:pStyle w:val="4"/>
        <w:adjustRightInd w:val="0"/>
        <w:snapToGrid w:val="0"/>
        <w:spacing w:after="0"/>
      </w:pPr>
      <w:r>
        <w:t>评价等级</w:t>
      </w:r>
    </w:p>
    <w:p w14:paraId="146D256B" w14:textId="77777777" w:rsidR="00544649" w:rsidRDefault="00000000">
      <w:pPr>
        <w:adjustRightInd w:val="0"/>
        <w:snapToGrid w:val="0"/>
        <w:spacing w:after="0"/>
        <w:ind w:firstLine="480"/>
        <w:rPr>
          <w:rFonts w:cs="Times New Roman"/>
          <w:kern w:val="21"/>
          <w:szCs w:val="24"/>
        </w:rPr>
      </w:pPr>
      <w:r>
        <w:rPr>
          <w:rFonts w:cs="Times New Roman"/>
          <w:kern w:val="21"/>
          <w:szCs w:val="24"/>
        </w:rPr>
        <w:t>根据《环境影响评价技术导则声环境》（</w:t>
      </w:r>
      <w:r>
        <w:rPr>
          <w:rFonts w:cs="Times New Roman"/>
          <w:kern w:val="21"/>
          <w:szCs w:val="24"/>
        </w:rPr>
        <w:t>HJ2.4-2021</w:t>
      </w:r>
      <w:r>
        <w:rPr>
          <w:rFonts w:cs="Times New Roman"/>
          <w:kern w:val="21"/>
          <w:szCs w:val="24"/>
        </w:rPr>
        <w:t>），依据建设项目所在区域的声环境功能区类别、建设项目建设前后所在区域的声环境质量变化程度及受建设项目影响人口的数量确定</w:t>
      </w:r>
      <w:proofErr w:type="gramStart"/>
      <w:r>
        <w:rPr>
          <w:rFonts w:cs="Times New Roman"/>
          <w:kern w:val="21"/>
          <w:szCs w:val="24"/>
        </w:rPr>
        <w:t>项目声</w:t>
      </w:r>
      <w:proofErr w:type="gramEnd"/>
      <w:r>
        <w:rPr>
          <w:rFonts w:cs="Times New Roman"/>
          <w:kern w:val="21"/>
          <w:szCs w:val="24"/>
        </w:rPr>
        <w:t>环境影响评价工作等级。</w:t>
      </w:r>
    </w:p>
    <w:p w14:paraId="3A413F7B"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声环境影响评价等级划分依据</w:t>
      </w:r>
    </w:p>
    <w:tbl>
      <w:tblPr>
        <w:tblStyle w:val="afc"/>
        <w:tblW w:w="9055" w:type="dxa"/>
        <w:jc w:val="center"/>
        <w:tblLayout w:type="fixed"/>
        <w:tblLook w:val="04A0" w:firstRow="1" w:lastRow="0" w:firstColumn="1" w:lastColumn="0" w:noHBand="0" w:noVBand="1"/>
      </w:tblPr>
      <w:tblGrid>
        <w:gridCol w:w="694"/>
        <w:gridCol w:w="1530"/>
        <w:gridCol w:w="6831"/>
      </w:tblGrid>
      <w:tr w:rsidR="00544649" w14:paraId="5C779A87" w14:textId="77777777">
        <w:trPr>
          <w:tblHeader/>
          <w:jc w:val="center"/>
        </w:trPr>
        <w:tc>
          <w:tcPr>
            <w:tcW w:w="694" w:type="dxa"/>
            <w:shd w:val="clear" w:color="auto" w:fill="auto"/>
            <w:vAlign w:val="center"/>
          </w:tcPr>
          <w:p w14:paraId="742D21B4"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序号</w:t>
            </w:r>
          </w:p>
        </w:tc>
        <w:tc>
          <w:tcPr>
            <w:tcW w:w="1530" w:type="dxa"/>
            <w:shd w:val="clear" w:color="auto" w:fill="auto"/>
            <w:vAlign w:val="center"/>
          </w:tcPr>
          <w:p w14:paraId="0272F64C"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评价工作等级</w:t>
            </w:r>
          </w:p>
        </w:tc>
        <w:tc>
          <w:tcPr>
            <w:tcW w:w="6831" w:type="dxa"/>
            <w:shd w:val="clear" w:color="auto" w:fill="auto"/>
            <w:vAlign w:val="center"/>
          </w:tcPr>
          <w:p w14:paraId="0F5F777C"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判定依据</w:t>
            </w:r>
          </w:p>
        </w:tc>
      </w:tr>
      <w:tr w:rsidR="00544649" w14:paraId="5EFAED7F" w14:textId="77777777">
        <w:trPr>
          <w:jc w:val="center"/>
        </w:trPr>
        <w:tc>
          <w:tcPr>
            <w:tcW w:w="694" w:type="dxa"/>
            <w:vAlign w:val="center"/>
          </w:tcPr>
          <w:p w14:paraId="73700CA6"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1</w:t>
            </w:r>
          </w:p>
        </w:tc>
        <w:tc>
          <w:tcPr>
            <w:tcW w:w="1530" w:type="dxa"/>
            <w:vAlign w:val="center"/>
          </w:tcPr>
          <w:p w14:paraId="2CA233D1"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一级</w:t>
            </w:r>
          </w:p>
        </w:tc>
        <w:tc>
          <w:tcPr>
            <w:tcW w:w="6831" w:type="dxa"/>
            <w:vAlign w:val="center"/>
          </w:tcPr>
          <w:p w14:paraId="65AAA7F9"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lang w:bidi="ar"/>
              </w:rPr>
              <w:t>评价范围内有适用于</w:t>
            </w:r>
            <w:r>
              <w:rPr>
                <w:rFonts w:cs="Times New Roman"/>
                <w:kern w:val="21"/>
                <w:sz w:val="21"/>
                <w:szCs w:val="21"/>
                <w:lang w:bidi="ar"/>
              </w:rPr>
              <w:t>GB3096</w:t>
            </w:r>
            <w:r>
              <w:rPr>
                <w:rFonts w:cs="Times New Roman"/>
                <w:kern w:val="21"/>
                <w:sz w:val="21"/>
                <w:szCs w:val="21"/>
                <w:lang w:bidi="ar"/>
              </w:rPr>
              <w:t>规定的</w:t>
            </w:r>
            <w:r>
              <w:rPr>
                <w:rFonts w:cs="Times New Roman"/>
                <w:kern w:val="21"/>
                <w:sz w:val="21"/>
                <w:szCs w:val="21"/>
                <w:lang w:bidi="ar"/>
              </w:rPr>
              <w:t>0</w:t>
            </w:r>
            <w:r>
              <w:rPr>
                <w:rFonts w:cs="Times New Roman"/>
                <w:kern w:val="21"/>
                <w:sz w:val="21"/>
                <w:szCs w:val="21"/>
                <w:lang w:bidi="ar"/>
              </w:rPr>
              <w:t>类声环境功能区域，或建设项目建设前后评价</w:t>
            </w:r>
            <w:proofErr w:type="gramStart"/>
            <w:r>
              <w:rPr>
                <w:rFonts w:cs="Times New Roman"/>
                <w:kern w:val="21"/>
                <w:sz w:val="21"/>
                <w:szCs w:val="21"/>
                <w:lang w:bidi="ar"/>
              </w:rPr>
              <w:t>范围内声环境保护</w:t>
            </w:r>
            <w:proofErr w:type="gramEnd"/>
            <w:r>
              <w:rPr>
                <w:rFonts w:cs="Times New Roman"/>
                <w:kern w:val="21"/>
                <w:sz w:val="21"/>
                <w:szCs w:val="21"/>
                <w:lang w:bidi="ar"/>
              </w:rPr>
              <w:t>目标噪声级增量达</w:t>
            </w:r>
            <w:r>
              <w:rPr>
                <w:rFonts w:cs="Times New Roman"/>
                <w:kern w:val="21"/>
                <w:sz w:val="21"/>
                <w:szCs w:val="21"/>
                <w:lang w:bidi="ar"/>
              </w:rPr>
              <w:t>5dB</w:t>
            </w:r>
            <w:r>
              <w:rPr>
                <w:rFonts w:cs="Times New Roman"/>
                <w:kern w:val="21"/>
                <w:sz w:val="21"/>
                <w:szCs w:val="21"/>
                <w:lang w:bidi="ar"/>
              </w:rPr>
              <w:t>（</w:t>
            </w:r>
            <w:r>
              <w:rPr>
                <w:rFonts w:cs="Times New Roman"/>
                <w:kern w:val="21"/>
                <w:sz w:val="21"/>
                <w:szCs w:val="21"/>
                <w:lang w:bidi="ar"/>
              </w:rPr>
              <w:t>A</w:t>
            </w:r>
            <w:r>
              <w:rPr>
                <w:rFonts w:cs="Times New Roman"/>
                <w:kern w:val="21"/>
                <w:sz w:val="21"/>
                <w:szCs w:val="21"/>
                <w:lang w:bidi="ar"/>
              </w:rPr>
              <w:t>）以上（不含</w:t>
            </w:r>
            <w:r>
              <w:rPr>
                <w:rFonts w:cs="Times New Roman"/>
                <w:kern w:val="21"/>
                <w:sz w:val="21"/>
                <w:szCs w:val="21"/>
                <w:lang w:bidi="ar"/>
              </w:rPr>
              <w:t>5dB</w:t>
            </w:r>
            <w:r>
              <w:rPr>
                <w:rFonts w:cs="Times New Roman"/>
                <w:kern w:val="21"/>
                <w:sz w:val="21"/>
                <w:szCs w:val="21"/>
                <w:lang w:bidi="ar"/>
              </w:rPr>
              <w:t>（</w:t>
            </w:r>
            <w:r>
              <w:rPr>
                <w:rFonts w:cs="Times New Roman"/>
                <w:kern w:val="21"/>
                <w:sz w:val="21"/>
                <w:szCs w:val="21"/>
                <w:lang w:bidi="ar"/>
              </w:rPr>
              <w:t>A</w:t>
            </w:r>
            <w:r>
              <w:rPr>
                <w:rFonts w:cs="Times New Roman"/>
                <w:kern w:val="21"/>
                <w:sz w:val="21"/>
                <w:szCs w:val="21"/>
                <w:lang w:bidi="ar"/>
              </w:rPr>
              <w:t>）），或受影响人口数量显著增加时，按一级评价。</w:t>
            </w:r>
          </w:p>
        </w:tc>
      </w:tr>
      <w:tr w:rsidR="00544649" w14:paraId="635DC1EE" w14:textId="77777777">
        <w:trPr>
          <w:trHeight w:val="90"/>
          <w:jc w:val="center"/>
        </w:trPr>
        <w:tc>
          <w:tcPr>
            <w:tcW w:w="694" w:type="dxa"/>
            <w:vAlign w:val="center"/>
          </w:tcPr>
          <w:p w14:paraId="5B760C82"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2</w:t>
            </w:r>
          </w:p>
        </w:tc>
        <w:tc>
          <w:tcPr>
            <w:tcW w:w="1530" w:type="dxa"/>
            <w:vAlign w:val="center"/>
          </w:tcPr>
          <w:p w14:paraId="5ACABC3B"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二级</w:t>
            </w:r>
          </w:p>
        </w:tc>
        <w:tc>
          <w:tcPr>
            <w:tcW w:w="6831" w:type="dxa"/>
            <w:vAlign w:val="center"/>
          </w:tcPr>
          <w:p w14:paraId="2EA3F794"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lang w:bidi="ar"/>
              </w:rPr>
              <w:t>建设项目所处的声环境功能区为</w:t>
            </w:r>
            <w:r>
              <w:rPr>
                <w:rFonts w:cs="Times New Roman"/>
                <w:kern w:val="21"/>
                <w:sz w:val="21"/>
                <w:szCs w:val="21"/>
                <w:lang w:bidi="ar"/>
              </w:rPr>
              <w:t>GB3096</w:t>
            </w:r>
            <w:r>
              <w:rPr>
                <w:rFonts w:cs="Times New Roman"/>
                <w:kern w:val="21"/>
                <w:sz w:val="21"/>
                <w:szCs w:val="21"/>
                <w:lang w:bidi="ar"/>
              </w:rPr>
              <w:t>规定的</w:t>
            </w:r>
            <w:r>
              <w:rPr>
                <w:rFonts w:cs="Times New Roman"/>
                <w:kern w:val="21"/>
                <w:sz w:val="21"/>
                <w:szCs w:val="21"/>
                <w:lang w:bidi="ar"/>
              </w:rPr>
              <w:t>1</w:t>
            </w:r>
            <w:r>
              <w:rPr>
                <w:rFonts w:cs="Times New Roman"/>
                <w:kern w:val="21"/>
                <w:sz w:val="21"/>
                <w:szCs w:val="21"/>
                <w:lang w:bidi="ar"/>
              </w:rPr>
              <w:t>类、</w:t>
            </w:r>
            <w:r>
              <w:rPr>
                <w:rFonts w:cs="Times New Roman"/>
                <w:kern w:val="21"/>
                <w:sz w:val="21"/>
                <w:szCs w:val="21"/>
                <w:lang w:bidi="ar"/>
              </w:rPr>
              <w:t>2</w:t>
            </w:r>
            <w:r>
              <w:rPr>
                <w:rFonts w:cs="Times New Roman"/>
                <w:kern w:val="21"/>
                <w:sz w:val="21"/>
                <w:szCs w:val="21"/>
                <w:lang w:bidi="ar"/>
              </w:rPr>
              <w:t>类地区，或建设项目建设前后评价</w:t>
            </w:r>
            <w:proofErr w:type="gramStart"/>
            <w:r>
              <w:rPr>
                <w:rFonts w:cs="Times New Roman"/>
                <w:kern w:val="21"/>
                <w:sz w:val="21"/>
                <w:szCs w:val="21"/>
                <w:lang w:bidi="ar"/>
              </w:rPr>
              <w:t>范围内声环境保护</w:t>
            </w:r>
            <w:proofErr w:type="gramEnd"/>
            <w:r>
              <w:rPr>
                <w:rFonts w:cs="Times New Roman"/>
                <w:kern w:val="21"/>
                <w:sz w:val="21"/>
                <w:szCs w:val="21"/>
                <w:lang w:bidi="ar"/>
              </w:rPr>
              <w:t>目标噪声级增量达</w:t>
            </w:r>
            <w:r>
              <w:rPr>
                <w:rFonts w:cs="Times New Roman"/>
                <w:kern w:val="21"/>
                <w:sz w:val="21"/>
                <w:szCs w:val="21"/>
                <w:lang w:bidi="ar"/>
              </w:rPr>
              <w:t>3dB</w:t>
            </w:r>
            <w:r>
              <w:rPr>
                <w:rFonts w:cs="Times New Roman"/>
                <w:kern w:val="21"/>
                <w:sz w:val="21"/>
                <w:szCs w:val="21"/>
                <w:lang w:bidi="ar"/>
              </w:rPr>
              <w:t>（</w:t>
            </w:r>
            <w:r>
              <w:rPr>
                <w:rFonts w:cs="Times New Roman"/>
                <w:kern w:val="21"/>
                <w:sz w:val="21"/>
                <w:szCs w:val="21"/>
                <w:lang w:bidi="ar"/>
              </w:rPr>
              <w:t>A</w:t>
            </w:r>
            <w:r>
              <w:rPr>
                <w:rFonts w:cs="Times New Roman"/>
                <w:kern w:val="21"/>
                <w:sz w:val="21"/>
                <w:szCs w:val="21"/>
                <w:lang w:bidi="ar"/>
              </w:rPr>
              <w:t>）</w:t>
            </w:r>
            <w:r>
              <w:rPr>
                <w:rFonts w:cs="Times New Roman"/>
                <w:kern w:val="21"/>
                <w:sz w:val="21"/>
                <w:szCs w:val="21"/>
                <w:lang w:bidi="ar"/>
              </w:rPr>
              <w:t>~5dB</w:t>
            </w:r>
            <w:r>
              <w:rPr>
                <w:rFonts w:cs="Times New Roman"/>
                <w:kern w:val="21"/>
                <w:sz w:val="21"/>
                <w:szCs w:val="21"/>
                <w:lang w:bidi="ar"/>
              </w:rPr>
              <w:t>（</w:t>
            </w:r>
            <w:r>
              <w:rPr>
                <w:rFonts w:cs="Times New Roman"/>
                <w:kern w:val="21"/>
                <w:sz w:val="21"/>
                <w:szCs w:val="21"/>
                <w:lang w:bidi="ar"/>
              </w:rPr>
              <w:t>A</w:t>
            </w:r>
            <w:r>
              <w:rPr>
                <w:rFonts w:cs="Times New Roman"/>
                <w:kern w:val="21"/>
                <w:sz w:val="21"/>
                <w:szCs w:val="21"/>
                <w:lang w:bidi="ar"/>
              </w:rPr>
              <w:t>），或受噪声影响人口数量增加较多时，按二级评价。</w:t>
            </w:r>
          </w:p>
        </w:tc>
      </w:tr>
      <w:tr w:rsidR="00544649" w14:paraId="6664F9FE" w14:textId="77777777">
        <w:trPr>
          <w:trHeight w:val="90"/>
          <w:jc w:val="center"/>
        </w:trPr>
        <w:tc>
          <w:tcPr>
            <w:tcW w:w="694" w:type="dxa"/>
            <w:vAlign w:val="center"/>
          </w:tcPr>
          <w:p w14:paraId="1EE5A726"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3</w:t>
            </w:r>
          </w:p>
        </w:tc>
        <w:tc>
          <w:tcPr>
            <w:tcW w:w="1530" w:type="dxa"/>
            <w:vAlign w:val="center"/>
          </w:tcPr>
          <w:p w14:paraId="6B4A0E8E"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三级</w:t>
            </w:r>
          </w:p>
        </w:tc>
        <w:tc>
          <w:tcPr>
            <w:tcW w:w="6831" w:type="dxa"/>
            <w:vAlign w:val="center"/>
          </w:tcPr>
          <w:p w14:paraId="131D4ECE"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lang w:bidi="ar"/>
              </w:rPr>
              <w:t>建设项目所处的声环境功能区为</w:t>
            </w:r>
            <w:r>
              <w:rPr>
                <w:rFonts w:cs="Times New Roman"/>
                <w:kern w:val="21"/>
                <w:sz w:val="21"/>
                <w:szCs w:val="21"/>
                <w:lang w:bidi="ar"/>
              </w:rPr>
              <w:t>GB3096</w:t>
            </w:r>
            <w:r>
              <w:rPr>
                <w:rFonts w:cs="Times New Roman"/>
                <w:kern w:val="21"/>
                <w:sz w:val="21"/>
                <w:szCs w:val="21"/>
                <w:lang w:bidi="ar"/>
              </w:rPr>
              <w:t>规定的</w:t>
            </w:r>
            <w:r>
              <w:rPr>
                <w:rFonts w:cs="Times New Roman"/>
                <w:kern w:val="21"/>
                <w:sz w:val="21"/>
                <w:szCs w:val="21"/>
                <w:lang w:bidi="ar"/>
              </w:rPr>
              <w:t>3</w:t>
            </w:r>
            <w:r>
              <w:rPr>
                <w:rFonts w:cs="Times New Roman"/>
                <w:kern w:val="21"/>
                <w:sz w:val="21"/>
                <w:szCs w:val="21"/>
                <w:lang w:bidi="ar"/>
              </w:rPr>
              <w:t>类、</w:t>
            </w:r>
            <w:r>
              <w:rPr>
                <w:rFonts w:cs="Times New Roman"/>
                <w:kern w:val="21"/>
                <w:sz w:val="21"/>
                <w:szCs w:val="21"/>
                <w:lang w:bidi="ar"/>
              </w:rPr>
              <w:t>4</w:t>
            </w:r>
            <w:r>
              <w:rPr>
                <w:rFonts w:cs="Times New Roman"/>
                <w:kern w:val="21"/>
                <w:sz w:val="21"/>
                <w:szCs w:val="21"/>
                <w:lang w:bidi="ar"/>
              </w:rPr>
              <w:t>类地区，或建设项目建设前后评价</w:t>
            </w:r>
            <w:proofErr w:type="gramStart"/>
            <w:r>
              <w:rPr>
                <w:rFonts w:cs="Times New Roman"/>
                <w:kern w:val="21"/>
                <w:sz w:val="21"/>
                <w:szCs w:val="21"/>
                <w:lang w:bidi="ar"/>
              </w:rPr>
              <w:t>范围内声环境保护</w:t>
            </w:r>
            <w:proofErr w:type="gramEnd"/>
            <w:r>
              <w:rPr>
                <w:rFonts w:cs="Times New Roman"/>
                <w:kern w:val="21"/>
                <w:sz w:val="21"/>
                <w:szCs w:val="21"/>
                <w:lang w:bidi="ar"/>
              </w:rPr>
              <w:t>目标噪声级增量在</w:t>
            </w:r>
            <w:r>
              <w:rPr>
                <w:rFonts w:cs="Times New Roman"/>
                <w:kern w:val="21"/>
                <w:sz w:val="21"/>
                <w:szCs w:val="21"/>
                <w:lang w:bidi="ar"/>
              </w:rPr>
              <w:t>3dB</w:t>
            </w:r>
            <w:r>
              <w:rPr>
                <w:rFonts w:cs="Times New Roman"/>
                <w:kern w:val="21"/>
                <w:sz w:val="21"/>
                <w:szCs w:val="21"/>
                <w:lang w:bidi="ar"/>
              </w:rPr>
              <w:t>（</w:t>
            </w:r>
            <w:r>
              <w:rPr>
                <w:rFonts w:cs="Times New Roman"/>
                <w:kern w:val="21"/>
                <w:sz w:val="21"/>
                <w:szCs w:val="21"/>
                <w:lang w:bidi="ar"/>
              </w:rPr>
              <w:t>A</w:t>
            </w:r>
            <w:r>
              <w:rPr>
                <w:rFonts w:cs="Times New Roman"/>
                <w:kern w:val="21"/>
                <w:sz w:val="21"/>
                <w:szCs w:val="21"/>
                <w:lang w:bidi="ar"/>
              </w:rPr>
              <w:t>）以下（不含</w:t>
            </w:r>
            <w:r>
              <w:rPr>
                <w:rFonts w:cs="Times New Roman"/>
                <w:kern w:val="21"/>
                <w:sz w:val="21"/>
                <w:szCs w:val="21"/>
                <w:lang w:bidi="ar"/>
              </w:rPr>
              <w:t>3dB</w:t>
            </w:r>
            <w:r>
              <w:rPr>
                <w:rFonts w:cs="Times New Roman"/>
                <w:kern w:val="21"/>
                <w:sz w:val="21"/>
                <w:szCs w:val="21"/>
                <w:lang w:bidi="ar"/>
              </w:rPr>
              <w:t>（</w:t>
            </w:r>
            <w:r>
              <w:rPr>
                <w:rFonts w:cs="Times New Roman"/>
                <w:kern w:val="21"/>
                <w:sz w:val="21"/>
                <w:szCs w:val="21"/>
                <w:lang w:bidi="ar"/>
              </w:rPr>
              <w:t>A</w:t>
            </w:r>
            <w:r>
              <w:rPr>
                <w:rFonts w:cs="Times New Roman"/>
                <w:kern w:val="21"/>
                <w:sz w:val="21"/>
                <w:szCs w:val="21"/>
                <w:lang w:bidi="ar"/>
              </w:rPr>
              <w:t>）），且受影响人口数量变化不大时，按三级评价。</w:t>
            </w:r>
          </w:p>
        </w:tc>
      </w:tr>
    </w:tbl>
    <w:p w14:paraId="4AD77837" w14:textId="77777777" w:rsidR="00544649" w:rsidRDefault="00000000">
      <w:pPr>
        <w:adjustRightInd w:val="0"/>
        <w:snapToGrid w:val="0"/>
        <w:spacing w:after="0"/>
        <w:ind w:firstLine="480"/>
        <w:rPr>
          <w:rFonts w:cs="Times New Roman"/>
          <w:kern w:val="21"/>
          <w:szCs w:val="24"/>
        </w:rPr>
      </w:pPr>
      <w:r>
        <w:rPr>
          <w:rFonts w:cs="Times New Roman"/>
          <w:kern w:val="21"/>
          <w:szCs w:val="24"/>
        </w:rPr>
        <w:t>拟建项目位于</w:t>
      </w:r>
      <w:r>
        <w:rPr>
          <w:rFonts w:cs="Times New Roman"/>
          <w:kern w:val="21"/>
          <w:szCs w:val="24"/>
        </w:rPr>
        <w:t>2</w:t>
      </w:r>
      <w:r>
        <w:rPr>
          <w:rFonts w:cs="Times New Roman"/>
          <w:kern w:val="21"/>
          <w:szCs w:val="24"/>
        </w:rPr>
        <w:t>类声环境功能区，项目周边为林地，周围受项目噪声影响的人口变化不大，</w:t>
      </w:r>
      <w:r>
        <w:rPr>
          <w:rFonts w:cs="Times New Roman" w:hint="eastAsia"/>
          <w:kern w:val="21"/>
          <w:szCs w:val="24"/>
        </w:rPr>
        <w:t>声环境敏感目标噪声级无明显变化，</w:t>
      </w:r>
      <w:r>
        <w:rPr>
          <w:rFonts w:cs="Times New Roman"/>
          <w:kern w:val="21"/>
          <w:szCs w:val="24"/>
        </w:rPr>
        <w:t>噪声增量</w:t>
      </w:r>
      <w:r>
        <w:rPr>
          <w:rFonts w:cs="Times New Roman" w:hint="eastAsia"/>
          <w:kern w:val="21"/>
          <w:szCs w:val="24"/>
        </w:rPr>
        <w:t>为小于</w:t>
      </w:r>
      <w:r>
        <w:rPr>
          <w:rFonts w:cs="Times New Roman" w:hint="eastAsia"/>
          <w:kern w:val="21"/>
          <w:szCs w:val="24"/>
        </w:rPr>
        <w:t>3</w:t>
      </w:r>
      <w:r>
        <w:rPr>
          <w:rFonts w:cs="Times New Roman"/>
          <w:kern w:val="21"/>
          <w:szCs w:val="24"/>
        </w:rPr>
        <w:t>dB</w:t>
      </w:r>
      <w:r>
        <w:rPr>
          <w:rFonts w:cs="Times New Roman"/>
          <w:kern w:val="21"/>
          <w:szCs w:val="24"/>
        </w:rPr>
        <w:t>（</w:t>
      </w:r>
      <w:r>
        <w:rPr>
          <w:rFonts w:cs="Times New Roman"/>
          <w:kern w:val="21"/>
          <w:szCs w:val="24"/>
        </w:rPr>
        <w:t>A</w:t>
      </w:r>
      <w:r>
        <w:rPr>
          <w:rFonts w:cs="Times New Roman"/>
          <w:kern w:val="21"/>
          <w:szCs w:val="24"/>
        </w:rPr>
        <w:t>），因此拟建项目的声环境影响评价工作等级为</w:t>
      </w:r>
      <w:r>
        <w:rPr>
          <w:rFonts w:cs="Times New Roman"/>
          <w:b/>
          <w:bCs/>
          <w:kern w:val="21"/>
          <w:szCs w:val="24"/>
        </w:rPr>
        <w:t>二级</w:t>
      </w:r>
      <w:r>
        <w:rPr>
          <w:rFonts w:cs="Times New Roman"/>
          <w:kern w:val="21"/>
          <w:szCs w:val="24"/>
        </w:rPr>
        <w:t>。</w:t>
      </w:r>
    </w:p>
    <w:p w14:paraId="472BA1E2" w14:textId="77777777" w:rsidR="00544649" w:rsidRDefault="00000000">
      <w:pPr>
        <w:pStyle w:val="4"/>
        <w:adjustRightInd w:val="0"/>
        <w:snapToGrid w:val="0"/>
        <w:spacing w:after="0"/>
      </w:pPr>
      <w:r>
        <w:t>评价范围</w:t>
      </w:r>
    </w:p>
    <w:p w14:paraId="7CA1BFB5" w14:textId="428D9614" w:rsidR="00544649" w:rsidRDefault="00000000" w:rsidP="007D51AC">
      <w:pPr>
        <w:adjustRightInd w:val="0"/>
        <w:snapToGrid w:val="0"/>
        <w:spacing w:after="0"/>
        <w:ind w:firstLine="480"/>
        <w:rPr>
          <w:rFonts w:cs="Times New Roman"/>
          <w:kern w:val="21"/>
          <w:sz w:val="21"/>
          <w:szCs w:val="21"/>
        </w:rPr>
      </w:pPr>
      <w:r>
        <w:rPr>
          <w:rFonts w:cs="Times New Roman"/>
          <w:kern w:val="21"/>
          <w:szCs w:val="24"/>
        </w:rPr>
        <w:t>根据《环境影响评价技术导则声环境》（</w:t>
      </w:r>
      <w:r>
        <w:rPr>
          <w:rFonts w:cs="Times New Roman"/>
          <w:kern w:val="21"/>
          <w:szCs w:val="24"/>
        </w:rPr>
        <w:t>HJ2.4-2021</w:t>
      </w:r>
      <w:r>
        <w:rPr>
          <w:rFonts w:cs="Times New Roman"/>
          <w:kern w:val="21"/>
          <w:szCs w:val="24"/>
        </w:rPr>
        <w:t>），确定本</w:t>
      </w:r>
      <w:proofErr w:type="gramStart"/>
      <w:r>
        <w:rPr>
          <w:rFonts w:cs="Times New Roman"/>
          <w:kern w:val="21"/>
          <w:szCs w:val="24"/>
        </w:rPr>
        <w:t>项目声</w:t>
      </w:r>
      <w:proofErr w:type="gramEnd"/>
      <w:r>
        <w:rPr>
          <w:rFonts w:cs="Times New Roman"/>
          <w:kern w:val="21"/>
          <w:szCs w:val="24"/>
        </w:rPr>
        <w:t>环境影响评价范围为场界</w:t>
      </w:r>
      <w:r>
        <w:rPr>
          <w:rFonts w:cs="Times New Roman"/>
          <w:kern w:val="21"/>
          <w:szCs w:val="24"/>
        </w:rPr>
        <w:t>200m</w:t>
      </w:r>
      <w:r>
        <w:rPr>
          <w:rFonts w:cs="Times New Roman"/>
          <w:kern w:val="21"/>
          <w:szCs w:val="24"/>
        </w:rPr>
        <w:t>。</w:t>
      </w:r>
    </w:p>
    <w:p w14:paraId="6444873A" w14:textId="77777777" w:rsidR="00544649" w:rsidRDefault="00000000">
      <w:pPr>
        <w:pStyle w:val="3"/>
        <w:numPr>
          <w:ilvl w:val="2"/>
          <w:numId w:val="2"/>
        </w:numPr>
        <w:adjustRightInd w:val="0"/>
        <w:snapToGrid w:val="0"/>
        <w:spacing w:after="0"/>
        <w:rPr>
          <w:rFonts w:cs="Times New Roman"/>
          <w:kern w:val="21"/>
        </w:rPr>
      </w:pPr>
      <w:bookmarkStart w:id="145" w:name="_Toc14683"/>
      <w:bookmarkStart w:id="146" w:name="_Toc25936"/>
      <w:bookmarkStart w:id="147" w:name="_Toc195009811"/>
      <w:r>
        <w:rPr>
          <w:rFonts w:cs="Times New Roman"/>
          <w:kern w:val="21"/>
        </w:rPr>
        <w:t>生态环境评价</w:t>
      </w:r>
      <w:bookmarkEnd w:id="145"/>
      <w:bookmarkEnd w:id="146"/>
      <w:bookmarkEnd w:id="147"/>
    </w:p>
    <w:p w14:paraId="34049B4E" w14:textId="77777777" w:rsidR="00544649" w:rsidRDefault="00000000">
      <w:pPr>
        <w:keepNext/>
        <w:keepLines/>
        <w:numPr>
          <w:ilvl w:val="3"/>
          <w:numId w:val="2"/>
        </w:numPr>
        <w:adjustRightInd w:val="0"/>
        <w:snapToGrid w:val="0"/>
        <w:spacing w:after="0"/>
        <w:ind w:firstLineChars="0"/>
        <w:outlineLvl w:val="3"/>
        <w:rPr>
          <w:rFonts w:cs="Times New Roman"/>
          <w:b/>
          <w:kern w:val="21"/>
          <w:szCs w:val="28"/>
        </w:rPr>
      </w:pPr>
      <w:r>
        <w:rPr>
          <w:rFonts w:cs="Times New Roman"/>
          <w:b/>
          <w:kern w:val="21"/>
          <w:szCs w:val="28"/>
        </w:rPr>
        <w:t>评价</w:t>
      </w:r>
      <w:r>
        <w:rPr>
          <w:rFonts w:cs="Times New Roman" w:hint="eastAsia"/>
          <w:b/>
          <w:kern w:val="21"/>
          <w:szCs w:val="28"/>
        </w:rPr>
        <w:t>等级</w:t>
      </w:r>
    </w:p>
    <w:p w14:paraId="2FC6D402" w14:textId="77777777" w:rsidR="00544649" w:rsidRDefault="00000000">
      <w:pPr>
        <w:adjustRightInd w:val="0"/>
        <w:snapToGrid w:val="0"/>
        <w:spacing w:after="0"/>
        <w:ind w:firstLine="480"/>
        <w:rPr>
          <w:rFonts w:cs="Times New Roman"/>
          <w:kern w:val="21"/>
          <w:szCs w:val="24"/>
        </w:rPr>
      </w:pPr>
      <w:r>
        <w:rPr>
          <w:rFonts w:cs="Times New Roman"/>
          <w:kern w:val="21"/>
          <w:szCs w:val="24"/>
        </w:rPr>
        <w:t>根据《环境影响评价技术导则生态影响》（</w:t>
      </w:r>
      <w:r>
        <w:rPr>
          <w:rFonts w:cs="Times New Roman"/>
          <w:kern w:val="21"/>
          <w:szCs w:val="24"/>
        </w:rPr>
        <w:t>HJ19-2022</w:t>
      </w:r>
      <w:r>
        <w:rPr>
          <w:rFonts w:cs="Times New Roman"/>
          <w:kern w:val="21"/>
          <w:szCs w:val="24"/>
        </w:rPr>
        <w:t>），依据建设项目影响区域的生态敏感性和影响程度，评价等级划分为一级、二级和三级，具体要求如下。</w:t>
      </w:r>
    </w:p>
    <w:p w14:paraId="79C00DF1" w14:textId="77777777" w:rsidR="00544649" w:rsidRDefault="00000000">
      <w:pPr>
        <w:adjustRightInd w:val="0"/>
        <w:snapToGrid w:val="0"/>
        <w:spacing w:after="0"/>
        <w:ind w:firstLine="480"/>
        <w:rPr>
          <w:rFonts w:cs="Times New Roman"/>
          <w:kern w:val="21"/>
          <w:szCs w:val="24"/>
        </w:rPr>
      </w:pPr>
      <w:r>
        <w:rPr>
          <w:rFonts w:cs="Times New Roman"/>
          <w:kern w:val="21"/>
          <w:szCs w:val="24"/>
        </w:rPr>
        <w:t>a</w:t>
      </w:r>
      <w:r>
        <w:rPr>
          <w:rFonts w:cs="Times New Roman"/>
          <w:kern w:val="21"/>
          <w:szCs w:val="24"/>
        </w:rPr>
        <w:t>）涉及国家公园、自然保护区、世界自然遗产、重要生境时，评价等级为一级；</w:t>
      </w:r>
    </w:p>
    <w:p w14:paraId="57E3BFC0" w14:textId="77777777" w:rsidR="00544649" w:rsidRDefault="00000000">
      <w:pPr>
        <w:adjustRightInd w:val="0"/>
        <w:snapToGrid w:val="0"/>
        <w:spacing w:after="0"/>
        <w:ind w:firstLine="480"/>
        <w:rPr>
          <w:rFonts w:cs="Times New Roman"/>
          <w:kern w:val="21"/>
          <w:szCs w:val="24"/>
        </w:rPr>
      </w:pPr>
      <w:r>
        <w:rPr>
          <w:rFonts w:cs="Times New Roman"/>
          <w:kern w:val="21"/>
          <w:szCs w:val="24"/>
        </w:rPr>
        <w:t>b</w:t>
      </w:r>
      <w:r>
        <w:rPr>
          <w:rFonts w:cs="Times New Roman"/>
          <w:kern w:val="21"/>
          <w:szCs w:val="24"/>
        </w:rPr>
        <w:t>）涉及自然公园时，评价等级为二级；</w:t>
      </w:r>
    </w:p>
    <w:p w14:paraId="5740037D" w14:textId="77777777" w:rsidR="00544649" w:rsidRDefault="00000000">
      <w:pPr>
        <w:adjustRightInd w:val="0"/>
        <w:snapToGrid w:val="0"/>
        <w:spacing w:after="0"/>
        <w:ind w:firstLine="480"/>
        <w:rPr>
          <w:rFonts w:cs="Times New Roman"/>
          <w:kern w:val="21"/>
          <w:szCs w:val="24"/>
        </w:rPr>
      </w:pPr>
      <w:r>
        <w:rPr>
          <w:rFonts w:cs="Times New Roman"/>
          <w:kern w:val="21"/>
          <w:szCs w:val="24"/>
        </w:rPr>
        <w:t>c</w:t>
      </w:r>
      <w:r>
        <w:rPr>
          <w:rFonts w:cs="Times New Roman"/>
          <w:kern w:val="21"/>
          <w:szCs w:val="24"/>
        </w:rPr>
        <w:t>）涉及生态保护红线时，评价等级不低于二级；</w:t>
      </w:r>
    </w:p>
    <w:p w14:paraId="4DD2AAFA" w14:textId="77777777" w:rsidR="00544649" w:rsidRDefault="00000000">
      <w:pPr>
        <w:adjustRightInd w:val="0"/>
        <w:snapToGrid w:val="0"/>
        <w:spacing w:after="0"/>
        <w:ind w:firstLine="480"/>
        <w:rPr>
          <w:rFonts w:cs="Times New Roman"/>
          <w:kern w:val="21"/>
          <w:szCs w:val="24"/>
        </w:rPr>
      </w:pPr>
      <w:r>
        <w:rPr>
          <w:rFonts w:cs="Times New Roman"/>
          <w:kern w:val="21"/>
          <w:szCs w:val="24"/>
        </w:rPr>
        <w:t>d</w:t>
      </w:r>
      <w:r>
        <w:rPr>
          <w:rFonts w:cs="Times New Roman"/>
          <w:kern w:val="21"/>
          <w:szCs w:val="24"/>
        </w:rPr>
        <w:t>）根据</w:t>
      </w:r>
      <w:r>
        <w:rPr>
          <w:rFonts w:cs="Times New Roman"/>
          <w:kern w:val="21"/>
          <w:szCs w:val="24"/>
        </w:rPr>
        <w:t>HJ2.3</w:t>
      </w:r>
      <w:r>
        <w:rPr>
          <w:rFonts w:cs="Times New Roman"/>
          <w:kern w:val="21"/>
          <w:szCs w:val="24"/>
        </w:rPr>
        <w:t>判断属于水文要素影响型且地表水评价等级不低于二级的建设项目，生态影响评价等级不低于二级；</w:t>
      </w:r>
    </w:p>
    <w:p w14:paraId="25F6071F" w14:textId="77777777" w:rsidR="00544649" w:rsidRDefault="00000000">
      <w:pPr>
        <w:adjustRightInd w:val="0"/>
        <w:snapToGrid w:val="0"/>
        <w:spacing w:after="0"/>
        <w:ind w:firstLine="480"/>
        <w:rPr>
          <w:rFonts w:cs="Times New Roman"/>
          <w:kern w:val="21"/>
          <w:szCs w:val="24"/>
        </w:rPr>
      </w:pPr>
      <w:r>
        <w:rPr>
          <w:rFonts w:cs="Times New Roman"/>
          <w:kern w:val="21"/>
          <w:szCs w:val="24"/>
        </w:rPr>
        <w:t>e</w:t>
      </w:r>
      <w:r>
        <w:rPr>
          <w:rFonts w:cs="Times New Roman"/>
          <w:kern w:val="21"/>
          <w:szCs w:val="24"/>
        </w:rPr>
        <w:t>）根据</w:t>
      </w:r>
      <w:r>
        <w:rPr>
          <w:rFonts w:cs="Times New Roman"/>
          <w:kern w:val="21"/>
          <w:szCs w:val="24"/>
        </w:rPr>
        <w:t>HJ610</w:t>
      </w:r>
      <w:r>
        <w:rPr>
          <w:rFonts w:cs="Times New Roman"/>
          <w:kern w:val="21"/>
          <w:szCs w:val="24"/>
        </w:rPr>
        <w:t>、</w:t>
      </w:r>
      <w:r>
        <w:rPr>
          <w:rFonts w:cs="Times New Roman"/>
          <w:kern w:val="21"/>
          <w:szCs w:val="24"/>
        </w:rPr>
        <w:t>HJ964</w:t>
      </w:r>
      <w:r>
        <w:rPr>
          <w:rFonts w:cs="Times New Roman"/>
          <w:kern w:val="21"/>
          <w:szCs w:val="24"/>
        </w:rPr>
        <w:t>判断地下水水位或土壤影响范围内分布有天然林、公益林、湿地等生态保护目标的建设项目，生态影响评价等级不低于二级；</w:t>
      </w:r>
    </w:p>
    <w:p w14:paraId="6A7C02FB" w14:textId="77777777" w:rsidR="00544649" w:rsidRDefault="00000000">
      <w:pPr>
        <w:adjustRightInd w:val="0"/>
        <w:snapToGrid w:val="0"/>
        <w:spacing w:after="0"/>
        <w:ind w:firstLine="480"/>
        <w:rPr>
          <w:rFonts w:cs="Times New Roman"/>
          <w:kern w:val="21"/>
          <w:szCs w:val="24"/>
        </w:rPr>
      </w:pPr>
      <w:r>
        <w:rPr>
          <w:rFonts w:cs="Times New Roman"/>
          <w:kern w:val="21"/>
          <w:szCs w:val="24"/>
        </w:rPr>
        <w:lastRenderedPageBreak/>
        <w:t>f</w:t>
      </w:r>
      <w:r>
        <w:rPr>
          <w:rFonts w:cs="Times New Roman"/>
          <w:kern w:val="21"/>
          <w:szCs w:val="24"/>
        </w:rPr>
        <w:t>）当工程占地规模大于</w:t>
      </w:r>
      <w:r>
        <w:rPr>
          <w:rFonts w:cs="Times New Roman"/>
          <w:kern w:val="21"/>
          <w:szCs w:val="24"/>
        </w:rPr>
        <w:t>20km</w:t>
      </w:r>
      <w:r>
        <w:rPr>
          <w:rFonts w:cs="Times New Roman"/>
          <w:kern w:val="21"/>
          <w:szCs w:val="24"/>
          <w:vertAlign w:val="superscript"/>
        </w:rPr>
        <w:t>2</w:t>
      </w:r>
      <w:r>
        <w:rPr>
          <w:rFonts w:cs="Times New Roman"/>
          <w:kern w:val="21"/>
          <w:szCs w:val="24"/>
        </w:rPr>
        <w:t>时（包括永久和临时占用陆域和水域），评价等级不低于二级；改扩建项目的占地范围以新增占地（包括陆域和水域）确定；</w:t>
      </w:r>
    </w:p>
    <w:p w14:paraId="328B4567" w14:textId="77777777" w:rsidR="00544649" w:rsidRDefault="00000000">
      <w:pPr>
        <w:adjustRightInd w:val="0"/>
        <w:snapToGrid w:val="0"/>
        <w:spacing w:after="0"/>
        <w:ind w:firstLine="480"/>
        <w:rPr>
          <w:rFonts w:cs="Times New Roman"/>
          <w:kern w:val="21"/>
          <w:szCs w:val="24"/>
        </w:rPr>
      </w:pPr>
      <w:r>
        <w:rPr>
          <w:rFonts w:cs="Times New Roman"/>
          <w:kern w:val="21"/>
          <w:szCs w:val="24"/>
        </w:rPr>
        <w:t>g</w:t>
      </w:r>
      <w:r>
        <w:rPr>
          <w:rFonts w:cs="Times New Roman"/>
          <w:kern w:val="21"/>
          <w:szCs w:val="24"/>
        </w:rPr>
        <w:t>）除本条</w:t>
      </w:r>
      <w:r>
        <w:rPr>
          <w:rFonts w:cs="Times New Roman"/>
          <w:kern w:val="21"/>
          <w:szCs w:val="24"/>
        </w:rPr>
        <w:t>a</w:t>
      </w:r>
      <w:r>
        <w:rPr>
          <w:rFonts w:cs="Times New Roman"/>
          <w:kern w:val="21"/>
          <w:szCs w:val="24"/>
        </w:rPr>
        <w:t>）、</w:t>
      </w:r>
      <w:r>
        <w:rPr>
          <w:rFonts w:cs="Times New Roman"/>
          <w:kern w:val="21"/>
          <w:szCs w:val="24"/>
        </w:rPr>
        <w:t>b</w:t>
      </w:r>
      <w:r>
        <w:rPr>
          <w:rFonts w:cs="Times New Roman"/>
          <w:kern w:val="21"/>
          <w:szCs w:val="24"/>
        </w:rPr>
        <w:t>）、</w:t>
      </w:r>
      <w:r>
        <w:rPr>
          <w:rFonts w:cs="Times New Roman"/>
          <w:kern w:val="21"/>
          <w:szCs w:val="24"/>
        </w:rPr>
        <w:t>c</w:t>
      </w:r>
      <w:r>
        <w:rPr>
          <w:rFonts w:cs="Times New Roman"/>
          <w:kern w:val="21"/>
          <w:szCs w:val="24"/>
        </w:rPr>
        <w:t>）、</w:t>
      </w:r>
      <w:r>
        <w:rPr>
          <w:rFonts w:cs="Times New Roman"/>
          <w:kern w:val="21"/>
          <w:szCs w:val="24"/>
        </w:rPr>
        <w:t>d</w:t>
      </w:r>
      <w:r>
        <w:rPr>
          <w:rFonts w:cs="Times New Roman"/>
          <w:kern w:val="21"/>
          <w:szCs w:val="24"/>
        </w:rPr>
        <w:t>）、</w:t>
      </w:r>
      <w:r>
        <w:rPr>
          <w:rFonts w:cs="Times New Roman"/>
          <w:kern w:val="21"/>
          <w:szCs w:val="24"/>
        </w:rPr>
        <w:t>e</w:t>
      </w:r>
      <w:r>
        <w:rPr>
          <w:rFonts w:cs="Times New Roman"/>
          <w:kern w:val="21"/>
          <w:szCs w:val="24"/>
        </w:rPr>
        <w:t>）、</w:t>
      </w:r>
      <w:r>
        <w:rPr>
          <w:rFonts w:cs="Times New Roman"/>
          <w:kern w:val="21"/>
          <w:szCs w:val="24"/>
        </w:rPr>
        <w:t>f</w:t>
      </w:r>
      <w:r>
        <w:rPr>
          <w:rFonts w:cs="Times New Roman"/>
          <w:kern w:val="21"/>
          <w:szCs w:val="24"/>
        </w:rPr>
        <w:t>）以外的情况，评价等级为三级；</w:t>
      </w:r>
    </w:p>
    <w:p w14:paraId="23F261AD" w14:textId="77777777" w:rsidR="00544649" w:rsidRDefault="00000000">
      <w:pPr>
        <w:pStyle w:val="12"/>
        <w:adjustRightInd w:val="0"/>
        <w:snapToGrid w:val="0"/>
        <w:spacing w:after="0"/>
        <w:ind w:left="0" w:firstLine="480"/>
        <w:contextualSpacing w:val="0"/>
        <w:rPr>
          <w:rFonts w:cs="Times New Roman"/>
          <w:kern w:val="21"/>
          <w:szCs w:val="24"/>
        </w:rPr>
      </w:pPr>
      <w:r>
        <w:rPr>
          <w:rFonts w:cs="Times New Roman"/>
          <w:kern w:val="21"/>
          <w:szCs w:val="24"/>
        </w:rPr>
        <w:t>h</w:t>
      </w:r>
      <w:r>
        <w:rPr>
          <w:rFonts w:cs="Times New Roman"/>
          <w:kern w:val="21"/>
          <w:szCs w:val="24"/>
        </w:rPr>
        <w:t>）当评价等级判定同时符合上述多种情况时，应采用其中最高的评价等级。</w:t>
      </w:r>
    </w:p>
    <w:p w14:paraId="2499FAD9" w14:textId="77777777" w:rsidR="00544649" w:rsidRDefault="00000000">
      <w:pPr>
        <w:pStyle w:val="12"/>
        <w:adjustRightInd w:val="0"/>
        <w:snapToGrid w:val="0"/>
        <w:spacing w:after="0"/>
        <w:ind w:left="0" w:firstLine="480"/>
        <w:contextualSpacing w:val="0"/>
        <w:rPr>
          <w:rFonts w:cs="Times New Roman"/>
          <w:kern w:val="21"/>
        </w:rPr>
      </w:pPr>
      <w:r>
        <w:rPr>
          <w:rFonts w:cs="Times New Roman"/>
          <w:kern w:val="21"/>
          <w:szCs w:val="24"/>
        </w:rPr>
        <w:t>根据《环境影响评价技术导则生态影响》（</w:t>
      </w:r>
      <w:r>
        <w:rPr>
          <w:rFonts w:cs="Times New Roman"/>
          <w:kern w:val="21"/>
          <w:szCs w:val="24"/>
        </w:rPr>
        <w:t>HJ19-2022</w:t>
      </w:r>
      <w:r>
        <w:rPr>
          <w:rFonts w:cs="Times New Roman"/>
          <w:kern w:val="21"/>
          <w:szCs w:val="24"/>
        </w:rPr>
        <w:t>），符合生态环境分区管</w:t>
      </w:r>
      <w:proofErr w:type="gramStart"/>
      <w:r>
        <w:rPr>
          <w:rFonts w:cs="Times New Roman"/>
          <w:kern w:val="21"/>
          <w:szCs w:val="24"/>
        </w:rPr>
        <w:t>控要求</w:t>
      </w:r>
      <w:proofErr w:type="gramEnd"/>
      <w:r>
        <w:rPr>
          <w:rFonts w:cs="Times New Roman"/>
          <w:kern w:val="21"/>
          <w:szCs w:val="24"/>
        </w:rPr>
        <w:t>且位于原厂界（或永久用地）范围内的污染</w:t>
      </w:r>
      <w:proofErr w:type="gramStart"/>
      <w:r>
        <w:rPr>
          <w:rFonts w:cs="Times New Roman"/>
          <w:kern w:val="21"/>
          <w:szCs w:val="24"/>
        </w:rPr>
        <w:t>影响类改扩建</w:t>
      </w:r>
      <w:proofErr w:type="gramEnd"/>
      <w:r>
        <w:rPr>
          <w:rFonts w:cs="Times New Roman"/>
          <w:kern w:val="21"/>
          <w:szCs w:val="24"/>
        </w:rPr>
        <w:t>项目，位于已批准规划环评的产业园区内且符合规划环评要求、不涉及生态敏感区的污染影响类建设项目，可不确定评价等级，直接进行生态影响简单分析。</w:t>
      </w:r>
    </w:p>
    <w:p w14:paraId="423917DF" w14:textId="77777777" w:rsidR="00544649" w:rsidRDefault="00000000">
      <w:pPr>
        <w:adjustRightInd w:val="0"/>
        <w:snapToGrid w:val="0"/>
        <w:spacing w:after="0"/>
        <w:ind w:firstLine="480"/>
        <w:rPr>
          <w:rFonts w:cs="Times New Roman"/>
          <w:kern w:val="21"/>
        </w:rPr>
      </w:pPr>
      <w:r>
        <w:rPr>
          <w:rFonts w:cs="Times New Roman"/>
          <w:kern w:val="21"/>
        </w:rPr>
        <w:t>根据《环境影响评价技术导则</w:t>
      </w:r>
      <w:r>
        <w:rPr>
          <w:rFonts w:cs="Times New Roman" w:hint="eastAsia"/>
          <w:kern w:val="21"/>
        </w:rPr>
        <w:t xml:space="preserve"> </w:t>
      </w:r>
      <w:r>
        <w:rPr>
          <w:rFonts w:cs="Times New Roman"/>
          <w:kern w:val="21"/>
        </w:rPr>
        <w:t>生态影响》（</w:t>
      </w:r>
      <w:r>
        <w:rPr>
          <w:rFonts w:cs="Times New Roman"/>
          <w:kern w:val="21"/>
        </w:rPr>
        <w:t>HJ19-2022</w:t>
      </w:r>
      <w:r>
        <w:rPr>
          <w:rFonts w:cs="Times New Roman"/>
          <w:kern w:val="21"/>
        </w:rPr>
        <w:t>），</w:t>
      </w:r>
      <w:r>
        <w:rPr>
          <w:rFonts w:cs="Times New Roman"/>
          <w:kern w:val="21"/>
          <w:szCs w:val="24"/>
        </w:rPr>
        <w:t>本项目生态影响</w:t>
      </w:r>
      <w:r>
        <w:rPr>
          <w:rFonts w:cs="Times New Roman" w:hint="eastAsia"/>
          <w:kern w:val="21"/>
          <w:szCs w:val="24"/>
        </w:rPr>
        <w:t>评价等级为三级。</w:t>
      </w:r>
    </w:p>
    <w:p w14:paraId="235592F7" w14:textId="77777777" w:rsidR="00544649" w:rsidRDefault="00000000">
      <w:pPr>
        <w:keepNext/>
        <w:keepLines/>
        <w:numPr>
          <w:ilvl w:val="3"/>
          <w:numId w:val="2"/>
        </w:numPr>
        <w:adjustRightInd w:val="0"/>
        <w:snapToGrid w:val="0"/>
        <w:spacing w:after="0"/>
        <w:ind w:firstLineChars="0"/>
        <w:outlineLvl w:val="3"/>
        <w:rPr>
          <w:rFonts w:cs="Times New Roman"/>
          <w:b/>
          <w:kern w:val="21"/>
          <w:szCs w:val="28"/>
        </w:rPr>
      </w:pPr>
      <w:r>
        <w:rPr>
          <w:rFonts w:cs="Times New Roman"/>
          <w:b/>
          <w:kern w:val="21"/>
          <w:szCs w:val="28"/>
        </w:rPr>
        <w:t>评价范围</w:t>
      </w:r>
    </w:p>
    <w:p w14:paraId="507C15EB" w14:textId="407BDC82" w:rsidR="00544649" w:rsidRDefault="00000000" w:rsidP="007D51AC">
      <w:pPr>
        <w:adjustRightInd w:val="0"/>
        <w:snapToGrid w:val="0"/>
        <w:spacing w:after="0"/>
        <w:ind w:firstLine="480"/>
        <w:rPr>
          <w:rFonts w:cs="Times New Roman"/>
          <w:kern w:val="21"/>
        </w:rPr>
      </w:pPr>
      <w:r>
        <w:rPr>
          <w:rFonts w:cs="Times New Roman"/>
          <w:kern w:val="21"/>
        </w:rPr>
        <w:t>根据《环境影响评价技术导则生态影响》（</w:t>
      </w:r>
      <w:r>
        <w:rPr>
          <w:rFonts w:cs="Times New Roman"/>
          <w:kern w:val="21"/>
        </w:rPr>
        <w:t>HJ19-2022</w:t>
      </w:r>
      <w:r>
        <w:rPr>
          <w:rFonts w:cs="Times New Roman"/>
          <w:kern w:val="21"/>
        </w:rPr>
        <w:t>），污染影响类建设项目评价范围应涵盖直接占用区域以及污染物排放产生的间接生态影响区域。因此，评价范围为本</w:t>
      </w:r>
      <w:proofErr w:type="gramStart"/>
      <w:r>
        <w:rPr>
          <w:rFonts w:cs="Times New Roman"/>
          <w:kern w:val="21"/>
        </w:rPr>
        <w:t>项目各侧外扩</w:t>
      </w:r>
      <w:proofErr w:type="gramEnd"/>
      <w:r>
        <w:rPr>
          <w:rFonts w:cs="Times New Roman"/>
          <w:kern w:val="21"/>
        </w:rPr>
        <w:t>200m</w:t>
      </w:r>
      <w:r>
        <w:rPr>
          <w:rFonts w:cs="Times New Roman"/>
          <w:kern w:val="21"/>
        </w:rPr>
        <w:t>范围内区域。</w:t>
      </w:r>
    </w:p>
    <w:p w14:paraId="4361A9F8" w14:textId="77777777" w:rsidR="00544649" w:rsidRDefault="00000000">
      <w:pPr>
        <w:pStyle w:val="3"/>
        <w:numPr>
          <w:ilvl w:val="2"/>
          <w:numId w:val="2"/>
        </w:numPr>
        <w:adjustRightInd w:val="0"/>
        <w:snapToGrid w:val="0"/>
        <w:spacing w:after="0"/>
        <w:rPr>
          <w:rFonts w:cs="Times New Roman"/>
          <w:kern w:val="21"/>
        </w:rPr>
      </w:pPr>
      <w:bookmarkStart w:id="148" w:name="_Toc20379"/>
      <w:bookmarkStart w:id="149" w:name="_Toc3660"/>
      <w:bookmarkStart w:id="150" w:name="_Toc195009812"/>
      <w:r>
        <w:rPr>
          <w:rFonts w:cs="Times New Roman"/>
          <w:kern w:val="21"/>
        </w:rPr>
        <w:t>土壤环境评价</w:t>
      </w:r>
      <w:bookmarkEnd w:id="148"/>
      <w:bookmarkEnd w:id="149"/>
      <w:bookmarkEnd w:id="150"/>
    </w:p>
    <w:p w14:paraId="14C26185" w14:textId="77777777" w:rsidR="00544649" w:rsidRDefault="00000000">
      <w:pPr>
        <w:adjustRightInd w:val="0"/>
        <w:snapToGrid w:val="0"/>
        <w:spacing w:after="0"/>
        <w:ind w:firstLine="480"/>
        <w:rPr>
          <w:rFonts w:cs="Times New Roman"/>
          <w:kern w:val="21"/>
          <w:szCs w:val="24"/>
        </w:rPr>
      </w:pPr>
      <w:r>
        <w:rPr>
          <w:rFonts w:cs="Times New Roman"/>
          <w:kern w:val="21"/>
          <w:szCs w:val="24"/>
        </w:rPr>
        <w:t>根据《环境影响评价技术导则土壤环境（试行）》（</w:t>
      </w:r>
      <w:r>
        <w:rPr>
          <w:rFonts w:cs="Times New Roman"/>
          <w:kern w:val="21"/>
          <w:szCs w:val="24"/>
        </w:rPr>
        <w:t>HJ964-2018</w:t>
      </w:r>
      <w:r>
        <w:rPr>
          <w:rFonts w:cs="Times New Roman"/>
          <w:kern w:val="21"/>
          <w:szCs w:val="24"/>
        </w:rPr>
        <w:t>），建设项目土壤环境影响评价工作等级的划分应依据建设项目行业分类和土壤环境敏感程度分级进行判定。本项目属于污染影响型项目，根据导则中附录</w:t>
      </w:r>
      <w:r>
        <w:rPr>
          <w:rFonts w:cs="Times New Roman"/>
          <w:kern w:val="21"/>
          <w:szCs w:val="24"/>
        </w:rPr>
        <w:t>A</w:t>
      </w:r>
      <w:r>
        <w:rPr>
          <w:rFonts w:cs="Times New Roman"/>
          <w:kern w:val="21"/>
          <w:szCs w:val="24"/>
        </w:rPr>
        <w:t>确定本项目所属土壤环境影响评价项目类别。</w:t>
      </w:r>
    </w:p>
    <w:p w14:paraId="0023D74E"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土壤环境影响评价项目类别</w:t>
      </w:r>
    </w:p>
    <w:tbl>
      <w:tblPr>
        <w:tblStyle w:val="afc"/>
        <w:tblW w:w="9060" w:type="dxa"/>
        <w:jc w:val="center"/>
        <w:tblLayout w:type="fixed"/>
        <w:tblLook w:val="04A0" w:firstRow="1" w:lastRow="0" w:firstColumn="1" w:lastColumn="0" w:noHBand="0" w:noVBand="1"/>
      </w:tblPr>
      <w:tblGrid>
        <w:gridCol w:w="1277"/>
        <w:gridCol w:w="1800"/>
        <w:gridCol w:w="2752"/>
        <w:gridCol w:w="2214"/>
        <w:gridCol w:w="1017"/>
      </w:tblGrid>
      <w:tr w:rsidR="00544649" w14:paraId="3870E7C0" w14:textId="77777777">
        <w:trPr>
          <w:tblHeader/>
          <w:jc w:val="center"/>
        </w:trPr>
        <w:tc>
          <w:tcPr>
            <w:tcW w:w="1277" w:type="dxa"/>
            <w:vMerge w:val="restart"/>
            <w:vAlign w:val="center"/>
          </w:tcPr>
          <w:p w14:paraId="7A077059"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行业类别</w:t>
            </w:r>
          </w:p>
        </w:tc>
        <w:tc>
          <w:tcPr>
            <w:tcW w:w="7783" w:type="dxa"/>
            <w:gridSpan w:val="4"/>
            <w:vAlign w:val="center"/>
          </w:tcPr>
          <w:p w14:paraId="0A6DFC33"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项目类别</w:t>
            </w:r>
          </w:p>
        </w:tc>
      </w:tr>
      <w:tr w:rsidR="00544649" w14:paraId="32ACA411" w14:textId="77777777">
        <w:trPr>
          <w:tblHeader/>
          <w:jc w:val="center"/>
        </w:trPr>
        <w:tc>
          <w:tcPr>
            <w:tcW w:w="1277" w:type="dxa"/>
            <w:vMerge/>
            <w:vAlign w:val="center"/>
          </w:tcPr>
          <w:p w14:paraId="5E778591" w14:textId="77777777" w:rsidR="00544649" w:rsidRDefault="00544649">
            <w:pPr>
              <w:adjustRightInd w:val="0"/>
              <w:snapToGrid w:val="0"/>
              <w:spacing w:beforeLines="20" w:before="62" w:afterLines="20" w:after="62" w:line="240" w:lineRule="auto"/>
              <w:ind w:firstLineChars="0" w:firstLine="0"/>
              <w:jc w:val="center"/>
              <w:rPr>
                <w:rFonts w:cs="Times New Roman"/>
                <w:b/>
                <w:kern w:val="21"/>
                <w:sz w:val="21"/>
                <w:szCs w:val="21"/>
              </w:rPr>
            </w:pPr>
          </w:p>
        </w:tc>
        <w:tc>
          <w:tcPr>
            <w:tcW w:w="1800" w:type="dxa"/>
            <w:vAlign w:val="center"/>
          </w:tcPr>
          <w:p w14:paraId="2A4BFD32"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Ⅰ</w:t>
            </w:r>
            <w:r>
              <w:rPr>
                <w:rFonts w:cs="Times New Roman"/>
                <w:b/>
                <w:kern w:val="21"/>
                <w:sz w:val="21"/>
                <w:szCs w:val="21"/>
              </w:rPr>
              <w:t>类</w:t>
            </w:r>
          </w:p>
        </w:tc>
        <w:tc>
          <w:tcPr>
            <w:tcW w:w="2752" w:type="dxa"/>
            <w:vAlign w:val="center"/>
          </w:tcPr>
          <w:p w14:paraId="403D21C2"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Ⅱ</w:t>
            </w:r>
            <w:r>
              <w:rPr>
                <w:rFonts w:cs="Times New Roman"/>
                <w:b/>
                <w:kern w:val="21"/>
                <w:sz w:val="21"/>
                <w:szCs w:val="21"/>
              </w:rPr>
              <w:t>类</w:t>
            </w:r>
          </w:p>
        </w:tc>
        <w:tc>
          <w:tcPr>
            <w:tcW w:w="2214" w:type="dxa"/>
            <w:vAlign w:val="center"/>
          </w:tcPr>
          <w:p w14:paraId="0444EAF8"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Ⅲ</w:t>
            </w:r>
            <w:r>
              <w:rPr>
                <w:rFonts w:cs="Times New Roman"/>
                <w:b/>
                <w:kern w:val="21"/>
                <w:sz w:val="21"/>
                <w:szCs w:val="21"/>
              </w:rPr>
              <w:t>类</w:t>
            </w:r>
          </w:p>
        </w:tc>
        <w:tc>
          <w:tcPr>
            <w:tcW w:w="1017" w:type="dxa"/>
            <w:vAlign w:val="center"/>
          </w:tcPr>
          <w:p w14:paraId="62F6D740"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Ⅳ</w:t>
            </w:r>
            <w:r>
              <w:rPr>
                <w:rFonts w:cs="Times New Roman"/>
                <w:b/>
                <w:kern w:val="21"/>
                <w:sz w:val="21"/>
                <w:szCs w:val="21"/>
              </w:rPr>
              <w:t>类</w:t>
            </w:r>
          </w:p>
        </w:tc>
      </w:tr>
      <w:tr w:rsidR="00544649" w14:paraId="46629811" w14:textId="77777777">
        <w:trPr>
          <w:jc w:val="center"/>
        </w:trPr>
        <w:tc>
          <w:tcPr>
            <w:tcW w:w="1277" w:type="dxa"/>
            <w:vAlign w:val="center"/>
          </w:tcPr>
          <w:p w14:paraId="241EF6A5" w14:textId="77777777" w:rsidR="00544649" w:rsidRDefault="00000000">
            <w:pPr>
              <w:pStyle w:val="af5"/>
              <w:widowControl/>
              <w:adjustRightInd w:val="0"/>
              <w:snapToGrid w:val="0"/>
              <w:spacing w:beforeLines="20" w:before="62" w:beforeAutospacing="0" w:afterLines="20" w:after="62" w:afterAutospacing="0" w:line="240" w:lineRule="auto"/>
              <w:ind w:firstLineChars="0" w:firstLine="0"/>
              <w:jc w:val="center"/>
              <w:rPr>
                <w:kern w:val="21"/>
                <w:sz w:val="21"/>
                <w:szCs w:val="21"/>
              </w:rPr>
            </w:pPr>
            <w:r>
              <w:rPr>
                <w:kern w:val="21"/>
                <w:sz w:val="21"/>
                <w:szCs w:val="21"/>
              </w:rPr>
              <w:t>农林牧渔业</w:t>
            </w:r>
          </w:p>
        </w:tc>
        <w:tc>
          <w:tcPr>
            <w:tcW w:w="1800" w:type="dxa"/>
            <w:vAlign w:val="center"/>
          </w:tcPr>
          <w:p w14:paraId="52E8E2F2" w14:textId="77777777" w:rsidR="00544649" w:rsidRDefault="00000000">
            <w:pPr>
              <w:pStyle w:val="af5"/>
              <w:widowControl/>
              <w:adjustRightInd w:val="0"/>
              <w:snapToGrid w:val="0"/>
              <w:spacing w:beforeLines="20" w:before="62" w:beforeAutospacing="0" w:afterLines="20" w:after="62" w:afterAutospacing="0" w:line="240" w:lineRule="auto"/>
              <w:ind w:firstLineChars="0" w:firstLine="0"/>
              <w:jc w:val="center"/>
              <w:rPr>
                <w:kern w:val="21"/>
                <w:sz w:val="21"/>
                <w:szCs w:val="21"/>
              </w:rPr>
            </w:pPr>
            <w:r>
              <w:rPr>
                <w:kern w:val="21"/>
                <w:sz w:val="21"/>
                <w:szCs w:val="21"/>
              </w:rPr>
              <w:t>灌溉面积大于</w:t>
            </w:r>
            <w:r>
              <w:rPr>
                <w:kern w:val="21"/>
                <w:sz w:val="21"/>
                <w:szCs w:val="21"/>
              </w:rPr>
              <w:t>50</w:t>
            </w:r>
            <w:r>
              <w:rPr>
                <w:kern w:val="21"/>
                <w:sz w:val="21"/>
                <w:szCs w:val="21"/>
              </w:rPr>
              <w:t>万亩的灌区工程</w:t>
            </w:r>
          </w:p>
        </w:tc>
        <w:tc>
          <w:tcPr>
            <w:tcW w:w="2752" w:type="dxa"/>
            <w:vAlign w:val="center"/>
          </w:tcPr>
          <w:p w14:paraId="4B5730EF" w14:textId="77777777" w:rsidR="00544649" w:rsidRDefault="00000000">
            <w:pPr>
              <w:pStyle w:val="af5"/>
              <w:widowControl/>
              <w:adjustRightInd w:val="0"/>
              <w:snapToGrid w:val="0"/>
              <w:spacing w:beforeLines="20" w:before="62" w:beforeAutospacing="0" w:afterLines="20" w:after="62" w:afterAutospacing="0" w:line="240" w:lineRule="auto"/>
              <w:ind w:firstLineChars="0" w:firstLine="0"/>
              <w:jc w:val="center"/>
              <w:rPr>
                <w:kern w:val="21"/>
                <w:sz w:val="21"/>
                <w:szCs w:val="21"/>
              </w:rPr>
            </w:pPr>
            <w:r>
              <w:rPr>
                <w:kern w:val="21"/>
                <w:sz w:val="21"/>
                <w:szCs w:val="21"/>
              </w:rPr>
              <w:t>新建</w:t>
            </w:r>
            <w:r>
              <w:rPr>
                <w:kern w:val="21"/>
                <w:sz w:val="21"/>
                <w:szCs w:val="21"/>
              </w:rPr>
              <w:t>5</w:t>
            </w:r>
            <w:r>
              <w:rPr>
                <w:kern w:val="21"/>
                <w:sz w:val="21"/>
                <w:szCs w:val="21"/>
              </w:rPr>
              <w:t>万亩至</w:t>
            </w:r>
            <w:r>
              <w:rPr>
                <w:kern w:val="21"/>
                <w:sz w:val="21"/>
                <w:szCs w:val="21"/>
              </w:rPr>
              <w:t>50</w:t>
            </w:r>
            <w:r>
              <w:rPr>
                <w:kern w:val="21"/>
                <w:sz w:val="21"/>
                <w:szCs w:val="21"/>
              </w:rPr>
              <w:t>万亩的、改造</w:t>
            </w:r>
            <w:r>
              <w:rPr>
                <w:kern w:val="21"/>
                <w:sz w:val="21"/>
                <w:szCs w:val="21"/>
              </w:rPr>
              <w:t>30</w:t>
            </w:r>
            <w:r>
              <w:rPr>
                <w:kern w:val="21"/>
                <w:sz w:val="21"/>
                <w:szCs w:val="21"/>
              </w:rPr>
              <w:t>万亩及以上的灌区工程；年出栏生猪</w:t>
            </w:r>
            <w:r>
              <w:rPr>
                <w:kern w:val="21"/>
                <w:sz w:val="21"/>
                <w:szCs w:val="21"/>
              </w:rPr>
              <w:t>10</w:t>
            </w:r>
            <w:r>
              <w:rPr>
                <w:kern w:val="21"/>
                <w:sz w:val="21"/>
                <w:szCs w:val="21"/>
              </w:rPr>
              <w:t>万头（其他畜禽种类折合猪的养殖规模）及以上的畜禽养殖场或养殖小区</w:t>
            </w:r>
          </w:p>
        </w:tc>
        <w:tc>
          <w:tcPr>
            <w:tcW w:w="2214" w:type="dxa"/>
            <w:vAlign w:val="center"/>
          </w:tcPr>
          <w:p w14:paraId="6AFD248D" w14:textId="77777777" w:rsidR="00544649" w:rsidRDefault="00000000">
            <w:pPr>
              <w:pStyle w:val="af5"/>
              <w:widowControl/>
              <w:adjustRightInd w:val="0"/>
              <w:snapToGrid w:val="0"/>
              <w:spacing w:beforeLines="20" w:before="62" w:beforeAutospacing="0" w:afterLines="20" w:after="62" w:afterAutospacing="0" w:line="240" w:lineRule="auto"/>
              <w:ind w:firstLineChars="0" w:firstLine="0"/>
              <w:jc w:val="center"/>
              <w:rPr>
                <w:kern w:val="21"/>
                <w:sz w:val="21"/>
                <w:szCs w:val="21"/>
              </w:rPr>
            </w:pPr>
            <w:r>
              <w:rPr>
                <w:kern w:val="21"/>
                <w:sz w:val="21"/>
                <w:szCs w:val="21"/>
              </w:rPr>
              <w:t>年出栏生猪</w:t>
            </w:r>
            <w:r>
              <w:rPr>
                <w:kern w:val="21"/>
                <w:sz w:val="21"/>
                <w:szCs w:val="21"/>
              </w:rPr>
              <w:t>5000</w:t>
            </w:r>
            <w:r>
              <w:rPr>
                <w:kern w:val="21"/>
                <w:sz w:val="21"/>
                <w:szCs w:val="21"/>
              </w:rPr>
              <w:t>头（其他畜禽种类折合猪的养殖规模）及以上的畜禽养殖场或养殖小区</w:t>
            </w:r>
          </w:p>
        </w:tc>
        <w:tc>
          <w:tcPr>
            <w:tcW w:w="1017" w:type="dxa"/>
            <w:vAlign w:val="center"/>
          </w:tcPr>
          <w:p w14:paraId="0C702C5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其他</w:t>
            </w:r>
          </w:p>
        </w:tc>
      </w:tr>
    </w:tbl>
    <w:p w14:paraId="4F70AB6D" w14:textId="77777777" w:rsidR="00544649" w:rsidRDefault="00000000">
      <w:pPr>
        <w:adjustRightInd w:val="0"/>
        <w:snapToGrid w:val="0"/>
        <w:spacing w:after="0"/>
        <w:ind w:firstLine="480"/>
        <w:rPr>
          <w:rFonts w:cs="Times New Roman"/>
          <w:kern w:val="21"/>
          <w:szCs w:val="24"/>
        </w:rPr>
      </w:pPr>
      <w:r>
        <w:rPr>
          <w:rFonts w:cs="Times New Roman"/>
          <w:kern w:val="21"/>
          <w:szCs w:val="21"/>
        </w:rPr>
        <w:t>本项目</w:t>
      </w:r>
      <w:proofErr w:type="gramStart"/>
      <w:r>
        <w:rPr>
          <w:rFonts w:hint="eastAsia"/>
          <w:kern w:val="21"/>
        </w:rPr>
        <w:t>蛋鸡年</w:t>
      </w:r>
      <w:proofErr w:type="gramEnd"/>
      <w:r>
        <w:rPr>
          <w:rFonts w:hint="eastAsia"/>
          <w:kern w:val="21"/>
        </w:rPr>
        <w:t>存栏规模为</w:t>
      </w:r>
      <w:r>
        <w:rPr>
          <w:rFonts w:hint="eastAsia"/>
          <w:kern w:val="21"/>
        </w:rPr>
        <w:t>30</w:t>
      </w:r>
      <w:r>
        <w:rPr>
          <w:rFonts w:hint="eastAsia"/>
          <w:kern w:val="21"/>
        </w:rPr>
        <w:t>万羽</w:t>
      </w:r>
      <w:r>
        <w:rPr>
          <w:rFonts w:cs="Times New Roman"/>
          <w:kern w:val="21"/>
          <w:szCs w:val="21"/>
        </w:rPr>
        <w:t>，</w:t>
      </w:r>
      <w:r>
        <w:rPr>
          <w:rFonts w:cs="Times New Roman" w:hint="eastAsia"/>
          <w:kern w:val="21"/>
          <w:szCs w:val="21"/>
        </w:rPr>
        <w:t>每批次更换蛋鸡量约为</w:t>
      </w:r>
      <w:r>
        <w:rPr>
          <w:rFonts w:cs="Times New Roman" w:hint="eastAsia"/>
          <w:kern w:val="21"/>
          <w:szCs w:val="21"/>
        </w:rPr>
        <w:t>7.5</w:t>
      </w:r>
      <w:r>
        <w:rPr>
          <w:rFonts w:hint="eastAsia"/>
          <w:kern w:val="21"/>
        </w:rPr>
        <w:t>万羽，每年</w:t>
      </w:r>
      <w:proofErr w:type="gramStart"/>
      <w:r>
        <w:rPr>
          <w:rFonts w:hint="eastAsia"/>
          <w:kern w:val="21"/>
        </w:rPr>
        <w:t>更换约</w:t>
      </w:r>
      <w:proofErr w:type="gramEnd"/>
      <w:r>
        <w:rPr>
          <w:rFonts w:hint="eastAsia"/>
          <w:kern w:val="21"/>
        </w:rPr>
        <w:t>2</w:t>
      </w:r>
      <w:r>
        <w:rPr>
          <w:rFonts w:hint="eastAsia"/>
          <w:kern w:val="21"/>
        </w:rPr>
        <w:t>个批次，则蛋鸡出栏量为</w:t>
      </w:r>
      <w:r>
        <w:rPr>
          <w:rFonts w:hint="eastAsia"/>
          <w:kern w:val="21"/>
        </w:rPr>
        <w:t>15</w:t>
      </w:r>
      <w:r>
        <w:rPr>
          <w:rFonts w:hint="eastAsia"/>
          <w:kern w:val="21"/>
        </w:rPr>
        <w:t>万羽</w:t>
      </w:r>
      <w:r>
        <w:rPr>
          <w:rFonts w:hint="eastAsia"/>
          <w:kern w:val="21"/>
        </w:rPr>
        <w:t>/</w:t>
      </w:r>
      <w:r>
        <w:rPr>
          <w:rFonts w:hint="eastAsia"/>
          <w:kern w:val="21"/>
        </w:rPr>
        <w:t>年。根据《排污许可证申请与核发技术规范畜禽养殖行业》（</w:t>
      </w:r>
      <w:r>
        <w:rPr>
          <w:kern w:val="21"/>
        </w:rPr>
        <w:t>HJ1029-2019</w:t>
      </w:r>
      <w:r>
        <w:rPr>
          <w:rFonts w:hint="eastAsia"/>
          <w:kern w:val="21"/>
        </w:rPr>
        <w:t>），</w:t>
      </w:r>
      <w:r>
        <w:rPr>
          <w:kern w:val="21"/>
        </w:rPr>
        <w:t>30</w:t>
      </w:r>
      <w:r>
        <w:rPr>
          <w:rFonts w:hint="eastAsia"/>
          <w:kern w:val="21"/>
        </w:rPr>
        <w:t>羽蛋鸡折算成</w:t>
      </w:r>
      <w:r>
        <w:rPr>
          <w:kern w:val="21"/>
        </w:rPr>
        <w:t>1</w:t>
      </w:r>
      <w:r>
        <w:rPr>
          <w:rFonts w:hint="eastAsia"/>
          <w:kern w:val="21"/>
        </w:rPr>
        <w:t>头猪</w:t>
      </w:r>
      <w:r>
        <w:rPr>
          <w:rFonts w:cs="Times New Roman"/>
          <w:kern w:val="21"/>
        </w:rPr>
        <w:t>，</w:t>
      </w:r>
      <w:r>
        <w:rPr>
          <w:rFonts w:cs="Times New Roman" w:hint="eastAsia"/>
          <w:kern w:val="21"/>
        </w:rPr>
        <w:t>则本项目</w:t>
      </w:r>
      <w:r>
        <w:rPr>
          <w:rFonts w:cs="Times New Roman"/>
          <w:kern w:val="21"/>
        </w:rPr>
        <w:t>折算</w:t>
      </w:r>
      <w:r>
        <w:rPr>
          <w:rFonts w:cs="Times New Roman" w:hint="eastAsia"/>
          <w:kern w:val="21"/>
        </w:rPr>
        <w:t>年</w:t>
      </w:r>
      <w:r>
        <w:rPr>
          <w:rFonts w:cs="Times New Roman"/>
          <w:kern w:val="21"/>
        </w:rPr>
        <w:t>存栏量为</w:t>
      </w:r>
      <w:r>
        <w:rPr>
          <w:rFonts w:cs="Times New Roman" w:hint="eastAsia"/>
          <w:kern w:val="21"/>
        </w:rPr>
        <w:t>10000</w:t>
      </w:r>
      <w:r>
        <w:rPr>
          <w:rFonts w:cs="Times New Roman" w:hint="eastAsia"/>
          <w:kern w:val="21"/>
        </w:rPr>
        <w:t>头</w:t>
      </w:r>
      <w:r>
        <w:rPr>
          <w:rFonts w:cs="Times New Roman"/>
          <w:kern w:val="21"/>
        </w:rPr>
        <w:t>猪</w:t>
      </w:r>
      <w:r>
        <w:rPr>
          <w:rFonts w:cs="Times New Roman" w:hint="eastAsia"/>
          <w:kern w:val="21"/>
        </w:rPr>
        <w:t>，年出栏量为</w:t>
      </w:r>
      <w:r>
        <w:rPr>
          <w:rFonts w:cs="Times New Roman" w:hint="eastAsia"/>
          <w:kern w:val="21"/>
        </w:rPr>
        <w:t>5000</w:t>
      </w:r>
      <w:r>
        <w:rPr>
          <w:rFonts w:cs="Times New Roman" w:hint="eastAsia"/>
          <w:kern w:val="21"/>
        </w:rPr>
        <w:t>头</w:t>
      </w:r>
      <w:r>
        <w:rPr>
          <w:rFonts w:cs="Times New Roman"/>
          <w:kern w:val="21"/>
        </w:rPr>
        <w:t>猪</w:t>
      </w:r>
      <w:r>
        <w:rPr>
          <w:rFonts w:cs="Times New Roman" w:hint="eastAsia"/>
          <w:kern w:val="21"/>
        </w:rPr>
        <w:t>，</w:t>
      </w:r>
      <w:r>
        <w:rPr>
          <w:rFonts w:cs="Times New Roman"/>
          <w:kern w:val="21"/>
          <w:szCs w:val="21"/>
        </w:rPr>
        <w:t>土壤环境影响评价项</w:t>
      </w:r>
      <w:r>
        <w:rPr>
          <w:rFonts w:cs="Times New Roman"/>
          <w:kern w:val="21"/>
          <w:szCs w:val="24"/>
        </w:rPr>
        <w:t>目类别为</w:t>
      </w:r>
      <w:r>
        <w:rPr>
          <w:rFonts w:cs="Times New Roman"/>
          <w:b/>
          <w:kern w:val="21"/>
          <w:sz w:val="21"/>
          <w:szCs w:val="21"/>
        </w:rPr>
        <w:t>Ⅲ</w:t>
      </w:r>
      <w:r>
        <w:rPr>
          <w:rFonts w:cs="Times New Roman"/>
          <w:b/>
          <w:kern w:val="21"/>
          <w:szCs w:val="24"/>
        </w:rPr>
        <w:t>类</w:t>
      </w:r>
      <w:r>
        <w:rPr>
          <w:rFonts w:cs="Times New Roman"/>
          <w:kern w:val="21"/>
          <w:szCs w:val="24"/>
        </w:rPr>
        <w:t>。</w:t>
      </w:r>
    </w:p>
    <w:p w14:paraId="306D59FA" w14:textId="77777777" w:rsidR="00544649" w:rsidRDefault="00000000">
      <w:pPr>
        <w:adjustRightInd w:val="0"/>
        <w:snapToGrid w:val="0"/>
        <w:spacing w:after="0"/>
        <w:ind w:firstLine="480"/>
        <w:rPr>
          <w:rFonts w:cs="Times New Roman"/>
          <w:kern w:val="21"/>
          <w:szCs w:val="24"/>
        </w:rPr>
      </w:pPr>
      <w:r>
        <w:rPr>
          <w:rFonts w:cs="Times New Roman"/>
          <w:kern w:val="21"/>
          <w:szCs w:val="24"/>
        </w:rPr>
        <w:t>将建设项目占地规模分为大型（</w:t>
      </w:r>
      <w:r>
        <w:rPr>
          <w:rFonts w:cs="Times New Roman"/>
          <w:kern w:val="21"/>
          <w:szCs w:val="24"/>
        </w:rPr>
        <w:t>≥50hm</w:t>
      </w:r>
      <w:r>
        <w:rPr>
          <w:rFonts w:cs="Times New Roman"/>
          <w:kern w:val="21"/>
          <w:szCs w:val="24"/>
          <w:vertAlign w:val="superscript"/>
        </w:rPr>
        <w:t>2</w:t>
      </w:r>
      <w:r>
        <w:rPr>
          <w:rFonts w:cs="Times New Roman"/>
          <w:kern w:val="21"/>
          <w:szCs w:val="24"/>
        </w:rPr>
        <w:t>）、中型（</w:t>
      </w:r>
      <w:r>
        <w:rPr>
          <w:rFonts w:cs="Times New Roman"/>
          <w:kern w:val="21"/>
          <w:szCs w:val="24"/>
        </w:rPr>
        <w:t>5~50hm</w:t>
      </w:r>
      <w:r>
        <w:rPr>
          <w:rFonts w:cs="Times New Roman"/>
          <w:kern w:val="21"/>
          <w:szCs w:val="24"/>
          <w:vertAlign w:val="superscript"/>
        </w:rPr>
        <w:t>2</w:t>
      </w:r>
      <w:r>
        <w:rPr>
          <w:rFonts w:cs="Times New Roman"/>
          <w:kern w:val="21"/>
          <w:szCs w:val="24"/>
        </w:rPr>
        <w:t>）、小型（</w:t>
      </w:r>
      <w:r>
        <w:rPr>
          <w:rFonts w:cs="Times New Roman"/>
          <w:kern w:val="21"/>
          <w:szCs w:val="24"/>
        </w:rPr>
        <w:t>≤5hm</w:t>
      </w:r>
      <w:r>
        <w:rPr>
          <w:rFonts w:cs="Times New Roman"/>
          <w:kern w:val="21"/>
          <w:szCs w:val="24"/>
          <w:vertAlign w:val="superscript"/>
        </w:rPr>
        <w:t>2</w:t>
      </w:r>
      <w:r>
        <w:rPr>
          <w:rFonts w:cs="Times New Roman"/>
          <w:kern w:val="21"/>
          <w:szCs w:val="24"/>
        </w:rPr>
        <w:t>），</w:t>
      </w:r>
      <w:r>
        <w:rPr>
          <w:rFonts w:cs="Times New Roman"/>
          <w:kern w:val="21"/>
          <w:szCs w:val="24"/>
        </w:rPr>
        <w:lastRenderedPageBreak/>
        <w:t>建设项目占地主要为永久占地。本项目</w:t>
      </w:r>
      <w:r>
        <w:rPr>
          <w:rFonts w:cs="Times New Roman" w:hint="eastAsia"/>
          <w:kern w:val="21"/>
          <w:szCs w:val="24"/>
        </w:rPr>
        <w:t>总</w:t>
      </w:r>
      <w:r>
        <w:rPr>
          <w:rFonts w:cs="Times New Roman"/>
          <w:kern w:val="21"/>
          <w:szCs w:val="24"/>
        </w:rPr>
        <w:t>占地面积</w:t>
      </w:r>
      <w:r>
        <w:rPr>
          <w:rFonts w:cs="Times New Roman" w:hint="eastAsia"/>
          <w:kern w:val="21"/>
          <w:szCs w:val="24"/>
        </w:rPr>
        <w:t>约</w:t>
      </w:r>
      <w:r>
        <w:rPr>
          <w:rFonts w:cs="Times New Roman" w:hint="eastAsia"/>
          <w:kern w:val="21"/>
          <w:szCs w:val="24"/>
        </w:rPr>
        <w:t>168</w:t>
      </w:r>
      <w:r>
        <w:rPr>
          <w:rFonts w:cs="Times New Roman" w:hint="eastAsia"/>
          <w:kern w:val="21"/>
          <w:szCs w:val="24"/>
        </w:rPr>
        <w:t>亩</w:t>
      </w:r>
      <w:r>
        <w:rPr>
          <w:rFonts w:cs="Times New Roman"/>
          <w:kern w:val="21"/>
          <w:szCs w:val="24"/>
        </w:rPr>
        <w:t>，占地规模属于</w:t>
      </w:r>
      <w:r>
        <w:rPr>
          <w:rFonts w:cs="Times New Roman" w:hint="eastAsia"/>
          <w:kern w:val="21"/>
          <w:szCs w:val="24"/>
        </w:rPr>
        <w:t>中</w:t>
      </w:r>
      <w:r>
        <w:rPr>
          <w:rFonts w:cs="Times New Roman"/>
          <w:kern w:val="21"/>
          <w:szCs w:val="24"/>
        </w:rPr>
        <w:t>型。</w:t>
      </w:r>
    </w:p>
    <w:p w14:paraId="6E219C71" w14:textId="77777777" w:rsidR="00544649" w:rsidRDefault="00000000">
      <w:pPr>
        <w:adjustRightInd w:val="0"/>
        <w:snapToGrid w:val="0"/>
        <w:spacing w:after="0"/>
        <w:ind w:firstLine="480"/>
        <w:rPr>
          <w:rFonts w:cs="Times New Roman"/>
          <w:kern w:val="21"/>
          <w:szCs w:val="24"/>
        </w:rPr>
      </w:pPr>
      <w:r>
        <w:rPr>
          <w:rFonts w:cs="Times New Roman"/>
          <w:kern w:val="21"/>
          <w:szCs w:val="24"/>
        </w:rPr>
        <w:t>建设项目所在地周边的土壤环境敏感程度分为敏感、较敏感、不敏感，判别依据见下表。</w:t>
      </w:r>
    </w:p>
    <w:p w14:paraId="1A7B85FA"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污染影响型敏感程度分级表</w:t>
      </w:r>
    </w:p>
    <w:tbl>
      <w:tblPr>
        <w:tblStyle w:val="afc"/>
        <w:tblW w:w="9060" w:type="dxa"/>
        <w:jc w:val="center"/>
        <w:tblLayout w:type="fixed"/>
        <w:tblLook w:val="04A0" w:firstRow="1" w:lastRow="0" w:firstColumn="1" w:lastColumn="0" w:noHBand="0" w:noVBand="1"/>
      </w:tblPr>
      <w:tblGrid>
        <w:gridCol w:w="1188"/>
        <w:gridCol w:w="5940"/>
        <w:gridCol w:w="1932"/>
      </w:tblGrid>
      <w:tr w:rsidR="00544649" w14:paraId="4432992C" w14:textId="77777777">
        <w:trPr>
          <w:trHeight w:val="348"/>
          <w:tblHeader/>
          <w:jc w:val="center"/>
        </w:trPr>
        <w:tc>
          <w:tcPr>
            <w:tcW w:w="1188" w:type="dxa"/>
            <w:vAlign w:val="center"/>
          </w:tcPr>
          <w:p w14:paraId="0FCF8318"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敏感程度</w:t>
            </w:r>
          </w:p>
        </w:tc>
        <w:tc>
          <w:tcPr>
            <w:tcW w:w="5940" w:type="dxa"/>
            <w:vAlign w:val="center"/>
          </w:tcPr>
          <w:p w14:paraId="26E4D6D5"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判别依据</w:t>
            </w:r>
          </w:p>
        </w:tc>
        <w:tc>
          <w:tcPr>
            <w:tcW w:w="1932" w:type="dxa"/>
            <w:vAlign w:val="center"/>
          </w:tcPr>
          <w:p w14:paraId="34127C2D"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本项目</w:t>
            </w:r>
          </w:p>
        </w:tc>
      </w:tr>
      <w:tr w:rsidR="00544649" w14:paraId="7D5FFEA4" w14:textId="77777777">
        <w:trPr>
          <w:jc w:val="center"/>
        </w:trPr>
        <w:tc>
          <w:tcPr>
            <w:tcW w:w="1188" w:type="dxa"/>
            <w:vAlign w:val="center"/>
          </w:tcPr>
          <w:p w14:paraId="642B0A1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敏感</w:t>
            </w:r>
          </w:p>
        </w:tc>
        <w:tc>
          <w:tcPr>
            <w:tcW w:w="5940" w:type="dxa"/>
            <w:vAlign w:val="center"/>
          </w:tcPr>
          <w:p w14:paraId="623018A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建设项目周边存在耕地、园地、牧草地</w:t>
            </w:r>
            <w:r>
              <w:rPr>
                <w:rFonts w:cs="Times New Roman" w:hint="eastAsia"/>
                <w:kern w:val="21"/>
                <w:sz w:val="21"/>
                <w:szCs w:val="21"/>
              </w:rPr>
              <w:t>、</w:t>
            </w:r>
            <w:r>
              <w:rPr>
                <w:rFonts w:cs="Times New Roman"/>
                <w:kern w:val="21"/>
                <w:sz w:val="21"/>
                <w:szCs w:val="21"/>
              </w:rPr>
              <w:t>饮用水水源地或居民区、学校、医院、疗养院、养老院等土壤环境敏感目标的</w:t>
            </w:r>
          </w:p>
        </w:tc>
        <w:tc>
          <w:tcPr>
            <w:tcW w:w="1932" w:type="dxa"/>
            <w:vMerge w:val="restart"/>
            <w:vAlign w:val="center"/>
          </w:tcPr>
          <w:p w14:paraId="6A2DE2B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敏感</w:t>
            </w:r>
          </w:p>
        </w:tc>
      </w:tr>
      <w:tr w:rsidR="00544649" w14:paraId="620AFC38" w14:textId="77777777">
        <w:trPr>
          <w:jc w:val="center"/>
        </w:trPr>
        <w:tc>
          <w:tcPr>
            <w:tcW w:w="1188" w:type="dxa"/>
            <w:vAlign w:val="center"/>
          </w:tcPr>
          <w:p w14:paraId="66B8CA3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较敏感</w:t>
            </w:r>
          </w:p>
        </w:tc>
        <w:tc>
          <w:tcPr>
            <w:tcW w:w="5940" w:type="dxa"/>
            <w:vAlign w:val="center"/>
          </w:tcPr>
          <w:p w14:paraId="5A31BA4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建设项目周边存在其他土壤环境敏感目标的</w:t>
            </w:r>
          </w:p>
        </w:tc>
        <w:tc>
          <w:tcPr>
            <w:tcW w:w="1932" w:type="dxa"/>
            <w:vMerge/>
            <w:vAlign w:val="center"/>
          </w:tcPr>
          <w:p w14:paraId="40C50985"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3CA702F6" w14:textId="77777777">
        <w:trPr>
          <w:jc w:val="center"/>
        </w:trPr>
        <w:tc>
          <w:tcPr>
            <w:tcW w:w="1188" w:type="dxa"/>
            <w:vAlign w:val="center"/>
          </w:tcPr>
          <w:p w14:paraId="5A7AE66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不敏感</w:t>
            </w:r>
          </w:p>
        </w:tc>
        <w:tc>
          <w:tcPr>
            <w:tcW w:w="5940" w:type="dxa"/>
            <w:vAlign w:val="center"/>
          </w:tcPr>
          <w:p w14:paraId="37E6EDF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其他情况</w:t>
            </w:r>
          </w:p>
        </w:tc>
        <w:tc>
          <w:tcPr>
            <w:tcW w:w="1932" w:type="dxa"/>
            <w:vMerge/>
            <w:vAlign w:val="center"/>
          </w:tcPr>
          <w:p w14:paraId="3144EF8F"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bl>
    <w:p w14:paraId="6E29722E" w14:textId="77777777" w:rsidR="00544649" w:rsidRDefault="00000000">
      <w:pPr>
        <w:adjustRightInd w:val="0"/>
        <w:snapToGrid w:val="0"/>
        <w:spacing w:after="0"/>
        <w:ind w:firstLine="480"/>
        <w:rPr>
          <w:rFonts w:cs="Times New Roman"/>
          <w:kern w:val="21"/>
          <w:szCs w:val="24"/>
        </w:rPr>
      </w:pPr>
      <w:r>
        <w:rPr>
          <w:rFonts w:cs="Times New Roman"/>
          <w:kern w:val="21"/>
          <w:szCs w:val="24"/>
        </w:rPr>
        <w:t>本项目选址位于</w:t>
      </w:r>
      <w:r>
        <w:rPr>
          <w:rFonts w:cs="Times New Roman" w:hint="eastAsia"/>
          <w:kern w:val="21"/>
          <w:szCs w:val="24"/>
        </w:rPr>
        <w:t>广元</w:t>
      </w:r>
      <w:r>
        <w:rPr>
          <w:rFonts w:cs="Times New Roman"/>
          <w:kern w:val="21"/>
          <w:szCs w:val="24"/>
        </w:rPr>
        <w:t>市</w:t>
      </w:r>
      <w:r>
        <w:rPr>
          <w:rFonts w:cs="Times New Roman" w:hint="eastAsia"/>
          <w:kern w:val="21"/>
          <w:szCs w:val="24"/>
        </w:rPr>
        <w:t>剑阁</w:t>
      </w:r>
      <w:r>
        <w:rPr>
          <w:rFonts w:cs="Times New Roman"/>
          <w:kern w:val="21"/>
          <w:szCs w:val="24"/>
        </w:rPr>
        <w:t>县</w:t>
      </w:r>
      <w:r>
        <w:rPr>
          <w:rFonts w:cs="Times New Roman" w:hint="eastAsia"/>
          <w:kern w:val="21"/>
          <w:szCs w:val="24"/>
        </w:rPr>
        <w:t>剑门关镇新龙村六组、双鱼村七组</w:t>
      </w:r>
      <w:r>
        <w:rPr>
          <w:rFonts w:cs="Times New Roman"/>
          <w:kern w:val="21"/>
          <w:szCs w:val="24"/>
        </w:rPr>
        <w:t>，根据现场调查，项目所在地及项目周边</w:t>
      </w:r>
      <w:r>
        <w:rPr>
          <w:rFonts w:cs="Times New Roman"/>
          <w:kern w:val="21"/>
          <w:szCs w:val="24"/>
        </w:rPr>
        <w:t>50m</w:t>
      </w:r>
      <w:r>
        <w:rPr>
          <w:rFonts w:cs="Times New Roman"/>
          <w:kern w:val="21"/>
          <w:szCs w:val="24"/>
        </w:rPr>
        <w:t>范围内主要为林地</w:t>
      </w:r>
      <w:r>
        <w:rPr>
          <w:rFonts w:cs="Times New Roman" w:hint="eastAsia"/>
          <w:kern w:val="21"/>
          <w:szCs w:val="24"/>
        </w:rPr>
        <w:t>及耕地</w:t>
      </w:r>
      <w:r>
        <w:rPr>
          <w:rFonts w:cs="Times New Roman"/>
          <w:kern w:val="21"/>
          <w:szCs w:val="24"/>
        </w:rPr>
        <w:t>，评价范围内不存在</w:t>
      </w:r>
      <w:r>
        <w:rPr>
          <w:rFonts w:cs="Times New Roman" w:hint="eastAsia"/>
          <w:kern w:val="21"/>
          <w:szCs w:val="24"/>
        </w:rPr>
        <w:t>园地、</w:t>
      </w:r>
      <w:r>
        <w:rPr>
          <w:rFonts w:cs="Times New Roman"/>
          <w:kern w:val="21"/>
          <w:szCs w:val="24"/>
        </w:rPr>
        <w:t>牧草地</w:t>
      </w:r>
      <w:r>
        <w:rPr>
          <w:rFonts w:cs="Times New Roman" w:hint="eastAsia"/>
          <w:kern w:val="21"/>
          <w:szCs w:val="24"/>
        </w:rPr>
        <w:t>、</w:t>
      </w:r>
      <w:r>
        <w:rPr>
          <w:rFonts w:cs="Times New Roman"/>
          <w:kern w:val="21"/>
          <w:szCs w:val="24"/>
        </w:rPr>
        <w:t>饮用水水源地或居民区、学校、医院、疗养院、养老院等，因此土壤环境敏感程度属于</w:t>
      </w:r>
      <w:r>
        <w:rPr>
          <w:rFonts w:cs="Times New Roman" w:hint="eastAsia"/>
          <w:kern w:val="21"/>
          <w:szCs w:val="24"/>
        </w:rPr>
        <w:t>“</w:t>
      </w:r>
      <w:r>
        <w:rPr>
          <w:rFonts w:cs="Times New Roman"/>
          <w:kern w:val="21"/>
          <w:szCs w:val="24"/>
        </w:rPr>
        <w:t>敏感</w:t>
      </w:r>
      <w:r>
        <w:rPr>
          <w:rFonts w:cs="Times New Roman" w:hint="eastAsia"/>
          <w:kern w:val="21"/>
          <w:szCs w:val="24"/>
        </w:rPr>
        <w:t>”</w:t>
      </w:r>
      <w:r>
        <w:rPr>
          <w:rFonts w:cs="Times New Roman"/>
          <w:kern w:val="21"/>
          <w:szCs w:val="24"/>
        </w:rPr>
        <w:t>。</w:t>
      </w:r>
    </w:p>
    <w:p w14:paraId="470E2E3F"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根据土壤环境影响评价项目类别、占地规模与敏感程度划分评价工作等级，详见下表。</w:t>
      </w:r>
    </w:p>
    <w:p w14:paraId="0610F125"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污染影响</w:t>
      </w:r>
      <w:proofErr w:type="gramStart"/>
      <w:r>
        <w:rPr>
          <w:rFonts w:cs="Times New Roman"/>
          <w:b/>
          <w:bCs/>
          <w:kern w:val="21"/>
          <w:sz w:val="21"/>
          <w:szCs w:val="21"/>
        </w:rPr>
        <w:t>型</w:t>
      </w:r>
      <w:r>
        <w:rPr>
          <w:rFonts w:cs="Times New Roman" w:hint="eastAsia"/>
          <w:b/>
          <w:bCs/>
          <w:kern w:val="21"/>
          <w:sz w:val="21"/>
          <w:szCs w:val="21"/>
        </w:rPr>
        <w:t>评价</w:t>
      </w:r>
      <w:proofErr w:type="gramEnd"/>
      <w:r>
        <w:rPr>
          <w:rFonts w:cs="Times New Roman" w:hint="eastAsia"/>
          <w:b/>
          <w:bCs/>
          <w:kern w:val="21"/>
          <w:sz w:val="21"/>
          <w:szCs w:val="21"/>
        </w:rPr>
        <w:t>工作等级划分</w:t>
      </w:r>
      <w:r>
        <w:rPr>
          <w:rFonts w:cs="Times New Roman"/>
          <w:b/>
          <w:bCs/>
          <w:kern w:val="21"/>
          <w:sz w:val="21"/>
          <w:szCs w:val="21"/>
        </w:rPr>
        <w:t>表</w:t>
      </w:r>
    </w:p>
    <w:tbl>
      <w:tblPr>
        <w:tblW w:w="884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96"/>
        <w:gridCol w:w="719"/>
        <w:gridCol w:w="798"/>
        <w:gridCol w:w="867"/>
        <w:gridCol w:w="697"/>
        <w:gridCol w:w="708"/>
        <w:gridCol w:w="704"/>
        <w:gridCol w:w="685"/>
        <w:gridCol w:w="685"/>
        <w:gridCol w:w="785"/>
      </w:tblGrid>
      <w:tr w:rsidR="00544649" w14:paraId="6F15473B" w14:textId="77777777">
        <w:trPr>
          <w:trHeight w:val="678"/>
          <w:jc w:val="center"/>
        </w:trPr>
        <w:tc>
          <w:tcPr>
            <w:tcW w:w="2196" w:type="dxa"/>
            <w:vMerge w:val="restart"/>
            <w:vAlign w:val="center"/>
          </w:tcPr>
          <w:p w14:paraId="52FFCC24"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noProof/>
                <w:color w:val="auto"/>
                <w:sz w:val="21"/>
                <w:szCs w:val="21"/>
              </w:rPr>
              <mc:AlternateContent>
                <mc:Choice Requires="wps">
                  <w:drawing>
                    <wp:anchor distT="0" distB="0" distL="114300" distR="114300" simplePos="0" relativeHeight="251666432" behindDoc="0" locked="0" layoutInCell="1" allowOverlap="1" wp14:anchorId="5C3E7CBC" wp14:editId="6444252A">
                      <wp:simplePos x="0" y="0"/>
                      <wp:positionH relativeFrom="column">
                        <wp:posOffset>349885</wp:posOffset>
                      </wp:positionH>
                      <wp:positionV relativeFrom="paragraph">
                        <wp:posOffset>6350</wp:posOffset>
                      </wp:positionV>
                      <wp:extent cx="977265" cy="612775"/>
                      <wp:effectExtent l="0" t="0" r="32385" b="34925"/>
                      <wp:wrapNone/>
                      <wp:docPr id="894589090" name="直接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612775"/>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直接连接符 62" o:spid="_x0000_s1026" o:spt="20" style="position:absolute;left:0pt;margin-left:27.55pt;margin-top:0.5pt;height:48.25pt;width:76.95pt;z-index:251666432;mso-width-relative:page;mso-height-relative:page;" filled="f" stroked="t" coordsize="21600,21600" o:gfxdata="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2JvJ9UAAAAHAQAADwAAAAAAAAABACAAAAAiAAAAZHJzL2Rvd25yZXYueG1sUEsBAhQA&#10;FAAAAAgAh07iQA7geOz1AQAAxQMAAA4AAAAAAAAAAQAgAAAAJAEAAGRycy9lMm9Eb2MueG1sUEsF&#10;BgAAAAAGAAYAWQEAAIsFAAAAAA==&#10;">
                      <v:fill on="f" focussize="0,0"/>
                      <v:stroke color="#000000" joinstyle="round"/>
                      <v:imagedata o:title=""/>
                      <o:lock v:ext="edit" aspectratio="f"/>
                    </v:line>
                  </w:pict>
                </mc:Fallback>
              </mc:AlternateContent>
            </w:r>
            <w:r>
              <w:rPr>
                <w:rFonts w:ascii="Times New Roman" w:cs="Times New Roman" w:hint="eastAsia"/>
                <w:color w:val="auto"/>
                <w:kern w:val="2"/>
                <w:sz w:val="21"/>
                <w:szCs w:val="21"/>
              </w:rPr>
              <w:t xml:space="preserve">       </w:t>
            </w:r>
            <w:r>
              <w:rPr>
                <w:rFonts w:ascii="Times New Roman" w:cs="Times New Roman"/>
                <w:color w:val="auto"/>
                <w:kern w:val="2"/>
                <w:sz w:val="21"/>
                <w:szCs w:val="21"/>
              </w:rPr>
              <w:t>占地规模</w:t>
            </w:r>
          </w:p>
          <w:p w14:paraId="3A4767A8" w14:textId="77777777" w:rsidR="00544649" w:rsidRDefault="00000000">
            <w:pPr>
              <w:adjustRightInd w:val="0"/>
              <w:snapToGrid w:val="0"/>
              <w:spacing w:after="0" w:line="240" w:lineRule="auto"/>
              <w:ind w:firstLineChars="0" w:firstLine="0"/>
              <w:rPr>
                <w:rFonts w:cs="Times New Roman"/>
                <w:sz w:val="21"/>
                <w:szCs w:val="21"/>
              </w:rPr>
            </w:pPr>
            <w:r>
              <w:rPr>
                <w:rFonts w:cs="Times New Roman"/>
                <w:noProof/>
                <w:sz w:val="21"/>
                <w:szCs w:val="21"/>
              </w:rPr>
              <mc:AlternateContent>
                <mc:Choice Requires="wps">
                  <w:drawing>
                    <wp:anchor distT="0" distB="0" distL="114300" distR="114300" simplePos="0" relativeHeight="251665408" behindDoc="0" locked="0" layoutInCell="1" allowOverlap="1" wp14:anchorId="2552B98A" wp14:editId="71A4B194">
                      <wp:simplePos x="0" y="0"/>
                      <wp:positionH relativeFrom="column">
                        <wp:posOffset>45085</wp:posOffset>
                      </wp:positionH>
                      <wp:positionV relativeFrom="paragraph">
                        <wp:posOffset>139065</wp:posOffset>
                      </wp:positionV>
                      <wp:extent cx="1282065" cy="307975"/>
                      <wp:effectExtent l="0" t="0" r="32385" b="34925"/>
                      <wp:wrapNone/>
                      <wp:docPr id="1331682868" name="直接连接符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065" cy="307975"/>
                              </a:xfrm>
                              <a:prstGeom prst="line">
                                <a:avLst/>
                              </a:prstGeom>
                              <a:noFill/>
                              <a:ln w="9525">
                                <a:solidFill>
                                  <a:srgbClr val="000000"/>
                                </a:solidFill>
                                <a:round/>
                              </a:ln>
                            </wps:spPr>
                            <wps:bodyPr/>
                          </wps:wsp>
                        </a:graphicData>
                      </a:graphic>
                    </wp:anchor>
                  </w:drawing>
                </mc:Choice>
                <mc:Fallback xmlns:wpsCustomData="http://www.wps.cn/officeDocument/2013/wpsCustomData">
                  <w:pict>
                    <v:line id="直接连接符 61" o:spid="_x0000_s1026" o:spt="20" style="position:absolute;left:0pt;margin-left:3.55pt;margin-top:10.95pt;height:24.25pt;width:100.95pt;z-index:251665408;mso-width-relative:page;mso-height-relative:page;" filled="f" stroked="t" coordsize="21600,21600" o:gfxdata="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0ukCNUAAAAHAQAADwAAAAAAAAABACAAAAAiAAAAZHJzL2Rvd25yZXYueG1sUEsBAhQAFAAA&#10;AAgAh07iQItqp4zyAQAAuQMAAA4AAAAAAAAAAQAgAAAAJAEAAGRycy9lMm9Eb2MueG1sUEsFBgAA&#10;AAAGAAYAWQEAAIgFAAAAAA==&#10;">
                      <v:fill on="f" focussize="0,0"/>
                      <v:stroke color="#000000" joinstyle="round"/>
                      <v:imagedata o:title=""/>
                      <o:lock v:ext="edit" aspectratio="f"/>
                    </v:line>
                  </w:pict>
                </mc:Fallback>
              </mc:AlternateContent>
            </w:r>
            <w:r>
              <w:rPr>
                <w:rFonts w:cs="Times New Roman"/>
                <w:sz w:val="21"/>
                <w:szCs w:val="21"/>
              </w:rPr>
              <w:t>评价等级</w:t>
            </w:r>
          </w:p>
          <w:p w14:paraId="6060650E" w14:textId="77777777" w:rsidR="00544649" w:rsidRDefault="00544649">
            <w:pPr>
              <w:adjustRightInd w:val="0"/>
              <w:snapToGrid w:val="0"/>
              <w:spacing w:after="0" w:line="240" w:lineRule="auto"/>
              <w:ind w:firstLineChars="0" w:firstLine="0"/>
              <w:rPr>
                <w:rFonts w:cs="Times New Roman"/>
                <w:sz w:val="21"/>
                <w:szCs w:val="21"/>
              </w:rPr>
            </w:pPr>
          </w:p>
          <w:p w14:paraId="6D11BFCC"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敏感程度</w:t>
            </w:r>
          </w:p>
        </w:tc>
        <w:tc>
          <w:tcPr>
            <w:tcW w:w="2384" w:type="dxa"/>
            <w:gridSpan w:val="3"/>
            <w:vAlign w:val="center"/>
          </w:tcPr>
          <w:p w14:paraId="5CF7DCA9"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fldChar w:fldCharType="begin"/>
            </w:r>
            <w:r>
              <w:rPr>
                <w:rFonts w:ascii="Times New Roman" w:cs="Times New Roman"/>
                <w:color w:val="auto"/>
                <w:kern w:val="2"/>
                <w:sz w:val="21"/>
                <w:szCs w:val="21"/>
              </w:rPr>
              <w:instrText xml:space="preserve"> = 1 \* ROMAN </w:instrText>
            </w:r>
            <w:r>
              <w:rPr>
                <w:rFonts w:ascii="Times New Roman" w:cs="Times New Roman"/>
                <w:color w:val="auto"/>
                <w:kern w:val="2"/>
                <w:sz w:val="21"/>
                <w:szCs w:val="21"/>
              </w:rPr>
              <w:fldChar w:fldCharType="separate"/>
            </w:r>
            <w:r>
              <w:rPr>
                <w:rFonts w:ascii="Times New Roman" w:cs="Times New Roman"/>
                <w:color w:val="auto"/>
                <w:kern w:val="2"/>
                <w:sz w:val="21"/>
                <w:szCs w:val="21"/>
              </w:rPr>
              <w:t>I</w:t>
            </w:r>
            <w:r>
              <w:rPr>
                <w:rFonts w:ascii="Times New Roman" w:cs="Times New Roman"/>
                <w:color w:val="auto"/>
                <w:kern w:val="2"/>
                <w:sz w:val="21"/>
                <w:szCs w:val="21"/>
              </w:rPr>
              <w:fldChar w:fldCharType="end"/>
            </w:r>
            <w:r>
              <w:rPr>
                <w:rFonts w:ascii="Times New Roman" w:cs="Times New Roman"/>
                <w:color w:val="auto"/>
                <w:kern w:val="2"/>
                <w:sz w:val="21"/>
                <w:szCs w:val="21"/>
              </w:rPr>
              <w:t>类</w:t>
            </w:r>
          </w:p>
        </w:tc>
        <w:tc>
          <w:tcPr>
            <w:tcW w:w="2109" w:type="dxa"/>
            <w:gridSpan w:val="3"/>
            <w:vAlign w:val="center"/>
          </w:tcPr>
          <w:p w14:paraId="2BD91A6F"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fldChar w:fldCharType="begin"/>
            </w:r>
            <w:r>
              <w:rPr>
                <w:rFonts w:ascii="Times New Roman" w:cs="Times New Roman"/>
                <w:color w:val="auto"/>
                <w:kern w:val="2"/>
                <w:sz w:val="21"/>
                <w:szCs w:val="21"/>
              </w:rPr>
              <w:instrText xml:space="preserve"> = 2 \* ROMAN </w:instrText>
            </w:r>
            <w:r>
              <w:rPr>
                <w:rFonts w:ascii="Times New Roman" w:cs="Times New Roman"/>
                <w:color w:val="auto"/>
                <w:kern w:val="2"/>
                <w:sz w:val="21"/>
                <w:szCs w:val="21"/>
              </w:rPr>
              <w:fldChar w:fldCharType="separate"/>
            </w:r>
            <w:r>
              <w:rPr>
                <w:rFonts w:ascii="Times New Roman" w:cs="Times New Roman"/>
                <w:color w:val="auto"/>
                <w:kern w:val="2"/>
                <w:sz w:val="21"/>
                <w:szCs w:val="21"/>
              </w:rPr>
              <w:t>II</w:t>
            </w:r>
            <w:r>
              <w:rPr>
                <w:rFonts w:ascii="Times New Roman" w:cs="Times New Roman"/>
                <w:color w:val="auto"/>
                <w:kern w:val="2"/>
                <w:sz w:val="21"/>
                <w:szCs w:val="21"/>
              </w:rPr>
              <w:fldChar w:fldCharType="end"/>
            </w:r>
            <w:r>
              <w:rPr>
                <w:rFonts w:ascii="Times New Roman" w:cs="Times New Roman"/>
                <w:color w:val="auto"/>
                <w:kern w:val="2"/>
                <w:sz w:val="21"/>
                <w:szCs w:val="21"/>
              </w:rPr>
              <w:t>类</w:t>
            </w:r>
          </w:p>
        </w:tc>
        <w:tc>
          <w:tcPr>
            <w:tcW w:w="2155" w:type="dxa"/>
            <w:gridSpan w:val="3"/>
            <w:vAlign w:val="center"/>
          </w:tcPr>
          <w:p w14:paraId="42D7E266"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fldChar w:fldCharType="begin"/>
            </w:r>
            <w:r>
              <w:rPr>
                <w:rFonts w:ascii="Times New Roman" w:cs="Times New Roman"/>
                <w:color w:val="auto"/>
                <w:kern w:val="2"/>
                <w:sz w:val="21"/>
                <w:szCs w:val="21"/>
              </w:rPr>
              <w:instrText xml:space="preserve"> = 3 \* ROMAN </w:instrText>
            </w:r>
            <w:r>
              <w:rPr>
                <w:rFonts w:ascii="Times New Roman" w:cs="Times New Roman"/>
                <w:color w:val="auto"/>
                <w:kern w:val="2"/>
                <w:sz w:val="21"/>
                <w:szCs w:val="21"/>
              </w:rPr>
              <w:fldChar w:fldCharType="separate"/>
            </w:r>
            <w:r>
              <w:rPr>
                <w:rFonts w:ascii="Times New Roman" w:cs="Times New Roman"/>
                <w:color w:val="auto"/>
                <w:kern w:val="2"/>
                <w:sz w:val="21"/>
                <w:szCs w:val="21"/>
              </w:rPr>
              <w:t>III</w:t>
            </w:r>
            <w:r>
              <w:rPr>
                <w:rFonts w:ascii="Times New Roman" w:cs="Times New Roman"/>
                <w:color w:val="auto"/>
                <w:kern w:val="2"/>
                <w:sz w:val="21"/>
                <w:szCs w:val="21"/>
              </w:rPr>
              <w:fldChar w:fldCharType="end"/>
            </w:r>
            <w:r>
              <w:rPr>
                <w:rFonts w:ascii="Times New Roman" w:cs="Times New Roman"/>
                <w:color w:val="auto"/>
                <w:kern w:val="2"/>
                <w:sz w:val="21"/>
                <w:szCs w:val="21"/>
              </w:rPr>
              <w:t>类</w:t>
            </w:r>
          </w:p>
        </w:tc>
      </w:tr>
      <w:tr w:rsidR="00544649" w14:paraId="71EDA53B" w14:textId="77777777">
        <w:trPr>
          <w:trHeight w:val="274"/>
          <w:jc w:val="center"/>
        </w:trPr>
        <w:tc>
          <w:tcPr>
            <w:tcW w:w="2196" w:type="dxa"/>
            <w:vMerge/>
            <w:vAlign w:val="center"/>
          </w:tcPr>
          <w:p w14:paraId="1E5A9D05" w14:textId="77777777" w:rsidR="00544649" w:rsidRDefault="00544649">
            <w:pPr>
              <w:pStyle w:val="Default"/>
              <w:snapToGrid w:val="0"/>
              <w:spacing w:after="0"/>
              <w:jc w:val="center"/>
              <w:rPr>
                <w:rFonts w:ascii="Times New Roman" w:cs="Times New Roman"/>
                <w:color w:val="auto"/>
                <w:kern w:val="2"/>
                <w:sz w:val="21"/>
                <w:szCs w:val="21"/>
              </w:rPr>
            </w:pPr>
          </w:p>
        </w:tc>
        <w:tc>
          <w:tcPr>
            <w:tcW w:w="719" w:type="dxa"/>
            <w:vAlign w:val="center"/>
          </w:tcPr>
          <w:p w14:paraId="15468297"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大</w:t>
            </w:r>
          </w:p>
        </w:tc>
        <w:tc>
          <w:tcPr>
            <w:tcW w:w="798" w:type="dxa"/>
            <w:vAlign w:val="center"/>
          </w:tcPr>
          <w:p w14:paraId="4D0C900E"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中</w:t>
            </w:r>
          </w:p>
        </w:tc>
        <w:tc>
          <w:tcPr>
            <w:tcW w:w="867" w:type="dxa"/>
            <w:vAlign w:val="center"/>
          </w:tcPr>
          <w:p w14:paraId="75FF4193"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小</w:t>
            </w:r>
          </w:p>
        </w:tc>
        <w:tc>
          <w:tcPr>
            <w:tcW w:w="697" w:type="dxa"/>
            <w:vAlign w:val="center"/>
          </w:tcPr>
          <w:p w14:paraId="5C839219"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大</w:t>
            </w:r>
          </w:p>
        </w:tc>
        <w:tc>
          <w:tcPr>
            <w:tcW w:w="708" w:type="dxa"/>
            <w:vAlign w:val="center"/>
          </w:tcPr>
          <w:p w14:paraId="3E889FED"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中</w:t>
            </w:r>
          </w:p>
        </w:tc>
        <w:tc>
          <w:tcPr>
            <w:tcW w:w="704" w:type="dxa"/>
            <w:vAlign w:val="center"/>
          </w:tcPr>
          <w:p w14:paraId="1A6C0E95"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小</w:t>
            </w:r>
          </w:p>
        </w:tc>
        <w:tc>
          <w:tcPr>
            <w:tcW w:w="685" w:type="dxa"/>
            <w:vAlign w:val="center"/>
          </w:tcPr>
          <w:p w14:paraId="3E78288B"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大</w:t>
            </w:r>
          </w:p>
        </w:tc>
        <w:tc>
          <w:tcPr>
            <w:tcW w:w="685" w:type="dxa"/>
            <w:vAlign w:val="center"/>
          </w:tcPr>
          <w:p w14:paraId="22B8421A"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中</w:t>
            </w:r>
          </w:p>
        </w:tc>
        <w:tc>
          <w:tcPr>
            <w:tcW w:w="785" w:type="dxa"/>
            <w:vAlign w:val="center"/>
          </w:tcPr>
          <w:p w14:paraId="11CC9E9D"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小</w:t>
            </w:r>
          </w:p>
        </w:tc>
      </w:tr>
      <w:tr w:rsidR="00544649" w14:paraId="77D498FE" w14:textId="77777777">
        <w:trPr>
          <w:jc w:val="center"/>
        </w:trPr>
        <w:tc>
          <w:tcPr>
            <w:tcW w:w="2196" w:type="dxa"/>
            <w:vAlign w:val="center"/>
          </w:tcPr>
          <w:p w14:paraId="44E8AB1D"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敏感</w:t>
            </w:r>
          </w:p>
        </w:tc>
        <w:tc>
          <w:tcPr>
            <w:tcW w:w="719" w:type="dxa"/>
            <w:vAlign w:val="center"/>
          </w:tcPr>
          <w:p w14:paraId="2CF959EB"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一级</w:t>
            </w:r>
          </w:p>
        </w:tc>
        <w:tc>
          <w:tcPr>
            <w:tcW w:w="798" w:type="dxa"/>
            <w:vAlign w:val="center"/>
          </w:tcPr>
          <w:p w14:paraId="74FB52CD"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一级</w:t>
            </w:r>
          </w:p>
        </w:tc>
        <w:tc>
          <w:tcPr>
            <w:tcW w:w="867" w:type="dxa"/>
            <w:vAlign w:val="center"/>
          </w:tcPr>
          <w:p w14:paraId="68A478C8"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一级</w:t>
            </w:r>
          </w:p>
        </w:tc>
        <w:tc>
          <w:tcPr>
            <w:tcW w:w="697" w:type="dxa"/>
            <w:vAlign w:val="center"/>
          </w:tcPr>
          <w:p w14:paraId="08BA89AB"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二级</w:t>
            </w:r>
          </w:p>
        </w:tc>
        <w:tc>
          <w:tcPr>
            <w:tcW w:w="708" w:type="dxa"/>
            <w:vAlign w:val="center"/>
          </w:tcPr>
          <w:p w14:paraId="77402602"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二级</w:t>
            </w:r>
          </w:p>
        </w:tc>
        <w:tc>
          <w:tcPr>
            <w:tcW w:w="704" w:type="dxa"/>
            <w:vAlign w:val="center"/>
          </w:tcPr>
          <w:p w14:paraId="72FF001A"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二级</w:t>
            </w:r>
          </w:p>
        </w:tc>
        <w:tc>
          <w:tcPr>
            <w:tcW w:w="685" w:type="dxa"/>
            <w:vAlign w:val="center"/>
          </w:tcPr>
          <w:p w14:paraId="3BB3DC82"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三级</w:t>
            </w:r>
          </w:p>
        </w:tc>
        <w:tc>
          <w:tcPr>
            <w:tcW w:w="685" w:type="dxa"/>
            <w:vAlign w:val="center"/>
          </w:tcPr>
          <w:p w14:paraId="7E1F32D3"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b/>
                <w:bCs/>
                <w:color w:val="auto"/>
                <w:kern w:val="2"/>
                <w:sz w:val="21"/>
                <w:szCs w:val="21"/>
              </w:rPr>
              <w:t>三级</w:t>
            </w:r>
          </w:p>
        </w:tc>
        <w:tc>
          <w:tcPr>
            <w:tcW w:w="785" w:type="dxa"/>
            <w:vAlign w:val="center"/>
          </w:tcPr>
          <w:p w14:paraId="0DEDD36C"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三级</w:t>
            </w:r>
          </w:p>
        </w:tc>
      </w:tr>
      <w:tr w:rsidR="00544649" w14:paraId="7585B1BF" w14:textId="77777777">
        <w:trPr>
          <w:jc w:val="center"/>
        </w:trPr>
        <w:tc>
          <w:tcPr>
            <w:tcW w:w="2196" w:type="dxa"/>
            <w:vAlign w:val="center"/>
          </w:tcPr>
          <w:p w14:paraId="31FE4268"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较敏感</w:t>
            </w:r>
          </w:p>
        </w:tc>
        <w:tc>
          <w:tcPr>
            <w:tcW w:w="719" w:type="dxa"/>
            <w:vAlign w:val="center"/>
          </w:tcPr>
          <w:p w14:paraId="02466C9F"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一级</w:t>
            </w:r>
          </w:p>
        </w:tc>
        <w:tc>
          <w:tcPr>
            <w:tcW w:w="798" w:type="dxa"/>
            <w:vAlign w:val="center"/>
          </w:tcPr>
          <w:p w14:paraId="62C1C542"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一级</w:t>
            </w:r>
          </w:p>
        </w:tc>
        <w:tc>
          <w:tcPr>
            <w:tcW w:w="867" w:type="dxa"/>
            <w:vAlign w:val="center"/>
          </w:tcPr>
          <w:p w14:paraId="3EB96958"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二级</w:t>
            </w:r>
          </w:p>
        </w:tc>
        <w:tc>
          <w:tcPr>
            <w:tcW w:w="697" w:type="dxa"/>
            <w:vAlign w:val="center"/>
          </w:tcPr>
          <w:p w14:paraId="6A0B22D1"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二级</w:t>
            </w:r>
          </w:p>
        </w:tc>
        <w:tc>
          <w:tcPr>
            <w:tcW w:w="708" w:type="dxa"/>
            <w:vAlign w:val="center"/>
          </w:tcPr>
          <w:p w14:paraId="4843A190"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二级</w:t>
            </w:r>
          </w:p>
        </w:tc>
        <w:tc>
          <w:tcPr>
            <w:tcW w:w="704" w:type="dxa"/>
            <w:vAlign w:val="center"/>
          </w:tcPr>
          <w:p w14:paraId="6599F1E5"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三级</w:t>
            </w:r>
          </w:p>
        </w:tc>
        <w:tc>
          <w:tcPr>
            <w:tcW w:w="685" w:type="dxa"/>
            <w:vAlign w:val="center"/>
          </w:tcPr>
          <w:p w14:paraId="5DE1BD33"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三级</w:t>
            </w:r>
          </w:p>
        </w:tc>
        <w:tc>
          <w:tcPr>
            <w:tcW w:w="685" w:type="dxa"/>
            <w:vAlign w:val="center"/>
          </w:tcPr>
          <w:p w14:paraId="382433A8"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三级</w:t>
            </w:r>
          </w:p>
        </w:tc>
        <w:tc>
          <w:tcPr>
            <w:tcW w:w="785" w:type="dxa"/>
            <w:vAlign w:val="center"/>
          </w:tcPr>
          <w:p w14:paraId="5FDE7D9C"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w:t>
            </w:r>
          </w:p>
        </w:tc>
      </w:tr>
      <w:tr w:rsidR="00544649" w14:paraId="662B0023" w14:textId="77777777">
        <w:trPr>
          <w:jc w:val="center"/>
        </w:trPr>
        <w:tc>
          <w:tcPr>
            <w:tcW w:w="2196" w:type="dxa"/>
            <w:vAlign w:val="center"/>
          </w:tcPr>
          <w:p w14:paraId="2500D1B1"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不敏感</w:t>
            </w:r>
          </w:p>
        </w:tc>
        <w:tc>
          <w:tcPr>
            <w:tcW w:w="719" w:type="dxa"/>
            <w:vAlign w:val="center"/>
          </w:tcPr>
          <w:p w14:paraId="2B793CF5"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一级</w:t>
            </w:r>
          </w:p>
        </w:tc>
        <w:tc>
          <w:tcPr>
            <w:tcW w:w="798" w:type="dxa"/>
            <w:vAlign w:val="center"/>
          </w:tcPr>
          <w:p w14:paraId="65244BAF"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二级</w:t>
            </w:r>
          </w:p>
        </w:tc>
        <w:tc>
          <w:tcPr>
            <w:tcW w:w="867" w:type="dxa"/>
            <w:vAlign w:val="center"/>
          </w:tcPr>
          <w:p w14:paraId="3C7859C2"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二级</w:t>
            </w:r>
          </w:p>
        </w:tc>
        <w:tc>
          <w:tcPr>
            <w:tcW w:w="697" w:type="dxa"/>
            <w:vAlign w:val="center"/>
          </w:tcPr>
          <w:p w14:paraId="70183181"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二级</w:t>
            </w:r>
          </w:p>
        </w:tc>
        <w:tc>
          <w:tcPr>
            <w:tcW w:w="708" w:type="dxa"/>
            <w:vAlign w:val="center"/>
          </w:tcPr>
          <w:p w14:paraId="6B300D62"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三级</w:t>
            </w:r>
          </w:p>
        </w:tc>
        <w:tc>
          <w:tcPr>
            <w:tcW w:w="704" w:type="dxa"/>
            <w:vAlign w:val="center"/>
          </w:tcPr>
          <w:p w14:paraId="2D7E5B9E"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三级</w:t>
            </w:r>
          </w:p>
        </w:tc>
        <w:tc>
          <w:tcPr>
            <w:tcW w:w="685" w:type="dxa"/>
            <w:vAlign w:val="center"/>
          </w:tcPr>
          <w:p w14:paraId="638D8F58"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三级</w:t>
            </w:r>
          </w:p>
        </w:tc>
        <w:tc>
          <w:tcPr>
            <w:tcW w:w="685" w:type="dxa"/>
            <w:vAlign w:val="center"/>
          </w:tcPr>
          <w:p w14:paraId="48C0FFBB"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w:t>
            </w:r>
          </w:p>
        </w:tc>
        <w:tc>
          <w:tcPr>
            <w:tcW w:w="785" w:type="dxa"/>
            <w:vAlign w:val="center"/>
          </w:tcPr>
          <w:p w14:paraId="2F1F7DD4"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w:t>
            </w:r>
          </w:p>
        </w:tc>
      </w:tr>
      <w:tr w:rsidR="00544649" w14:paraId="177ACC16" w14:textId="77777777">
        <w:trPr>
          <w:jc w:val="center"/>
        </w:trPr>
        <w:tc>
          <w:tcPr>
            <w:tcW w:w="8844" w:type="dxa"/>
            <w:gridSpan w:val="10"/>
            <w:vAlign w:val="center"/>
          </w:tcPr>
          <w:p w14:paraId="1AB11B8E" w14:textId="77777777" w:rsidR="00544649" w:rsidRDefault="00000000">
            <w:pPr>
              <w:pStyle w:val="Default"/>
              <w:snapToGrid w:val="0"/>
              <w:spacing w:after="0"/>
              <w:jc w:val="center"/>
              <w:rPr>
                <w:rFonts w:ascii="Times New Roman" w:cs="Times New Roman"/>
                <w:color w:val="auto"/>
                <w:kern w:val="2"/>
                <w:sz w:val="21"/>
                <w:szCs w:val="21"/>
              </w:rPr>
            </w:pPr>
            <w:r>
              <w:rPr>
                <w:rFonts w:ascii="Times New Roman" w:cs="Times New Roman"/>
                <w:color w:val="auto"/>
                <w:kern w:val="2"/>
                <w:sz w:val="21"/>
                <w:szCs w:val="21"/>
              </w:rPr>
              <w:t>注：</w:t>
            </w:r>
            <w:r>
              <w:rPr>
                <w:rFonts w:ascii="Times New Roman" w:cs="Times New Roman"/>
                <w:color w:val="auto"/>
                <w:kern w:val="2"/>
                <w:sz w:val="21"/>
                <w:szCs w:val="21"/>
              </w:rPr>
              <w:t>“-”</w:t>
            </w:r>
            <w:r>
              <w:rPr>
                <w:rFonts w:ascii="Times New Roman" w:cs="Times New Roman"/>
                <w:color w:val="auto"/>
                <w:kern w:val="2"/>
                <w:sz w:val="21"/>
                <w:szCs w:val="21"/>
              </w:rPr>
              <w:t>表示可不开展土壤环境影响评价工作。占地规模分为大型（</w:t>
            </w:r>
            <w:r>
              <w:rPr>
                <w:rFonts w:ascii="Times New Roman" w:cs="Times New Roman"/>
                <w:color w:val="auto"/>
                <w:kern w:val="2"/>
                <w:sz w:val="21"/>
                <w:szCs w:val="21"/>
              </w:rPr>
              <w:t>≥50hm</w:t>
            </w:r>
            <w:r>
              <w:rPr>
                <w:rFonts w:ascii="Times New Roman" w:cs="Times New Roman"/>
                <w:color w:val="auto"/>
                <w:kern w:val="2"/>
                <w:sz w:val="21"/>
                <w:szCs w:val="21"/>
                <w:vertAlign w:val="superscript"/>
              </w:rPr>
              <w:t>2</w:t>
            </w:r>
            <w:r>
              <w:rPr>
                <w:rFonts w:ascii="Times New Roman" w:cs="Times New Roman"/>
                <w:color w:val="auto"/>
                <w:kern w:val="2"/>
                <w:sz w:val="21"/>
                <w:szCs w:val="21"/>
              </w:rPr>
              <w:t>）、中型（</w:t>
            </w:r>
            <w:r>
              <w:rPr>
                <w:rFonts w:ascii="Times New Roman" w:cs="Times New Roman"/>
                <w:color w:val="auto"/>
                <w:kern w:val="2"/>
                <w:sz w:val="21"/>
                <w:szCs w:val="21"/>
              </w:rPr>
              <w:t>5~50hm</w:t>
            </w:r>
            <w:r>
              <w:rPr>
                <w:rFonts w:ascii="Times New Roman" w:cs="Times New Roman"/>
                <w:color w:val="auto"/>
                <w:kern w:val="2"/>
                <w:sz w:val="21"/>
                <w:szCs w:val="21"/>
                <w:vertAlign w:val="superscript"/>
              </w:rPr>
              <w:t>2</w:t>
            </w:r>
            <w:r>
              <w:rPr>
                <w:rFonts w:ascii="Times New Roman" w:cs="Times New Roman"/>
                <w:color w:val="auto"/>
                <w:kern w:val="2"/>
                <w:sz w:val="21"/>
                <w:szCs w:val="21"/>
              </w:rPr>
              <w:t>）、小型（</w:t>
            </w:r>
            <w:r>
              <w:rPr>
                <w:rFonts w:ascii="Times New Roman" w:cs="Times New Roman"/>
                <w:color w:val="auto"/>
                <w:kern w:val="2"/>
                <w:sz w:val="21"/>
                <w:szCs w:val="21"/>
              </w:rPr>
              <w:t>≤5hm</w:t>
            </w:r>
            <w:r>
              <w:rPr>
                <w:rFonts w:ascii="Times New Roman" w:cs="Times New Roman"/>
                <w:color w:val="auto"/>
                <w:kern w:val="2"/>
                <w:sz w:val="21"/>
                <w:szCs w:val="21"/>
                <w:vertAlign w:val="superscript"/>
              </w:rPr>
              <w:t>2</w:t>
            </w:r>
            <w:r>
              <w:rPr>
                <w:rFonts w:ascii="Times New Roman" w:cs="Times New Roman"/>
                <w:color w:val="auto"/>
                <w:kern w:val="2"/>
                <w:sz w:val="21"/>
                <w:szCs w:val="21"/>
              </w:rPr>
              <w:t>）</w:t>
            </w:r>
          </w:p>
        </w:tc>
      </w:tr>
    </w:tbl>
    <w:p w14:paraId="5015D44A" w14:textId="2AA970AC" w:rsidR="00544649" w:rsidRPr="007D51AC" w:rsidRDefault="00000000" w:rsidP="007D51AC">
      <w:pPr>
        <w:adjustRightInd w:val="0"/>
        <w:snapToGrid w:val="0"/>
        <w:spacing w:after="0"/>
        <w:ind w:firstLine="480"/>
        <w:rPr>
          <w:rFonts w:cs="Times New Roman"/>
          <w:kern w:val="21"/>
          <w:szCs w:val="24"/>
        </w:rPr>
      </w:pPr>
      <w:r>
        <w:rPr>
          <w:rFonts w:cs="Times New Roman" w:hint="eastAsia"/>
          <w:kern w:val="21"/>
          <w:szCs w:val="24"/>
        </w:rPr>
        <w:t>本项目属</w:t>
      </w:r>
      <w:r>
        <w:rPr>
          <w:rFonts w:cs="Times New Roman" w:hint="eastAsia"/>
          <w:kern w:val="21"/>
          <w:szCs w:val="24"/>
        </w:rPr>
        <w:t>III</w:t>
      </w:r>
      <w:r>
        <w:rPr>
          <w:rFonts w:cs="Times New Roman" w:hint="eastAsia"/>
          <w:kern w:val="21"/>
          <w:szCs w:val="24"/>
        </w:rPr>
        <w:t>类项目，占地面积约为</w:t>
      </w:r>
      <w:r>
        <w:rPr>
          <w:rFonts w:cs="Times New Roman" w:hint="eastAsia"/>
          <w:kern w:val="21"/>
          <w:szCs w:val="24"/>
        </w:rPr>
        <w:t>168</w:t>
      </w:r>
      <w:r>
        <w:rPr>
          <w:rFonts w:cs="Times New Roman" w:hint="eastAsia"/>
          <w:kern w:val="21"/>
          <w:szCs w:val="24"/>
        </w:rPr>
        <w:t>亩（约</w:t>
      </w:r>
      <w:r>
        <w:rPr>
          <w:rFonts w:cs="Times New Roman" w:hint="eastAsia"/>
          <w:kern w:val="21"/>
          <w:szCs w:val="24"/>
        </w:rPr>
        <w:t>11.2</w:t>
      </w:r>
      <w:r>
        <w:rPr>
          <w:rFonts w:cs="Times New Roman"/>
          <w:kern w:val="21"/>
          <w:szCs w:val="24"/>
        </w:rPr>
        <w:t>hm</w:t>
      </w:r>
      <w:r>
        <w:rPr>
          <w:rFonts w:cs="Times New Roman"/>
          <w:kern w:val="21"/>
          <w:szCs w:val="24"/>
          <w:vertAlign w:val="superscript"/>
        </w:rPr>
        <w:t>2</w:t>
      </w:r>
      <w:r>
        <w:rPr>
          <w:rFonts w:cs="Times New Roman" w:hint="eastAsia"/>
          <w:kern w:val="21"/>
          <w:szCs w:val="24"/>
        </w:rPr>
        <w:t>），占地规模属于中型，本项目周边有耕地，敏感程度属于敏感。则本项目</w:t>
      </w:r>
      <w:r>
        <w:rPr>
          <w:rFonts w:cs="Times New Roman"/>
          <w:kern w:val="21"/>
          <w:szCs w:val="24"/>
        </w:rPr>
        <w:t>按照《环境影响评价技术导则土壤环境（试行）》（</w:t>
      </w:r>
      <w:r>
        <w:rPr>
          <w:rFonts w:cs="Times New Roman"/>
          <w:kern w:val="21"/>
          <w:szCs w:val="24"/>
        </w:rPr>
        <w:t>HJ964-2018</w:t>
      </w:r>
      <w:r>
        <w:rPr>
          <w:rFonts w:cs="Times New Roman"/>
          <w:kern w:val="21"/>
          <w:szCs w:val="24"/>
        </w:rPr>
        <w:t>）中表</w:t>
      </w:r>
      <w:r>
        <w:rPr>
          <w:rFonts w:cs="Times New Roman"/>
          <w:kern w:val="21"/>
          <w:szCs w:val="24"/>
        </w:rPr>
        <w:t>4</w:t>
      </w:r>
      <w:r>
        <w:rPr>
          <w:rFonts w:cs="Times New Roman"/>
          <w:kern w:val="21"/>
          <w:szCs w:val="24"/>
        </w:rPr>
        <w:t>评价工作等级分级表的划分方法确定</w:t>
      </w:r>
      <w:r>
        <w:rPr>
          <w:rFonts w:cs="Times New Roman" w:hint="eastAsia"/>
          <w:kern w:val="21"/>
          <w:szCs w:val="24"/>
        </w:rPr>
        <w:t>土壤评价等级为三级。</w:t>
      </w:r>
    </w:p>
    <w:p w14:paraId="707E07FA" w14:textId="77777777" w:rsidR="00544649" w:rsidRDefault="00000000">
      <w:pPr>
        <w:pStyle w:val="3"/>
        <w:numPr>
          <w:ilvl w:val="2"/>
          <w:numId w:val="2"/>
        </w:numPr>
        <w:adjustRightInd w:val="0"/>
        <w:snapToGrid w:val="0"/>
        <w:spacing w:after="0"/>
        <w:rPr>
          <w:rFonts w:cs="Times New Roman"/>
          <w:kern w:val="21"/>
        </w:rPr>
      </w:pPr>
      <w:bookmarkStart w:id="151" w:name="_Toc31313"/>
      <w:bookmarkStart w:id="152" w:name="_Toc19839"/>
      <w:bookmarkStart w:id="153" w:name="_Toc195009813"/>
      <w:r>
        <w:rPr>
          <w:rFonts w:cs="Times New Roman"/>
          <w:kern w:val="21"/>
        </w:rPr>
        <w:t>环境风险</w:t>
      </w:r>
      <w:bookmarkEnd w:id="151"/>
      <w:bookmarkEnd w:id="152"/>
      <w:bookmarkEnd w:id="153"/>
    </w:p>
    <w:p w14:paraId="2E04EDA5" w14:textId="77777777" w:rsidR="00544649" w:rsidRDefault="00000000">
      <w:pPr>
        <w:adjustRightInd w:val="0"/>
        <w:snapToGrid w:val="0"/>
        <w:spacing w:after="0"/>
        <w:ind w:firstLine="480"/>
        <w:rPr>
          <w:rFonts w:cs="Times New Roman"/>
          <w:kern w:val="21"/>
          <w:szCs w:val="24"/>
        </w:rPr>
      </w:pPr>
      <w:r>
        <w:rPr>
          <w:rFonts w:cs="Times New Roman"/>
          <w:kern w:val="21"/>
          <w:szCs w:val="24"/>
        </w:rPr>
        <w:t>根据《建设项目环境风险评价技术导则》（</w:t>
      </w:r>
      <w:r>
        <w:rPr>
          <w:rFonts w:cs="Times New Roman"/>
          <w:kern w:val="21"/>
          <w:szCs w:val="24"/>
        </w:rPr>
        <w:t>HJ169-2018</w:t>
      </w:r>
      <w:r>
        <w:rPr>
          <w:rFonts w:cs="Times New Roman"/>
          <w:kern w:val="21"/>
          <w:szCs w:val="24"/>
        </w:rPr>
        <w:t>）中关于风险评价等级的划分方法确定环境风险评价的工作等级。</w:t>
      </w:r>
    </w:p>
    <w:p w14:paraId="0E1D951B"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一、风险潜势判定</w:t>
      </w:r>
    </w:p>
    <w:p w14:paraId="1FEDEF33" w14:textId="77777777" w:rsidR="00544649" w:rsidRDefault="00000000">
      <w:pPr>
        <w:adjustRightInd w:val="0"/>
        <w:snapToGrid w:val="0"/>
        <w:spacing w:after="0"/>
        <w:ind w:firstLine="480"/>
        <w:rPr>
          <w:rFonts w:cs="Times New Roman"/>
          <w:kern w:val="21"/>
          <w:szCs w:val="24"/>
        </w:rPr>
      </w:pPr>
      <w:r>
        <w:rPr>
          <w:rFonts w:cs="Times New Roman"/>
          <w:kern w:val="21"/>
          <w:szCs w:val="24"/>
        </w:rPr>
        <w:t>根据《建设项目环境风险评价技术导则》（</w:t>
      </w:r>
      <w:r>
        <w:rPr>
          <w:rFonts w:cs="Times New Roman"/>
          <w:kern w:val="21"/>
          <w:szCs w:val="24"/>
        </w:rPr>
        <w:t>HJ169-2018</w:t>
      </w:r>
      <w:r>
        <w:rPr>
          <w:rFonts w:cs="Times New Roman"/>
          <w:kern w:val="21"/>
          <w:szCs w:val="24"/>
        </w:rPr>
        <w:t>），建设项目环境风险潜势划分为</w:t>
      </w:r>
      <w:r>
        <w:rPr>
          <w:rFonts w:cs="Times New Roman"/>
          <w:kern w:val="21"/>
          <w:szCs w:val="24"/>
        </w:rPr>
        <w:t>Ⅰ</w:t>
      </w:r>
      <w:r>
        <w:rPr>
          <w:rFonts w:cs="Times New Roman"/>
          <w:kern w:val="21"/>
          <w:szCs w:val="24"/>
        </w:rPr>
        <w:t>、</w:t>
      </w:r>
      <w:r>
        <w:rPr>
          <w:rFonts w:cs="Times New Roman"/>
          <w:kern w:val="21"/>
          <w:szCs w:val="24"/>
        </w:rPr>
        <w:t>Ⅱ</w:t>
      </w:r>
      <w:r>
        <w:rPr>
          <w:rFonts w:cs="Times New Roman"/>
          <w:kern w:val="21"/>
          <w:szCs w:val="24"/>
        </w:rPr>
        <w:t>、</w:t>
      </w:r>
      <w:r>
        <w:rPr>
          <w:rFonts w:cs="Times New Roman"/>
          <w:kern w:val="21"/>
          <w:szCs w:val="24"/>
        </w:rPr>
        <w:t>Ⅲ</w:t>
      </w:r>
      <w:r>
        <w:rPr>
          <w:rFonts w:cs="Times New Roman"/>
          <w:kern w:val="21"/>
          <w:szCs w:val="24"/>
        </w:rPr>
        <w:t>、</w:t>
      </w:r>
      <w:r>
        <w:rPr>
          <w:rFonts w:cs="Times New Roman"/>
          <w:kern w:val="21"/>
          <w:szCs w:val="24"/>
        </w:rPr>
        <w:t>Ⅳ/Ⅳ</w:t>
      </w:r>
      <w:r>
        <w:rPr>
          <w:rFonts w:cs="Times New Roman"/>
          <w:kern w:val="21"/>
          <w:szCs w:val="24"/>
          <w:vertAlign w:val="superscript"/>
        </w:rPr>
        <w:t>+</w:t>
      </w:r>
      <w:r>
        <w:rPr>
          <w:rFonts w:cs="Times New Roman"/>
          <w:kern w:val="21"/>
          <w:szCs w:val="24"/>
        </w:rPr>
        <w:t>级。根据建设项目涉及的物质和工艺系统的危险性及其所</w:t>
      </w:r>
      <w:r>
        <w:rPr>
          <w:rFonts w:cs="Times New Roman"/>
          <w:kern w:val="21"/>
          <w:szCs w:val="24"/>
        </w:rPr>
        <w:lastRenderedPageBreak/>
        <w:t>在地的环境敏感程度，结合事故情形下环境影响途径，对建设项目潜在环境危害程度</w:t>
      </w:r>
      <w:proofErr w:type="gramStart"/>
      <w:r>
        <w:rPr>
          <w:rFonts w:cs="Times New Roman"/>
          <w:kern w:val="21"/>
          <w:szCs w:val="24"/>
        </w:rPr>
        <w:t>进行概化分析</w:t>
      </w:r>
      <w:proofErr w:type="gramEnd"/>
      <w:r>
        <w:rPr>
          <w:rFonts w:cs="Times New Roman"/>
          <w:kern w:val="21"/>
          <w:szCs w:val="24"/>
        </w:rPr>
        <w:t>，确定环境风险潜势。</w:t>
      </w:r>
    </w:p>
    <w:p w14:paraId="05FE2876" w14:textId="77777777" w:rsidR="00544649" w:rsidRDefault="00000000">
      <w:pPr>
        <w:adjustRightInd w:val="0"/>
        <w:snapToGrid w:val="0"/>
        <w:spacing w:after="0"/>
        <w:ind w:firstLine="482"/>
        <w:rPr>
          <w:rFonts w:cs="Times New Roman"/>
          <w:b/>
          <w:bCs/>
          <w:kern w:val="21"/>
          <w:szCs w:val="21"/>
        </w:rPr>
      </w:pPr>
      <w:r>
        <w:rPr>
          <w:rFonts w:cs="Times New Roman"/>
          <w:b/>
          <w:bCs/>
          <w:kern w:val="21"/>
          <w:szCs w:val="21"/>
        </w:rPr>
        <w:t>二、环境风险评价工作等级确定</w:t>
      </w:r>
    </w:p>
    <w:p w14:paraId="0262DB70" w14:textId="77777777" w:rsidR="00544649" w:rsidRDefault="00000000">
      <w:pPr>
        <w:adjustRightInd w:val="0"/>
        <w:snapToGrid w:val="0"/>
        <w:spacing w:after="0"/>
        <w:ind w:firstLine="480"/>
        <w:rPr>
          <w:rFonts w:cs="Times New Roman"/>
          <w:kern w:val="21"/>
          <w:szCs w:val="24"/>
        </w:rPr>
      </w:pPr>
      <w:r>
        <w:rPr>
          <w:rFonts w:cs="Times New Roman"/>
          <w:kern w:val="21"/>
          <w:szCs w:val="24"/>
        </w:rPr>
        <w:t>根据《建设项目环境风险评价技术导则》（</w:t>
      </w:r>
      <w:r>
        <w:rPr>
          <w:rFonts w:cs="Times New Roman"/>
          <w:kern w:val="21"/>
          <w:szCs w:val="24"/>
        </w:rPr>
        <w:t>HJ169-2018</w:t>
      </w:r>
      <w:r>
        <w:rPr>
          <w:rFonts w:cs="Times New Roman"/>
          <w:kern w:val="21"/>
          <w:szCs w:val="24"/>
        </w:rPr>
        <w:t>）环境风险评价工作等级划分为一级、二级、三级。根据建设项目涉及的物质及工艺系统危险性和所在地的环境敏感性确定环境风险潜势确定评价工作等级，具体见下表。</w:t>
      </w:r>
    </w:p>
    <w:p w14:paraId="2588FD61"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建设项目环境风险评价工作等级判断表</w:t>
      </w: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1597"/>
        <w:gridCol w:w="1597"/>
        <w:gridCol w:w="1597"/>
        <w:gridCol w:w="1603"/>
      </w:tblGrid>
      <w:tr w:rsidR="00544649" w14:paraId="701728F3" w14:textId="77777777">
        <w:trPr>
          <w:tblHeader/>
          <w:jc w:val="center"/>
        </w:trPr>
        <w:tc>
          <w:tcPr>
            <w:tcW w:w="2661" w:type="dxa"/>
            <w:shd w:val="clear" w:color="auto" w:fill="auto"/>
            <w:vAlign w:val="center"/>
          </w:tcPr>
          <w:p w14:paraId="136D33BB"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环境风险潜势</w:t>
            </w:r>
          </w:p>
        </w:tc>
        <w:tc>
          <w:tcPr>
            <w:tcW w:w="1597" w:type="dxa"/>
            <w:shd w:val="clear" w:color="auto" w:fill="auto"/>
            <w:vAlign w:val="center"/>
          </w:tcPr>
          <w:p w14:paraId="5F664DF8"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Ⅳ</w:t>
            </w:r>
            <w:r>
              <w:rPr>
                <w:rFonts w:cs="Times New Roman"/>
                <w:b/>
                <w:bCs/>
                <w:kern w:val="21"/>
                <w:sz w:val="21"/>
                <w:szCs w:val="21"/>
              </w:rPr>
              <w:t>、</w:t>
            </w:r>
            <w:r>
              <w:rPr>
                <w:rFonts w:cs="Times New Roman"/>
                <w:b/>
                <w:bCs/>
                <w:kern w:val="21"/>
                <w:sz w:val="21"/>
                <w:szCs w:val="21"/>
              </w:rPr>
              <w:t>Ⅳ+</w:t>
            </w:r>
          </w:p>
        </w:tc>
        <w:tc>
          <w:tcPr>
            <w:tcW w:w="1597" w:type="dxa"/>
            <w:shd w:val="clear" w:color="auto" w:fill="auto"/>
            <w:vAlign w:val="center"/>
          </w:tcPr>
          <w:p w14:paraId="72CA1668"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Ⅲ</w:t>
            </w:r>
          </w:p>
        </w:tc>
        <w:tc>
          <w:tcPr>
            <w:tcW w:w="1597" w:type="dxa"/>
            <w:shd w:val="clear" w:color="auto" w:fill="auto"/>
            <w:vAlign w:val="center"/>
          </w:tcPr>
          <w:p w14:paraId="4DCA8286"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Ⅱ</w:t>
            </w:r>
          </w:p>
        </w:tc>
        <w:tc>
          <w:tcPr>
            <w:tcW w:w="1603" w:type="dxa"/>
            <w:shd w:val="clear" w:color="auto" w:fill="auto"/>
            <w:vAlign w:val="center"/>
          </w:tcPr>
          <w:p w14:paraId="6CFE3A80"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Ⅰ</w:t>
            </w:r>
          </w:p>
        </w:tc>
      </w:tr>
      <w:tr w:rsidR="00544649" w14:paraId="3EEA060B" w14:textId="77777777">
        <w:trPr>
          <w:jc w:val="center"/>
        </w:trPr>
        <w:tc>
          <w:tcPr>
            <w:tcW w:w="2661" w:type="dxa"/>
            <w:shd w:val="clear" w:color="auto" w:fill="auto"/>
            <w:vAlign w:val="center"/>
          </w:tcPr>
          <w:p w14:paraId="438AD435"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评价等级</w:t>
            </w:r>
          </w:p>
        </w:tc>
        <w:tc>
          <w:tcPr>
            <w:tcW w:w="1597" w:type="dxa"/>
            <w:shd w:val="clear" w:color="auto" w:fill="auto"/>
            <w:vAlign w:val="center"/>
          </w:tcPr>
          <w:p w14:paraId="3FFBDEAE"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proofErr w:type="gramStart"/>
            <w:r>
              <w:rPr>
                <w:rFonts w:cs="Times New Roman"/>
                <w:bCs/>
                <w:kern w:val="21"/>
                <w:sz w:val="21"/>
                <w:szCs w:val="21"/>
              </w:rPr>
              <w:t>一</w:t>
            </w:r>
            <w:proofErr w:type="gramEnd"/>
          </w:p>
        </w:tc>
        <w:tc>
          <w:tcPr>
            <w:tcW w:w="1597" w:type="dxa"/>
            <w:shd w:val="clear" w:color="auto" w:fill="auto"/>
            <w:vAlign w:val="center"/>
          </w:tcPr>
          <w:p w14:paraId="3C9A827E"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二</w:t>
            </w:r>
          </w:p>
        </w:tc>
        <w:tc>
          <w:tcPr>
            <w:tcW w:w="1597" w:type="dxa"/>
            <w:shd w:val="clear" w:color="auto" w:fill="auto"/>
            <w:vAlign w:val="center"/>
          </w:tcPr>
          <w:p w14:paraId="0E8CE7FB"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三</w:t>
            </w:r>
          </w:p>
        </w:tc>
        <w:tc>
          <w:tcPr>
            <w:tcW w:w="1603" w:type="dxa"/>
            <w:shd w:val="clear" w:color="auto" w:fill="auto"/>
            <w:vAlign w:val="center"/>
          </w:tcPr>
          <w:p w14:paraId="4EAC313E" w14:textId="77777777" w:rsidR="00544649" w:rsidRDefault="00000000">
            <w:pPr>
              <w:widowControl/>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简单分析（</w:t>
            </w:r>
            <w:r>
              <w:rPr>
                <w:rFonts w:cs="Times New Roman"/>
                <w:bCs/>
                <w:kern w:val="21"/>
                <w:sz w:val="21"/>
                <w:szCs w:val="21"/>
              </w:rPr>
              <w:t>√</w:t>
            </w:r>
            <w:r>
              <w:rPr>
                <w:rFonts w:cs="Times New Roman"/>
                <w:bCs/>
                <w:kern w:val="21"/>
                <w:sz w:val="21"/>
                <w:szCs w:val="21"/>
              </w:rPr>
              <w:t>）</w:t>
            </w:r>
          </w:p>
        </w:tc>
      </w:tr>
      <w:tr w:rsidR="00544649" w14:paraId="3C01E1B8" w14:textId="77777777">
        <w:trPr>
          <w:jc w:val="center"/>
        </w:trPr>
        <w:tc>
          <w:tcPr>
            <w:tcW w:w="9055" w:type="dxa"/>
            <w:gridSpan w:val="5"/>
            <w:shd w:val="clear" w:color="auto" w:fill="auto"/>
            <w:vAlign w:val="center"/>
          </w:tcPr>
          <w:p w14:paraId="32F6AAC4" w14:textId="77777777" w:rsidR="00544649" w:rsidRDefault="00000000">
            <w:pPr>
              <w:widowControl/>
              <w:adjustRightInd w:val="0"/>
              <w:snapToGrid w:val="0"/>
              <w:spacing w:beforeLines="20" w:before="62" w:afterLines="20" w:after="62" w:line="240" w:lineRule="auto"/>
              <w:ind w:firstLineChars="0" w:firstLine="0"/>
              <w:rPr>
                <w:rFonts w:cs="Times New Roman"/>
                <w:bCs/>
                <w:kern w:val="21"/>
                <w:sz w:val="21"/>
                <w:szCs w:val="21"/>
              </w:rPr>
            </w:pPr>
            <w:r>
              <w:rPr>
                <w:rFonts w:cs="Times New Roman"/>
                <w:bCs/>
                <w:kern w:val="21"/>
                <w:sz w:val="21"/>
                <w:szCs w:val="21"/>
              </w:rPr>
              <w:t>a.</w:t>
            </w:r>
            <w:r>
              <w:rPr>
                <w:rFonts w:cs="Times New Roman"/>
                <w:bCs/>
                <w:kern w:val="21"/>
                <w:sz w:val="21"/>
                <w:szCs w:val="21"/>
              </w:rPr>
              <w:t>是相对于详细评价工作内容而言，在描述危险物质、环境影响途径、环境危害后果、风险防范措施等方面给出定性的说明。见附录</w:t>
            </w:r>
            <w:r>
              <w:rPr>
                <w:rFonts w:cs="Times New Roman"/>
                <w:bCs/>
                <w:kern w:val="21"/>
                <w:sz w:val="21"/>
                <w:szCs w:val="21"/>
              </w:rPr>
              <w:t>A</w:t>
            </w:r>
            <w:r>
              <w:rPr>
                <w:rFonts w:cs="Times New Roman"/>
                <w:bCs/>
                <w:kern w:val="21"/>
                <w:sz w:val="21"/>
                <w:szCs w:val="21"/>
              </w:rPr>
              <w:t>。</w:t>
            </w:r>
          </w:p>
        </w:tc>
      </w:tr>
    </w:tbl>
    <w:p w14:paraId="2F3D1262" w14:textId="77777777" w:rsidR="00544649" w:rsidRDefault="00000000">
      <w:pPr>
        <w:adjustRightInd w:val="0"/>
        <w:snapToGrid w:val="0"/>
        <w:spacing w:after="0"/>
        <w:ind w:firstLine="480"/>
        <w:rPr>
          <w:rFonts w:cs="Times New Roman"/>
          <w:kern w:val="21"/>
          <w:szCs w:val="24"/>
        </w:rPr>
      </w:pPr>
      <w:r>
        <w:rPr>
          <w:rFonts w:cs="Times New Roman"/>
          <w:kern w:val="21"/>
          <w:szCs w:val="24"/>
        </w:rPr>
        <w:t>查阅《建设项目环境风险评价技术导则》（</w:t>
      </w:r>
      <w:r>
        <w:rPr>
          <w:rFonts w:cs="Times New Roman"/>
          <w:kern w:val="21"/>
          <w:szCs w:val="24"/>
        </w:rPr>
        <w:t>HJ169-2018</w:t>
      </w:r>
      <w:r>
        <w:rPr>
          <w:rFonts w:cs="Times New Roman"/>
          <w:kern w:val="21"/>
          <w:szCs w:val="24"/>
        </w:rPr>
        <w:t>）附录</w:t>
      </w:r>
      <w:r>
        <w:rPr>
          <w:rFonts w:cs="Times New Roman"/>
          <w:kern w:val="21"/>
          <w:szCs w:val="24"/>
        </w:rPr>
        <w:t>B</w:t>
      </w:r>
      <w:r>
        <w:rPr>
          <w:rFonts w:cs="Times New Roman"/>
          <w:kern w:val="21"/>
          <w:szCs w:val="24"/>
        </w:rPr>
        <w:t>，根据本项目各类物质物料储存方案与附录</w:t>
      </w:r>
      <w:r>
        <w:rPr>
          <w:rFonts w:cs="Times New Roman"/>
          <w:kern w:val="21"/>
          <w:szCs w:val="24"/>
        </w:rPr>
        <w:t>B</w:t>
      </w:r>
      <w:r>
        <w:rPr>
          <w:rFonts w:cs="Times New Roman"/>
          <w:kern w:val="21"/>
          <w:szCs w:val="24"/>
        </w:rPr>
        <w:t>临界量对比见下表。</w:t>
      </w:r>
    </w:p>
    <w:p w14:paraId="54F6F877"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存量与临界量对照表</w:t>
      </w:r>
    </w:p>
    <w:tbl>
      <w:tblPr>
        <w:tblStyle w:val="17"/>
        <w:tblW w:w="9055" w:type="dxa"/>
        <w:jc w:val="center"/>
        <w:tblLayout w:type="fixed"/>
        <w:tblLook w:val="04A0" w:firstRow="1" w:lastRow="0" w:firstColumn="1" w:lastColumn="0" w:noHBand="0" w:noVBand="1"/>
      </w:tblPr>
      <w:tblGrid>
        <w:gridCol w:w="1674"/>
        <w:gridCol w:w="1440"/>
        <w:gridCol w:w="1193"/>
        <w:gridCol w:w="960"/>
        <w:gridCol w:w="1519"/>
        <w:gridCol w:w="1135"/>
        <w:gridCol w:w="1134"/>
      </w:tblGrid>
      <w:tr w:rsidR="00544649" w14:paraId="047B2F47" w14:textId="77777777">
        <w:trPr>
          <w:jc w:val="center"/>
        </w:trPr>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14:paraId="21A6D648"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评价单元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87754F6"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原辅料名称</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35031BD0"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成分</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34EC81D"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临界量</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05FDA4D"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存在量（</w:t>
            </w:r>
            <w:r>
              <w:rPr>
                <w:rFonts w:cs="Times New Roman"/>
                <w:b/>
                <w:bCs/>
                <w:kern w:val="21"/>
                <w:szCs w:val="21"/>
              </w:rPr>
              <w:t>t</w:t>
            </w:r>
            <w:r>
              <w:rPr>
                <w:rFonts w:cs="Times New Roman"/>
                <w:b/>
                <w:bCs/>
                <w:kern w:val="21"/>
                <w:szCs w:val="21"/>
              </w:rPr>
              <w:t>）</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84686AD"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qi/Qi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A9785B"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∑qi/Qi</w:t>
            </w:r>
          </w:p>
        </w:tc>
      </w:tr>
      <w:tr w:rsidR="00544649" w14:paraId="36C6F1E9" w14:textId="77777777">
        <w:trPr>
          <w:trHeight w:val="198"/>
          <w:jc w:val="center"/>
        </w:trPr>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14:paraId="04D15FB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发电机房</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F515CF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柴油</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F689B7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柴油</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B210A5C"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2500</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973501"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0.37</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CD92912"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0.000</w:t>
            </w:r>
            <w:r>
              <w:rPr>
                <w:rFonts w:cs="Times New Roman" w:hint="eastAsia"/>
                <w:kern w:val="21"/>
                <w:szCs w:val="21"/>
              </w:rPr>
              <w:t>18</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209A33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0.000</w:t>
            </w:r>
            <w:r>
              <w:rPr>
                <w:rFonts w:cs="Times New Roman" w:hint="eastAsia"/>
                <w:kern w:val="21"/>
                <w:szCs w:val="21"/>
              </w:rPr>
              <w:t>183</w:t>
            </w:r>
          </w:p>
        </w:tc>
      </w:tr>
      <w:tr w:rsidR="00544649" w14:paraId="6239C163" w14:textId="77777777">
        <w:trPr>
          <w:trHeight w:val="198"/>
          <w:jc w:val="center"/>
        </w:trPr>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14:paraId="093B4054" w14:textId="77777777" w:rsidR="00544649" w:rsidRDefault="00000000">
            <w:pPr>
              <w:pStyle w:val="aff7"/>
              <w:adjustRightInd w:val="0"/>
              <w:snapToGrid w:val="0"/>
              <w:spacing w:before="62" w:after="62"/>
              <w:rPr>
                <w:rFonts w:cs="Times New Roman"/>
                <w:kern w:val="21"/>
                <w:szCs w:val="21"/>
              </w:rPr>
            </w:pPr>
            <w:proofErr w:type="gramStart"/>
            <w:r>
              <w:rPr>
                <w:rFonts w:cs="Times New Roman" w:hint="eastAsia"/>
                <w:kern w:val="21"/>
                <w:szCs w:val="21"/>
              </w:rPr>
              <w:t>危废暂存</w:t>
            </w:r>
            <w:proofErr w:type="gramEnd"/>
            <w:r>
              <w:rPr>
                <w:rFonts w:cs="Times New Roman" w:hint="eastAsia"/>
                <w:kern w:val="21"/>
                <w:szCs w:val="21"/>
              </w:rPr>
              <w:t>间</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11F9156"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废润滑油</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3175A45"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油</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1EEF496"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2500</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2A1182"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0.088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3EE7B1A"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0.000035</w:t>
            </w:r>
          </w:p>
        </w:tc>
        <w:tc>
          <w:tcPr>
            <w:tcW w:w="1134" w:type="dxa"/>
            <w:vMerge/>
            <w:tcBorders>
              <w:left w:val="single" w:sz="4" w:space="0" w:color="auto"/>
              <w:right w:val="single" w:sz="4" w:space="0" w:color="auto"/>
            </w:tcBorders>
            <w:shd w:val="clear" w:color="auto" w:fill="auto"/>
            <w:vAlign w:val="center"/>
          </w:tcPr>
          <w:p w14:paraId="3EF543E0" w14:textId="77777777" w:rsidR="00544649" w:rsidRDefault="00544649">
            <w:pPr>
              <w:pStyle w:val="aff7"/>
              <w:adjustRightInd w:val="0"/>
              <w:snapToGrid w:val="0"/>
              <w:spacing w:before="62" w:after="62"/>
              <w:rPr>
                <w:rFonts w:cs="Times New Roman"/>
                <w:kern w:val="21"/>
                <w:szCs w:val="21"/>
              </w:rPr>
            </w:pPr>
          </w:p>
        </w:tc>
      </w:tr>
    </w:tbl>
    <w:p w14:paraId="5CBCEB13" w14:textId="77777777" w:rsidR="00544649" w:rsidRDefault="00000000">
      <w:pPr>
        <w:adjustRightInd w:val="0"/>
        <w:snapToGrid w:val="0"/>
        <w:spacing w:after="0"/>
        <w:ind w:firstLine="480"/>
        <w:rPr>
          <w:rFonts w:cs="Times New Roman"/>
          <w:kern w:val="21"/>
          <w:szCs w:val="24"/>
        </w:rPr>
      </w:pPr>
      <w:r>
        <w:rPr>
          <w:rFonts w:cs="Times New Roman"/>
          <w:kern w:val="21"/>
          <w:szCs w:val="24"/>
        </w:rPr>
        <w:t>根据《建设项目环境风险评价技术导则》（</w:t>
      </w:r>
      <w:r>
        <w:rPr>
          <w:rFonts w:cs="Times New Roman"/>
          <w:kern w:val="21"/>
          <w:szCs w:val="24"/>
        </w:rPr>
        <w:t>HJ169-2018</w:t>
      </w:r>
      <w:r>
        <w:rPr>
          <w:rFonts w:cs="Times New Roman"/>
          <w:kern w:val="21"/>
          <w:szCs w:val="24"/>
        </w:rPr>
        <w:t>）当存在多种危险物质时，则按以下公式计算物质总量与其临界量比值（</w:t>
      </w:r>
      <w:r>
        <w:rPr>
          <w:rFonts w:cs="Times New Roman"/>
          <w:kern w:val="21"/>
          <w:szCs w:val="24"/>
        </w:rPr>
        <w:t>Q</w:t>
      </w:r>
      <w:r>
        <w:rPr>
          <w:rFonts w:cs="Times New Roman"/>
          <w:kern w:val="21"/>
          <w:szCs w:val="24"/>
        </w:rPr>
        <w:t>）：</w:t>
      </w:r>
    </w:p>
    <w:p w14:paraId="56931842" w14:textId="77777777" w:rsidR="00544649" w:rsidRDefault="00000000">
      <w:pPr>
        <w:adjustRightInd w:val="0"/>
        <w:snapToGrid w:val="0"/>
        <w:spacing w:after="0" w:line="240" w:lineRule="auto"/>
        <w:ind w:firstLine="480"/>
        <w:jc w:val="center"/>
        <w:rPr>
          <w:rFonts w:cs="Times New Roman"/>
          <w:kern w:val="21"/>
          <w:szCs w:val="24"/>
        </w:rPr>
      </w:pPr>
      <w:r>
        <w:rPr>
          <w:rFonts w:cs="Times New Roman"/>
          <w:kern w:val="21"/>
          <w:szCs w:val="24"/>
        </w:rPr>
        <w:object w:dxaOrig="2715" w:dyaOrig="675" w14:anchorId="7CAEB13D">
          <v:shape id="_x0000_i1027" type="#_x0000_t75" style="width:135.75pt;height:33.75pt" o:ole="">
            <v:imagedata r:id="rId35" o:title=""/>
          </v:shape>
          <o:OLEObject Type="Embed" ProgID="Equation.3" ShapeID="_x0000_i1027" DrawAspect="Content" ObjectID="_1806238023" r:id="rId36"/>
        </w:object>
      </w:r>
    </w:p>
    <w:p w14:paraId="64168C71" w14:textId="77777777" w:rsidR="00544649" w:rsidRDefault="00000000">
      <w:pPr>
        <w:adjustRightInd w:val="0"/>
        <w:snapToGrid w:val="0"/>
        <w:spacing w:after="0"/>
        <w:ind w:firstLine="480"/>
        <w:rPr>
          <w:rFonts w:cs="Times New Roman"/>
          <w:kern w:val="21"/>
          <w:szCs w:val="24"/>
        </w:rPr>
      </w:pPr>
      <w:r>
        <w:rPr>
          <w:rFonts w:cs="Times New Roman"/>
          <w:kern w:val="21"/>
          <w:szCs w:val="24"/>
        </w:rPr>
        <w:t>式中：</w:t>
      </w:r>
    </w:p>
    <w:p w14:paraId="5016BD8A" w14:textId="77777777" w:rsidR="00544649" w:rsidRDefault="00000000">
      <w:pPr>
        <w:adjustRightInd w:val="0"/>
        <w:snapToGrid w:val="0"/>
        <w:spacing w:after="0"/>
        <w:ind w:firstLine="480"/>
        <w:rPr>
          <w:rFonts w:cs="Times New Roman"/>
          <w:kern w:val="21"/>
          <w:szCs w:val="24"/>
        </w:rPr>
      </w:pPr>
      <w:r>
        <w:rPr>
          <w:rFonts w:cs="Times New Roman"/>
          <w:i/>
          <w:iCs/>
          <w:kern w:val="21"/>
          <w:szCs w:val="24"/>
        </w:rPr>
        <w:t>q</w:t>
      </w:r>
      <w:r>
        <w:rPr>
          <w:rFonts w:cs="Times New Roman"/>
          <w:i/>
          <w:iCs/>
          <w:kern w:val="21"/>
          <w:szCs w:val="24"/>
          <w:vertAlign w:val="subscript"/>
        </w:rPr>
        <w:t>1</w:t>
      </w:r>
      <w:r>
        <w:rPr>
          <w:rFonts w:cs="Times New Roman"/>
          <w:kern w:val="21"/>
          <w:szCs w:val="24"/>
        </w:rPr>
        <w:t>，</w:t>
      </w:r>
      <w:r>
        <w:rPr>
          <w:rFonts w:cs="Times New Roman"/>
          <w:i/>
          <w:iCs/>
          <w:kern w:val="21"/>
          <w:szCs w:val="24"/>
        </w:rPr>
        <w:t>q</w:t>
      </w:r>
      <w:r>
        <w:rPr>
          <w:rFonts w:cs="Times New Roman"/>
          <w:i/>
          <w:iCs/>
          <w:kern w:val="21"/>
          <w:szCs w:val="24"/>
          <w:vertAlign w:val="subscript"/>
        </w:rPr>
        <w:t>2</w:t>
      </w:r>
      <w:r>
        <w:rPr>
          <w:rFonts w:cs="Times New Roman"/>
          <w:kern w:val="21"/>
          <w:szCs w:val="24"/>
        </w:rPr>
        <w:t>，</w:t>
      </w:r>
      <w:r>
        <w:rPr>
          <w:rFonts w:cs="Times New Roman"/>
          <w:kern w:val="21"/>
          <w:szCs w:val="24"/>
        </w:rPr>
        <w:t>…</w:t>
      </w:r>
      <w:r>
        <w:rPr>
          <w:rFonts w:cs="Times New Roman"/>
          <w:kern w:val="21"/>
          <w:szCs w:val="24"/>
        </w:rPr>
        <w:t>，</w:t>
      </w:r>
      <w:r>
        <w:rPr>
          <w:rFonts w:cs="Times New Roman"/>
          <w:i/>
          <w:iCs/>
          <w:kern w:val="21"/>
          <w:szCs w:val="24"/>
        </w:rPr>
        <w:t>q</w:t>
      </w:r>
      <w:r>
        <w:rPr>
          <w:rFonts w:cs="Times New Roman"/>
          <w:i/>
          <w:iCs/>
          <w:kern w:val="21"/>
          <w:szCs w:val="24"/>
          <w:vertAlign w:val="subscript"/>
        </w:rPr>
        <w:t>n</w:t>
      </w:r>
      <w:r>
        <w:rPr>
          <w:rFonts w:cs="Times New Roman"/>
          <w:kern w:val="21"/>
          <w:szCs w:val="24"/>
        </w:rPr>
        <w:t>——</w:t>
      </w:r>
      <w:r>
        <w:rPr>
          <w:rFonts w:cs="Times New Roman"/>
          <w:kern w:val="21"/>
          <w:szCs w:val="24"/>
        </w:rPr>
        <w:t>每种危险物质的最大存在总量，</w:t>
      </w:r>
      <w:r>
        <w:rPr>
          <w:rFonts w:cs="Times New Roman"/>
          <w:kern w:val="21"/>
          <w:szCs w:val="24"/>
        </w:rPr>
        <w:t>t</w:t>
      </w:r>
      <w:r>
        <w:rPr>
          <w:rFonts w:cs="Times New Roman"/>
          <w:kern w:val="21"/>
          <w:szCs w:val="24"/>
        </w:rPr>
        <w:t>；</w:t>
      </w:r>
    </w:p>
    <w:p w14:paraId="137245F4" w14:textId="77777777" w:rsidR="00544649" w:rsidRDefault="00000000">
      <w:pPr>
        <w:adjustRightInd w:val="0"/>
        <w:snapToGrid w:val="0"/>
        <w:spacing w:after="0"/>
        <w:ind w:firstLine="480"/>
        <w:rPr>
          <w:rFonts w:cs="Times New Roman"/>
          <w:kern w:val="21"/>
          <w:szCs w:val="24"/>
        </w:rPr>
      </w:pPr>
      <w:r>
        <w:rPr>
          <w:rFonts w:cs="Times New Roman"/>
          <w:i/>
          <w:iCs/>
          <w:kern w:val="21"/>
          <w:szCs w:val="24"/>
        </w:rPr>
        <w:t>Q</w:t>
      </w:r>
      <w:r>
        <w:rPr>
          <w:rFonts w:cs="Times New Roman"/>
          <w:i/>
          <w:iCs/>
          <w:kern w:val="21"/>
          <w:szCs w:val="24"/>
          <w:vertAlign w:val="subscript"/>
        </w:rPr>
        <w:t>1</w:t>
      </w:r>
      <w:r>
        <w:rPr>
          <w:rFonts w:cs="Times New Roman"/>
          <w:kern w:val="21"/>
          <w:szCs w:val="24"/>
        </w:rPr>
        <w:t>，</w:t>
      </w:r>
      <w:r>
        <w:rPr>
          <w:rFonts w:cs="Times New Roman"/>
          <w:i/>
          <w:iCs/>
          <w:kern w:val="21"/>
          <w:szCs w:val="24"/>
        </w:rPr>
        <w:t>Q</w:t>
      </w:r>
      <w:r>
        <w:rPr>
          <w:rFonts w:cs="Times New Roman"/>
          <w:i/>
          <w:iCs/>
          <w:kern w:val="21"/>
          <w:szCs w:val="24"/>
          <w:vertAlign w:val="subscript"/>
        </w:rPr>
        <w:t>2</w:t>
      </w:r>
      <w:r>
        <w:rPr>
          <w:rFonts w:cs="Times New Roman"/>
          <w:kern w:val="21"/>
          <w:szCs w:val="24"/>
        </w:rPr>
        <w:t>，</w:t>
      </w:r>
      <w:r>
        <w:rPr>
          <w:rFonts w:cs="Times New Roman"/>
          <w:kern w:val="21"/>
          <w:szCs w:val="24"/>
        </w:rPr>
        <w:t>…</w:t>
      </w:r>
      <w:r>
        <w:rPr>
          <w:rFonts w:cs="Times New Roman"/>
          <w:kern w:val="21"/>
          <w:szCs w:val="24"/>
        </w:rPr>
        <w:t>，</w:t>
      </w:r>
      <w:r>
        <w:rPr>
          <w:rFonts w:cs="Times New Roman"/>
          <w:i/>
          <w:iCs/>
          <w:kern w:val="21"/>
          <w:szCs w:val="24"/>
        </w:rPr>
        <w:t>Q</w:t>
      </w:r>
      <w:r>
        <w:rPr>
          <w:rFonts w:cs="Times New Roman"/>
          <w:i/>
          <w:iCs/>
          <w:kern w:val="21"/>
          <w:szCs w:val="24"/>
          <w:vertAlign w:val="subscript"/>
        </w:rPr>
        <w:t>n</w:t>
      </w:r>
      <w:r>
        <w:rPr>
          <w:rFonts w:cs="Times New Roman"/>
          <w:kern w:val="21"/>
          <w:szCs w:val="24"/>
        </w:rPr>
        <w:t>——</w:t>
      </w:r>
      <w:r>
        <w:rPr>
          <w:rFonts w:cs="Times New Roman"/>
          <w:kern w:val="21"/>
          <w:szCs w:val="24"/>
        </w:rPr>
        <w:t>每种危险物质的临界量，</w:t>
      </w:r>
      <w:r>
        <w:rPr>
          <w:rFonts w:cs="Times New Roman"/>
          <w:kern w:val="21"/>
          <w:szCs w:val="24"/>
        </w:rPr>
        <w:t>t</w:t>
      </w:r>
      <w:r>
        <w:rPr>
          <w:rFonts w:cs="Times New Roman"/>
          <w:kern w:val="21"/>
          <w:szCs w:val="24"/>
        </w:rPr>
        <w:t>。</w:t>
      </w:r>
    </w:p>
    <w:p w14:paraId="21F26DEB" w14:textId="77777777" w:rsidR="00544649" w:rsidRDefault="00000000">
      <w:pPr>
        <w:adjustRightInd w:val="0"/>
        <w:snapToGrid w:val="0"/>
        <w:spacing w:after="0"/>
        <w:ind w:firstLine="480"/>
        <w:rPr>
          <w:rFonts w:cs="Times New Roman"/>
          <w:kern w:val="21"/>
          <w:szCs w:val="24"/>
        </w:rPr>
      </w:pPr>
      <w:r>
        <w:rPr>
          <w:rFonts w:cs="Times New Roman"/>
          <w:kern w:val="21"/>
          <w:szCs w:val="24"/>
        </w:rPr>
        <w:t>当</w:t>
      </w:r>
      <w:r>
        <w:rPr>
          <w:rFonts w:cs="Times New Roman"/>
          <w:i/>
          <w:iCs/>
          <w:kern w:val="21"/>
          <w:szCs w:val="24"/>
        </w:rPr>
        <w:t>Q</w:t>
      </w:r>
      <w:r>
        <w:rPr>
          <w:rFonts w:cs="Times New Roman"/>
          <w:kern w:val="21"/>
          <w:szCs w:val="24"/>
        </w:rPr>
        <w:t>＜</w:t>
      </w:r>
      <w:r>
        <w:rPr>
          <w:rFonts w:cs="Times New Roman"/>
          <w:kern w:val="21"/>
          <w:szCs w:val="24"/>
        </w:rPr>
        <w:t>1</w:t>
      </w:r>
      <w:r>
        <w:rPr>
          <w:rFonts w:cs="Times New Roman"/>
          <w:kern w:val="21"/>
          <w:szCs w:val="24"/>
        </w:rPr>
        <w:t>时，该项目环境风险潜势为</w:t>
      </w:r>
      <w:r>
        <w:rPr>
          <w:rFonts w:cs="Times New Roman"/>
          <w:kern w:val="21"/>
          <w:szCs w:val="24"/>
        </w:rPr>
        <w:t>Ⅰ</w:t>
      </w:r>
      <w:r>
        <w:rPr>
          <w:rFonts w:cs="Times New Roman"/>
          <w:kern w:val="21"/>
          <w:szCs w:val="24"/>
        </w:rPr>
        <w:t>。</w:t>
      </w:r>
    </w:p>
    <w:p w14:paraId="6C6FA6C3" w14:textId="77777777" w:rsidR="00544649" w:rsidRDefault="00000000">
      <w:pPr>
        <w:adjustRightInd w:val="0"/>
        <w:snapToGrid w:val="0"/>
        <w:spacing w:after="0"/>
        <w:ind w:firstLine="480"/>
        <w:rPr>
          <w:rFonts w:cs="Times New Roman"/>
          <w:kern w:val="21"/>
          <w:szCs w:val="24"/>
        </w:rPr>
      </w:pPr>
      <w:r>
        <w:rPr>
          <w:rFonts w:cs="Times New Roman"/>
          <w:kern w:val="21"/>
          <w:szCs w:val="24"/>
        </w:rPr>
        <w:t>当</w:t>
      </w:r>
      <w:r>
        <w:rPr>
          <w:rFonts w:cs="Times New Roman"/>
          <w:i/>
          <w:iCs/>
          <w:kern w:val="21"/>
          <w:szCs w:val="24"/>
        </w:rPr>
        <w:t>Q≥</w:t>
      </w:r>
      <w:r>
        <w:rPr>
          <w:rFonts w:cs="Times New Roman"/>
          <w:kern w:val="21"/>
          <w:szCs w:val="24"/>
        </w:rPr>
        <w:t>1</w:t>
      </w:r>
      <w:r>
        <w:rPr>
          <w:rFonts w:cs="Times New Roman"/>
          <w:kern w:val="21"/>
          <w:szCs w:val="24"/>
        </w:rPr>
        <w:t>时，将</w:t>
      </w:r>
      <w:r>
        <w:rPr>
          <w:rFonts w:cs="Times New Roman"/>
          <w:kern w:val="21"/>
          <w:szCs w:val="24"/>
        </w:rPr>
        <w:t>Q</w:t>
      </w:r>
      <w:r>
        <w:rPr>
          <w:rFonts w:cs="Times New Roman"/>
          <w:kern w:val="21"/>
          <w:szCs w:val="24"/>
        </w:rPr>
        <w:t>值划分为：（</w:t>
      </w:r>
      <w:r>
        <w:rPr>
          <w:rFonts w:cs="Times New Roman"/>
          <w:kern w:val="21"/>
          <w:szCs w:val="24"/>
        </w:rPr>
        <w:t>1</w:t>
      </w:r>
      <w:r>
        <w:rPr>
          <w:rFonts w:cs="Times New Roman"/>
          <w:kern w:val="21"/>
          <w:szCs w:val="24"/>
        </w:rPr>
        <w:t>）</w:t>
      </w:r>
      <w:r>
        <w:rPr>
          <w:rFonts w:cs="Times New Roman"/>
          <w:kern w:val="21"/>
          <w:szCs w:val="24"/>
        </w:rPr>
        <w:t>1≤Q</w:t>
      </w:r>
      <w:r>
        <w:rPr>
          <w:rFonts w:cs="Times New Roman"/>
          <w:kern w:val="21"/>
          <w:szCs w:val="24"/>
        </w:rPr>
        <w:t>＜</w:t>
      </w:r>
      <w:r>
        <w:rPr>
          <w:rFonts w:cs="Times New Roman"/>
          <w:kern w:val="21"/>
          <w:szCs w:val="24"/>
        </w:rPr>
        <w:t>10</w:t>
      </w:r>
      <w:r>
        <w:rPr>
          <w:rFonts w:cs="Times New Roman"/>
          <w:kern w:val="21"/>
          <w:szCs w:val="24"/>
        </w:rPr>
        <w:t>；（</w:t>
      </w:r>
      <w:r>
        <w:rPr>
          <w:rFonts w:cs="Times New Roman"/>
          <w:kern w:val="21"/>
          <w:szCs w:val="24"/>
        </w:rPr>
        <w:t>2</w:t>
      </w:r>
      <w:r>
        <w:rPr>
          <w:rFonts w:cs="Times New Roman"/>
          <w:kern w:val="21"/>
          <w:szCs w:val="24"/>
        </w:rPr>
        <w:t>）</w:t>
      </w:r>
      <w:r>
        <w:rPr>
          <w:rFonts w:cs="Times New Roman"/>
          <w:kern w:val="21"/>
          <w:szCs w:val="24"/>
        </w:rPr>
        <w:t>10≤Q</w:t>
      </w:r>
      <w:r>
        <w:rPr>
          <w:rFonts w:cs="Times New Roman"/>
          <w:kern w:val="21"/>
          <w:szCs w:val="24"/>
        </w:rPr>
        <w:t>＜</w:t>
      </w:r>
      <w:r>
        <w:rPr>
          <w:rFonts w:cs="Times New Roman"/>
          <w:kern w:val="21"/>
          <w:szCs w:val="24"/>
        </w:rPr>
        <w:t>100</w:t>
      </w:r>
      <w:r>
        <w:rPr>
          <w:rFonts w:cs="Times New Roman"/>
          <w:kern w:val="21"/>
          <w:szCs w:val="24"/>
        </w:rPr>
        <w:t>；（</w:t>
      </w:r>
      <w:r>
        <w:rPr>
          <w:rFonts w:cs="Times New Roman"/>
          <w:kern w:val="21"/>
          <w:szCs w:val="24"/>
        </w:rPr>
        <w:t>3</w:t>
      </w:r>
      <w:r>
        <w:rPr>
          <w:rFonts w:cs="Times New Roman"/>
          <w:kern w:val="21"/>
          <w:szCs w:val="24"/>
        </w:rPr>
        <w:t>）</w:t>
      </w:r>
      <w:r>
        <w:rPr>
          <w:rFonts w:cs="Times New Roman"/>
          <w:kern w:val="21"/>
          <w:szCs w:val="24"/>
        </w:rPr>
        <w:t>Q≥100</w:t>
      </w:r>
      <w:r>
        <w:rPr>
          <w:rFonts w:cs="Times New Roman"/>
          <w:kern w:val="21"/>
          <w:szCs w:val="24"/>
        </w:rPr>
        <w:t>。</w:t>
      </w:r>
    </w:p>
    <w:p w14:paraId="125D713E" w14:textId="77777777" w:rsidR="00544649" w:rsidRDefault="00000000">
      <w:pPr>
        <w:adjustRightInd w:val="0"/>
        <w:snapToGrid w:val="0"/>
        <w:spacing w:after="0"/>
        <w:ind w:firstLine="480"/>
        <w:rPr>
          <w:rFonts w:cs="Times New Roman"/>
          <w:kern w:val="21"/>
        </w:rPr>
      </w:pPr>
      <w:r>
        <w:rPr>
          <w:rFonts w:cs="Times New Roman"/>
          <w:kern w:val="21"/>
        </w:rPr>
        <w:t>本项目运营期过程中涉及的危险物品为柴油。根据《建设项目环境风险评价技术导则》（</w:t>
      </w:r>
      <w:r>
        <w:rPr>
          <w:rFonts w:cs="Times New Roman"/>
          <w:kern w:val="21"/>
        </w:rPr>
        <w:t>HJ169-2018</w:t>
      </w:r>
      <w:r>
        <w:rPr>
          <w:rFonts w:cs="Times New Roman"/>
          <w:kern w:val="21"/>
        </w:rPr>
        <w:t>）附录</w:t>
      </w:r>
      <w:r>
        <w:rPr>
          <w:rFonts w:cs="Times New Roman"/>
          <w:kern w:val="21"/>
        </w:rPr>
        <w:t>C</w:t>
      </w:r>
      <w:r>
        <w:rPr>
          <w:rFonts w:cs="Times New Roman"/>
          <w:kern w:val="21"/>
        </w:rPr>
        <w:t>，项目</w:t>
      </w:r>
      <w:r>
        <w:rPr>
          <w:rFonts w:cs="Times New Roman"/>
          <w:kern w:val="21"/>
        </w:rPr>
        <w:t>Q=0.000</w:t>
      </w:r>
      <w:r>
        <w:rPr>
          <w:rFonts w:cs="Times New Roman" w:hint="eastAsia"/>
          <w:kern w:val="21"/>
        </w:rPr>
        <w:t>183</w:t>
      </w:r>
      <w:r>
        <w:rPr>
          <w:rFonts w:cs="Times New Roman"/>
          <w:kern w:val="21"/>
        </w:rPr>
        <w:t>＜</w:t>
      </w:r>
      <w:r>
        <w:rPr>
          <w:rFonts w:cs="Times New Roman"/>
          <w:kern w:val="21"/>
        </w:rPr>
        <w:t>1</w:t>
      </w:r>
      <w:r>
        <w:rPr>
          <w:rFonts w:cs="Times New Roman"/>
          <w:kern w:val="21"/>
        </w:rPr>
        <w:t>，项目环境风险潜势为</w:t>
      </w:r>
      <w:r>
        <w:rPr>
          <w:rFonts w:cs="Times New Roman"/>
          <w:kern w:val="21"/>
        </w:rPr>
        <w:t>Ⅰ</w:t>
      </w:r>
      <w:r>
        <w:rPr>
          <w:rFonts w:cs="Times New Roman"/>
          <w:kern w:val="21"/>
        </w:rPr>
        <w:t>。</w:t>
      </w:r>
    </w:p>
    <w:p w14:paraId="25CE084E" w14:textId="77777777" w:rsidR="00544649" w:rsidRDefault="00000000">
      <w:pPr>
        <w:adjustRightInd w:val="0"/>
        <w:snapToGrid w:val="0"/>
        <w:spacing w:after="0"/>
        <w:ind w:firstLine="480"/>
        <w:rPr>
          <w:rFonts w:cs="Times New Roman"/>
          <w:kern w:val="21"/>
        </w:rPr>
      </w:pPr>
      <w:r>
        <w:rPr>
          <w:rFonts w:cs="Times New Roman"/>
          <w:kern w:val="21"/>
        </w:rPr>
        <w:t>因此，本项目环境风险评价工作等级为简单分析。</w:t>
      </w:r>
    </w:p>
    <w:p w14:paraId="6C215553" w14:textId="77777777" w:rsidR="00544649" w:rsidRDefault="00000000">
      <w:pPr>
        <w:pStyle w:val="2"/>
        <w:numPr>
          <w:ilvl w:val="1"/>
          <w:numId w:val="2"/>
        </w:numPr>
        <w:adjustRightInd w:val="0"/>
        <w:snapToGrid w:val="0"/>
        <w:spacing w:after="0"/>
        <w:rPr>
          <w:rFonts w:cs="Times New Roman"/>
          <w:kern w:val="21"/>
        </w:rPr>
      </w:pPr>
      <w:bookmarkStart w:id="154" w:name="_Toc7758"/>
      <w:bookmarkStart w:id="155" w:name="_Toc1185"/>
      <w:bookmarkStart w:id="156" w:name="_Toc195009814"/>
      <w:r>
        <w:rPr>
          <w:rFonts w:cs="Times New Roman"/>
          <w:kern w:val="21"/>
        </w:rPr>
        <w:t>评价时段</w:t>
      </w:r>
      <w:bookmarkEnd w:id="154"/>
      <w:bookmarkEnd w:id="155"/>
      <w:bookmarkEnd w:id="156"/>
    </w:p>
    <w:p w14:paraId="55D34BCF" w14:textId="77777777" w:rsidR="00544649" w:rsidRDefault="00000000">
      <w:pPr>
        <w:adjustRightInd w:val="0"/>
        <w:snapToGrid w:val="0"/>
        <w:spacing w:after="0"/>
        <w:ind w:firstLine="480"/>
        <w:rPr>
          <w:rFonts w:cs="Times New Roman"/>
          <w:kern w:val="21"/>
          <w:szCs w:val="21"/>
        </w:rPr>
      </w:pPr>
      <w:r>
        <w:rPr>
          <w:rFonts w:cs="Times New Roman"/>
          <w:kern w:val="21"/>
          <w:szCs w:val="24"/>
        </w:rPr>
        <w:t>本项目评价时段为施工期及运营期。</w:t>
      </w:r>
    </w:p>
    <w:p w14:paraId="26102B61" w14:textId="77777777" w:rsidR="00544649" w:rsidRDefault="00000000">
      <w:pPr>
        <w:pStyle w:val="2"/>
        <w:numPr>
          <w:ilvl w:val="1"/>
          <w:numId w:val="2"/>
        </w:numPr>
        <w:adjustRightInd w:val="0"/>
        <w:snapToGrid w:val="0"/>
        <w:spacing w:after="0"/>
        <w:rPr>
          <w:kern w:val="21"/>
        </w:rPr>
      </w:pPr>
      <w:bookmarkStart w:id="157" w:name="_Toc23710"/>
      <w:bookmarkStart w:id="158" w:name="_Toc26282"/>
      <w:bookmarkStart w:id="159" w:name="_Toc195009815"/>
      <w:r>
        <w:rPr>
          <w:rFonts w:cs="Times New Roman" w:hint="eastAsia"/>
          <w:kern w:val="21"/>
        </w:rPr>
        <w:lastRenderedPageBreak/>
        <w:t>项目外环境关系</w:t>
      </w:r>
      <w:r>
        <w:rPr>
          <w:rFonts w:cs="Times New Roman"/>
          <w:kern w:val="21"/>
        </w:rPr>
        <w:t>及环境保护目标</w:t>
      </w:r>
      <w:bookmarkStart w:id="160" w:name="_Toc26326"/>
      <w:bookmarkStart w:id="161" w:name="_Toc17957"/>
      <w:bookmarkEnd w:id="157"/>
      <w:bookmarkEnd w:id="158"/>
      <w:bookmarkEnd w:id="159"/>
    </w:p>
    <w:p w14:paraId="555CE049" w14:textId="77777777" w:rsidR="00544649" w:rsidRDefault="00000000">
      <w:pPr>
        <w:keepNext/>
        <w:keepLines/>
        <w:numPr>
          <w:ilvl w:val="2"/>
          <w:numId w:val="2"/>
        </w:numPr>
        <w:adjustRightInd w:val="0"/>
        <w:snapToGrid w:val="0"/>
        <w:spacing w:after="0"/>
        <w:ind w:firstLineChars="0"/>
        <w:outlineLvl w:val="2"/>
        <w:rPr>
          <w:b/>
          <w:bCs/>
          <w:kern w:val="21"/>
          <w:sz w:val="28"/>
          <w:szCs w:val="28"/>
        </w:rPr>
      </w:pPr>
      <w:bookmarkStart w:id="162" w:name="_Toc195009816"/>
      <w:r>
        <w:rPr>
          <w:b/>
          <w:bCs/>
          <w:kern w:val="21"/>
          <w:sz w:val="28"/>
          <w:szCs w:val="28"/>
        </w:rPr>
        <w:t>项目外环境关系</w:t>
      </w:r>
      <w:bookmarkEnd w:id="160"/>
      <w:bookmarkEnd w:id="161"/>
      <w:bookmarkEnd w:id="162"/>
    </w:p>
    <w:p w14:paraId="67152543" w14:textId="77777777" w:rsidR="00544649" w:rsidRDefault="00000000">
      <w:pPr>
        <w:adjustRightInd w:val="0"/>
        <w:snapToGrid w:val="0"/>
        <w:spacing w:after="0"/>
        <w:ind w:firstLine="480"/>
        <w:rPr>
          <w:rFonts w:cs="Times New Roman"/>
          <w:kern w:val="21"/>
        </w:rPr>
      </w:pPr>
      <w:r>
        <w:rPr>
          <w:rFonts w:cs="Times New Roman"/>
          <w:kern w:val="21"/>
        </w:rPr>
        <w:t>本项目位于四川省</w:t>
      </w:r>
      <w:r>
        <w:rPr>
          <w:rFonts w:cs="Times New Roman" w:hint="eastAsia"/>
          <w:kern w:val="21"/>
        </w:rPr>
        <w:t>广元</w:t>
      </w:r>
      <w:r>
        <w:rPr>
          <w:rFonts w:cs="Times New Roman"/>
          <w:kern w:val="21"/>
        </w:rPr>
        <w:t>市</w:t>
      </w:r>
      <w:r>
        <w:rPr>
          <w:rFonts w:cs="Times New Roman" w:hint="eastAsia"/>
          <w:kern w:val="21"/>
        </w:rPr>
        <w:t>剑阁</w:t>
      </w:r>
      <w:r>
        <w:rPr>
          <w:rFonts w:cs="Times New Roman"/>
          <w:kern w:val="21"/>
        </w:rPr>
        <w:t>县</w:t>
      </w:r>
      <w:r>
        <w:rPr>
          <w:rFonts w:cs="Times New Roman" w:hint="eastAsia"/>
          <w:kern w:val="21"/>
        </w:rPr>
        <w:t>剑门关镇新龙村六组、双鱼村七组</w:t>
      </w:r>
      <w:r>
        <w:rPr>
          <w:rFonts w:cs="Times New Roman"/>
          <w:kern w:val="21"/>
        </w:rPr>
        <w:t>，</w:t>
      </w:r>
      <w:r>
        <w:rPr>
          <w:rFonts w:cs="Times New Roman" w:hint="eastAsia"/>
          <w:kern w:val="21"/>
        </w:rPr>
        <w:t>项目</w:t>
      </w:r>
      <w:r>
        <w:rPr>
          <w:rFonts w:cs="Times New Roman"/>
          <w:kern w:val="21"/>
        </w:rPr>
        <w:t>所在地</w:t>
      </w:r>
      <w:r>
        <w:rPr>
          <w:rFonts w:cs="Times New Roman" w:hint="eastAsia"/>
          <w:kern w:val="21"/>
        </w:rPr>
        <w:t>为</w:t>
      </w:r>
      <w:r>
        <w:rPr>
          <w:rFonts w:cs="Times New Roman"/>
          <w:kern w:val="21"/>
        </w:rPr>
        <w:t>农村环境，根据现场踏勘，拟建项目评价范围内用地性质以林地为主，评价范围</w:t>
      </w:r>
      <w:proofErr w:type="gramStart"/>
      <w:r>
        <w:rPr>
          <w:rFonts w:cs="Times New Roman"/>
          <w:kern w:val="21"/>
        </w:rPr>
        <w:t>内</w:t>
      </w:r>
      <w:r>
        <w:rPr>
          <w:rFonts w:cs="Times New Roman" w:hint="eastAsia"/>
          <w:kern w:val="21"/>
        </w:rPr>
        <w:t>本项目育雏场距离</w:t>
      </w:r>
      <w:proofErr w:type="gramEnd"/>
      <w:r>
        <w:rPr>
          <w:rFonts w:cs="Times New Roman" w:hint="eastAsia"/>
          <w:kern w:val="21"/>
        </w:rPr>
        <w:t>西侧“剑门蜀道国家级风景名胜区”最近距离为</w:t>
      </w:r>
      <w:r>
        <w:rPr>
          <w:rFonts w:cs="Times New Roman" w:hint="eastAsia"/>
          <w:kern w:val="21"/>
        </w:rPr>
        <w:t>1.34km</w:t>
      </w:r>
      <w:r>
        <w:rPr>
          <w:rFonts w:cs="Times New Roman" w:hint="eastAsia"/>
          <w:kern w:val="21"/>
        </w:rPr>
        <w:t>，</w:t>
      </w:r>
      <w:proofErr w:type="gramStart"/>
      <w:r>
        <w:rPr>
          <w:rFonts w:cs="Times New Roman" w:hint="eastAsia"/>
          <w:kern w:val="21"/>
        </w:rPr>
        <w:t>育雏场距离</w:t>
      </w:r>
      <w:proofErr w:type="gramEnd"/>
      <w:r>
        <w:rPr>
          <w:rFonts w:cs="Times New Roman" w:hint="eastAsia"/>
          <w:kern w:val="21"/>
        </w:rPr>
        <w:t>北侧“剑门关地质公园”最近距离为</w:t>
      </w:r>
      <w:r>
        <w:rPr>
          <w:rFonts w:cs="Times New Roman" w:hint="eastAsia"/>
          <w:kern w:val="21"/>
        </w:rPr>
        <w:t>2.36km</w:t>
      </w:r>
      <w:r>
        <w:rPr>
          <w:rFonts w:cs="Times New Roman" w:hint="eastAsia"/>
          <w:kern w:val="21"/>
        </w:rPr>
        <w:t>。本项目</w:t>
      </w:r>
      <w:r>
        <w:rPr>
          <w:rFonts w:cs="Times New Roman"/>
          <w:kern w:val="21"/>
        </w:rPr>
        <w:t>不在生态红线范围内</w:t>
      </w:r>
      <w:r>
        <w:rPr>
          <w:rFonts w:cs="Times New Roman" w:hint="eastAsia"/>
          <w:kern w:val="21"/>
        </w:rPr>
        <w:t>，项目外环境关系如下：</w:t>
      </w:r>
    </w:p>
    <w:p w14:paraId="314365E4" w14:textId="77777777" w:rsidR="00544649" w:rsidRDefault="00000000">
      <w:pPr>
        <w:adjustRightInd w:val="0"/>
        <w:snapToGrid w:val="0"/>
        <w:spacing w:after="0"/>
        <w:ind w:firstLine="482"/>
        <w:rPr>
          <w:rFonts w:cs="Times New Roman"/>
          <w:kern w:val="21"/>
        </w:rPr>
      </w:pPr>
      <w:r>
        <w:rPr>
          <w:rFonts w:cs="Times New Roman"/>
          <w:b/>
          <w:bCs/>
          <w:kern w:val="21"/>
        </w:rPr>
        <w:t>道路：</w:t>
      </w:r>
      <w:r>
        <w:rPr>
          <w:rFonts w:cs="Times New Roman"/>
          <w:kern w:val="21"/>
        </w:rPr>
        <w:t>项目所在地周边为农村环境，</w:t>
      </w:r>
      <w:r>
        <w:rPr>
          <w:rFonts w:cs="Times New Roman" w:hint="eastAsia"/>
          <w:kern w:val="21"/>
        </w:rPr>
        <w:t>厂区与村道连通，</w:t>
      </w:r>
      <w:r>
        <w:rPr>
          <w:rFonts w:cs="Times New Roman"/>
          <w:kern w:val="21"/>
        </w:rPr>
        <w:t>场界</w:t>
      </w:r>
      <w:r>
        <w:rPr>
          <w:rFonts w:cs="Times New Roman" w:hint="eastAsia"/>
          <w:kern w:val="21"/>
        </w:rPr>
        <w:t>西</w:t>
      </w:r>
      <w:r>
        <w:rPr>
          <w:rFonts w:cs="Times New Roman"/>
          <w:kern w:val="21"/>
        </w:rPr>
        <w:t>侧</w:t>
      </w:r>
      <w:r>
        <w:rPr>
          <w:rFonts w:cs="Times New Roman" w:hint="eastAsia"/>
          <w:kern w:val="21"/>
        </w:rPr>
        <w:t>9.43</w:t>
      </w:r>
      <w:r>
        <w:rPr>
          <w:rFonts w:cs="Times New Roman"/>
          <w:kern w:val="21"/>
        </w:rPr>
        <w:t>km</w:t>
      </w:r>
      <w:r>
        <w:rPr>
          <w:rFonts w:cs="Times New Roman"/>
          <w:kern w:val="21"/>
        </w:rPr>
        <w:t>为省道</w:t>
      </w:r>
      <w:r>
        <w:rPr>
          <w:rFonts w:cs="Times New Roman" w:hint="eastAsia"/>
          <w:kern w:val="21"/>
        </w:rPr>
        <w:t>108</w:t>
      </w:r>
      <w:r>
        <w:rPr>
          <w:rFonts w:cs="Times New Roman"/>
          <w:kern w:val="21"/>
        </w:rPr>
        <w:t>，项目所在地交通便利。</w:t>
      </w:r>
    </w:p>
    <w:p w14:paraId="01A89A8C" w14:textId="77777777" w:rsidR="00544649" w:rsidRDefault="00000000">
      <w:pPr>
        <w:adjustRightInd w:val="0"/>
        <w:snapToGrid w:val="0"/>
        <w:spacing w:after="0"/>
        <w:ind w:firstLine="482"/>
        <w:rPr>
          <w:rFonts w:cs="Times New Roman"/>
          <w:b/>
          <w:bCs/>
          <w:kern w:val="21"/>
        </w:rPr>
      </w:pPr>
      <w:r>
        <w:rPr>
          <w:rFonts w:cs="Times New Roman" w:hint="eastAsia"/>
          <w:b/>
          <w:bCs/>
          <w:kern w:val="21"/>
        </w:rPr>
        <w:t>风景名胜区及自然保护区：</w:t>
      </w:r>
      <w:r>
        <w:rPr>
          <w:rFonts w:cs="Times New Roman" w:hint="eastAsia"/>
          <w:kern w:val="21"/>
        </w:rPr>
        <w:t>本项目</w:t>
      </w:r>
      <w:proofErr w:type="gramStart"/>
      <w:r>
        <w:rPr>
          <w:rFonts w:cs="Times New Roman" w:hint="eastAsia"/>
          <w:kern w:val="21"/>
        </w:rPr>
        <w:t>育雏场距离</w:t>
      </w:r>
      <w:proofErr w:type="gramEnd"/>
      <w:r>
        <w:rPr>
          <w:rFonts w:cs="Times New Roman" w:hint="eastAsia"/>
          <w:kern w:val="21"/>
        </w:rPr>
        <w:t>西侧“剑门蜀道国家级风景名胜区”最近距离为</w:t>
      </w:r>
      <w:r>
        <w:rPr>
          <w:rFonts w:cs="Times New Roman" w:hint="eastAsia"/>
          <w:kern w:val="21"/>
        </w:rPr>
        <w:t>1.34km</w:t>
      </w:r>
      <w:r>
        <w:rPr>
          <w:rFonts w:cs="Times New Roman" w:hint="eastAsia"/>
          <w:kern w:val="21"/>
        </w:rPr>
        <w:t>；</w:t>
      </w:r>
      <w:proofErr w:type="gramStart"/>
      <w:r>
        <w:rPr>
          <w:rFonts w:cs="Times New Roman" w:hint="eastAsia"/>
          <w:kern w:val="21"/>
        </w:rPr>
        <w:t>育雏场距离</w:t>
      </w:r>
      <w:proofErr w:type="gramEnd"/>
      <w:r>
        <w:rPr>
          <w:rFonts w:cs="Times New Roman" w:hint="eastAsia"/>
          <w:kern w:val="21"/>
        </w:rPr>
        <w:t>北侧“剑门关地质公园”最近距离为</w:t>
      </w:r>
      <w:r>
        <w:rPr>
          <w:rFonts w:cs="Times New Roman" w:hint="eastAsia"/>
          <w:kern w:val="21"/>
        </w:rPr>
        <w:t>2.36km</w:t>
      </w:r>
      <w:r>
        <w:rPr>
          <w:rFonts w:cs="Times New Roman" w:hint="eastAsia"/>
          <w:kern w:val="21"/>
        </w:rPr>
        <w:t>；</w:t>
      </w:r>
      <w:proofErr w:type="gramStart"/>
      <w:r>
        <w:rPr>
          <w:rFonts w:cs="Times New Roman" w:hint="eastAsia"/>
          <w:kern w:val="21"/>
        </w:rPr>
        <w:t>育雏场距离</w:t>
      </w:r>
      <w:proofErr w:type="gramEnd"/>
      <w:r>
        <w:rPr>
          <w:rFonts w:cs="Times New Roman" w:hint="eastAsia"/>
          <w:kern w:val="21"/>
        </w:rPr>
        <w:t>西侧四川剑门关国家森林公园最近距离为</w:t>
      </w:r>
      <w:r>
        <w:rPr>
          <w:rFonts w:cs="Times New Roman" w:hint="eastAsia"/>
          <w:kern w:val="21"/>
        </w:rPr>
        <w:t>4.26km</w:t>
      </w:r>
      <w:r>
        <w:rPr>
          <w:rFonts w:cs="Times New Roman" w:hint="eastAsia"/>
          <w:kern w:val="21"/>
        </w:rPr>
        <w:t>；</w:t>
      </w:r>
      <w:proofErr w:type="gramStart"/>
      <w:r>
        <w:rPr>
          <w:rFonts w:cs="Times New Roman" w:hint="eastAsia"/>
          <w:kern w:val="21"/>
        </w:rPr>
        <w:t>育雏场距离</w:t>
      </w:r>
      <w:proofErr w:type="gramEnd"/>
      <w:r>
        <w:rPr>
          <w:rFonts w:cs="Times New Roman" w:hint="eastAsia"/>
          <w:kern w:val="21"/>
        </w:rPr>
        <w:t>西侧四川翠云廊古柏省级自然保护区最近距离为</w:t>
      </w:r>
      <w:r>
        <w:rPr>
          <w:rFonts w:cs="Times New Roman" w:hint="eastAsia"/>
          <w:kern w:val="21"/>
        </w:rPr>
        <w:t>3.9km</w:t>
      </w:r>
      <w:r>
        <w:rPr>
          <w:rFonts w:cs="Times New Roman" w:hint="eastAsia"/>
          <w:kern w:val="21"/>
        </w:rPr>
        <w:t>。</w:t>
      </w:r>
    </w:p>
    <w:p w14:paraId="3C3DA19C" w14:textId="77777777" w:rsidR="00544649" w:rsidRDefault="00000000">
      <w:pPr>
        <w:adjustRightInd w:val="0"/>
        <w:snapToGrid w:val="0"/>
        <w:spacing w:after="0"/>
        <w:ind w:firstLine="482"/>
        <w:rPr>
          <w:rFonts w:cs="Times New Roman"/>
          <w:kern w:val="21"/>
        </w:rPr>
      </w:pPr>
      <w:r>
        <w:rPr>
          <w:rFonts w:cs="Times New Roman" w:hint="eastAsia"/>
          <w:b/>
          <w:bCs/>
          <w:kern w:val="21"/>
        </w:rPr>
        <w:t>（</w:t>
      </w:r>
      <w:r>
        <w:rPr>
          <w:rFonts w:cs="Times New Roman" w:hint="eastAsia"/>
          <w:b/>
          <w:bCs/>
          <w:kern w:val="21"/>
        </w:rPr>
        <w:t>1</w:t>
      </w:r>
      <w:r>
        <w:rPr>
          <w:rFonts w:cs="Times New Roman" w:hint="eastAsia"/>
          <w:b/>
          <w:bCs/>
          <w:kern w:val="21"/>
        </w:rPr>
        <w:t>）</w:t>
      </w:r>
      <w:proofErr w:type="gramStart"/>
      <w:r>
        <w:rPr>
          <w:rFonts w:cs="Times New Roman" w:hint="eastAsia"/>
          <w:b/>
          <w:bCs/>
          <w:kern w:val="21"/>
        </w:rPr>
        <w:t>育雏场</w:t>
      </w:r>
      <w:proofErr w:type="gramEnd"/>
      <w:r>
        <w:rPr>
          <w:rFonts w:cs="Times New Roman" w:hint="eastAsia"/>
          <w:b/>
          <w:bCs/>
          <w:kern w:val="21"/>
        </w:rPr>
        <w:t>周边居民：</w:t>
      </w:r>
      <w:r>
        <w:rPr>
          <w:rFonts w:cs="Times New Roman" w:hint="eastAsia"/>
          <w:kern w:val="21"/>
        </w:rPr>
        <w:t>项目</w:t>
      </w:r>
      <w:proofErr w:type="gramStart"/>
      <w:r>
        <w:rPr>
          <w:rFonts w:cs="Times New Roman" w:hint="eastAsia"/>
          <w:kern w:val="21"/>
        </w:rPr>
        <w:t>育雏场</w:t>
      </w:r>
      <w:proofErr w:type="gramEnd"/>
      <w:r>
        <w:rPr>
          <w:rFonts w:cs="Times New Roman" w:hint="eastAsia"/>
          <w:kern w:val="21"/>
        </w:rPr>
        <w:t>西侧</w:t>
      </w:r>
      <w:r>
        <w:rPr>
          <w:rFonts w:cs="Times New Roman" w:hint="eastAsia"/>
          <w:kern w:val="21"/>
        </w:rPr>
        <w:t>280m</w:t>
      </w:r>
      <w:r>
        <w:rPr>
          <w:rFonts w:cs="Times New Roman" w:hint="eastAsia"/>
          <w:kern w:val="21"/>
        </w:rPr>
        <w:t>处为散户居民</w:t>
      </w:r>
      <w:r>
        <w:rPr>
          <w:rFonts w:cs="Times New Roman" w:hint="eastAsia"/>
          <w:kern w:val="21"/>
        </w:rPr>
        <w:t>2</w:t>
      </w:r>
      <w:r>
        <w:rPr>
          <w:rFonts w:cs="Times New Roman" w:hint="eastAsia"/>
          <w:kern w:val="21"/>
        </w:rPr>
        <w:t>户约</w:t>
      </w:r>
      <w:r>
        <w:rPr>
          <w:rFonts w:cs="Times New Roman" w:hint="eastAsia"/>
          <w:kern w:val="21"/>
        </w:rPr>
        <w:t>6</w:t>
      </w:r>
      <w:r>
        <w:rPr>
          <w:rFonts w:cs="Times New Roman" w:hint="eastAsia"/>
          <w:kern w:val="21"/>
        </w:rPr>
        <w:t>人；西侧</w:t>
      </w:r>
      <w:r>
        <w:rPr>
          <w:rFonts w:cs="Times New Roman" w:hint="eastAsia"/>
          <w:kern w:val="21"/>
        </w:rPr>
        <w:t>390m</w:t>
      </w:r>
      <w:r>
        <w:rPr>
          <w:rFonts w:cs="Times New Roman" w:hint="eastAsia"/>
          <w:kern w:val="21"/>
        </w:rPr>
        <w:t>处为散户居民约</w:t>
      </w:r>
      <w:r>
        <w:rPr>
          <w:rFonts w:cs="Times New Roman" w:hint="eastAsia"/>
          <w:kern w:val="21"/>
        </w:rPr>
        <w:t>10</w:t>
      </w:r>
      <w:r>
        <w:rPr>
          <w:rFonts w:cs="Times New Roman" w:hint="eastAsia"/>
          <w:kern w:val="21"/>
        </w:rPr>
        <w:t>户</w:t>
      </w:r>
      <w:r>
        <w:rPr>
          <w:rFonts w:cs="Times New Roman" w:hint="eastAsia"/>
          <w:kern w:val="21"/>
        </w:rPr>
        <w:t>30</w:t>
      </w:r>
      <w:r>
        <w:rPr>
          <w:rFonts w:cs="Times New Roman" w:hint="eastAsia"/>
          <w:kern w:val="21"/>
        </w:rPr>
        <w:t>人；西北侧</w:t>
      </w:r>
      <w:r>
        <w:rPr>
          <w:rFonts w:cs="Times New Roman" w:hint="eastAsia"/>
          <w:kern w:val="21"/>
        </w:rPr>
        <w:t>620m</w:t>
      </w:r>
      <w:r>
        <w:rPr>
          <w:rFonts w:cs="Times New Roman" w:hint="eastAsia"/>
          <w:kern w:val="21"/>
        </w:rPr>
        <w:t>处为散户居民约</w:t>
      </w:r>
      <w:r>
        <w:rPr>
          <w:rFonts w:cs="Times New Roman" w:hint="eastAsia"/>
          <w:kern w:val="21"/>
        </w:rPr>
        <w:t>4</w:t>
      </w:r>
      <w:r>
        <w:rPr>
          <w:rFonts w:cs="Times New Roman" w:hint="eastAsia"/>
          <w:kern w:val="21"/>
        </w:rPr>
        <w:t>户</w:t>
      </w:r>
      <w:r>
        <w:rPr>
          <w:rFonts w:cs="Times New Roman" w:hint="eastAsia"/>
          <w:kern w:val="21"/>
        </w:rPr>
        <w:t>12</w:t>
      </w:r>
      <w:r>
        <w:rPr>
          <w:rFonts w:cs="Times New Roman" w:hint="eastAsia"/>
          <w:kern w:val="21"/>
        </w:rPr>
        <w:t>人；西北侧</w:t>
      </w:r>
      <w:r>
        <w:rPr>
          <w:rFonts w:cs="Times New Roman" w:hint="eastAsia"/>
          <w:kern w:val="21"/>
        </w:rPr>
        <w:t>650m</w:t>
      </w:r>
      <w:r>
        <w:rPr>
          <w:rFonts w:cs="Times New Roman" w:hint="eastAsia"/>
          <w:kern w:val="21"/>
        </w:rPr>
        <w:t>处为散户居民约</w:t>
      </w:r>
      <w:r>
        <w:rPr>
          <w:rFonts w:cs="Times New Roman" w:hint="eastAsia"/>
          <w:kern w:val="21"/>
        </w:rPr>
        <w:t>2</w:t>
      </w:r>
      <w:r>
        <w:rPr>
          <w:rFonts w:cs="Times New Roman" w:hint="eastAsia"/>
          <w:kern w:val="21"/>
        </w:rPr>
        <w:t>户</w:t>
      </w:r>
      <w:r>
        <w:rPr>
          <w:rFonts w:cs="Times New Roman" w:hint="eastAsia"/>
          <w:kern w:val="21"/>
        </w:rPr>
        <w:t>6</w:t>
      </w:r>
      <w:r>
        <w:rPr>
          <w:rFonts w:cs="Times New Roman" w:hint="eastAsia"/>
          <w:kern w:val="21"/>
        </w:rPr>
        <w:t>人；</w:t>
      </w:r>
      <w:proofErr w:type="gramStart"/>
      <w:r>
        <w:rPr>
          <w:rFonts w:cs="Times New Roman" w:hint="eastAsia"/>
          <w:kern w:val="21"/>
        </w:rPr>
        <w:t>育雏场西</w:t>
      </w:r>
      <w:proofErr w:type="gramEnd"/>
      <w:r>
        <w:rPr>
          <w:rFonts w:cs="Times New Roman" w:hint="eastAsia"/>
          <w:kern w:val="21"/>
        </w:rPr>
        <w:t>南侧</w:t>
      </w:r>
      <w:r>
        <w:rPr>
          <w:rFonts w:cs="Times New Roman" w:hint="eastAsia"/>
          <w:kern w:val="21"/>
        </w:rPr>
        <w:t>260m</w:t>
      </w:r>
      <w:r>
        <w:rPr>
          <w:rFonts w:cs="Times New Roman" w:hint="eastAsia"/>
          <w:kern w:val="21"/>
        </w:rPr>
        <w:t>处为</w:t>
      </w:r>
      <w:proofErr w:type="gramStart"/>
      <w:r>
        <w:rPr>
          <w:rFonts w:cs="Times New Roman" w:hint="eastAsia"/>
          <w:kern w:val="21"/>
        </w:rPr>
        <w:t>蹇</w:t>
      </w:r>
      <w:proofErr w:type="gramEnd"/>
      <w:r>
        <w:rPr>
          <w:rFonts w:cs="Times New Roman" w:hint="eastAsia"/>
          <w:kern w:val="21"/>
        </w:rPr>
        <w:t>家湾散户居民</w:t>
      </w:r>
      <w:r>
        <w:rPr>
          <w:rFonts w:cs="Times New Roman" w:hint="eastAsia"/>
          <w:kern w:val="21"/>
        </w:rPr>
        <w:t>2</w:t>
      </w:r>
      <w:r>
        <w:rPr>
          <w:rFonts w:cs="Times New Roman" w:hint="eastAsia"/>
          <w:kern w:val="21"/>
        </w:rPr>
        <w:t>户约</w:t>
      </w:r>
      <w:r>
        <w:rPr>
          <w:rFonts w:cs="Times New Roman" w:hint="eastAsia"/>
          <w:kern w:val="21"/>
        </w:rPr>
        <w:t>6</w:t>
      </w:r>
      <w:r>
        <w:rPr>
          <w:rFonts w:cs="Times New Roman" w:hint="eastAsia"/>
          <w:kern w:val="21"/>
        </w:rPr>
        <w:t>人；</w:t>
      </w:r>
      <w:proofErr w:type="gramStart"/>
      <w:r>
        <w:rPr>
          <w:rFonts w:cs="Times New Roman" w:hint="eastAsia"/>
          <w:kern w:val="21"/>
        </w:rPr>
        <w:t>育雏场西</w:t>
      </w:r>
      <w:proofErr w:type="gramEnd"/>
      <w:r>
        <w:rPr>
          <w:rFonts w:cs="Times New Roman" w:hint="eastAsia"/>
          <w:kern w:val="21"/>
        </w:rPr>
        <w:t>南侧</w:t>
      </w:r>
      <w:r>
        <w:rPr>
          <w:rFonts w:cs="Times New Roman" w:hint="eastAsia"/>
          <w:kern w:val="21"/>
        </w:rPr>
        <w:t>290m</w:t>
      </w:r>
      <w:r>
        <w:rPr>
          <w:rFonts w:cs="Times New Roman" w:hint="eastAsia"/>
          <w:kern w:val="21"/>
        </w:rPr>
        <w:t>处为</w:t>
      </w:r>
      <w:proofErr w:type="gramStart"/>
      <w:r>
        <w:rPr>
          <w:rFonts w:cs="Times New Roman" w:hint="eastAsia"/>
          <w:kern w:val="21"/>
        </w:rPr>
        <w:t>蹇</w:t>
      </w:r>
      <w:proofErr w:type="gramEnd"/>
      <w:r>
        <w:rPr>
          <w:rFonts w:cs="Times New Roman" w:hint="eastAsia"/>
          <w:kern w:val="21"/>
        </w:rPr>
        <w:t>家湾散户居民</w:t>
      </w:r>
      <w:r>
        <w:rPr>
          <w:rFonts w:cs="Times New Roman" w:hint="eastAsia"/>
          <w:kern w:val="21"/>
        </w:rPr>
        <w:t>1</w:t>
      </w:r>
      <w:r>
        <w:rPr>
          <w:rFonts w:cs="Times New Roman" w:hint="eastAsia"/>
          <w:kern w:val="21"/>
        </w:rPr>
        <w:t>户约</w:t>
      </w:r>
      <w:r>
        <w:rPr>
          <w:rFonts w:cs="Times New Roman" w:hint="eastAsia"/>
          <w:kern w:val="21"/>
        </w:rPr>
        <w:t>3</w:t>
      </w:r>
      <w:r>
        <w:rPr>
          <w:rFonts w:cs="Times New Roman" w:hint="eastAsia"/>
          <w:kern w:val="21"/>
        </w:rPr>
        <w:t>人；</w:t>
      </w:r>
      <w:proofErr w:type="gramStart"/>
      <w:r>
        <w:rPr>
          <w:rFonts w:cs="Times New Roman" w:hint="eastAsia"/>
          <w:kern w:val="21"/>
        </w:rPr>
        <w:t>育雏场西</w:t>
      </w:r>
      <w:proofErr w:type="gramEnd"/>
      <w:r>
        <w:rPr>
          <w:rFonts w:cs="Times New Roman" w:hint="eastAsia"/>
          <w:kern w:val="21"/>
        </w:rPr>
        <w:t>南侧</w:t>
      </w:r>
      <w:r>
        <w:rPr>
          <w:rFonts w:cs="Times New Roman" w:hint="eastAsia"/>
          <w:kern w:val="21"/>
        </w:rPr>
        <w:t>380m</w:t>
      </w:r>
      <w:r>
        <w:rPr>
          <w:rFonts w:cs="Times New Roman" w:hint="eastAsia"/>
          <w:kern w:val="21"/>
        </w:rPr>
        <w:t>处为</w:t>
      </w:r>
      <w:proofErr w:type="gramStart"/>
      <w:r>
        <w:rPr>
          <w:rFonts w:cs="Times New Roman" w:hint="eastAsia"/>
          <w:kern w:val="21"/>
        </w:rPr>
        <w:t>蹇</w:t>
      </w:r>
      <w:proofErr w:type="gramEnd"/>
      <w:r>
        <w:rPr>
          <w:rFonts w:cs="Times New Roman" w:hint="eastAsia"/>
          <w:kern w:val="21"/>
        </w:rPr>
        <w:t>家湾散户居民约</w:t>
      </w:r>
      <w:r>
        <w:rPr>
          <w:rFonts w:cs="Times New Roman" w:hint="eastAsia"/>
          <w:kern w:val="21"/>
        </w:rPr>
        <w:t>10</w:t>
      </w:r>
      <w:r>
        <w:rPr>
          <w:rFonts w:cs="Times New Roman" w:hint="eastAsia"/>
          <w:kern w:val="21"/>
        </w:rPr>
        <w:t>户</w:t>
      </w:r>
      <w:r>
        <w:rPr>
          <w:rFonts w:cs="Times New Roman" w:hint="eastAsia"/>
          <w:kern w:val="21"/>
        </w:rPr>
        <w:t>30</w:t>
      </w:r>
      <w:r>
        <w:rPr>
          <w:rFonts w:cs="Times New Roman" w:hint="eastAsia"/>
          <w:kern w:val="21"/>
        </w:rPr>
        <w:t>人；西南侧</w:t>
      </w:r>
      <w:r>
        <w:rPr>
          <w:rFonts w:cs="Times New Roman" w:hint="eastAsia"/>
          <w:kern w:val="21"/>
        </w:rPr>
        <w:t>510m</w:t>
      </w:r>
      <w:r>
        <w:rPr>
          <w:rFonts w:cs="Times New Roman" w:hint="eastAsia"/>
          <w:kern w:val="21"/>
        </w:rPr>
        <w:t>处为散户居民约</w:t>
      </w:r>
      <w:r>
        <w:rPr>
          <w:rFonts w:cs="Times New Roman" w:hint="eastAsia"/>
          <w:kern w:val="21"/>
        </w:rPr>
        <w:t>5</w:t>
      </w:r>
      <w:r>
        <w:rPr>
          <w:rFonts w:cs="Times New Roman" w:hint="eastAsia"/>
          <w:kern w:val="21"/>
        </w:rPr>
        <w:t>户</w:t>
      </w:r>
      <w:r>
        <w:rPr>
          <w:rFonts w:cs="Times New Roman" w:hint="eastAsia"/>
          <w:kern w:val="21"/>
        </w:rPr>
        <w:t>15</w:t>
      </w:r>
      <w:r>
        <w:rPr>
          <w:rFonts w:cs="Times New Roman" w:hint="eastAsia"/>
          <w:kern w:val="21"/>
        </w:rPr>
        <w:t>人；西南侧</w:t>
      </w:r>
      <w:r>
        <w:rPr>
          <w:rFonts w:cs="Times New Roman" w:hint="eastAsia"/>
          <w:kern w:val="21"/>
        </w:rPr>
        <w:t>690m</w:t>
      </w:r>
      <w:r>
        <w:rPr>
          <w:rFonts w:cs="Times New Roman" w:hint="eastAsia"/>
          <w:kern w:val="21"/>
        </w:rPr>
        <w:t>处为散户居民约</w:t>
      </w:r>
      <w:r>
        <w:rPr>
          <w:rFonts w:cs="Times New Roman" w:hint="eastAsia"/>
          <w:kern w:val="21"/>
        </w:rPr>
        <w:t>10</w:t>
      </w:r>
      <w:r>
        <w:rPr>
          <w:rFonts w:cs="Times New Roman" w:hint="eastAsia"/>
          <w:kern w:val="21"/>
        </w:rPr>
        <w:t>户</w:t>
      </w:r>
      <w:r>
        <w:rPr>
          <w:rFonts w:cs="Times New Roman" w:hint="eastAsia"/>
          <w:kern w:val="21"/>
        </w:rPr>
        <w:t>30</w:t>
      </w:r>
      <w:r>
        <w:rPr>
          <w:rFonts w:cs="Times New Roman" w:hint="eastAsia"/>
          <w:kern w:val="21"/>
        </w:rPr>
        <w:t>人；西南侧</w:t>
      </w:r>
      <w:r>
        <w:rPr>
          <w:rFonts w:cs="Times New Roman" w:hint="eastAsia"/>
          <w:kern w:val="21"/>
        </w:rPr>
        <w:t>730m</w:t>
      </w:r>
      <w:r>
        <w:rPr>
          <w:rFonts w:cs="Times New Roman" w:hint="eastAsia"/>
          <w:kern w:val="21"/>
        </w:rPr>
        <w:t>处为散户居民约</w:t>
      </w:r>
      <w:r>
        <w:rPr>
          <w:rFonts w:cs="Times New Roman" w:hint="eastAsia"/>
          <w:kern w:val="21"/>
        </w:rPr>
        <w:t>2</w:t>
      </w:r>
      <w:r>
        <w:rPr>
          <w:rFonts w:cs="Times New Roman" w:hint="eastAsia"/>
          <w:kern w:val="21"/>
        </w:rPr>
        <w:t>户</w:t>
      </w:r>
      <w:r>
        <w:rPr>
          <w:rFonts w:cs="Times New Roman" w:hint="eastAsia"/>
          <w:kern w:val="21"/>
        </w:rPr>
        <w:t>6</w:t>
      </w:r>
      <w:r>
        <w:rPr>
          <w:rFonts w:cs="Times New Roman" w:hint="eastAsia"/>
          <w:kern w:val="21"/>
        </w:rPr>
        <w:t>人；</w:t>
      </w:r>
      <w:proofErr w:type="gramStart"/>
      <w:r>
        <w:rPr>
          <w:rFonts w:cs="Times New Roman" w:hint="eastAsia"/>
          <w:kern w:val="21"/>
        </w:rPr>
        <w:t>育雏场</w:t>
      </w:r>
      <w:proofErr w:type="gramEnd"/>
      <w:r>
        <w:rPr>
          <w:rFonts w:cs="Times New Roman" w:hint="eastAsia"/>
          <w:kern w:val="21"/>
        </w:rPr>
        <w:t>西侧</w:t>
      </w:r>
      <w:r>
        <w:rPr>
          <w:rFonts w:cs="Times New Roman" w:hint="eastAsia"/>
          <w:kern w:val="21"/>
        </w:rPr>
        <w:t>1200m</w:t>
      </w:r>
      <w:r>
        <w:rPr>
          <w:rFonts w:cs="Times New Roman" w:hint="eastAsia"/>
          <w:kern w:val="21"/>
        </w:rPr>
        <w:t>处为风</w:t>
      </w:r>
      <w:proofErr w:type="gramStart"/>
      <w:r>
        <w:rPr>
          <w:rFonts w:cs="Times New Roman" w:hint="eastAsia"/>
          <w:kern w:val="21"/>
        </w:rPr>
        <w:t>垭</w:t>
      </w:r>
      <w:proofErr w:type="gramEnd"/>
      <w:r>
        <w:rPr>
          <w:rFonts w:cs="Times New Roman" w:hint="eastAsia"/>
          <w:kern w:val="21"/>
        </w:rPr>
        <w:t>村散户居民约</w:t>
      </w:r>
      <w:r>
        <w:rPr>
          <w:rFonts w:cs="Times New Roman" w:hint="eastAsia"/>
          <w:kern w:val="21"/>
        </w:rPr>
        <w:t>30</w:t>
      </w:r>
      <w:r>
        <w:rPr>
          <w:rFonts w:cs="Times New Roman" w:hint="eastAsia"/>
          <w:kern w:val="21"/>
        </w:rPr>
        <w:t>户</w:t>
      </w:r>
      <w:r>
        <w:rPr>
          <w:rFonts w:cs="Times New Roman" w:hint="eastAsia"/>
          <w:kern w:val="21"/>
        </w:rPr>
        <w:t>90</w:t>
      </w:r>
      <w:r>
        <w:rPr>
          <w:rFonts w:cs="Times New Roman" w:hint="eastAsia"/>
          <w:kern w:val="21"/>
        </w:rPr>
        <w:t>人；</w:t>
      </w:r>
      <w:proofErr w:type="gramStart"/>
      <w:r>
        <w:rPr>
          <w:rFonts w:cs="Times New Roman" w:hint="eastAsia"/>
          <w:kern w:val="21"/>
        </w:rPr>
        <w:t>育雏场西</w:t>
      </w:r>
      <w:proofErr w:type="gramEnd"/>
      <w:r>
        <w:rPr>
          <w:rFonts w:cs="Times New Roman" w:hint="eastAsia"/>
          <w:kern w:val="21"/>
        </w:rPr>
        <w:t>南侧</w:t>
      </w:r>
      <w:r>
        <w:rPr>
          <w:rFonts w:cs="Times New Roman" w:hint="eastAsia"/>
          <w:kern w:val="21"/>
        </w:rPr>
        <w:t>2200m</w:t>
      </w:r>
      <w:r>
        <w:rPr>
          <w:rFonts w:cs="Times New Roman" w:hint="eastAsia"/>
          <w:kern w:val="21"/>
        </w:rPr>
        <w:t>处为双鱼村散户居民约</w:t>
      </w:r>
      <w:r>
        <w:rPr>
          <w:rFonts w:cs="Times New Roman" w:hint="eastAsia"/>
          <w:kern w:val="21"/>
        </w:rPr>
        <w:t>30</w:t>
      </w:r>
      <w:r>
        <w:rPr>
          <w:rFonts w:cs="Times New Roman" w:hint="eastAsia"/>
          <w:kern w:val="21"/>
        </w:rPr>
        <w:t>户</w:t>
      </w:r>
      <w:r>
        <w:rPr>
          <w:rFonts w:cs="Times New Roman" w:hint="eastAsia"/>
          <w:kern w:val="21"/>
        </w:rPr>
        <w:t>90</w:t>
      </w:r>
      <w:r>
        <w:rPr>
          <w:rFonts w:cs="Times New Roman" w:hint="eastAsia"/>
          <w:kern w:val="21"/>
        </w:rPr>
        <w:t>人；</w:t>
      </w:r>
    </w:p>
    <w:p w14:paraId="236DB2B8" w14:textId="77777777" w:rsidR="00544649" w:rsidRDefault="00000000">
      <w:pPr>
        <w:adjustRightInd w:val="0"/>
        <w:snapToGrid w:val="0"/>
        <w:spacing w:after="0"/>
        <w:ind w:firstLine="480"/>
        <w:rPr>
          <w:rFonts w:cs="Times New Roman"/>
          <w:kern w:val="21"/>
        </w:rPr>
      </w:pPr>
      <w:proofErr w:type="gramStart"/>
      <w:r>
        <w:rPr>
          <w:rFonts w:cs="Times New Roman" w:hint="eastAsia"/>
          <w:kern w:val="21"/>
        </w:rPr>
        <w:t>育雏场</w:t>
      </w:r>
      <w:proofErr w:type="gramEnd"/>
      <w:r>
        <w:rPr>
          <w:rFonts w:cs="Times New Roman" w:hint="eastAsia"/>
          <w:kern w:val="21"/>
        </w:rPr>
        <w:t>东侧</w:t>
      </w:r>
      <w:r>
        <w:rPr>
          <w:rFonts w:cs="Times New Roman" w:hint="eastAsia"/>
          <w:kern w:val="21"/>
        </w:rPr>
        <w:t>510m</w:t>
      </w:r>
      <w:r>
        <w:rPr>
          <w:rFonts w:cs="Times New Roman" w:hint="eastAsia"/>
          <w:kern w:val="21"/>
        </w:rPr>
        <w:t>处为柏树村散户居民</w:t>
      </w:r>
      <w:r>
        <w:rPr>
          <w:rFonts w:cs="Times New Roman" w:hint="eastAsia"/>
          <w:kern w:val="21"/>
        </w:rPr>
        <w:t>1</w:t>
      </w:r>
      <w:r>
        <w:rPr>
          <w:rFonts w:cs="Times New Roman" w:hint="eastAsia"/>
          <w:kern w:val="21"/>
        </w:rPr>
        <w:t>户</w:t>
      </w:r>
      <w:r>
        <w:rPr>
          <w:rFonts w:cs="Times New Roman" w:hint="eastAsia"/>
          <w:kern w:val="21"/>
        </w:rPr>
        <w:t>3</w:t>
      </w:r>
      <w:r>
        <w:rPr>
          <w:rFonts w:cs="Times New Roman" w:hint="eastAsia"/>
          <w:kern w:val="21"/>
        </w:rPr>
        <w:t>人；东侧</w:t>
      </w:r>
      <w:r>
        <w:rPr>
          <w:rFonts w:cs="Times New Roman" w:hint="eastAsia"/>
          <w:kern w:val="21"/>
        </w:rPr>
        <w:t>660m</w:t>
      </w:r>
      <w:r>
        <w:rPr>
          <w:rFonts w:cs="Times New Roman" w:hint="eastAsia"/>
          <w:kern w:val="21"/>
        </w:rPr>
        <w:t>处为散户居民</w:t>
      </w:r>
      <w:r>
        <w:rPr>
          <w:rFonts w:cs="Times New Roman" w:hint="eastAsia"/>
          <w:kern w:val="21"/>
        </w:rPr>
        <w:t>2</w:t>
      </w:r>
      <w:r>
        <w:rPr>
          <w:rFonts w:cs="Times New Roman" w:hint="eastAsia"/>
          <w:kern w:val="21"/>
        </w:rPr>
        <w:t>户约</w:t>
      </w:r>
      <w:r>
        <w:rPr>
          <w:rFonts w:cs="Times New Roman" w:hint="eastAsia"/>
          <w:kern w:val="21"/>
        </w:rPr>
        <w:t>6</w:t>
      </w:r>
      <w:r>
        <w:rPr>
          <w:rFonts w:cs="Times New Roman" w:hint="eastAsia"/>
          <w:kern w:val="21"/>
        </w:rPr>
        <w:t>人；东侧</w:t>
      </w:r>
      <w:r>
        <w:rPr>
          <w:rFonts w:cs="Times New Roman" w:hint="eastAsia"/>
          <w:kern w:val="21"/>
        </w:rPr>
        <w:t>810m</w:t>
      </w:r>
      <w:r>
        <w:rPr>
          <w:rFonts w:cs="Times New Roman" w:hint="eastAsia"/>
          <w:kern w:val="21"/>
        </w:rPr>
        <w:t>处为散户居民约</w:t>
      </w:r>
      <w:r>
        <w:rPr>
          <w:rFonts w:cs="Times New Roman" w:hint="eastAsia"/>
          <w:kern w:val="21"/>
        </w:rPr>
        <w:t>9</w:t>
      </w:r>
      <w:r>
        <w:rPr>
          <w:rFonts w:cs="Times New Roman" w:hint="eastAsia"/>
          <w:kern w:val="21"/>
        </w:rPr>
        <w:t>户</w:t>
      </w:r>
      <w:r>
        <w:rPr>
          <w:rFonts w:cs="Times New Roman" w:hint="eastAsia"/>
          <w:kern w:val="21"/>
        </w:rPr>
        <w:t>27</w:t>
      </w:r>
      <w:r>
        <w:rPr>
          <w:rFonts w:cs="Times New Roman" w:hint="eastAsia"/>
          <w:kern w:val="21"/>
        </w:rPr>
        <w:t>人；</w:t>
      </w:r>
      <w:proofErr w:type="gramStart"/>
      <w:r>
        <w:rPr>
          <w:rFonts w:cs="Times New Roman" w:hint="eastAsia"/>
          <w:kern w:val="21"/>
        </w:rPr>
        <w:t>育雏场</w:t>
      </w:r>
      <w:proofErr w:type="gramEnd"/>
      <w:r>
        <w:rPr>
          <w:rFonts w:cs="Times New Roman" w:hint="eastAsia"/>
          <w:kern w:val="21"/>
        </w:rPr>
        <w:t>东侧</w:t>
      </w:r>
      <w:r>
        <w:rPr>
          <w:rFonts w:cs="Times New Roman" w:hint="eastAsia"/>
          <w:kern w:val="21"/>
        </w:rPr>
        <w:t>2400m</w:t>
      </w:r>
      <w:r>
        <w:rPr>
          <w:rFonts w:cs="Times New Roman" w:hint="eastAsia"/>
          <w:kern w:val="21"/>
        </w:rPr>
        <w:t>处为紫荆村散户居民约</w:t>
      </w:r>
      <w:r>
        <w:rPr>
          <w:rFonts w:cs="Times New Roman" w:hint="eastAsia"/>
          <w:kern w:val="21"/>
        </w:rPr>
        <w:t>15</w:t>
      </w:r>
      <w:r>
        <w:rPr>
          <w:rFonts w:cs="Times New Roman" w:hint="eastAsia"/>
          <w:kern w:val="21"/>
        </w:rPr>
        <w:t>户</w:t>
      </w:r>
      <w:r>
        <w:rPr>
          <w:rFonts w:cs="Times New Roman" w:hint="eastAsia"/>
          <w:kern w:val="21"/>
        </w:rPr>
        <w:t>45</w:t>
      </w:r>
      <w:r>
        <w:rPr>
          <w:rFonts w:cs="Times New Roman" w:hint="eastAsia"/>
          <w:kern w:val="21"/>
        </w:rPr>
        <w:t>人；</w:t>
      </w:r>
      <w:proofErr w:type="gramStart"/>
      <w:r>
        <w:rPr>
          <w:rFonts w:cs="Times New Roman" w:hint="eastAsia"/>
          <w:kern w:val="21"/>
        </w:rPr>
        <w:t>育雏场</w:t>
      </w:r>
      <w:proofErr w:type="gramEnd"/>
      <w:r>
        <w:rPr>
          <w:rFonts w:cs="Times New Roman" w:hint="eastAsia"/>
          <w:kern w:val="21"/>
        </w:rPr>
        <w:t>东北侧</w:t>
      </w:r>
      <w:r>
        <w:rPr>
          <w:rFonts w:cs="Times New Roman" w:hint="eastAsia"/>
          <w:kern w:val="21"/>
        </w:rPr>
        <w:t>1300m</w:t>
      </w:r>
      <w:r>
        <w:rPr>
          <w:rFonts w:cs="Times New Roman" w:hint="eastAsia"/>
          <w:kern w:val="21"/>
        </w:rPr>
        <w:t>处为屋基岩散户居民约</w:t>
      </w:r>
      <w:r>
        <w:rPr>
          <w:rFonts w:cs="Times New Roman" w:hint="eastAsia"/>
          <w:kern w:val="21"/>
        </w:rPr>
        <w:t>30</w:t>
      </w:r>
      <w:r>
        <w:rPr>
          <w:rFonts w:cs="Times New Roman" w:hint="eastAsia"/>
          <w:kern w:val="21"/>
        </w:rPr>
        <w:t>户</w:t>
      </w:r>
      <w:r>
        <w:rPr>
          <w:rFonts w:cs="Times New Roman" w:hint="eastAsia"/>
          <w:kern w:val="21"/>
        </w:rPr>
        <w:t>90</w:t>
      </w:r>
      <w:r>
        <w:rPr>
          <w:rFonts w:cs="Times New Roman" w:hint="eastAsia"/>
          <w:kern w:val="21"/>
        </w:rPr>
        <w:t>人；</w:t>
      </w:r>
    </w:p>
    <w:p w14:paraId="426E0201" w14:textId="77777777" w:rsidR="00544649" w:rsidRDefault="00000000">
      <w:pPr>
        <w:adjustRightInd w:val="0"/>
        <w:snapToGrid w:val="0"/>
        <w:spacing w:after="0"/>
        <w:ind w:firstLine="480"/>
        <w:rPr>
          <w:rFonts w:cs="Times New Roman"/>
          <w:kern w:val="21"/>
        </w:rPr>
      </w:pPr>
      <w:r>
        <w:rPr>
          <w:rFonts w:cs="Times New Roman" w:hint="eastAsia"/>
          <w:kern w:val="21"/>
        </w:rPr>
        <w:t>项目</w:t>
      </w:r>
      <w:proofErr w:type="gramStart"/>
      <w:r>
        <w:rPr>
          <w:rFonts w:cs="Times New Roman" w:hint="eastAsia"/>
          <w:kern w:val="21"/>
        </w:rPr>
        <w:t>育雏场</w:t>
      </w:r>
      <w:proofErr w:type="gramEnd"/>
      <w:r>
        <w:rPr>
          <w:rFonts w:cs="Times New Roman" w:hint="eastAsia"/>
          <w:kern w:val="21"/>
        </w:rPr>
        <w:t>北侧</w:t>
      </w:r>
      <w:r>
        <w:rPr>
          <w:rFonts w:cs="Times New Roman" w:hint="eastAsia"/>
          <w:kern w:val="21"/>
        </w:rPr>
        <w:t>1500m</w:t>
      </w:r>
      <w:r>
        <w:rPr>
          <w:rFonts w:cs="Times New Roman" w:hint="eastAsia"/>
          <w:kern w:val="21"/>
        </w:rPr>
        <w:t>处</w:t>
      </w:r>
      <w:proofErr w:type="gramStart"/>
      <w:r>
        <w:rPr>
          <w:rFonts w:cs="Times New Roman" w:hint="eastAsia"/>
          <w:kern w:val="21"/>
        </w:rPr>
        <w:t>为普子岭</w:t>
      </w:r>
      <w:proofErr w:type="gramEnd"/>
      <w:r>
        <w:rPr>
          <w:rFonts w:cs="Times New Roman" w:hint="eastAsia"/>
          <w:kern w:val="21"/>
        </w:rPr>
        <w:t>散户居民约</w:t>
      </w:r>
      <w:r>
        <w:rPr>
          <w:rFonts w:cs="Times New Roman" w:hint="eastAsia"/>
          <w:kern w:val="21"/>
        </w:rPr>
        <w:t>15</w:t>
      </w:r>
      <w:r>
        <w:rPr>
          <w:rFonts w:cs="Times New Roman" w:hint="eastAsia"/>
          <w:kern w:val="21"/>
        </w:rPr>
        <w:t>户</w:t>
      </w:r>
      <w:r>
        <w:rPr>
          <w:rFonts w:cs="Times New Roman" w:hint="eastAsia"/>
          <w:kern w:val="21"/>
        </w:rPr>
        <w:t>45</w:t>
      </w:r>
      <w:r>
        <w:rPr>
          <w:rFonts w:cs="Times New Roman" w:hint="eastAsia"/>
          <w:kern w:val="21"/>
        </w:rPr>
        <w:t>人；</w:t>
      </w:r>
      <w:proofErr w:type="gramStart"/>
      <w:r>
        <w:rPr>
          <w:rFonts w:cs="Times New Roman" w:hint="eastAsia"/>
          <w:kern w:val="21"/>
        </w:rPr>
        <w:t>育雏场</w:t>
      </w:r>
      <w:proofErr w:type="gramEnd"/>
      <w:r>
        <w:rPr>
          <w:rFonts w:cs="Times New Roman" w:hint="eastAsia"/>
          <w:kern w:val="21"/>
        </w:rPr>
        <w:t>北侧</w:t>
      </w:r>
      <w:r>
        <w:rPr>
          <w:rFonts w:cs="Times New Roman" w:hint="eastAsia"/>
          <w:kern w:val="21"/>
        </w:rPr>
        <w:t>1100m</w:t>
      </w:r>
      <w:r>
        <w:rPr>
          <w:rFonts w:cs="Times New Roman" w:hint="eastAsia"/>
          <w:kern w:val="21"/>
        </w:rPr>
        <w:t>处为</w:t>
      </w:r>
      <w:proofErr w:type="gramStart"/>
      <w:r>
        <w:rPr>
          <w:rFonts w:cs="Times New Roman" w:hint="eastAsia"/>
          <w:kern w:val="21"/>
        </w:rPr>
        <w:t>岳家河</w:t>
      </w:r>
      <w:proofErr w:type="gramEnd"/>
      <w:r>
        <w:rPr>
          <w:rFonts w:cs="Times New Roman" w:hint="eastAsia"/>
          <w:kern w:val="21"/>
        </w:rPr>
        <w:t>散户居民约</w:t>
      </w:r>
      <w:r>
        <w:rPr>
          <w:rFonts w:cs="Times New Roman" w:hint="eastAsia"/>
          <w:kern w:val="21"/>
        </w:rPr>
        <w:t>10</w:t>
      </w:r>
      <w:r>
        <w:rPr>
          <w:rFonts w:cs="Times New Roman" w:hint="eastAsia"/>
          <w:kern w:val="21"/>
        </w:rPr>
        <w:t>户</w:t>
      </w:r>
      <w:r>
        <w:rPr>
          <w:rFonts w:cs="Times New Roman" w:hint="eastAsia"/>
          <w:kern w:val="21"/>
        </w:rPr>
        <w:t>30</w:t>
      </w:r>
      <w:r>
        <w:rPr>
          <w:rFonts w:cs="Times New Roman" w:hint="eastAsia"/>
          <w:kern w:val="21"/>
        </w:rPr>
        <w:t>人；</w:t>
      </w:r>
      <w:proofErr w:type="gramStart"/>
      <w:r>
        <w:rPr>
          <w:rFonts w:cs="Times New Roman" w:hint="eastAsia"/>
          <w:kern w:val="21"/>
        </w:rPr>
        <w:t>育雏场</w:t>
      </w:r>
      <w:proofErr w:type="gramEnd"/>
      <w:r>
        <w:rPr>
          <w:rFonts w:cs="Times New Roman" w:hint="eastAsia"/>
          <w:kern w:val="21"/>
        </w:rPr>
        <w:t>北侧</w:t>
      </w:r>
      <w:r>
        <w:rPr>
          <w:rFonts w:cs="Times New Roman" w:hint="eastAsia"/>
          <w:kern w:val="21"/>
        </w:rPr>
        <w:t>1700m</w:t>
      </w:r>
      <w:r>
        <w:rPr>
          <w:rFonts w:cs="Times New Roman" w:hint="eastAsia"/>
          <w:kern w:val="21"/>
        </w:rPr>
        <w:t>处为大屋基散户居民约</w:t>
      </w:r>
      <w:r>
        <w:rPr>
          <w:rFonts w:cs="Times New Roman" w:hint="eastAsia"/>
          <w:kern w:val="21"/>
        </w:rPr>
        <w:t>20</w:t>
      </w:r>
      <w:r>
        <w:rPr>
          <w:rFonts w:cs="Times New Roman" w:hint="eastAsia"/>
          <w:kern w:val="21"/>
        </w:rPr>
        <w:t>户</w:t>
      </w:r>
      <w:r>
        <w:rPr>
          <w:rFonts w:cs="Times New Roman" w:hint="eastAsia"/>
          <w:kern w:val="21"/>
        </w:rPr>
        <w:t>60</w:t>
      </w:r>
      <w:r>
        <w:rPr>
          <w:rFonts w:cs="Times New Roman" w:hint="eastAsia"/>
          <w:kern w:val="21"/>
        </w:rPr>
        <w:t>人；</w:t>
      </w:r>
      <w:proofErr w:type="gramStart"/>
      <w:r>
        <w:rPr>
          <w:rFonts w:cs="Times New Roman" w:hint="eastAsia"/>
          <w:kern w:val="21"/>
        </w:rPr>
        <w:t>育雏场</w:t>
      </w:r>
      <w:proofErr w:type="gramEnd"/>
      <w:r>
        <w:rPr>
          <w:rFonts w:cs="Times New Roman" w:hint="eastAsia"/>
          <w:kern w:val="21"/>
        </w:rPr>
        <w:t>北侧</w:t>
      </w:r>
      <w:r>
        <w:rPr>
          <w:rFonts w:cs="Times New Roman" w:hint="eastAsia"/>
          <w:kern w:val="21"/>
        </w:rPr>
        <w:t>1500m</w:t>
      </w:r>
      <w:r>
        <w:rPr>
          <w:rFonts w:cs="Times New Roman" w:hint="eastAsia"/>
          <w:kern w:val="21"/>
        </w:rPr>
        <w:t>处为剑山村散户居民约</w:t>
      </w:r>
      <w:r>
        <w:rPr>
          <w:rFonts w:cs="Times New Roman" w:hint="eastAsia"/>
          <w:kern w:val="21"/>
        </w:rPr>
        <w:t>25</w:t>
      </w:r>
      <w:r>
        <w:rPr>
          <w:rFonts w:cs="Times New Roman" w:hint="eastAsia"/>
          <w:kern w:val="21"/>
        </w:rPr>
        <w:t>户</w:t>
      </w:r>
      <w:r>
        <w:rPr>
          <w:rFonts w:cs="Times New Roman" w:hint="eastAsia"/>
          <w:kern w:val="21"/>
        </w:rPr>
        <w:t>75</w:t>
      </w:r>
      <w:r>
        <w:rPr>
          <w:rFonts w:cs="Times New Roman" w:hint="eastAsia"/>
          <w:kern w:val="21"/>
        </w:rPr>
        <w:t>人。</w:t>
      </w:r>
    </w:p>
    <w:p w14:paraId="114FACF1" w14:textId="77777777" w:rsidR="00544649" w:rsidRDefault="00000000">
      <w:pPr>
        <w:adjustRightInd w:val="0"/>
        <w:snapToGrid w:val="0"/>
        <w:spacing w:after="0"/>
        <w:ind w:firstLine="482"/>
        <w:rPr>
          <w:rFonts w:cs="Times New Roman"/>
          <w:kern w:val="21"/>
        </w:rPr>
      </w:pPr>
      <w:r>
        <w:rPr>
          <w:rFonts w:cs="Times New Roman" w:hint="eastAsia"/>
          <w:b/>
          <w:bCs/>
          <w:kern w:val="21"/>
        </w:rPr>
        <w:t>（</w:t>
      </w:r>
      <w:r>
        <w:rPr>
          <w:rFonts w:cs="Times New Roman" w:hint="eastAsia"/>
          <w:b/>
          <w:bCs/>
          <w:kern w:val="21"/>
        </w:rPr>
        <w:t>2</w:t>
      </w:r>
      <w:r>
        <w:rPr>
          <w:rFonts w:cs="Times New Roman" w:hint="eastAsia"/>
          <w:b/>
          <w:bCs/>
          <w:kern w:val="21"/>
        </w:rPr>
        <w:t>）蛋鸡场周边居民：</w:t>
      </w:r>
      <w:r>
        <w:rPr>
          <w:rFonts w:cs="Times New Roman"/>
          <w:kern w:val="21"/>
        </w:rPr>
        <w:t>项目</w:t>
      </w:r>
      <w:r>
        <w:rPr>
          <w:rFonts w:cs="Times New Roman" w:hint="eastAsia"/>
          <w:kern w:val="21"/>
        </w:rPr>
        <w:t>蛋鸡场西侧</w:t>
      </w:r>
      <w:r>
        <w:rPr>
          <w:rFonts w:cs="Times New Roman" w:hint="eastAsia"/>
          <w:kern w:val="21"/>
          <w:szCs w:val="21"/>
        </w:rPr>
        <w:t>125m</w:t>
      </w:r>
      <w:r>
        <w:rPr>
          <w:rFonts w:cs="Times New Roman" w:hint="eastAsia"/>
          <w:kern w:val="21"/>
        </w:rPr>
        <w:t>为散户居民</w:t>
      </w:r>
      <w:r>
        <w:rPr>
          <w:rFonts w:cs="Times New Roman" w:hint="eastAsia"/>
          <w:kern w:val="21"/>
        </w:rPr>
        <w:t>1</w:t>
      </w:r>
      <w:r>
        <w:rPr>
          <w:rFonts w:cs="Times New Roman" w:hint="eastAsia"/>
          <w:kern w:val="21"/>
        </w:rPr>
        <w:t>户，约</w:t>
      </w:r>
      <w:r>
        <w:rPr>
          <w:rFonts w:cs="Times New Roman" w:hint="eastAsia"/>
          <w:kern w:val="21"/>
        </w:rPr>
        <w:t>3</w:t>
      </w:r>
      <w:r>
        <w:rPr>
          <w:rFonts w:cs="Times New Roman" w:hint="eastAsia"/>
          <w:kern w:val="21"/>
        </w:rPr>
        <w:t>人；蛋鸡场西侧</w:t>
      </w:r>
      <w:r>
        <w:rPr>
          <w:rFonts w:cs="Times New Roman" w:hint="eastAsia"/>
          <w:kern w:val="21"/>
          <w:szCs w:val="21"/>
        </w:rPr>
        <w:t>140m</w:t>
      </w:r>
      <w:r>
        <w:rPr>
          <w:rFonts w:cs="Times New Roman" w:hint="eastAsia"/>
          <w:kern w:val="21"/>
        </w:rPr>
        <w:t>为散户居民</w:t>
      </w:r>
      <w:r>
        <w:rPr>
          <w:rFonts w:cs="Times New Roman" w:hint="eastAsia"/>
          <w:kern w:val="21"/>
        </w:rPr>
        <w:t>1</w:t>
      </w:r>
      <w:r>
        <w:rPr>
          <w:rFonts w:cs="Times New Roman" w:hint="eastAsia"/>
          <w:kern w:val="21"/>
        </w:rPr>
        <w:t>户，约</w:t>
      </w:r>
      <w:r>
        <w:rPr>
          <w:rFonts w:cs="Times New Roman" w:hint="eastAsia"/>
          <w:kern w:val="21"/>
        </w:rPr>
        <w:t>3</w:t>
      </w:r>
      <w:r>
        <w:rPr>
          <w:rFonts w:cs="Times New Roman" w:hint="eastAsia"/>
          <w:kern w:val="21"/>
        </w:rPr>
        <w:t>人；蛋鸡场西侧</w:t>
      </w:r>
      <w:r>
        <w:rPr>
          <w:rFonts w:cs="Times New Roman" w:hint="eastAsia"/>
          <w:kern w:val="21"/>
        </w:rPr>
        <w:t>900m</w:t>
      </w:r>
      <w:r>
        <w:rPr>
          <w:rFonts w:cs="Times New Roman" w:hint="eastAsia"/>
          <w:kern w:val="21"/>
        </w:rPr>
        <w:t>处为剑华村散户居民约</w:t>
      </w:r>
      <w:r>
        <w:rPr>
          <w:rFonts w:cs="Times New Roman" w:hint="eastAsia"/>
          <w:kern w:val="21"/>
        </w:rPr>
        <w:t>25</w:t>
      </w:r>
      <w:r>
        <w:rPr>
          <w:rFonts w:cs="Times New Roman" w:hint="eastAsia"/>
          <w:kern w:val="21"/>
        </w:rPr>
        <w:t>户</w:t>
      </w:r>
      <w:r>
        <w:rPr>
          <w:rFonts w:cs="Times New Roman" w:hint="eastAsia"/>
          <w:kern w:val="21"/>
        </w:rPr>
        <w:t>75</w:t>
      </w:r>
      <w:r>
        <w:rPr>
          <w:rFonts w:cs="Times New Roman" w:hint="eastAsia"/>
          <w:kern w:val="21"/>
        </w:rPr>
        <w:t>人；项目蛋鸡场西侧</w:t>
      </w:r>
      <w:r>
        <w:rPr>
          <w:rFonts w:cs="Times New Roman" w:hint="eastAsia"/>
          <w:kern w:val="21"/>
        </w:rPr>
        <w:t>1700m</w:t>
      </w:r>
      <w:r>
        <w:rPr>
          <w:rFonts w:cs="Times New Roman" w:hint="eastAsia"/>
          <w:kern w:val="21"/>
        </w:rPr>
        <w:t>处为魏家角散户居民，约</w:t>
      </w:r>
      <w:r>
        <w:rPr>
          <w:rFonts w:cs="Times New Roman" w:hint="eastAsia"/>
          <w:kern w:val="21"/>
        </w:rPr>
        <w:t>15</w:t>
      </w:r>
      <w:r>
        <w:rPr>
          <w:rFonts w:cs="Times New Roman" w:hint="eastAsia"/>
          <w:kern w:val="21"/>
        </w:rPr>
        <w:t>户</w:t>
      </w:r>
      <w:r>
        <w:rPr>
          <w:rFonts w:cs="Times New Roman" w:hint="eastAsia"/>
          <w:kern w:val="21"/>
        </w:rPr>
        <w:t>45</w:t>
      </w:r>
      <w:r>
        <w:rPr>
          <w:rFonts w:cs="Times New Roman" w:hint="eastAsia"/>
          <w:kern w:val="21"/>
        </w:rPr>
        <w:t>人；蛋鸡场西侧</w:t>
      </w:r>
      <w:r>
        <w:rPr>
          <w:rFonts w:cs="Times New Roman" w:hint="eastAsia"/>
          <w:kern w:val="21"/>
        </w:rPr>
        <w:lastRenderedPageBreak/>
        <w:t>2000m</w:t>
      </w:r>
      <w:r>
        <w:rPr>
          <w:rFonts w:cs="Times New Roman" w:hint="eastAsia"/>
          <w:kern w:val="21"/>
        </w:rPr>
        <w:t>处为双鱼村散户居民约</w:t>
      </w:r>
      <w:r>
        <w:rPr>
          <w:rFonts w:cs="Times New Roman" w:hint="eastAsia"/>
          <w:kern w:val="21"/>
        </w:rPr>
        <w:t>35</w:t>
      </w:r>
      <w:r>
        <w:rPr>
          <w:rFonts w:cs="Times New Roman" w:hint="eastAsia"/>
          <w:kern w:val="21"/>
        </w:rPr>
        <w:t>户</w:t>
      </w:r>
      <w:r>
        <w:rPr>
          <w:rFonts w:cs="Times New Roman" w:hint="eastAsia"/>
          <w:kern w:val="21"/>
        </w:rPr>
        <w:t>105</w:t>
      </w:r>
      <w:r>
        <w:rPr>
          <w:rFonts w:cs="Times New Roman" w:hint="eastAsia"/>
          <w:kern w:val="21"/>
        </w:rPr>
        <w:t>人；蛋鸡场西侧</w:t>
      </w:r>
      <w:r>
        <w:rPr>
          <w:rFonts w:cs="Times New Roman" w:hint="eastAsia"/>
          <w:kern w:val="21"/>
        </w:rPr>
        <w:t>1000m</w:t>
      </w:r>
      <w:r>
        <w:rPr>
          <w:rFonts w:cs="Times New Roman" w:hint="eastAsia"/>
          <w:kern w:val="21"/>
        </w:rPr>
        <w:t>处为剑华村散户居民约</w:t>
      </w:r>
      <w:r>
        <w:rPr>
          <w:rFonts w:cs="Times New Roman" w:hint="eastAsia"/>
          <w:kern w:val="21"/>
        </w:rPr>
        <w:t>20</w:t>
      </w:r>
      <w:r>
        <w:rPr>
          <w:rFonts w:cs="Times New Roman" w:hint="eastAsia"/>
          <w:kern w:val="21"/>
        </w:rPr>
        <w:t>户</w:t>
      </w:r>
      <w:r>
        <w:rPr>
          <w:rFonts w:cs="Times New Roman" w:hint="eastAsia"/>
          <w:kern w:val="21"/>
        </w:rPr>
        <w:t>60</w:t>
      </w:r>
      <w:r>
        <w:rPr>
          <w:rFonts w:cs="Times New Roman" w:hint="eastAsia"/>
          <w:kern w:val="21"/>
        </w:rPr>
        <w:t>人；</w:t>
      </w:r>
      <w:proofErr w:type="gramStart"/>
      <w:r>
        <w:rPr>
          <w:rFonts w:cs="Times New Roman" w:hint="eastAsia"/>
          <w:kern w:val="21"/>
        </w:rPr>
        <w:t>蛋鸡场西北侧</w:t>
      </w:r>
      <w:proofErr w:type="gramEnd"/>
      <w:r>
        <w:rPr>
          <w:rFonts w:cs="Times New Roman" w:hint="eastAsia"/>
          <w:kern w:val="21"/>
        </w:rPr>
        <w:t>330m</w:t>
      </w:r>
      <w:r>
        <w:rPr>
          <w:rFonts w:cs="Times New Roman" w:hint="eastAsia"/>
          <w:kern w:val="21"/>
        </w:rPr>
        <w:t>处为</w:t>
      </w:r>
      <w:proofErr w:type="gramStart"/>
      <w:r>
        <w:rPr>
          <w:rFonts w:cs="Times New Roman" w:hint="eastAsia"/>
          <w:kern w:val="21"/>
        </w:rPr>
        <w:t>蹇</w:t>
      </w:r>
      <w:proofErr w:type="gramEnd"/>
      <w:r>
        <w:rPr>
          <w:rFonts w:cs="Times New Roman" w:hint="eastAsia"/>
          <w:kern w:val="21"/>
        </w:rPr>
        <w:t>家湾散户居民约</w:t>
      </w:r>
      <w:r>
        <w:rPr>
          <w:rFonts w:cs="Times New Roman" w:hint="eastAsia"/>
          <w:kern w:val="21"/>
        </w:rPr>
        <w:t>25</w:t>
      </w:r>
      <w:r>
        <w:rPr>
          <w:rFonts w:cs="Times New Roman" w:hint="eastAsia"/>
          <w:kern w:val="21"/>
        </w:rPr>
        <w:t>户</w:t>
      </w:r>
      <w:r>
        <w:rPr>
          <w:rFonts w:cs="Times New Roman" w:hint="eastAsia"/>
          <w:kern w:val="21"/>
        </w:rPr>
        <w:t>75</w:t>
      </w:r>
      <w:r>
        <w:rPr>
          <w:rFonts w:cs="Times New Roman" w:hint="eastAsia"/>
          <w:kern w:val="21"/>
        </w:rPr>
        <w:t>人；</w:t>
      </w:r>
      <w:proofErr w:type="gramStart"/>
      <w:r>
        <w:rPr>
          <w:rFonts w:cs="Times New Roman" w:hint="eastAsia"/>
          <w:kern w:val="21"/>
        </w:rPr>
        <w:t>蛋鸡场西南侧</w:t>
      </w:r>
      <w:proofErr w:type="gramEnd"/>
      <w:r>
        <w:rPr>
          <w:rFonts w:cs="Times New Roman" w:hint="eastAsia"/>
          <w:kern w:val="21"/>
        </w:rPr>
        <w:t>1100m</w:t>
      </w:r>
      <w:r>
        <w:rPr>
          <w:rFonts w:cs="Times New Roman" w:hint="eastAsia"/>
          <w:kern w:val="21"/>
        </w:rPr>
        <w:t>处为双木树散户居民约</w:t>
      </w:r>
      <w:r>
        <w:rPr>
          <w:rFonts w:cs="Times New Roman" w:hint="eastAsia"/>
          <w:kern w:val="21"/>
        </w:rPr>
        <w:t>25</w:t>
      </w:r>
      <w:r>
        <w:rPr>
          <w:rFonts w:cs="Times New Roman" w:hint="eastAsia"/>
          <w:kern w:val="21"/>
        </w:rPr>
        <w:t>户</w:t>
      </w:r>
      <w:r>
        <w:rPr>
          <w:rFonts w:cs="Times New Roman" w:hint="eastAsia"/>
          <w:kern w:val="21"/>
        </w:rPr>
        <w:t>75</w:t>
      </w:r>
      <w:r>
        <w:rPr>
          <w:rFonts w:cs="Times New Roman" w:hint="eastAsia"/>
          <w:kern w:val="21"/>
        </w:rPr>
        <w:t>人；</w:t>
      </w:r>
    </w:p>
    <w:p w14:paraId="38AA6574" w14:textId="77777777" w:rsidR="00544649" w:rsidRDefault="00000000">
      <w:pPr>
        <w:adjustRightInd w:val="0"/>
        <w:snapToGrid w:val="0"/>
        <w:spacing w:after="0"/>
        <w:ind w:firstLine="480"/>
        <w:rPr>
          <w:rFonts w:cs="Times New Roman"/>
          <w:kern w:val="21"/>
        </w:rPr>
      </w:pPr>
      <w:r>
        <w:rPr>
          <w:rFonts w:cs="Times New Roman" w:hint="eastAsia"/>
          <w:kern w:val="21"/>
        </w:rPr>
        <w:t>项目蛋鸡场东侧</w:t>
      </w:r>
      <w:r>
        <w:rPr>
          <w:rFonts w:cs="Times New Roman" w:hint="eastAsia"/>
          <w:kern w:val="21"/>
        </w:rPr>
        <w:t>180m</w:t>
      </w:r>
      <w:r>
        <w:rPr>
          <w:rFonts w:cs="Times New Roman" w:hint="eastAsia"/>
          <w:kern w:val="21"/>
        </w:rPr>
        <w:t>处为散户居民</w:t>
      </w:r>
      <w:r>
        <w:rPr>
          <w:rFonts w:cs="Times New Roman" w:hint="eastAsia"/>
          <w:kern w:val="21"/>
        </w:rPr>
        <w:t>1</w:t>
      </w:r>
      <w:r>
        <w:rPr>
          <w:rFonts w:cs="Times New Roman" w:hint="eastAsia"/>
          <w:kern w:val="21"/>
        </w:rPr>
        <w:t>户；蛋鸡场东侧</w:t>
      </w:r>
      <w:r>
        <w:rPr>
          <w:rFonts w:cs="Times New Roman" w:hint="eastAsia"/>
          <w:kern w:val="21"/>
        </w:rPr>
        <w:t>1800m</w:t>
      </w:r>
      <w:r>
        <w:rPr>
          <w:rFonts w:cs="Times New Roman" w:hint="eastAsia"/>
          <w:kern w:val="21"/>
        </w:rPr>
        <w:t>处为中三窝散户居民约</w:t>
      </w:r>
      <w:r>
        <w:rPr>
          <w:rFonts w:cs="Times New Roman" w:hint="eastAsia"/>
          <w:kern w:val="21"/>
        </w:rPr>
        <w:t>30</w:t>
      </w:r>
      <w:r>
        <w:rPr>
          <w:rFonts w:cs="Times New Roman" w:hint="eastAsia"/>
          <w:kern w:val="21"/>
        </w:rPr>
        <w:t>户</w:t>
      </w:r>
      <w:r>
        <w:rPr>
          <w:rFonts w:cs="Times New Roman" w:hint="eastAsia"/>
          <w:kern w:val="21"/>
        </w:rPr>
        <w:t>90</w:t>
      </w:r>
      <w:r>
        <w:rPr>
          <w:rFonts w:cs="Times New Roman" w:hint="eastAsia"/>
          <w:kern w:val="21"/>
        </w:rPr>
        <w:t>人；项目蛋鸡场东南侧</w:t>
      </w:r>
      <w:r>
        <w:rPr>
          <w:rFonts w:cs="Times New Roman" w:hint="eastAsia"/>
          <w:kern w:val="21"/>
        </w:rPr>
        <w:t>720m</w:t>
      </w:r>
      <w:r>
        <w:rPr>
          <w:rFonts w:cs="Times New Roman" w:hint="eastAsia"/>
          <w:kern w:val="21"/>
        </w:rPr>
        <w:t>处为扁柏树散户居民约</w:t>
      </w:r>
      <w:r>
        <w:rPr>
          <w:rFonts w:cs="Times New Roman" w:hint="eastAsia"/>
          <w:kern w:val="21"/>
        </w:rPr>
        <w:t>35</w:t>
      </w:r>
      <w:r>
        <w:rPr>
          <w:rFonts w:cs="Times New Roman" w:hint="eastAsia"/>
          <w:kern w:val="21"/>
        </w:rPr>
        <w:t>户</w:t>
      </w:r>
      <w:r>
        <w:rPr>
          <w:rFonts w:cs="Times New Roman" w:hint="eastAsia"/>
          <w:kern w:val="21"/>
        </w:rPr>
        <w:t>105</w:t>
      </w:r>
      <w:r>
        <w:rPr>
          <w:rFonts w:cs="Times New Roman" w:hint="eastAsia"/>
          <w:kern w:val="21"/>
        </w:rPr>
        <w:t>人；蛋鸡场东南侧</w:t>
      </w:r>
      <w:r>
        <w:rPr>
          <w:rFonts w:cs="Times New Roman" w:hint="eastAsia"/>
          <w:kern w:val="21"/>
        </w:rPr>
        <w:t>1500m</w:t>
      </w:r>
      <w:r>
        <w:rPr>
          <w:rFonts w:cs="Times New Roman" w:hint="eastAsia"/>
          <w:kern w:val="21"/>
        </w:rPr>
        <w:t>处为长石小学约</w:t>
      </w:r>
      <w:r>
        <w:rPr>
          <w:rFonts w:cs="Times New Roman" w:hint="eastAsia"/>
          <w:kern w:val="21"/>
        </w:rPr>
        <w:t>300</w:t>
      </w:r>
      <w:r>
        <w:rPr>
          <w:rFonts w:cs="Times New Roman" w:hint="eastAsia"/>
          <w:kern w:val="21"/>
        </w:rPr>
        <w:t>人；项目蛋鸡场南侧</w:t>
      </w:r>
      <w:r>
        <w:rPr>
          <w:rFonts w:cs="Times New Roman" w:hint="eastAsia"/>
          <w:kern w:val="21"/>
        </w:rPr>
        <w:t>640m</w:t>
      </w:r>
      <w:r>
        <w:rPr>
          <w:rFonts w:cs="Times New Roman" w:hint="eastAsia"/>
          <w:kern w:val="21"/>
        </w:rPr>
        <w:t>处为</w:t>
      </w:r>
      <w:proofErr w:type="gramStart"/>
      <w:r>
        <w:rPr>
          <w:rFonts w:cs="Times New Roman" w:hint="eastAsia"/>
          <w:kern w:val="21"/>
        </w:rPr>
        <w:t>蹇</w:t>
      </w:r>
      <w:proofErr w:type="gramEnd"/>
      <w:r>
        <w:rPr>
          <w:rFonts w:cs="Times New Roman" w:hint="eastAsia"/>
          <w:kern w:val="21"/>
        </w:rPr>
        <w:t>家湾散户居民约</w:t>
      </w:r>
      <w:r>
        <w:rPr>
          <w:rFonts w:cs="Times New Roman" w:hint="eastAsia"/>
          <w:kern w:val="21"/>
        </w:rPr>
        <w:t>30</w:t>
      </w:r>
      <w:r>
        <w:rPr>
          <w:rFonts w:cs="Times New Roman" w:hint="eastAsia"/>
          <w:kern w:val="21"/>
        </w:rPr>
        <w:t>户</w:t>
      </w:r>
      <w:r>
        <w:rPr>
          <w:rFonts w:cs="Times New Roman" w:hint="eastAsia"/>
          <w:kern w:val="21"/>
        </w:rPr>
        <w:t>90</w:t>
      </w:r>
      <w:r>
        <w:rPr>
          <w:rFonts w:cs="Times New Roman" w:hint="eastAsia"/>
          <w:kern w:val="21"/>
        </w:rPr>
        <w:t>人；蛋鸡场南侧</w:t>
      </w:r>
      <w:r>
        <w:rPr>
          <w:rFonts w:cs="Times New Roman" w:hint="eastAsia"/>
          <w:kern w:val="21"/>
        </w:rPr>
        <w:t>1400m</w:t>
      </w:r>
      <w:r>
        <w:rPr>
          <w:rFonts w:cs="Times New Roman" w:hint="eastAsia"/>
          <w:kern w:val="21"/>
        </w:rPr>
        <w:t>处为新田村散户居民约</w:t>
      </w:r>
      <w:r>
        <w:rPr>
          <w:rFonts w:cs="Times New Roman" w:hint="eastAsia"/>
          <w:kern w:val="21"/>
        </w:rPr>
        <w:t>40</w:t>
      </w:r>
      <w:r>
        <w:rPr>
          <w:rFonts w:cs="Times New Roman" w:hint="eastAsia"/>
          <w:kern w:val="21"/>
        </w:rPr>
        <w:t>户</w:t>
      </w:r>
      <w:r>
        <w:rPr>
          <w:rFonts w:cs="Times New Roman" w:hint="eastAsia"/>
          <w:kern w:val="21"/>
        </w:rPr>
        <w:t>120</w:t>
      </w:r>
      <w:r>
        <w:rPr>
          <w:rFonts w:cs="Times New Roman" w:hint="eastAsia"/>
          <w:kern w:val="21"/>
        </w:rPr>
        <w:t>人；蛋鸡场南侧</w:t>
      </w:r>
      <w:r>
        <w:rPr>
          <w:rFonts w:cs="Times New Roman" w:hint="eastAsia"/>
          <w:kern w:val="21"/>
        </w:rPr>
        <w:t>1600m</w:t>
      </w:r>
      <w:r>
        <w:rPr>
          <w:rFonts w:cs="Times New Roman" w:hint="eastAsia"/>
          <w:kern w:val="21"/>
        </w:rPr>
        <w:t>处为张家散户居民约</w:t>
      </w:r>
      <w:r>
        <w:rPr>
          <w:rFonts w:cs="Times New Roman" w:hint="eastAsia"/>
          <w:kern w:val="21"/>
        </w:rPr>
        <w:t>20</w:t>
      </w:r>
      <w:r>
        <w:rPr>
          <w:rFonts w:cs="Times New Roman" w:hint="eastAsia"/>
          <w:kern w:val="21"/>
        </w:rPr>
        <w:t>户</w:t>
      </w:r>
      <w:r>
        <w:rPr>
          <w:rFonts w:cs="Times New Roman" w:hint="eastAsia"/>
          <w:kern w:val="21"/>
        </w:rPr>
        <w:t>60</w:t>
      </w:r>
      <w:r>
        <w:rPr>
          <w:rFonts w:cs="Times New Roman" w:hint="eastAsia"/>
          <w:kern w:val="21"/>
        </w:rPr>
        <w:t>人；蛋鸡场南侧</w:t>
      </w:r>
      <w:r>
        <w:rPr>
          <w:rFonts w:cs="Times New Roman" w:hint="eastAsia"/>
          <w:kern w:val="21"/>
        </w:rPr>
        <w:t>1950m</w:t>
      </w:r>
      <w:r>
        <w:rPr>
          <w:rFonts w:cs="Times New Roman" w:hint="eastAsia"/>
          <w:kern w:val="21"/>
        </w:rPr>
        <w:t>处为田家坝散户居民约</w:t>
      </w:r>
      <w:r>
        <w:rPr>
          <w:rFonts w:cs="Times New Roman" w:hint="eastAsia"/>
          <w:kern w:val="21"/>
        </w:rPr>
        <w:t>20</w:t>
      </w:r>
      <w:r>
        <w:rPr>
          <w:rFonts w:cs="Times New Roman" w:hint="eastAsia"/>
          <w:kern w:val="21"/>
        </w:rPr>
        <w:t>户</w:t>
      </w:r>
      <w:r>
        <w:rPr>
          <w:rFonts w:cs="Times New Roman" w:hint="eastAsia"/>
          <w:kern w:val="21"/>
        </w:rPr>
        <w:t>60</w:t>
      </w:r>
      <w:r>
        <w:rPr>
          <w:rFonts w:cs="Times New Roman" w:hint="eastAsia"/>
          <w:kern w:val="21"/>
        </w:rPr>
        <w:t>人；</w:t>
      </w:r>
    </w:p>
    <w:p w14:paraId="7C02ED0D" w14:textId="77777777" w:rsidR="00544649" w:rsidRDefault="00000000">
      <w:pPr>
        <w:adjustRightInd w:val="0"/>
        <w:snapToGrid w:val="0"/>
        <w:spacing w:after="0"/>
        <w:ind w:firstLine="482"/>
        <w:rPr>
          <w:rFonts w:cs="Times New Roman"/>
          <w:kern w:val="21"/>
        </w:rPr>
      </w:pPr>
      <w:r>
        <w:rPr>
          <w:rFonts w:cs="Times New Roman"/>
          <w:b/>
          <w:bCs/>
          <w:kern w:val="21"/>
        </w:rPr>
        <w:t>河流：</w:t>
      </w:r>
      <w:r>
        <w:rPr>
          <w:rFonts w:cs="Times New Roman"/>
          <w:kern w:val="21"/>
        </w:rPr>
        <w:t>项目最近地表水为东</w:t>
      </w:r>
      <w:r>
        <w:rPr>
          <w:rFonts w:cs="Times New Roman" w:hint="eastAsia"/>
          <w:kern w:val="21"/>
        </w:rPr>
        <w:t>侧</w:t>
      </w:r>
      <w:r>
        <w:rPr>
          <w:rFonts w:cs="Times New Roman" w:hint="eastAsia"/>
          <w:kern w:val="21"/>
        </w:rPr>
        <w:t>6.1</w:t>
      </w:r>
      <w:r>
        <w:rPr>
          <w:rFonts w:cs="Times New Roman"/>
          <w:kern w:val="21"/>
        </w:rPr>
        <w:t>km</w:t>
      </w:r>
      <w:r>
        <w:rPr>
          <w:rFonts w:cs="Times New Roman" w:hint="eastAsia"/>
          <w:kern w:val="21"/>
        </w:rPr>
        <w:t>嘉陵江</w:t>
      </w:r>
      <w:r>
        <w:rPr>
          <w:rFonts w:cs="Times New Roman"/>
          <w:kern w:val="21"/>
        </w:rPr>
        <w:t>，主要水体功能为行洪、灌溉，未设置取水口，无饮用水源保护区，未设置污水处理厂，无大型排污口，主要污染排放为周边散户居民外排废水及农村面源。本项目周边</w:t>
      </w:r>
      <w:r>
        <w:rPr>
          <w:rFonts w:cs="Times New Roman"/>
          <w:kern w:val="21"/>
          <w:szCs w:val="24"/>
        </w:rPr>
        <w:t>居民</w:t>
      </w:r>
      <w:r>
        <w:rPr>
          <w:rFonts w:cs="Times New Roman"/>
          <w:kern w:val="21"/>
        </w:rPr>
        <w:t>多为打井取水，周边无集中式地下饮用水源保护区。</w:t>
      </w:r>
    </w:p>
    <w:p w14:paraId="174D0ABB" w14:textId="77777777" w:rsidR="00544649" w:rsidRDefault="00000000">
      <w:pPr>
        <w:adjustRightInd w:val="0"/>
        <w:snapToGrid w:val="0"/>
        <w:spacing w:after="0"/>
        <w:ind w:firstLine="480"/>
        <w:rPr>
          <w:rFonts w:cs="Times New Roman"/>
          <w:kern w:val="21"/>
        </w:rPr>
      </w:pPr>
      <w:r>
        <w:rPr>
          <w:rFonts w:cs="Times New Roman"/>
          <w:kern w:val="21"/>
        </w:rPr>
        <w:t>根据建设单位取得的《设施农用地项目信息备案表》，本项目用地不在县政府确定的畜禽禁（限）养区，</w:t>
      </w:r>
      <w:r>
        <w:rPr>
          <w:rFonts w:cs="Times New Roman"/>
          <w:kern w:val="21"/>
          <w:szCs w:val="24"/>
        </w:rPr>
        <w:t>项目</w:t>
      </w:r>
      <w:r>
        <w:rPr>
          <w:rFonts w:cs="Times New Roman"/>
          <w:kern w:val="21"/>
        </w:rPr>
        <w:t>用地不涉及基本农田。根据现场踏勘及外环境调查，本项目周边无自然保护区、水源保护区、文物保护单位、学校、医院等敏感点。</w:t>
      </w:r>
    </w:p>
    <w:p w14:paraId="01A156EB" w14:textId="77777777" w:rsidR="00544649" w:rsidRDefault="00000000">
      <w:pPr>
        <w:keepNext/>
        <w:keepLines/>
        <w:numPr>
          <w:ilvl w:val="2"/>
          <w:numId w:val="2"/>
        </w:numPr>
        <w:adjustRightInd w:val="0"/>
        <w:snapToGrid w:val="0"/>
        <w:spacing w:after="0"/>
        <w:ind w:firstLineChars="0"/>
        <w:outlineLvl w:val="2"/>
        <w:rPr>
          <w:rFonts w:cs="Times New Roman"/>
          <w:b/>
          <w:bCs/>
          <w:kern w:val="21"/>
          <w:sz w:val="28"/>
          <w:szCs w:val="28"/>
        </w:rPr>
      </w:pPr>
      <w:bookmarkStart w:id="163" w:name="_Toc14366"/>
      <w:bookmarkStart w:id="164" w:name="_Toc195009817"/>
      <w:r>
        <w:rPr>
          <w:rFonts w:cs="Times New Roman"/>
          <w:b/>
          <w:bCs/>
          <w:kern w:val="21"/>
          <w:sz w:val="28"/>
          <w:szCs w:val="28"/>
        </w:rPr>
        <w:t>主要保护目标</w:t>
      </w:r>
      <w:bookmarkEnd w:id="163"/>
      <w:bookmarkEnd w:id="164"/>
    </w:p>
    <w:p w14:paraId="25902494" w14:textId="77777777" w:rsidR="00544649" w:rsidRDefault="00000000">
      <w:pPr>
        <w:adjustRightInd w:val="0"/>
        <w:snapToGrid w:val="0"/>
        <w:spacing w:after="0"/>
        <w:ind w:firstLine="480"/>
        <w:rPr>
          <w:rFonts w:cs="Times New Roman"/>
          <w:kern w:val="21"/>
          <w:szCs w:val="24"/>
        </w:rPr>
      </w:pPr>
      <w:r>
        <w:rPr>
          <w:rFonts w:cs="Times New Roman"/>
          <w:kern w:val="21"/>
          <w:szCs w:val="24"/>
        </w:rPr>
        <w:t>经现场踏勘，项目周边评价范围不涉及自然保护区、风景名胜区、水源地保护区和其他特殊保护的目标，本项目场区环境保护目标见下表。</w:t>
      </w:r>
    </w:p>
    <w:p w14:paraId="25D805E1" w14:textId="77777777" w:rsidR="00544649" w:rsidRDefault="00000000">
      <w:pPr>
        <w:widowControl/>
        <w:numPr>
          <w:ilvl w:val="0"/>
          <w:numId w:val="13"/>
        </w:numPr>
        <w:adjustRightInd w:val="0"/>
        <w:snapToGrid w:val="0"/>
        <w:spacing w:beforeLines="20" w:before="62" w:afterLines="20" w:after="62" w:line="240" w:lineRule="auto"/>
        <w:ind w:firstLineChars="0"/>
        <w:jc w:val="center"/>
        <w:rPr>
          <w:kern w:val="21"/>
          <w:sz w:val="21"/>
          <w:szCs w:val="21"/>
        </w:rPr>
      </w:pPr>
      <w:r>
        <w:rPr>
          <w:rFonts w:cs="Times New Roman"/>
          <w:b/>
          <w:bCs/>
          <w:kern w:val="21"/>
          <w:sz w:val="21"/>
          <w:szCs w:val="21"/>
        </w:rPr>
        <w:t>环境保护目标一览表</w:t>
      </w: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687"/>
        <w:gridCol w:w="723"/>
        <w:gridCol w:w="873"/>
        <w:gridCol w:w="871"/>
        <w:gridCol w:w="727"/>
        <w:gridCol w:w="875"/>
        <w:gridCol w:w="873"/>
        <w:gridCol w:w="871"/>
        <w:gridCol w:w="1163"/>
        <w:gridCol w:w="1018"/>
      </w:tblGrid>
      <w:tr w:rsidR="00544649" w14:paraId="44DB605C" w14:textId="77777777">
        <w:trPr>
          <w:trHeight w:val="298"/>
          <w:tblHeader/>
          <w:jc w:val="center"/>
        </w:trPr>
        <w:tc>
          <w:tcPr>
            <w:tcW w:w="473" w:type="dxa"/>
            <w:vMerge w:val="restart"/>
            <w:shd w:val="clear" w:color="auto" w:fill="auto"/>
            <w:vAlign w:val="center"/>
          </w:tcPr>
          <w:p w14:paraId="6B664BFC"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环境要素</w:t>
            </w:r>
          </w:p>
        </w:tc>
        <w:tc>
          <w:tcPr>
            <w:tcW w:w="1410" w:type="dxa"/>
            <w:gridSpan w:val="2"/>
            <w:vMerge w:val="restart"/>
            <w:vAlign w:val="center"/>
          </w:tcPr>
          <w:p w14:paraId="4E7DF06E"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保护目标</w:t>
            </w:r>
          </w:p>
        </w:tc>
        <w:tc>
          <w:tcPr>
            <w:tcW w:w="1744" w:type="dxa"/>
            <w:gridSpan w:val="2"/>
            <w:vAlign w:val="center"/>
          </w:tcPr>
          <w:p w14:paraId="507D8127"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坐标</w:t>
            </w:r>
          </w:p>
        </w:tc>
        <w:tc>
          <w:tcPr>
            <w:tcW w:w="727" w:type="dxa"/>
            <w:vMerge w:val="restart"/>
            <w:shd w:val="clear" w:color="auto" w:fill="auto"/>
            <w:vAlign w:val="center"/>
          </w:tcPr>
          <w:p w14:paraId="79D0A329"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方位</w:t>
            </w:r>
          </w:p>
        </w:tc>
        <w:tc>
          <w:tcPr>
            <w:tcW w:w="875" w:type="dxa"/>
            <w:vMerge w:val="restart"/>
            <w:shd w:val="clear" w:color="auto" w:fill="auto"/>
            <w:vAlign w:val="center"/>
          </w:tcPr>
          <w:p w14:paraId="54104E9C"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与厂界距离（</w:t>
            </w:r>
            <w:r>
              <w:rPr>
                <w:rFonts w:cs="Times New Roman"/>
                <w:b/>
                <w:bCs/>
                <w:kern w:val="21"/>
                <w:szCs w:val="21"/>
              </w:rPr>
              <w:t>m</w:t>
            </w:r>
            <w:r>
              <w:rPr>
                <w:rFonts w:cs="Times New Roman"/>
                <w:b/>
                <w:bCs/>
                <w:kern w:val="21"/>
                <w:szCs w:val="21"/>
              </w:rPr>
              <w:t>）</w:t>
            </w:r>
          </w:p>
        </w:tc>
        <w:tc>
          <w:tcPr>
            <w:tcW w:w="873" w:type="dxa"/>
            <w:vMerge w:val="restart"/>
            <w:shd w:val="clear" w:color="auto" w:fill="auto"/>
            <w:vAlign w:val="center"/>
          </w:tcPr>
          <w:p w14:paraId="10A4941C"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与污染源距离（</w:t>
            </w:r>
            <w:r>
              <w:rPr>
                <w:rFonts w:cs="Times New Roman"/>
                <w:b/>
                <w:bCs/>
                <w:kern w:val="21"/>
                <w:szCs w:val="21"/>
              </w:rPr>
              <w:t>m</w:t>
            </w:r>
            <w:r>
              <w:rPr>
                <w:rFonts w:cs="Times New Roman"/>
                <w:b/>
                <w:bCs/>
                <w:kern w:val="21"/>
                <w:szCs w:val="21"/>
              </w:rPr>
              <w:t>）</w:t>
            </w:r>
          </w:p>
        </w:tc>
        <w:tc>
          <w:tcPr>
            <w:tcW w:w="871" w:type="dxa"/>
            <w:vMerge w:val="restart"/>
            <w:shd w:val="clear" w:color="auto" w:fill="auto"/>
            <w:vAlign w:val="center"/>
          </w:tcPr>
          <w:p w14:paraId="14D2BD0F"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高差（</w:t>
            </w:r>
            <w:r>
              <w:rPr>
                <w:rFonts w:cs="Times New Roman"/>
                <w:b/>
                <w:bCs/>
                <w:kern w:val="21"/>
                <w:szCs w:val="21"/>
              </w:rPr>
              <w:t>m</w:t>
            </w:r>
            <w:r>
              <w:rPr>
                <w:rFonts w:cs="Times New Roman"/>
                <w:b/>
                <w:bCs/>
                <w:kern w:val="21"/>
                <w:szCs w:val="21"/>
              </w:rPr>
              <w:t>）</w:t>
            </w:r>
          </w:p>
        </w:tc>
        <w:tc>
          <w:tcPr>
            <w:tcW w:w="1163" w:type="dxa"/>
            <w:vMerge w:val="restart"/>
            <w:shd w:val="clear" w:color="auto" w:fill="auto"/>
            <w:vAlign w:val="center"/>
          </w:tcPr>
          <w:p w14:paraId="73AB957A"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规模</w:t>
            </w:r>
          </w:p>
        </w:tc>
        <w:tc>
          <w:tcPr>
            <w:tcW w:w="1018" w:type="dxa"/>
            <w:vMerge w:val="restart"/>
            <w:shd w:val="clear" w:color="auto" w:fill="auto"/>
            <w:vAlign w:val="center"/>
          </w:tcPr>
          <w:p w14:paraId="18926FE5"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标准</w:t>
            </w:r>
          </w:p>
        </w:tc>
      </w:tr>
      <w:tr w:rsidR="00544649" w14:paraId="28D06F81" w14:textId="77777777">
        <w:trPr>
          <w:trHeight w:val="90"/>
          <w:tblHeader/>
          <w:jc w:val="center"/>
        </w:trPr>
        <w:tc>
          <w:tcPr>
            <w:tcW w:w="473" w:type="dxa"/>
            <w:vMerge/>
            <w:shd w:val="clear" w:color="auto" w:fill="auto"/>
            <w:vAlign w:val="center"/>
          </w:tcPr>
          <w:p w14:paraId="2F0C7DCB" w14:textId="77777777" w:rsidR="00544649" w:rsidRDefault="00544649">
            <w:pPr>
              <w:pStyle w:val="aff7"/>
              <w:adjustRightInd w:val="0"/>
              <w:snapToGrid w:val="0"/>
              <w:spacing w:before="62" w:after="62"/>
              <w:rPr>
                <w:rFonts w:cs="Times New Roman"/>
                <w:b/>
                <w:bCs/>
                <w:kern w:val="21"/>
                <w:szCs w:val="21"/>
              </w:rPr>
            </w:pPr>
          </w:p>
        </w:tc>
        <w:tc>
          <w:tcPr>
            <w:tcW w:w="1410" w:type="dxa"/>
            <w:gridSpan w:val="2"/>
            <w:vMerge/>
            <w:vAlign w:val="center"/>
          </w:tcPr>
          <w:p w14:paraId="0D429C75" w14:textId="77777777" w:rsidR="00544649" w:rsidRDefault="00544649">
            <w:pPr>
              <w:pStyle w:val="aff7"/>
              <w:adjustRightInd w:val="0"/>
              <w:snapToGrid w:val="0"/>
              <w:spacing w:before="62" w:after="62"/>
              <w:rPr>
                <w:rFonts w:cs="Times New Roman"/>
                <w:b/>
                <w:bCs/>
                <w:kern w:val="21"/>
                <w:szCs w:val="21"/>
              </w:rPr>
            </w:pPr>
          </w:p>
        </w:tc>
        <w:tc>
          <w:tcPr>
            <w:tcW w:w="873" w:type="dxa"/>
            <w:vAlign w:val="center"/>
          </w:tcPr>
          <w:p w14:paraId="4F78E176" w14:textId="77777777" w:rsidR="00544649" w:rsidRDefault="00000000">
            <w:pPr>
              <w:pStyle w:val="aff7"/>
              <w:adjustRightInd w:val="0"/>
              <w:snapToGrid w:val="0"/>
              <w:spacing w:before="62" w:after="62"/>
              <w:rPr>
                <w:rFonts w:cs="Times New Roman"/>
                <w:b/>
                <w:bCs/>
                <w:kern w:val="21"/>
                <w:szCs w:val="21"/>
              </w:rPr>
            </w:pPr>
            <w:r>
              <w:rPr>
                <w:rFonts w:cs="Times New Roman" w:hint="eastAsia"/>
                <w:b/>
                <w:bCs/>
                <w:kern w:val="21"/>
                <w:szCs w:val="21"/>
              </w:rPr>
              <w:t>X</w:t>
            </w:r>
          </w:p>
        </w:tc>
        <w:tc>
          <w:tcPr>
            <w:tcW w:w="871" w:type="dxa"/>
            <w:vAlign w:val="center"/>
          </w:tcPr>
          <w:p w14:paraId="6B6E451B" w14:textId="77777777" w:rsidR="00544649" w:rsidRDefault="00000000">
            <w:pPr>
              <w:pStyle w:val="aff7"/>
              <w:adjustRightInd w:val="0"/>
              <w:snapToGrid w:val="0"/>
              <w:spacing w:before="62" w:after="62"/>
              <w:rPr>
                <w:rFonts w:cs="Times New Roman"/>
                <w:b/>
                <w:bCs/>
                <w:kern w:val="21"/>
                <w:szCs w:val="21"/>
              </w:rPr>
            </w:pPr>
            <w:r>
              <w:rPr>
                <w:rFonts w:cs="Times New Roman" w:hint="eastAsia"/>
                <w:b/>
                <w:bCs/>
                <w:kern w:val="21"/>
                <w:szCs w:val="21"/>
              </w:rPr>
              <w:t>Y</w:t>
            </w:r>
          </w:p>
        </w:tc>
        <w:tc>
          <w:tcPr>
            <w:tcW w:w="727" w:type="dxa"/>
            <w:vMerge/>
            <w:shd w:val="clear" w:color="auto" w:fill="auto"/>
            <w:vAlign w:val="center"/>
          </w:tcPr>
          <w:p w14:paraId="005E0377" w14:textId="77777777" w:rsidR="00544649" w:rsidRDefault="00544649">
            <w:pPr>
              <w:pStyle w:val="aff7"/>
              <w:adjustRightInd w:val="0"/>
              <w:snapToGrid w:val="0"/>
              <w:spacing w:before="62" w:after="62"/>
              <w:rPr>
                <w:rFonts w:cs="Times New Roman"/>
                <w:b/>
                <w:bCs/>
                <w:kern w:val="21"/>
                <w:szCs w:val="21"/>
              </w:rPr>
            </w:pPr>
          </w:p>
        </w:tc>
        <w:tc>
          <w:tcPr>
            <w:tcW w:w="875" w:type="dxa"/>
            <w:vMerge/>
            <w:shd w:val="clear" w:color="auto" w:fill="auto"/>
            <w:vAlign w:val="center"/>
          </w:tcPr>
          <w:p w14:paraId="31B79A03" w14:textId="77777777" w:rsidR="00544649" w:rsidRDefault="00544649">
            <w:pPr>
              <w:pStyle w:val="aff7"/>
              <w:adjustRightInd w:val="0"/>
              <w:snapToGrid w:val="0"/>
              <w:spacing w:before="62" w:after="62"/>
              <w:rPr>
                <w:rFonts w:cs="Times New Roman"/>
                <w:b/>
                <w:bCs/>
                <w:kern w:val="21"/>
                <w:szCs w:val="21"/>
              </w:rPr>
            </w:pPr>
          </w:p>
        </w:tc>
        <w:tc>
          <w:tcPr>
            <w:tcW w:w="873" w:type="dxa"/>
            <w:vMerge/>
            <w:shd w:val="clear" w:color="auto" w:fill="auto"/>
            <w:vAlign w:val="center"/>
          </w:tcPr>
          <w:p w14:paraId="6B9C3E41" w14:textId="77777777" w:rsidR="00544649" w:rsidRDefault="00544649">
            <w:pPr>
              <w:pStyle w:val="aff7"/>
              <w:adjustRightInd w:val="0"/>
              <w:snapToGrid w:val="0"/>
              <w:spacing w:before="62" w:after="62"/>
              <w:rPr>
                <w:rFonts w:cs="Times New Roman"/>
                <w:b/>
                <w:bCs/>
                <w:kern w:val="21"/>
                <w:szCs w:val="21"/>
              </w:rPr>
            </w:pPr>
          </w:p>
        </w:tc>
        <w:tc>
          <w:tcPr>
            <w:tcW w:w="871" w:type="dxa"/>
            <w:vMerge/>
            <w:shd w:val="clear" w:color="auto" w:fill="auto"/>
            <w:vAlign w:val="center"/>
          </w:tcPr>
          <w:p w14:paraId="640D31AE" w14:textId="77777777" w:rsidR="00544649" w:rsidRDefault="00544649">
            <w:pPr>
              <w:pStyle w:val="aff7"/>
              <w:adjustRightInd w:val="0"/>
              <w:snapToGrid w:val="0"/>
              <w:spacing w:before="62" w:after="62"/>
              <w:rPr>
                <w:rFonts w:cs="Times New Roman"/>
                <w:b/>
                <w:bCs/>
                <w:kern w:val="21"/>
                <w:szCs w:val="21"/>
              </w:rPr>
            </w:pPr>
          </w:p>
        </w:tc>
        <w:tc>
          <w:tcPr>
            <w:tcW w:w="1163" w:type="dxa"/>
            <w:vMerge/>
            <w:shd w:val="clear" w:color="auto" w:fill="auto"/>
            <w:vAlign w:val="center"/>
          </w:tcPr>
          <w:p w14:paraId="6937D9F8" w14:textId="77777777" w:rsidR="00544649" w:rsidRDefault="00544649">
            <w:pPr>
              <w:pStyle w:val="aff7"/>
              <w:adjustRightInd w:val="0"/>
              <w:snapToGrid w:val="0"/>
              <w:spacing w:before="62" w:after="62"/>
              <w:rPr>
                <w:rFonts w:cs="Times New Roman"/>
                <w:b/>
                <w:bCs/>
                <w:kern w:val="21"/>
                <w:szCs w:val="21"/>
              </w:rPr>
            </w:pPr>
          </w:p>
        </w:tc>
        <w:tc>
          <w:tcPr>
            <w:tcW w:w="1018" w:type="dxa"/>
            <w:vMerge/>
            <w:shd w:val="clear" w:color="auto" w:fill="auto"/>
            <w:vAlign w:val="center"/>
          </w:tcPr>
          <w:p w14:paraId="1EB1DF4E" w14:textId="77777777" w:rsidR="00544649" w:rsidRDefault="00544649">
            <w:pPr>
              <w:pStyle w:val="aff7"/>
              <w:adjustRightInd w:val="0"/>
              <w:snapToGrid w:val="0"/>
              <w:spacing w:before="62" w:after="62"/>
              <w:rPr>
                <w:rFonts w:cs="Times New Roman"/>
                <w:b/>
                <w:bCs/>
                <w:kern w:val="21"/>
                <w:szCs w:val="21"/>
              </w:rPr>
            </w:pPr>
          </w:p>
        </w:tc>
      </w:tr>
      <w:tr w:rsidR="00544649" w14:paraId="7B99A25D" w14:textId="77777777">
        <w:trPr>
          <w:trHeight w:val="641"/>
          <w:jc w:val="center"/>
        </w:trPr>
        <w:tc>
          <w:tcPr>
            <w:tcW w:w="473" w:type="dxa"/>
            <w:vMerge w:val="restart"/>
            <w:shd w:val="clear" w:color="auto" w:fill="auto"/>
            <w:vAlign w:val="center"/>
          </w:tcPr>
          <w:p w14:paraId="5F527C3B" w14:textId="77777777" w:rsidR="00544649" w:rsidRDefault="00000000">
            <w:pPr>
              <w:pStyle w:val="aff7"/>
              <w:adjustRightInd w:val="0"/>
              <w:snapToGrid w:val="0"/>
              <w:spacing w:before="62" w:after="62"/>
              <w:rPr>
                <w:rFonts w:cs="Times New Roman"/>
                <w:kern w:val="21"/>
                <w:szCs w:val="21"/>
              </w:rPr>
            </w:pPr>
            <w:bookmarkStart w:id="165" w:name="_Hlk184315249"/>
            <w:bookmarkStart w:id="166" w:name="_Hlk184315211"/>
            <w:r>
              <w:rPr>
                <w:rFonts w:cs="Times New Roman"/>
                <w:kern w:val="21"/>
                <w:szCs w:val="21"/>
              </w:rPr>
              <w:t>大气环境</w:t>
            </w:r>
          </w:p>
        </w:tc>
        <w:tc>
          <w:tcPr>
            <w:tcW w:w="687" w:type="dxa"/>
            <w:vMerge w:val="restart"/>
            <w:vAlign w:val="center"/>
          </w:tcPr>
          <w:p w14:paraId="7A74D180" w14:textId="77777777" w:rsidR="00544649" w:rsidRDefault="00000000">
            <w:pPr>
              <w:pStyle w:val="aff7"/>
              <w:adjustRightInd w:val="0"/>
              <w:snapToGrid w:val="0"/>
              <w:spacing w:before="62" w:after="62"/>
              <w:rPr>
                <w:rFonts w:cs="Times New Roman"/>
                <w:szCs w:val="21"/>
              </w:rPr>
            </w:pPr>
            <w:proofErr w:type="gramStart"/>
            <w:r>
              <w:rPr>
                <w:rFonts w:cs="Times New Roman" w:hint="eastAsia"/>
                <w:szCs w:val="21"/>
              </w:rPr>
              <w:t>育雏场</w:t>
            </w:r>
            <w:proofErr w:type="gramEnd"/>
          </w:p>
        </w:tc>
        <w:tc>
          <w:tcPr>
            <w:tcW w:w="723" w:type="dxa"/>
            <w:tcBorders>
              <w:bottom w:val="single" w:sz="4" w:space="0" w:color="auto"/>
            </w:tcBorders>
            <w:shd w:val="clear" w:color="auto" w:fill="auto"/>
            <w:vAlign w:val="center"/>
          </w:tcPr>
          <w:p w14:paraId="6E96152E" w14:textId="77777777" w:rsidR="00544649" w:rsidRDefault="00000000">
            <w:pPr>
              <w:pStyle w:val="aff7"/>
              <w:adjustRightInd w:val="0"/>
              <w:snapToGrid w:val="0"/>
              <w:spacing w:before="62" w:after="62"/>
              <w:rPr>
                <w:rFonts w:cs="Times New Roman"/>
                <w:kern w:val="21"/>
                <w:szCs w:val="21"/>
              </w:rPr>
            </w:pPr>
            <w:r>
              <w:rPr>
                <w:rFonts w:cs="Times New Roman"/>
                <w:szCs w:val="21"/>
              </w:rPr>
              <w:t>柏树坪散户居民</w:t>
            </w:r>
          </w:p>
        </w:tc>
        <w:tc>
          <w:tcPr>
            <w:tcW w:w="873" w:type="dxa"/>
            <w:tcBorders>
              <w:bottom w:val="single" w:sz="4" w:space="0" w:color="auto"/>
            </w:tcBorders>
            <w:vAlign w:val="center"/>
          </w:tcPr>
          <w:p w14:paraId="0EB78551"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557621.23</w:t>
            </w:r>
          </w:p>
        </w:tc>
        <w:tc>
          <w:tcPr>
            <w:tcW w:w="871" w:type="dxa"/>
            <w:tcBorders>
              <w:bottom w:val="single" w:sz="4" w:space="0" w:color="auto"/>
            </w:tcBorders>
            <w:vAlign w:val="center"/>
          </w:tcPr>
          <w:p w14:paraId="318234CA"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3560271.15</w:t>
            </w:r>
          </w:p>
        </w:tc>
        <w:tc>
          <w:tcPr>
            <w:tcW w:w="727" w:type="dxa"/>
            <w:tcBorders>
              <w:bottom w:val="single" w:sz="4" w:space="0" w:color="auto"/>
            </w:tcBorders>
            <w:shd w:val="clear" w:color="auto" w:fill="auto"/>
            <w:vAlign w:val="center"/>
          </w:tcPr>
          <w:p w14:paraId="6B300458" w14:textId="77777777" w:rsidR="00544649" w:rsidRDefault="00000000">
            <w:pPr>
              <w:pStyle w:val="aff7"/>
              <w:adjustRightInd w:val="0"/>
              <w:snapToGrid w:val="0"/>
              <w:spacing w:before="62" w:after="62"/>
              <w:rPr>
                <w:rFonts w:cs="Times New Roman"/>
                <w:kern w:val="21"/>
                <w:szCs w:val="21"/>
              </w:rPr>
            </w:pPr>
            <w:proofErr w:type="gramStart"/>
            <w:r>
              <w:rPr>
                <w:rFonts w:cs="Times New Roman"/>
                <w:szCs w:val="21"/>
              </w:rPr>
              <w:t>育雏场东</w:t>
            </w:r>
            <w:proofErr w:type="gramEnd"/>
          </w:p>
        </w:tc>
        <w:tc>
          <w:tcPr>
            <w:tcW w:w="875" w:type="dxa"/>
            <w:tcBorders>
              <w:bottom w:val="single" w:sz="4" w:space="0" w:color="auto"/>
            </w:tcBorders>
            <w:shd w:val="clear" w:color="auto" w:fill="auto"/>
            <w:vAlign w:val="center"/>
          </w:tcPr>
          <w:p w14:paraId="2C239171" w14:textId="77777777" w:rsidR="00544649" w:rsidRDefault="00000000">
            <w:pPr>
              <w:pStyle w:val="aff7"/>
              <w:adjustRightInd w:val="0"/>
              <w:snapToGrid w:val="0"/>
              <w:spacing w:before="62" w:after="62"/>
              <w:rPr>
                <w:rFonts w:cs="Times New Roman"/>
                <w:kern w:val="21"/>
                <w:szCs w:val="21"/>
              </w:rPr>
            </w:pPr>
            <w:r>
              <w:rPr>
                <w:rFonts w:cs="Times New Roman" w:hint="eastAsia"/>
                <w:szCs w:val="21"/>
              </w:rPr>
              <w:t>5</w:t>
            </w:r>
            <w:r>
              <w:rPr>
                <w:rFonts w:hint="eastAsia"/>
                <w:szCs w:val="21"/>
              </w:rPr>
              <w:t>10</w:t>
            </w:r>
          </w:p>
        </w:tc>
        <w:tc>
          <w:tcPr>
            <w:tcW w:w="873" w:type="dxa"/>
            <w:tcBorders>
              <w:bottom w:val="single" w:sz="4" w:space="0" w:color="auto"/>
            </w:tcBorders>
            <w:shd w:val="clear" w:color="auto" w:fill="auto"/>
            <w:vAlign w:val="center"/>
          </w:tcPr>
          <w:p w14:paraId="6B8F5E0F"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56</w:t>
            </w:r>
            <w:r>
              <w:rPr>
                <w:rFonts w:hint="eastAsia"/>
                <w:kern w:val="21"/>
                <w:szCs w:val="21"/>
              </w:rPr>
              <w:t>0</w:t>
            </w:r>
          </w:p>
        </w:tc>
        <w:tc>
          <w:tcPr>
            <w:tcW w:w="871" w:type="dxa"/>
            <w:tcBorders>
              <w:bottom w:val="single" w:sz="4" w:space="0" w:color="auto"/>
            </w:tcBorders>
            <w:shd w:val="clear" w:color="auto" w:fill="auto"/>
            <w:vAlign w:val="center"/>
          </w:tcPr>
          <w:p w14:paraId="7618669F"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1</w:t>
            </w:r>
            <w:r>
              <w:rPr>
                <w:rFonts w:cs="Times New Roman"/>
                <w:kern w:val="21"/>
                <w:szCs w:val="21"/>
              </w:rPr>
              <w:t>6</w:t>
            </w:r>
          </w:p>
        </w:tc>
        <w:tc>
          <w:tcPr>
            <w:tcW w:w="1163" w:type="dxa"/>
            <w:tcBorders>
              <w:bottom w:val="single" w:sz="4" w:space="0" w:color="auto"/>
            </w:tcBorders>
            <w:shd w:val="clear" w:color="auto" w:fill="auto"/>
            <w:vAlign w:val="center"/>
          </w:tcPr>
          <w:p w14:paraId="2125E7A9" w14:textId="77777777" w:rsidR="00544649" w:rsidRDefault="00000000">
            <w:pPr>
              <w:pStyle w:val="aff7"/>
              <w:adjustRightInd w:val="0"/>
              <w:snapToGrid w:val="0"/>
              <w:spacing w:before="62" w:after="62"/>
              <w:rPr>
                <w:rFonts w:cs="Times New Roman"/>
                <w:kern w:val="21"/>
                <w:szCs w:val="21"/>
              </w:rPr>
            </w:pPr>
            <w:r>
              <w:rPr>
                <w:rStyle w:val="font31"/>
                <w:color w:val="auto"/>
                <w:sz w:val="21"/>
                <w:szCs w:val="21"/>
              </w:rPr>
              <w:t>1</w:t>
            </w:r>
            <w:r>
              <w:rPr>
                <w:rStyle w:val="font21"/>
                <w:rFonts w:ascii="Times New Roman" w:hAnsi="Times New Roman" w:cs="Times New Roman" w:hint="default"/>
                <w:color w:val="auto"/>
                <w:sz w:val="21"/>
                <w:szCs w:val="21"/>
              </w:rPr>
              <w:t>户，</w:t>
            </w:r>
            <w:r>
              <w:rPr>
                <w:rStyle w:val="font31"/>
                <w:color w:val="auto"/>
                <w:sz w:val="21"/>
                <w:szCs w:val="21"/>
              </w:rPr>
              <w:t>3</w:t>
            </w:r>
            <w:r>
              <w:rPr>
                <w:rStyle w:val="font21"/>
                <w:rFonts w:ascii="Times New Roman" w:hAnsi="Times New Roman" w:cs="Times New Roman" w:hint="default"/>
                <w:color w:val="auto"/>
                <w:sz w:val="21"/>
                <w:szCs w:val="21"/>
              </w:rPr>
              <w:t>人</w:t>
            </w:r>
          </w:p>
        </w:tc>
        <w:tc>
          <w:tcPr>
            <w:tcW w:w="1018" w:type="dxa"/>
            <w:vMerge w:val="restart"/>
            <w:shd w:val="clear" w:color="auto" w:fill="auto"/>
            <w:vAlign w:val="center"/>
          </w:tcPr>
          <w:p w14:paraId="463508A6"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《环境空气质量标准》（</w:t>
            </w:r>
            <w:r>
              <w:rPr>
                <w:rFonts w:cs="Times New Roman"/>
                <w:kern w:val="21"/>
                <w:szCs w:val="21"/>
              </w:rPr>
              <w:t>GB3095-2012</w:t>
            </w:r>
            <w:r>
              <w:rPr>
                <w:rFonts w:cs="Times New Roman" w:hint="eastAsia"/>
                <w:kern w:val="21"/>
                <w:szCs w:val="21"/>
              </w:rPr>
              <w:t>）</w:t>
            </w:r>
          </w:p>
        </w:tc>
      </w:tr>
      <w:tr w:rsidR="00544649" w14:paraId="04C3D4DD" w14:textId="77777777">
        <w:trPr>
          <w:trHeight w:val="641"/>
          <w:jc w:val="center"/>
        </w:trPr>
        <w:tc>
          <w:tcPr>
            <w:tcW w:w="473" w:type="dxa"/>
            <w:vMerge/>
            <w:shd w:val="clear" w:color="auto" w:fill="auto"/>
            <w:vAlign w:val="center"/>
          </w:tcPr>
          <w:p w14:paraId="4FF6D6BA"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4B986AAC" w14:textId="77777777" w:rsidR="00544649" w:rsidRDefault="00544649">
            <w:pPr>
              <w:pStyle w:val="aff7"/>
              <w:adjustRightInd w:val="0"/>
              <w:snapToGrid w:val="0"/>
              <w:spacing w:before="62" w:after="62"/>
              <w:rPr>
                <w:rFonts w:cs="Times New Roman"/>
                <w:szCs w:val="21"/>
              </w:rPr>
            </w:pPr>
          </w:p>
        </w:tc>
        <w:tc>
          <w:tcPr>
            <w:tcW w:w="723" w:type="dxa"/>
            <w:tcBorders>
              <w:bottom w:val="single" w:sz="4" w:space="0" w:color="auto"/>
            </w:tcBorders>
            <w:shd w:val="clear" w:color="auto" w:fill="auto"/>
            <w:vAlign w:val="center"/>
          </w:tcPr>
          <w:p w14:paraId="31411ECE" w14:textId="77777777" w:rsidR="00544649" w:rsidRDefault="00000000">
            <w:pPr>
              <w:pStyle w:val="aff7"/>
              <w:adjustRightInd w:val="0"/>
              <w:snapToGrid w:val="0"/>
              <w:spacing w:before="62" w:after="62"/>
              <w:rPr>
                <w:rFonts w:cs="Times New Roman"/>
                <w:szCs w:val="21"/>
              </w:rPr>
            </w:pPr>
            <w:r>
              <w:rPr>
                <w:rFonts w:cs="Times New Roman"/>
                <w:szCs w:val="21"/>
              </w:rPr>
              <w:t>柏树坪散户居民</w:t>
            </w:r>
          </w:p>
        </w:tc>
        <w:tc>
          <w:tcPr>
            <w:tcW w:w="873" w:type="dxa"/>
            <w:tcBorders>
              <w:bottom w:val="single" w:sz="4" w:space="0" w:color="auto"/>
            </w:tcBorders>
            <w:vAlign w:val="center"/>
          </w:tcPr>
          <w:p w14:paraId="2A4781E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557773.97</w:t>
            </w:r>
          </w:p>
        </w:tc>
        <w:tc>
          <w:tcPr>
            <w:tcW w:w="871" w:type="dxa"/>
            <w:tcBorders>
              <w:bottom w:val="single" w:sz="4" w:space="0" w:color="auto"/>
            </w:tcBorders>
            <w:vAlign w:val="center"/>
          </w:tcPr>
          <w:p w14:paraId="144F562F"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3560148.07</w:t>
            </w:r>
          </w:p>
        </w:tc>
        <w:tc>
          <w:tcPr>
            <w:tcW w:w="727" w:type="dxa"/>
            <w:tcBorders>
              <w:bottom w:val="single" w:sz="4" w:space="0" w:color="auto"/>
            </w:tcBorders>
            <w:shd w:val="clear" w:color="auto" w:fill="auto"/>
            <w:vAlign w:val="center"/>
          </w:tcPr>
          <w:p w14:paraId="42AA05B1"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育雏场东</w:t>
            </w:r>
            <w:proofErr w:type="gramEnd"/>
          </w:p>
        </w:tc>
        <w:tc>
          <w:tcPr>
            <w:tcW w:w="875" w:type="dxa"/>
            <w:tcBorders>
              <w:bottom w:val="single" w:sz="4" w:space="0" w:color="auto"/>
            </w:tcBorders>
            <w:shd w:val="clear" w:color="auto" w:fill="auto"/>
            <w:vAlign w:val="center"/>
          </w:tcPr>
          <w:p w14:paraId="0FA92F1F" w14:textId="77777777" w:rsidR="00544649" w:rsidRDefault="00000000">
            <w:pPr>
              <w:pStyle w:val="aff7"/>
              <w:adjustRightInd w:val="0"/>
              <w:snapToGrid w:val="0"/>
              <w:spacing w:before="62" w:after="62"/>
              <w:rPr>
                <w:rFonts w:cs="Times New Roman"/>
                <w:szCs w:val="21"/>
              </w:rPr>
            </w:pPr>
            <w:r>
              <w:rPr>
                <w:rFonts w:cs="Times New Roman" w:hint="eastAsia"/>
                <w:szCs w:val="21"/>
              </w:rPr>
              <w:t>660</w:t>
            </w:r>
          </w:p>
        </w:tc>
        <w:tc>
          <w:tcPr>
            <w:tcW w:w="873" w:type="dxa"/>
            <w:tcBorders>
              <w:bottom w:val="single" w:sz="4" w:space="0" w:color="auto"/>
            </w:tcBorders>
            <w:shd w:val="clear" w:color="auto" w:fill="auto"/>
            <w:vAlign w:val="center"/>
          </w:tcPr>
          <w:p w14:paraId="6881673D"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710</w:t>
            </w:r>
          </w:p>
        </w:tc>
        <w:tc>
          <w:tcPr>
            <w:tcW w:w="871" w:type="dxa"/>
            <w:tcBorders>
              <w:bottom w:val="single" w:sz="4" w:space="0" w:color="auto"/>
            </w:tcBorders>
            <w:shd w:val="clear" w:color="auto" w:fill="auto"/>
            <w:vAlign w:val="center"/>
          </w:tcPr>
          <w:p w14:paraId="47628B17" w14:textId="77777777" w:rsidR="00544649" w:rsidRDefault="00000000">
            <w:pPr>
              <w:pStyle w:val="aff3"/>
              <w:spacing w:before="62" w:after="62" w:line="240" w:lineRule="auto"/>
              <w:rPr>
                <w:rFonts w:cs="Times New Roman"/>
                <w:kern w:val="21"/>
                <w:szCs w:val="21"/>
              </w:rPr>
            </w:pPr>
            <w:r>
              <w:rPr>
                <w:rFonts w:cs="Times New Roman" w:hint="eastAsia"/>
                <w:kern w:val="21"/>
                <w:szCs w:val="21"/>
              </w:rPr>
              <w:t>-89</w:t>
            </w:r>
          </w:p>
        </w:tc>
        <w:tc>
          <w:tcPr>
            <w:tcW w:w="1163" w:type="dxa"/>
            <w:tcBorders>
              <w:bottom w:val="single" w:sz="4" w:space="0" w:color="auto"/>
            </w:tcBorders>
            <w:shd w:val="clear" w:color="auto" w:fill="auto"/>
            <w:vAlign w:val="center"/>
          </w:tcPr>
          <w:p w14:paraId="2A7EDBD5" w14:textId="77777777" w:rsidR="00544649" w:rsidRDefault="00000000">
            <w:pPr>
              <w:pStyle w:val="aff7"/>
              <w:adjustRightInd w:val="0"/>
              <w:snapToGrid w:val="0"/>
              <w:spacing w:before="62" w:after="62"/>
              <w:rPr>
                <w:rStyle w:val="font31"/>
                <w:color w:val="auto"/>
                <w:sz w:val="21"/>
                <w:szCs w:val="21"/>
              </w:rPr>
            </w:pPr>
            <w:r>
              <w:rPr>
                <w:rFonts w:cs="Times New Roman"/>
                <w:szCs w:val="21"/>
              </w:rPr>
              <w:t>约</w:t>
            </w:r>
            <w:r>
              <w:rPr>
                <w:rFonts w:cs="Times New Roman" w:hint="eastAsia"/>
                <w:szCs w:val="21"/>
              </w:rPr>
              <w:t>2</w:t>
            </w:r>
            <w:r>
              <w:rPr>
                <w:rStyle w:val="font01"/>
                <w:rFonts w:ascii="Times New Roman" w:hAnsi="Times New Roman" w:cs="Times New Roman" w:hint="default"/>
                <w:color w:val="auto"/>
                <w:sz w:val="21"/>
                <w:szCs w:val="21"/>
              </w:rPr>
              <w:t>户，</w:t>
            </w:r>
            <w:r>
              <w:rPr>
                <w:rStyle w:val="font01"/>
                <w:rFonts w:ascii="Times New Roman" w:hAnsi="Times New Roman" w:cs="Times New Roman" w:hint="default"/>
                <w:color w:val="auto"/>
                <w:sz w:val="21"/>
                <w:szCs w:val="21"/>
              </w:rPr>
              <w:t>6</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5FC43220" w14:textId="77777777" w:rsidR="00544649" w:rsidRDefault="00544649">
            <w:pPr>
              <w:pStyle w:val="aff7"/>
              <w:adjustRightInd w:val="0"/>
              <w:snapToGrid w:val="0"/>
              <w:spacing w:before="62" w:after="62"/>
              <w:rPr>
                <w:rFonts w:cs="Times New Roman"/>
                <w:kern w:val="21"/>
                <w:szCs w:val="21"/>
              </w:rPr>
            </w:pPr>
          </w:p>
        </w:tc>
      </w:tr>
      <w:tr w:rsidR="00544649" w14:paraId="2C7105B1" w14:textId="77777777">
        <w:trPr>
          <w:trHeight w:val="641"/>
          <w:jc w:val="center"/>
        </w:trPr>
        <w:tc>
          <w:tcPr>
            <w:tcW w:w="473" w:type="dxa"/>
            <w:vMerge/>
            <w:shd w:val="clear" w:color="auto" w:fill="auto"/>
            <w:vAlign w:val="center"/>
          </w:tcPr>
          <w:p w14:paraId="67C9D097"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4454146F" w14:textId="77777777" w:rsidR="00544649" w:rsidRDefault="00544649">
            <w:pPr>
              <w:pStyle w:val="aff7"/>
              <w:adjustRightInd w:val="0"/>
              <w:snapToGrid w:val="0"/>
              <w:spacing w:before="62" w:after="62"/>
              <w:rPr>
                <w:rFonts w:cs="Times New Roman"/>
                <w:szCs w:val="21"/>
              </w:rPr>
            </w:pPr>
          </w:p>
        </w:tc>
        <w:tc>
          <w:tcPr>
            <w:tcW w:w="723" w:type="dxa"/>
            <w:tcBorders>
              <w:bottom w:val="single" w:sz="4" w:space="0" w:color="auto"/>
            </w:tcBorders>
            <w:shd w:val="clear" w:color="auto" w:fill="auto"/>
            <w:vAlign w:val="center"/>
          </w:tcPr>
          <w:p w14:paraId="68A0CF85" w14:textId="77777777" w:rsidR="00544649" w:rsidRDefault="00000000">
            <w:pPr>
              <w:pStyle w:val="aff7"/>
              <w:adjustRightInd w:val="0"/>
              <w:snapToGrid w:val="0"/>
              <w:spacing w:before="62" w:after="62"/>
              <w:rPr>
                <w:rFonts w:cs="Times New Roman"/>
                <w:szCs w:val="21"/>
              </w:rPr>
            </w:pPr>
            <w:r>
              <w:rPr>
                <w:rFonts w:cs="Times New Roman"/>
                <w:szCs w:val="21"/>
              </w:rPr>
              <w:t>柏树坪散户居民</w:t>
            </w:r>
          </w:p>
        </w:tc>
        <w:tc>
          <w:tcPr>
            <w:tcW w:w="873" w:type="dxa"/>
            <w:tcBorders>
              <w:bottom w:val="single" w:sz="4" w:space="0" w:color="auto"/>
            </w:tcBorders>
            <w:vAlign w:val="center"/>
          </w:tcPr>
          <w:p w14:paraId="7C46226A"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557952.50</w:t>
            </w:r>
          </w:p>
        </w:tc>
        <w:tc>
          <w:tcPr>
            <w:tcW w:w="871" w:type="dxa"/>
            <w:tcBorders>
              <w:bottom w:val="single" w:sz="4" w:space="0" w:color="auto"/>
            </w:tcBorders>
            <w:vAlign w:val="center"/>
          </w:tcPr>
          <w:p w14:paraId="29A33B70"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3560018.06</w:t>
            </w:r>
          </w:p>
        </w:tc>
        <w:tc>
          <w:tcPr>
            <w:tcW w:w="727" w:type="dxa"/>
            <w:tcBorders>
              <w:bottom w:val="single" w:sz="4" w:space="0" w:color="auto"/>
            </w:tcBorders>
            <w:shd w:val="clear" w:color="auto" w:fill="auto"/>
            <w:vAlign w:val="center"/>
          </w:tcPr>
          <w:p w14:paraId="762C0622"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育雏场东</w:t>
            </w:r>
            <w:proofErr w:type="gramEnd"/>
          </w:p>
        </w:tc>
        <w:tc>
          <w:tcPr>
            <w:tcW w:w="875" w:type="dxa"/>
            <w:tcBorders>
              <w:bottom w:val="single" w:sz="4" w:space="0" w:color="auto"/>
            </w:tcBorders>
            <w:shd w:val="clear" w:color="auto" w:fill="auto"/>
            <w:vAlign w:val="center"/>
          </w:tcPr>
          <w:p w14:paraId="11F44D60" w14:textId="77777777" w:rsidR="00544649" w:rsidRDefault="00000000">
            <w:pPr>
              <w:pStyle w:val="aff7"/>
              <w:adjustRightInd w:val="0"/>
              <w:snapToGrid w:val="0"/>
              <w:spacing w:before="62" w:after="62"/>
              <w:rPr>
                <w:rFonts w:cs="Times New Roman"/>
                <w:szCs w:val="21"/>
              </w:rPr>
            </w:pPr>
            <w:r>
              <w:rPr>
                <w:rFonts w:cs="Times New Roman" w:hint="eastAsia"/>
                <w:szCs w:val="21"/>
              </w:rPr>
              <w:t>810</w:t>
            </w:r>
          </w:p>
        </w:tc>
        <w:tc>
          <w:tcPr>
            <w:tcW w:w="873" w:type="dxa"/>
            <w:tcBorders>
              <w:bottom w:val="single" w:sz="4" w:space="0" w:color="auto"/>
            </w:tcBorders>
            <w:shd w:val="clear" w:color="auto" w:fill="auto"/>
            <w:vAlign w:val="center"/>
          </w:tcPr>
          <w:p w14:paraId="64491BA3"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860</w:t>
            </w:r>
          </w:p>
        </w:tc>
        <w:tc>
          <w:tcPr>
            <w:tcW w:w="871" w:type="dxa"/>
            <w:tcBorders>
              <w:bottom w:val="single" w:sz="4" w:space="0" w:color="auto"/>
            </w:tcBorders>
            <w:shd w:val="clear" w:color="auto" w:fill="auto"/>
            <w:vAlign w:val="center"/>
          </w:tcPr>
          <w:p w14:paraId="63B62C28" w14:textId="77777777" w:rsidR="00544649" w:rsidRDefault="00000000">
            <w:pPr>
              <w:pStyle w:val="aff3"/>
              <w:spacing w:before="62" w:after="62" w:line="240" w:lineRule="auto"/>
              <w:rPr>
                <w:rFonts w:cs="Times New Roman"/>
                <w:kern w:val="21"/>
                <w:szCs w:val="21"/>
              </w:rPr>
            </w:pPr>
            <w:r>
              <w:rPr>
                <w:rFonts w:cs="Times New Roman" w:hint="eastAsia"/>
                <w:kern w:val="21"/>
                <w:szCs w:val="21"/>
              </w:rPr>
              <w:t>-85</w:t>
            </w:r>
          </w:p>
        </w:tc>
        <w:tc>
          <w:tcPr>
            <w:tcW w:w="1163" w:type="dxa"/>
            <w:tcBorders>
              <w:bottom w:val="single" w:sz="4" w:space="0" w:color="auto"/>
            </w:tcBorders>
            <w:shd w:val="clear" w:color="auto" w:fill="auto"/>
            <w:vAlign w:val="center"/>
          </w:tcPr>
          <w:p w14:paraId="5EC8E29B" w14:textId="77777777" w:rsidR="00544649" w:rsidRDefault="00000000">
            <w:pPr>
              <w:pStyle w:val="aff7"/>
              <w:adjustRightInd w:val="0"/>
              <w:snapToGrid w:val="0"/>
              <w:spacing w:before="62" w:after="62"/>
              <w:rPr>
                <w:rStyle w:val="font31"/>
                <w:color w:val="auto"/>
                <w:sz w:val="21"/>
                <w:szCs w:val="21"/>
              </w:rPr>
            </w:pPr>
            <w:r>
              <w:rPr>
                <w:rFonts w:cs="Times New Roman"/>
                <w:szCs w:val="21"/>
              </w:rPr>
              <w:t>约</w:t>
            </w:r>
            <w:r>
              <w:rPr>
                <w:rFonts w:cs="Times New Roman" w:hint="eastAsia"/>
                <w:szCs w:val="21"/>
              </w:rPr>
              <w:t>9</w:t>
            </w:r>
            <w:r>
              <w:rPr>
                <w:rStyle w:val="font01"/>
                <w:rFonts w:ascii="Times New Roman" w:hAnsi="Times New Roman" w:cs="Times New Roman" w:hint="default"/>
                <w:color w:val="auto"/>
                <w:sz w:val="21"/>
                <w:szCs w:val="21"/>
              </w:rPr>
              <w:t>户，</w:t>
            </w:r>
            <w:r>
              <w:rPr>
                <w:rStyle w:val="font01"/>
                <w:rFonts w:ascii="Times New Roman" w:hAnsi="Times New Roman" w:cs="Times New Roman" w:hint="default"/>
                <w:color w:val="auto"/>
                <w:sz w:val="21"/>
                <w:szCs w:val="21"/>
              </w:rPr>
              <w:t>27</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5BAA399C" w14:textId="77777777" w:rsidR="00544649" w:rsidRDefault="00544649">
            <w:pPr>
              <w:pStyle w:val="aff7"/>
              <w:adjustRightInd w:val="0"/>
              <w:snapToGrid w:val="0"/>
              <w:spacing w:before="62" w:after="62"/>
              <w:rPr>
                <w:rFonts w:cs="Times New Roman"/>
                <w:kern w:val="21"/>
                <w:szCs w:val="21"/>
              </w:rPr>
            </w:pPr>
          </w:p>
        </w:tc>
      </w:tr>
      <w:bookmarkEnd w:id="165"/>
      <w:bookmarkEnd w:id="166"/>
      <w:tr w:rsidR="00544649" w14:paraId="4457DC35" w14:textId="77777777">
        <w:trPr>
          <w:trHeight w:val="90"/>
          <w:jc w:val="center"/>
        </w:trPr>
        <w:tc>
          <w:tcPr>
            <w:tcW w:w="473" w:type="dxa"/>
            <w:vMerge/>
            <w:shd w:val="clear" w:color="auto" w:fill="auto"/>
            <w:vAlign w:val="center"/>
          </w:tcPr>
          <w:p w14:paraId="06F41FFC"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5E7BC15D"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4CB5FD2D" w14:textId="77777777" w:rsidR="00544649" w:rsidRDefault="00000000">
            <w:pPr>
              <w:pStyle w:val="aff7"/>
              <w:adjustRightInd w:val="0"/>
              <w:snapToGrid w:val="0"/>
              <w:spacing w:before="62" w:after="62"/>
              <w:rPr>
                <w:rFonts w:cs="Times New Roman"/>
                <w:kern w:val="21"/>
                <w:szCs w:val="21"/>
              </w:rPr>
            </w:pPr>
            <w:r>
              <w:rPr>
                <w:rFonts w:cs="Times New Roman"/>
                <w:szCs w:val="21"/>
              </w:rPr>
              <w:t>紫荆村散户居民</w:t>
            </w:r>
          </w:p>
        </w:tc>
        <w:tc>
          <w:tcPr>
            <w:tcW w:w="873" w:type="dxa"/>
            <w:vAlign w:val="center"/>
          </w:tcPr>
          <w:p w14:paraId="7CBE92DE"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558253.98</w:t>
            </w:r>
          </w:p>
        </w:tc>
        <w:tc>
          <w:tcPr>
            <w:tcW w:w="871" w:type="dxa"/>
            <w:vAlign w:val="center"/>
          </w:tcPr>
          <w:p w14:paraId="3615419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3559760.75</w:t>
            </w:r>
          </w:p>
        </w:tc>
        <w:tc>
          <w:tcPr>
            <w:tcW w:w="727" w:type="dxa"/>
            <w:shd w:val="clear" w:color="auto" w:fill="auto"/>
            <w:vAlign w:val="center"/>
          </w:tcPr>
          <w:p w14:paraId="688209E8" w14:textId="77777777" w:rsidR="00544649" w:rsidRDefault="00000000">
            <w:pPr>
              <w:pStyle w:val="aff7"/>
              <w:adjustRightInd w:val="0"/>
              <w:snapToGrid w:val="0"/>
              <w:spacing w:before="62" w:after="62"/>
              <w:rPr>
                <w:rFonts w:cs="Times New Roman"/>
                <w:kern w:val="21"/>
                <w:szCs w:val="21"/>
              </w:rPr>
            </w:pPr>
            <w:proofErr w:type="gramStart"/>
            <w:r>
              <w:rPr>
                <w:rFonts w:cs="Times New Roman"/>
                <w:szCs w:val="21"/>
              </w:rPr>
              <w:t>育雏场东</w:t>
            </w:r>
            <w:proofErr w:type="gramEnd"/>
          </w:p>
        </w:tc>
        <w:tc>
          <w:tcPr>
            <w:tcW w:w="875" w:type="dxa"/>
            <w:shd w:val="clear" w:color="auto" w:fill="auto"/>
            <w:vAlign w:val="center"/>
          </w:tcPr>
          <w:p w14:paraId="5FC2F121" w14:textId="77777777" w:rsidR="00544649" w:rsidRDefault="00000000">
            <w:pPr>
              <w:pStyle w:val="aff7"/>
              <w:adjustRightInd w:val="0"/>
              <w:snapToGrid w:val="0"/>
              <w:spacing w:before="62" w:after="62"/>
              <w:rPr>
                <w:rFonts w:cs="Times New Roman"/>
                <w:kern w:val="21"/>
                <w:szCs w:val="21"/>
              </w:rPr>
            </w:pPr>
            <w:r>
              <w:rPr>
                <w:rFonts w:cs="Times New Roman"/>
                <w:szCs w:val="21"/>
              </w:rPr>
              <w:t>2400</w:t>
            </w:r>
          </w:p>
        </w:tc>
        <w:tc>
          <w:tcPr>
            <w:tcW w:w="873" w:type="dxa"/>
            <w:shd w:val="clear" w:color="auto" w:fill="auto"/>
            <w:vAlign w:val="center"/>
          </w:tcPr>
          <w:p w14:paraId="54A975C0"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2450</w:t>
            </w:r>
          </w:p>
        </w:tc>
        <w:tc>
          <w:tcPr>
            <w:tcW w:w="871" w:type="dxa"/>
            <w:shd w:val="clear" w:color="auto" w:fill="auto"/>
            <w:vAlign w:val="center"/>
          </w:tcPr>
          <w:p w14:paraId="04171CC6" w14:textId="77777777" w:rsidR="00544649" w:rsidRDefault="00000000">
            <w:pPr>
              <w:pStyle w:val="aff3"/>
              <w:spacing w:before="62" w:after="62" w:line="240" w:lineRule="auto"/>
              <w:rPr>
                <w:rFonts w:cs="Times New Roman"/>
                <w:kern w:val="21"/>
                <w:szCs w:val="21"/>
              </w:rPr>
            </w:pPr>
            <w:r>
              <w:rPr>
                <w:rFonts w:cs="Times New Roman"/>
                <w:kern w:val="21"/>
                <w:szCs w:val="21"/>
              </w:rPr>
              <w:t>-1</w:t>
            </w:r>
            <w:r>
              <w:rPr>
                <w:rFonts w:cs="Times New Roman" w:hint="eastAsia"/>
                <w:kern w:val="21"/>
                <w:szCs w:val="21"/>
              </w:rPr>
              <w:t>15</w:t>
            </w:r>
          </w:p>
        </w:tc>
        <w:tc>
          <w:tcPr>
            <w:tcW w:w="1163" w:type="dxa"/>
            <w:shd w:val="clear" w:color="auto" w:fill="auto"/>
            <w:vAlign w:val="center"/>
          </w:tcPr>
          <w:p w14:paraId="05B77920" w14:textId="77777777" w:rsidR="00544649" w:rsidRDefault="00000000">
            <w:pPr>
              <w:pStyle w:val="aff7"/>
              <w:adjustRightInd w:val="0"/>
              <w:snapToGrid w:val="0"/>
              <w:spacing w:before="62" w:after="62"/>
              <w:rPr>
                <w:rFonts w:cs="Times New Roman"/>
                <w:kern w:val="21"/>
                <w:szCs w:val="21"/>
              </w:rPr>
            </w:pPr>
            <w:r>
              <w:rPr>
                <w:rFonts w:cs="Times New Roman"/>
                <w:szCs w:val="21"/>
              </w:rPr>
              <w:t>约</w:t>
            </w:r>
            <w:r>
              <w:rPr>
                <w:rStyle w:val="font11"/>
                <w:color w:val="auto"/>
                <w:sz w:val="21"/>
                <w:szCs w:val="21"/>
              </w:rPr>
              <w:t>15</w:t>
            </w:r>
            <w:r>
              <w:rPr>
                <w:rStyle w:val="font01"/>
                <w:rFonts w:ascii="Times New Roman" w:hAnsi="Times New Roman" w:cs="Times New Roman" w:hint="default"/>
                <w:color w:val="auto"/>
                <w:sz w:val="21"/>
                <w:szCs w:val="21"/>
              </w:rPr>
              <w:t>户，</w:t>
            </w:r>
            <w:r>
              <w:rPr>
                <w:rStyle w:val="font11"/>
                <w:color w:val="auto"/>
                <w:sz w:val="21"/>
                <w:szCs w:val="21"/>
              </w:rPr>
              <w:t>45</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6AAE8602" w14:textId="77777777" w:rsidR="00544649" w:rsidRDefault="00544649">
            <w:pPr>
              <w:pStyle w:val="aff7"/>
              <w:adjustRightInd w:val="0"/>
              <w:snapToGrid w:val="0"/>
              <w:spacing w:before="62" w:after="62"/>
              <w:rPr>
                <w:rFonts w:cs="Times New Roman"/>
                <w:kern w:val="21"/>
                <w:szCs w:val="21"/>
              </w:rPr>
            </w:pPr>
          </w:p>
        </w:tc>
      </w:tr>
      <w:tr w:rsidR="00544649" w14:paraId="18D79747" w14:textId="77777777">
        <w:trPr>
          <w:trHeight w:val="90"/>
          <w:jc w:val="center"/>
        </w:trPr>
        <w:tc>
          <w:tcPr>
            <w:tcW w:w="473" w:type="dxa"/>
            <w:vMerge/>
            <w:shd w:val="clear" w:color="auto" w:fill="auto"/>
            <w:vAlign w:val="center"/>
          </w:tcPr>
          <w:p w14:paraId="79A7C327"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33F6B092"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19E09F31" w14:textId="77777777" w:rsidR="00544649" w:rsidRDefault="00000000">
            <w:pPr>
              <w:pStyle w:val="aff7"/>
              <w:adjustRightInd w:val="0"/>
              <w:snapToGrid w:val="0"/>
              <w:spacing w:before="62" w:after="62"/>
              <w:rPr>
                <w:rFonts w:cs="Times New Roman"/>
                <w:kern w:val="21"/>
                <w:szCs w:val="21"/>
              </w:rPr>
            </w:pPr>
            <w:proofErr w:type="gramStart"/>
            <w:r>
              <w:rPr>
                <w:rFonts w:cs="Times New Roman"/>
                <w:szCs w:val="21"/>
              </w:rPr>
              <w:t>蹇</w:t>
            </w:r>
            <w:proofErr w:type="gramEnd"/>
            <w:r>
              <w:rPr>
                <w:rFonts w:cs="Times New Roman"/>
                <w:szCs w:val="21"/>
              </w:rPr>
              <w:t>家湾散户居民</w:t>
            </w:r>
          </w:p>
        </w:tc>
        <w:tc>
          <w:tcPr>
            <w:tcW w:w="873" w:type="dxa"/>
            <w:vAlign w:val="center"/>
          </w:tcPr>
          <w:p w14:paraId="5947DF9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556641.85</w:t>
            </w:r>
          </w:p>
        </w:tc>
        <w:tc>
          <w:tcPr>
            <w:tcW w:w="871" w:type="dxa"/>
            <w:vAlign w:val="center"/>
          </w:tcPr>
          <w:p w14:paraId="35594D9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3560221.75</w:t>
            </w:r>
          </w:p>
        </w:tc>
        <w:tc>
          <w:tcPr>
            <w:tcW w:w="727" w:type="dxa"/>
            <w:shd w:val="clear" w:color="auto" w:fill="auto"/>
            <w:vAlign w:val="center"/>
          </w:tcPr>
          <w:p w14:paraId="3E027A5D" w14:textId="77777777" w:rsidR="00544649" w:rsidRDefault="00000000">
            <w:pPr>
              <w:pStyle w:val="aff7"/>
              <w:adjustRightInd w:val="0"/>
              <w:snapToGrid w:val="0"/>
              <w:spacing w:before="62" w:after="62"/>
              <w:rPr>
                <w:rFonts w:cs="Times New Roman"/>
                <w:kern w:val="21"/>
                <w:szCs w:val="21"/>
              </w:rPr>
            </w:pPr>
            <w:proofErr w:type="gramStart"/>
            <w:r>
              <w:rPr>
                <w:rFonts w:cs="Times New Roman"/>
                <w:szCs w:val="21"/>
              </w:rPr>
              <w:t>育雏场西</w:t>
            </w:r>
            <w:proofErr w:type="gramEnd"/>
          </w:p>
        </w:tc>
        <w:tc>
          <w:tcPr>
            <w:tcW w:w="875" w:type="dxa"/>
            <w:shd w:val="clear" w:color="auto" w:fill="auto"/>
            <w:vAlign w:val="center"/>
          </w:tcPr>
          <w:p w14:paraId="001D19D5" w14:textId="77777777" w:rsidR="00544649" w:rsidRDefault="00000000">
            <w:pPr>
              <w:pStyle w:val="aff7"/>
              <w:tabs>
                <w:tab w:val="center" w:pos="452"/>
                <w:tab w:val="left" w:pos="581"/>
              </w:tabs>
              <w:adjustRightInd w:val="0"/>
              <w:snapToGrid w:val="0"/>
              <w:spacing w:before="62" w:after="62"/>
              <w:rPr>
                <w:rFonts w:cs="Times New Roman"/>
                <w:kern w:val="21"/>
                <w:szCs w:val="21"/>
              </w:rPr>
            </w:pPr>
            <w:r>
              <w:rPr>
                <w:rFonts w:cs="Times New Roman" w:hint="eastAsia"/>
                <w:szCs w:val="21"/>
              </w:rPr>
              <w:t>280</w:t>
            </w:r>
          </w:p>
        </w:tc>
        <w:tc>
          <w:tcPr>
            <w:tcW w:w="873" w:type="dxa"/>
            <w:shd w:val="clear" w:color="auto" w:fill="auto"/>
            <w:vAlign w:val="center"/>
          </w:tcPr>
          <w:p w14:paraId="77749DE6" w14:textId="77777777" w:rsidR="00544649" w:rsidRDefault="00000000">
            <w:pPr>
              <w:pStyle w:val="aff7"/>
              <w:tabs>
                <w:tab w:val="center" w:pos="452"/>
                <w:tab w:val="left" w:pos="581"/>
              </w:tabs>
              <w:adjustRightInd w:val="0"/>
              <w:snapToGrid w:val="0"/>
              <w:spacing w:before="62" w:after="62"/>
              <w:rPr>
                <w:rFonts w:cs="Times New Roman"/>
                <w:kern w:val="21"/>
                <w:szCs w:val="21"/>
              </w:rPr>
            </w:pPr>
            <w:r>
              <w:rPr>
                <w:rFonts w:cs="Times New Roman" w:hint="eastAsia"/>
                <w:kern w:val="21"/>
                <w:szCs w:val="21"/>
              </w:rPr>
              <w:t>330</w:t>
            </w:r>
          </w:p>
        </w:tc>
        <w:tc>
          <w:tcPr>
            <w:tcW w:w="871" w:type="dxa"/>
            <w:shd w:val="clear" w:color="auto" w:fill="auto"/>
            <w:vAlign w:val="center"/>
          </w:tcPr>
          <w:p w14:paraId="4FDA7020" w14:textId="77777777" w:rsidR="00544649" w:rsidRDefault="00000000">
            <w:pPr>
              <w:pStyle w:val="aff3"/>
              <w:spacing w:before="62" w:after="62" w:line="240" w:lineRule="auto"/>
              <w:rPr>
                <w:rFonts w:cs="Times New Roman"/>
                <w:kern w:val="21"/>
                <w:szCs w:val="21"/>
              </w:rPr>
            </w:pPr>
            <w:r>
              <w:rPr>
                <w:rFonts w:cs="Times New Roman" w:hint="eastAsia"/>
                <w:kern w:val="21"/>
                <w:szCs w:val="21"/>
              </w:rPr>
              <w:t>-53</w:t>
            </w:r>
          </w:p>
        </w:tc>
        <w:tc>
          <w:tcPr>
            <w:tcW w:w="1163" w:type="dxa"/>
            <w:shd w:val="clear" w:color="auto" w:fill="auto"/>
            <w:vAlign w:val="center"/>
          </w:tcPr>
          <w:p w14:paraId="0A0C4F53" w14:textId="77777777" w:rsidR="00544649" w:rsidRDefault="00000000">
            <w:pPr>
              <w:pStyle w:val="aff7"/>
              <w:adjustRightInd w:val="0"/>
              <w:snapToGrid w:val="0"/>
              <w:spacing w:before="62" w:after="62"/>
              <w:rPr>
                <w:rFonts w:cs="Times New Roman"/>
                <w:kern w:val="21"/>
                <w:szCs w:val="21"/>
              </w:rPr>
            </w:pPr>
            <w:r>
              <w:rPr>
                <w:rFonts w:cs="Times New Roman"/>
                <w:szCs w:val="21"/>
              </w:rPr>
              <w:t>约</w:t>
            </w:r>
            <w:r>
              <w:rPr>
                <w:rFonts w:cs="Times New Roman" w:hint="eastAsia"/>
                <w:szCs w:val="21"/>
              </w:rPr>
              <w:t>2</w:t>
            </w:r>
            <w:r>
              <w:rPr>
                <w:rStyle w:val="font01"/>
                <w:rFonts w:ascii="Times New Roman" w:hAnsi="Times New Roman" w:cs="Times New Roman" w:hint="default"/>
                <w:color w:val="auto"/>
                <w:sz w:val="21"/>
                <w:szCs w:val="21"/>
              </w:rPr>
              <w:t>户，</w:t>
            </w:r>
            <w:r>
              <w:rPr>
                <w:rStyle w:val="font01"/>
                <w:rFonts w:ascii="Times New Roman" w:hAnsi="Times New Roman" w:cs="Times New Roman" w:hint="default"/>
                <w:color w:val="auto"/>
                <w:sz w:val="21"/>
                <w:szCs w:val="21"/>
              </w:rPr>
              <w:t>6</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154BD283" w14:textId="77777777" w:rsidR="00544649" w:rsidRDefault="00544649">
            <w:pPr>
              <w:pStyle w:val="aff7"/>
              <w:adjustRightInd w:val="0"/>
              <w:snapToGrid w:val="0"/>
              <w:spacing w:before="62" w:after="62"/>
              <w:rPr>
                <w:rFonts w:cs="Times New Roman"/>
                <w:kern w:val="21"/>
                <w:szCs w:val="21"/>
              </w:rPr>
            </w:pPr>
          </w:p>
        </w:tc>
      </w:tr>
      <w:tr w:rsidR="00544649" w14:paraId="181DFF8F" w14:textId="77777777">
        <w:trPr>
          <w:trHeight w:val="90"/>
          <w:jc w:val="center"/>
        </w:trPr>
        <w:tc>
          <w:tcPr>
            <w:tcW w:w="473" w:type="dxa"/>
            <w:vMerge/>
            <w:shd w:val="clear" w:color="auto" w:fill="auto"/>
            <w:vAlign w:val="center"/>
          </w:tcPr>
          <w:p w14:paraId="21D32E4D"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3DA3F998"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56AB09D8"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蹇</w:t>
            </w:r>
            <w:proofErr w:type="gramEnd"/>
            <w:r>
              <w:rPr>
                <w:rFonts w:cs="Times New Roman"/>
                <w:szCs w:val="21"/>
              </w:rPr>
              <w:t>家湾散户居民</w:t>
            </w:r>
          </w:p>
        </w:tc>
        <w:tc>
          <w:tcPr>
            <w:tcW w:w="873" w:type="dxa"/>
            <w:vAlign w:val="center"/>
          </w:tcPr>
          <w:p w14:paraId="7AA5843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556713.72</w:t>
            </w:r>
          </w:p>
        </w:tc>
        <w:tc>
          <w:tcPr>
            <w:tcW w:w="871" w:type="dxa"/>
            <w:vAlign w:val="center"/>
          </w:tcPr>
          <w:p w14:paraId="3ACD8579"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3560022.79</w:t>
            </w:r>
          </w:p>
        </w:tc>
        <w:tc>
          <w:tcPr>
            <w:tcW w:w="727" w:type="dxa"/>
            <w:shd w:val="clear" w:color="auto" w:fill="auto"/>
            <w:vAlign w:val="center"/>
          </w:tcPr>
          <w:p w14:paraId="798650FD"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育雏场西</w:t>
            </w:r>
            <w:proofErr w:type="gramEnd"/>
          </w:p>
        </w:tc>
        <w:tc>
          <w:tcPr>
            <w:tcW w:w="875" w:type="dxa"/>
            <w:shd w:val="clear" w:color="auto" w:fill="auto"/>
            <w:vAlign w:val="center"/>
          </w:tcPr>
          <w:p w14:paraId="30DDF88A" w14:textId="77777777" w:rsidR="00544649" w:rsidRDefault="00000000">
            <w:pPr>
              <w:pStyle w:val="aff7"/>
              <w:tabs>
                <w:tab w:val="center" w:pos="452"/>
                <w:tab w:val="left" w:pos="581"/>
              </w:tabs>
              <w:adjustRightInd w:val="0"/>
              <w:snapToGrid w:val="0"/>
              <w:spacing w:before="62" w:after="62"/>
              <w:rPr>
                <w:rFonts w:cs="Times New Roman"/>
                <w:szCs w:val="21"/>
              </w:rPr>
            </w:pPr>
            <w:r>
              <w:rPr>
                <w:rFonts w:cs="Times New Roman" w:hint="eastAsia"/>
                <w:szCs w:val="21"/>
              </w:rPr>
              <w:t>390</w:t>
            </w:r>
          </w:p>
        </w:tc>
        <w:tc>
          <w:tcPr>
            <w:tcW w:w="873" w:type="dxa"/>
            <w:shd w:val="clear" w:color="auto" w:fill="auto"/>
            <w:vAlign w:val="center"/>
          </w:tcPr>
          <w:p w14:paraId="4E949F12" w14:textId="77777777" w:rsidR="00544649" w:rsidRDefault="00000000">
            <w:pPr>
              <w:pStyle w:val="aff7"/>
              <w:tabs>
                <w:tab w:val="center" w:pos="452"/>
                <w:tab w:val="left" w:pos="581"/>
              </w:tabs>
              <w:adjustRightInd w:val="0"/>
              <w:snapToGrid w:val="0"/>
              <w:spacing w:before="62" w:after="62"/>
              <w:rPr>
                <w:rFonts w:cs="Times New Roman"/>
                <w:kern w:val="21"/>
                <w:szCs w:val="21"/>
              </w:rPr>
            </w:pPr>
            <w:r>
              <w:rPr>
                <w:rFonts w:cs="Times New Roman" w:hint="eastAsia"/>
                <w:kern w:val="21"/>
                <w:szCs w:val="21"/>
              </w:rPr>
              <w:t>440</w:t>
            </w:r>
          </w:p>
        </w:tc>
        <w:tc>
          <w:tcPr>
            <w:tcW w:w="871" w:type="dxa"/>
            <w:shd w:val="clear" w:color="auto" w:fill="auto"/>
            <w:vAlign w:val="center"/>
          </w:tcPr>
          <w:p w14:paraId="36A766AF" w14:textId="77777777" w:rsidR="00544649" w:rsidRDefault="00000000">
            <w:pPr>
              <w:pStyle w:val="aff3"/>
              <w:spacing w:before="62" w:after="62" w:line="240" w:lineRule="auto"/>
              <w:rPr>
                <w:rFonts w:cs="Times New Roman"/>
                <w:kern w:val="21"/>
                <w:szCs w:val="21"/>
              </w:rPr>
            </w:pPr>
            <w:r>
              <w:rPr>
                <w:rFonts w:cs="Times New Roman" w:hint="eastAsia"/>
                <w:kern w:val="21"/>
                <w:szCs w:val="21"/>
              </w:rPr>
              <w:t>-55</w:t>
            </w:r>
          </w:p>
        </w:tc>
        <w:tc>
          <w:tcPr>
            <w:tcW w:w="1163" w:type="dxa"/>
            <w:shd w:val="clear" w:color="auto" w:fill="auto"/>
            <w:vAlign w:val="center"/>
          </w:tcPr>
          <w:p w14:paraId="4F1B05B0"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11"/>
                <w:color w:val="auto"/>
                <w:sz w:val="21"/>
                <w:szCs w:val="21"/>
              </w:rPr>
              <w:t>1</w:t>
            </w:r>
            <w:r>
              <w:rPr>
                <w:rStyle w:val="font11"/>
                <w:rFonts w:hint="eastAsia"/>
                <w:color w:val="auto"/>
                <w:sz w:val="21"/>
                <w:szCs w:val="21"/>
              </w:rPr>
              <w:t>0</w:t>
            </w:r>
            <w:r>
              <w:rPr>
                <w:rStyle w:val="font01"/>
                <w:rFonts w:ascii="Times New Roman" w:hAnsi="Times New Roman" w:cs="Times New Roman" w:hint="default"/>
                <w:color w:val="auto"/>
                <w:sz w:val="21"/>
                <w:szCs w:val="21"/>
              </w:rPr>
              <w:t>户，</w:t>
            </w:r>
            <w:r>
              <w:rPr>
                <w:rStyle w:val="font01"/>
                <w:rFonts w:ascii="Times New Roman" w:hAnsi="Times New Roman" w:cs="Times New Roman" w:hint="default"/>
                <w:color w:val="auto"/>
                <w:sz w:val="21"/>
                <w:szCs w:val="21"/>
              </w:rPr>
              <w:t>3</w:t>
            </w:r>
            <w:r>
              <w:rPr>
                <w:rStyle w:val="font01"/>
                <w:rFonts w:hint="default"/>
                <w:color w:val="auto"/>
                <w:sz w:val="21"/>
                <w:szCs w:val="21"/>
              </w:rPr>
              <w:t>0</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5AB62107" w14:textId="77777777" w:rsidR="00544649" w:rsidRDefault="00544649">
            <w:pPr>
              <w:pStyle w:val="aff7"/>
              <w:adjustRightInd w:val="0"/>
              <w:snapToGrid w:val="0"/>
              <w:spacing w:before="62" w:after="62"/>
              <w:rPr>
                <w:rFonts w:cs="Times New Roman"/>
                <w:kern w:val="21"/>
                <w:szCs w:val="21"/>
              </w:rPr>
            </w:pPr>
          </w:p>
        </w:tc>
      </w:tr>
      <w:tr w:rsidR="00544649" w14:paraId="2F4D562B" w14:textId="77777777">
        <w:trPr>
          <w:trHeight w:val="90"/>
          <w:jc w:val="center"/>
        </w:trPr>
        <w:tc>
          <w:tcPr>
            <w:tcW w:w="473" w:type="dxa"/>
            <w:vMerge/>
            <w:shd w:val="clear" w:color="auto" w:fill="auto"/>
            <w:vAlign w:val="center"/>
          </w:tcPr>
          <w:p w14:paraId="51E1C7A5"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5DB4F5B5"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024308C2"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蹇</w:t>
            </w:r>
            <w:proofErr w:type="gramEnd"/>
            <w:r>
              <w:rPr>
                <w:rFonts w:cs="Times New Roman"/>
                <w:szCs w:val="21"/>
              </w:rPr>
              <w:t>家湾散户居民</w:t>
            </w:r>
          </w:p>
        </w:tc>
        <w:tc>
          <w:tcPr>
            <w:tcW w:w="873" w:type="dxa"/>
            <w:vAlign w:val="center"/>
          </w:tcPr>
          <w:p w14:paraId="60B3B272"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556697.84</w:t>
            </w:r>
          </w:p>
        </w:tc>
        <w:tc>
          <w:tcPr>
            <w:tcW w:w="871" w:type="dxa"/>
            <w:vAlign w:val="center"/>
          </w:tcPr>
          <w:p w14:paraId="68D1B38E"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3559792.13</w:t>
            </w:r>
          </w:p>
        </w:tc>
        <w:tc>
          <w:tcPr>
            <w:tcW w:w="727" w:type="dxa"/>
            <w:shd w:val="clear" w:color="auto" w:fill="auto"/>
            <w:vAlign w:val="center"/>
          </w:tcPr>
          <w:p w14:paraId="4FE22DE5"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育雏场西</w:t>
            </w:r>
            <w:proofErr w:type="gramEnd"/>
          </w:p>
        </w:tc>
        <w:tc>
          <w:tcPr>
            <w:tcW w:w="875" w:type="dxa"/>
            <w:shd w:val="clear" w:color="auto" w:fill="auto"/>
            <w:vAlign w:val="center"/>
          </w:tcPr>
          <w:p w14:paraId="330785D4" w14:textId="77777777" w:rsidR="00544649" w:rsidRDefault="00000000">
            <w:pPr>
              <w:pStyle w:val="aff7"/>
              <w:tabs>
                <w:tab w:val="center" w:pos="452"/>
                <w:tab w:val="left" w:pos="581"/>
              </w:tabs>
              <w:adjustRightInd w:val="0"/>
              <w:snapToGrid w:val="0"/>
              <w:spacing w:before="62" w:after="62"/>
              <w:rPr>
                <w:rFonts w:cs="Times New Roman"/>
                <w:szCs w:val="21"/>
              </w:rPr>
            </w:pPr>
            <w:r>
              <w:rPr>
                <w:rFonts w:cs="Times New Roman" w:hint="eastAsia"/>
                <w:szCs w:val="21"/>
              </w:rPr>
              <w:t>6</w:t>
            </w:r>
            <w:r>
              <w:rPr>
                <w:rFonts w:hint="eastAsia"/>
                <w:szCs w:val="21"/>
              </w:rPr>
              <w:t>20</w:t>
            </w:r>
          </w:p>
        </w:tc>
        <w:tc>
          <w:tcPr>
            <w:tcW w:w="873" w:type="dxa"/>
            <w:shd w:val="clear" w:color="auto" w:fill="auto"/>
            <w:vAlign w:val="center"/>
          </w:tcPr>
          <w:p w14:paraId="42A5F579" w14:textId="77777777" w:rsidR="00544649" w:rsidRDefault="00000000">
            <w:pPr>
              <w:pStyle w:val="aff7"/>
              <w:tabs>
                <w:tab w:val="center" w:pos="452"/>
                <w:tab w:val="left" w:pos="581"/>
              </w:tabs>
              <w:adjustRightInd w:val="0"/>
              <w:snapToGrid w:val="0"/>
              <w:spacing w:before="62" w:after="62"/>
              <w:rPr>
                <w:rFonts w:cs="Times New Roman"/>
                <w:kern w:val="21"/>
                <w:szCs w:val="21"/>
              </w:rPr>
            </w:pPr>
            <w:r>
              <w:rPr>
                <w:rFonts w:cs="Times New Roman" w:hint="eastAsia"/>
                <w:kern w:val="21"/>
                <w:szCs w:val="21"/>
              </w:rPr>
              <w:t>6</w:t>
            </w:r>
            <w:r>
              <w:rPr>
                <w:rFonts w:hint="eastAsia"/>
                <w:kern w:val="21"/>
                <w:szCs w:val="21"/>
              </w:rPr>
              <w:t>80</w:t>
            </w:r>
          </w:p>
        </w:tc>
        <w:tc>
          <w:tcPr>
            <w:tcW w:w="871" w:type="dxa"/>
            <w:shd w:val="clear" w:color="auto" w:fill="auto"/>
            <w:vAlign w:val="center"/>
          </w:tcPr>
          <w:p w14:paraId="73C70C87" w14:textId="77777777" w:rsidR="00544649" w:rsidRDefault="00000000">
            <w:pPr>
              <w:pStyle w:val="aff3"/>
              <w:spacing w:before="62" w:after="62" w:line="240" w:lineRule="auto"/>
              <w:rPr>
                <w:rFonts w:cs="Times New Roman"/>
                <w:kern w:val="21"/>
                <w:szCs w:val="21"/>
              </w:rPr>
            </w:pPr>
            <w:r>
              <w:rPr>
                <w:rFonts w:cs="Times New Roman" w:hint="eastAsia"/>
                <w:kern w:val="21"/>
                <w:szCs w:val="21"/>
              </w:rPr>
              <w:t>-49</w:t>
            </w:r>
          </w:p>
        </w:tc>
        <w:tc>
          <w:tcPr>
            <w:tcW w:w="1163" w:type="dxa"/>
            <w:shd w:val="clear" w:color="auto" w:fill="auto"/>
            <w:vAlign w:val="center"/>
          </w:tcPr>
          <w:p w14:paraId="363894A0"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11"/>
                <w:rFonts w:hint="eastAsia"/>
                <w:color w:val="auto"/>
                <w:sz w:val="21"/>
                <w:szCs w:val="21"/>
              </w:rPr>
              <w:t>4</w:t>
            </w:r>
            <w:r>
              <w:rPr>
                <w:rStyle w:val="font01"/>
                <w:rFonts w:ascii="Times New Roman" w:hAnsi="Times New Roman" w:cs="Times New Roman" w:hint="default"/>
                <w:color w:val="auto"/>
                <w:sz w:val="21"/>
                <w:szCs w:val="21"/>
              </w:rPr>
              <w:t>户，</w:t>
            </w:r>
            <w:r>
              <w:rPr>
                <w:rStyle w:val="font01"/>
                <w:rFonts w:ascii="Times New Roman" w:hAnsi="Times New Roman" w:cs="Times New Roman" w:hint="default"/>
                <w:color w:val="auto"/>
                <w:sz w:val="21"/>
                <w:szCs w:val="21"/>
              </w:rPr>
              <w:t>12</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33AA8216" w14:textId="77777777" w:rsidR="00544649" w:rsidRDefault="00544649">
            <w:pPr>
              <w:pStyle w:val="aff7"/>
              <w:adjustRightInd w:val="0"/>
              <w:snapToGrid w:val="0"/>
              <w:spacing w:before="62" w:after="62"/>
              <w:rPr>
                <w:rFonts w:cs="Times New Roman"/>
                <w:kern w:val="21"/>
                <w:szCs w:val="21"/>
              </w:rPr>
            </w:pPr>
          </w:p>
        </w:tc>
      </w:tr>
      <w:tr w:rsidR="00544649" w14:paraId="2724C0B5" w14:textId="77777777">
        <w:trPr>
          <w:trHeight w:val="90"/>
          <w:jc w:val="center"/>
        </w:trPr>
        <w:tc>
          <w:tcPr>
            <w:tcW w:w="473" w:type="dxa"/>
            <w:vMerge/>
            <w:shd w:val="clear" w:color="auto" w:fill="auto"/>
            <w:vAlign w:val="center"/>
          </w:tcPr>
          <w:p w14:paraId="44EF70BC"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30C4B038"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04A9189B" w14:textId="77777777" w:rsidR="00544649" w:rsidRDefault="00000000">
            <w:pPr>
              <w:pStyle w:val="aff7"/>
              <w:adjustRightInd w:val="0"/>
              <w:snapToGrid w:val="0"/>
              <w:spacing w:before="62" w:after="62"/>
              <w:rPr>
                <w:rFonts w:cs="Times New Roman"/>
                <w:kern w:val="21"/>
                <w:szCs w:val="21"/>
              </w:rPr>
            </w:pPr>
            <w:proofErr w:type="gramStart"/>
            <w:r>
              <w:rPr>
                <w:rFonts w:cs="Times New Roman"/>
                <w:szCs w:val="21"/>
              </w:rPr>
              <w:t>蹇</w:t>
            </w:r>
            <w:proofErr w:type="gramEnd"/>
            <w:r>
              <w:rPr>
                <w:rFonts w:cs="Times New Roman"/>
                <w:szCs w:val="21"/>
              </w:rPr>
              <w:t>家湾散户居民</w:t>
            </w:r>
          </w:p>
        </w:tc>
        <w:tc>
          <w:tcPr>
            <w:tcW w:w="873" w:type="dxa"/>
            <w:vAlign w:val="center"/>
          </w:tcPr>
          <w:p w14:paraId="6621B7FD"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556702.65</w:t>
            </w:r>
          </w:p>
        </w:tc>
        <w:tc>
          <w:tcPr>
            <w:tcW w:w="871" w:type="dxa"/>
            <w:vAlign w:val="center"/>
          </w:tcPr>
          <w:p w14:paraId="369C6244"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3560013.66</w:t>
            </w:r>
          </w:p>
        </w:tc>
        <w:tc>
          <w:tcPr>
            <w:tcW w:w="727" w:type="dxa"/>
            <w:shd w:val="clear" w:color="auto" w:fill="auto"/>
            <w:vAlign w:val="center"/>
          </w:tcPr>
          <w:p w14:paraId="2872A020" w14:textId="77777777" w:rsidR="00544649" w:rsidRDefault="00000000">
            <w:pPr>
              <w:pStyle w:val="aff7"/>
              <w:adjustRightInd w:val="0"/>
              <w:snapToGrid w:val="0"/>
              <w:spacing w:before="62" w:after="62"/>
              <w:rPr>
                <w:rFonts w:cs="Times New Roman"/>
                <w:kern w:val="21"/>
                <w:szCs w:val="21"/>
              </w:rPr>
            </w:pPr>
            <w:proofErr w:type="gramStart"/>
            <w:r>
              <w:rPr>
                <w:rFonts w:cs="Times New Roman"/>
                <w:szCs w:val="21"/>
              </w:rPr>
              <w:t>育雏场</w:t>
            </w:r>
            <w:proofErr w:type="gramEnd"/>
            <w:r>
              <w:rPr>
                <w:rFonts w:cs="Times New Roman"/>
                <w:szCs w:val="21"/>
              </w:rPr>
              <w:t>西</w:t>
            </w:r>
            <w:r>
              <w:rPr>
                <w:rFonts w:cs="Times New Roman" w:hint="eastAsia"/>
                <w:szCs w:val="21"/>
              </w:rPr>
              <w:t>南</w:t>
            </w:r>
          </w:p>
        </w:tc>
        <w:tc>
          <w:tcPr>
            <w:tcW w:w="875" w:type="dxa"/>
            <w:shd w:val="clear" w:color="auto" w:fill="auto"/>
            <w:vAlign w:val="center"/>
          </w:tcPr>
          <w:p w14:paraId="5075A1CC" w14:textId="77777777" w:rsidR="00544649" w:rsidRDefault="00000000">
            <w:pPr>
              <w:pStyle w:val="aff7"/>
              <w:adjustRightInd w:val="0"/>
              <w:snapToGrid w:val="0"/>
              <w:spacing w:before="62" w:after="62"/>
              <w:rPr>
                <w:rFonts w:cs="Times New Roman"/>
                <w:kern w:val="21"/>
                <w:szCs w:val="21"/>
              </w:rPr>
            </w:pPr>
            <w:r>
              <w:rPr>
                <w:rFonts w:cs="Times New Roman"/>
                <w:szCs w:val="21"/>
              </w:rPr>
              <w:t>260</w:t>
            </w:r>
          </w:p>
        </w:tc>
        <w:tc>
          <w:tcPr>
            <w:tcW w:w="873" w:type="dxa"/>
            <w:shd w:val="clear" w:color="auto" w:fill="auto"/>
            <w:vAlign w:val="center"/>
          </w:tcPr>
          <w:p w14:paraId="4BCCF576"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310</w:t>
            </w:r>
          </w:p>
        </w:tc>
        <w:tc>
          <w:tcPr>
            <w:tcW w:w="871" w:type="dxa"/>
            <w:shd w:val="clear" w:color="auto" w:fill="auto"/>
            <w:vAlign w:val="center"/>
          </w:tcPr>
          <w:p w14:paraId="10F18E5B"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69</w:t>
            </w:r>
          </w:p>
        </w:tc>
        <w:tc>
          <w:tcPr>
            <w:tcW w:w="1163" w:type="dxa"/>
            <w:shd w:val="clear" w:color="auto" w:fill="auto"/>
            <w:vAlign w:val="center"/>
          </w:tcPr>
          <w:p w14:paraId="1DEEEE69" w14:textId="77777777" w:rsidR="00544649" w:rsidRDefault="00000000">
            <w:pPr>
              <w:pStyle w:val="aff7"/>
              <w:adjustRightInd w:val="0"/>
              <w:snapToGrid w:val="0"/>
              <w:spacing w:before="62" w:after="62"/>
              <w:rPr>
                <w:rFonts w:cs="Times New Roman"/>
                <w:kern w:val="21"/>
                <w:szCs w:val="21"/>
              </w:rPr>
            </w:pPr>
            <w:r>
              <w:rPr>
                <w:rFonts w:cs="Times New Roman"/>
                <w:szCs w:val="21"/>
              </w:rPr>
              <w:t>约</w:t>
            </w:r>
            <w:r>
              <w:rPr>
                <w:rStyle w:val="font11"/>
                <w:color w:val="auto"/>
                <w:sz w:val="21"/>
                <w:szCs w:val="21"/>
              </w:rPr>
              <w:t>3</w:t>
            </w:r>
            <w:r>
              <w:rPr>
                <w:rStyle w:val="font01"/>
                <w:rFonts w:ascii="Times New Roman" w:hAnsi="Times New Roman" w:cs="Times New Roman" w:hint="default"/>
                <w:color w:val="auto"/>
                <w:sz w:val="21"/>
                <w:szCs w:val="21"/>
              </w:rPr>
              <w:t>户，</w:t>
            </w:r>
            <w:r>
              <w:rPr>
                <w:rStyle w:val="font11"/>
                <w:color w:val="auto"/>
                <w:sz w:val="21"/>
                <w:szCs w:val="21"/>
              </w:rPr>
              <w:t>9</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723CF235" w14:textId="77777777" w:rsidR="00544649" w:rsidRDefault="00544649">
            <w:pPr>
              <w:pStyle w:val="aff7"/>
              <w:adjustRightInd w:val="0"/>
              <w:snapToGrid w:val="0"/>
              <w:spacing w:before="62" w:after="62"/>
              <w:rPr>
                <w:rFonts w:cs="Times New Roman"/>
                <w:kern w:val="21"/>
                <w:szCs w:val="21"/>
              </w:rPr>
            </w:pPr>
          </w:p>
        </w:tc>
      </w:tr>
      <w:tr w:rsidR="00544649" w14:paraId="60614940" w14:textId="77777777">
        <w:trPr>
          <w:trHeight w:val="90"/>
          <w:jc w:val="center"/>
        </w:trPr>
        <w:tc>
          <w:tcPr>
            <w:tcW w:w="473" w:type="dxa"/>
            <w:vMerge/>
            <w:shd w:val="clear" w:color="auto" w:fill="auto"/>
            <w:vAlign w:val="center"/>
          </w:tcPr>
          <w:p w14:paraId="4801B77F"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04E95184"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05E8E848"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蹇</w:t>
            </w:r>
            <w:proofErr w:type="gramEnd"/>
            <w:r>
              <w:rPr>
                <w:rFonts w:cs="Times New Roman"/>
                <w:szCs w:val="21"/>
              </w:rPr>
              <w:t>家湾散户居民</w:t>
            </w:r>
          </w:p>
        </w:tc>
        <w:tc>
          <w:tcPr>
            <w:tcW w:w="873" w:type="dxa"/>
            <w:vAlign w:val="center"/>
          </w:tcPr>
          <w:p w14:paraId="5323D5E4"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556671.51</w:t>
            </w:r>
          </w:p>
        </w:tc>
        <w:tc>
          <w:tcPr>
            <w:tcW w:w="871" w:type="dxa"/>
            <w:vAlign w:val="center"/>
          </w:tcPr>
          <w:p w14:paraId="20D16D7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3559801.05</w:t>
            </w:r>
          </w:p>
        </w:tc>
        <w:tc>
          <w:tcPr>
            <w:tcW w:w="727" w:type="dxa"/>
            <w:shd w:val="clear" w:color="auto" w:fill="auto"/>
            <w:vAlign w:val="center"/>
          </w:tcPr>
          <w:p w14:paraId="1D611558"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育雏场</w:t>
            </w:r>
            <w:proofErr w:type="gramEnd"/>
            <w:r>
              <w:rPr>
                <w:rFonts w:cs="Times New Roman"/>
                <w:szCs w:val="21"/>
              </w:rPr>
              <w:t>西</w:t>
            </w:r>
            <w:r>
              <w:rPr>
                <w:rFonts w:cs="Times New Roman" w:hint="eastAsia"/>
                <w:szCs w:val="21"/>
              </w:rPr>
              <w:t>南</w:t>
            </w:r>
          </w:p>
        </w:tc>
        <w:tc>
          <w:tcPr>
            <w:tcW w:w="875" w:type="dxa"/>
            <w:shd w:val="clear" w:color="auto" w:fill="auto"/>
            <w:vAlign w:val="center"/>
          </w:tcPr>
          <w:p w14:paraId="307CA3C4" w14:textId="77777777" w:rsidR="00544649" w:rsidRDefault="00000000">
            <w:pPr>
              <w:pStyle w:val="aff7"/>
              <w:adjustRightInd w:val="0"/>
              <w:snapToGrid w:val="0"/>
              <w:spacing w:before="62" w:after="62"/>
              <w:rPr>
                <w:rFonts w:cs="Times New Roman"/>
                <w:szCs w:val="21"/>
              </w:rPr>
            </w:pPr>
            <w:r>
              <w:rPr>
                <w:rFonts w:cs="Times New Roman" w:hint="eastAsia"/>
                <w:szCs w:val="21"/>
              </w:rPr>
              <w:t>380</w:t>
            </w:r>
          </w:p>
        </w:tc>
        <w:tc>
          <w:tcPr>
            <w:tcW w:w="873" w:type="dxa"/>
            <w:shd w:val="clear" w:color="auto" w:fill="auto"/>
            <w:vAlign w:val="center"/>
          </w:tcPr>
          <w:p w14:paraId="38A36507"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410</w:t>
            </w:r>
          </w:p>
        </w:tc>
        <w:tc>
          <w:tcPr>
            <w:tcW w:w="871" w:type="dxa"/>
            <w:shd w:val="clear" w:color="auto" w:fill="auto"/>
            <w:vAlign w:val="center"/>
          </w:tcPr>
          <w:p w14:paraId="6F679AAD" w14:textId="77777777" w:rsidR="00544649" w:rsidRDefault="00000000">
            <w:pPr>
              <w:pStyle w:val="aff3"/>
              <w:spacing w:before="62" w:after="62" w:line="240" w:lineRule="auto"/>
              <w:rPr>
                <w:rFonts w:cs="Times New Roman"/>
                <w:kern w:val="21"/>
                <w:szCs w:val="21"/>
              </w:rPr>
            </w:pPr>
            <w:r>
              <w:rPr>
                <w:rFonts w:cs="Times New Roman" w:hint="eastAsia"/>
                <w:kern w:val="21"/>
                <w:szCs w:val="21"/>
              </w:rPr>
              <w:t>-92</w:t>
            </w:r>
          </w:p>
        </w:tc>
        <w:tc>
          <w:tcPr>
            <w:tcW w:w="1163" w:type="dxa"/>
            <w:shd w:val="clear" w:color="auto" w:fill="auto"/>
            <w:vAlign w:val="center"/>
          </w:tcPr>
          <w:p w14:paraId="74A5D695"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31"/>
                <w:color w:val="auto"/>
                <w:sz w:val="21"/>
                <w:szCs w:val="21"/>
              </w:rPr>
              <w:t>10</w:t>
            </w:r>
            <w:r>
              <w:rPr>
                <w:rStyle w:val="font21"/>
                <w:rFonts w:ascii="Times New Roman" w:hAnsi="Times New Roman" w:cs="Times New Roman" w:hint="default"/>
                <w:color w:val="auto"/>
                <w:sz w:val="21"/>
                <w:szCs w:val="21"/>
              </w:rPr>
              <w:t>户，</w:t>
            </w:r>
            <w:r>
              <w:rPr>
                <w:rStyle w:val="font31"/>
                <w:color w:val="auto"/>
                <w:sz w:val="21"/>
                <w:szCs w:val="21"/>
              </w:rPr>
              <w:t>30</w:t>
            </w:r>
            <w:r>
              <w:rPr>
                <w:rStyle w:val="font21"/>
                <w:rFonts w:ascii="Times New Roman" w:hAnsi="Times New Roman" w:cs="Times New Roman" w:hint="default"/>
                <w:color w:val="auto"/>
                <w:sz w:val="21"/>
                <w:szCs w:val="21"/>
              </w:rPr>
              <w:t>人</w:t>
            </w:r>
          </w:p>
        </w:tc>
        <w:tc>
          <w:tcPr>
            <w:tcW w:w="1018" w:type="dxa"/>
            <w:vMerge/>
            <w:shd w:val="clear" w:color="auto" w:fill="auto"/>
            <w:vAlign w:val="center"/>
          </w:tcPr>
          <w:p w14:paraId="1925F629" w14:textId="77777777" w:rsidR="00544649" w:rsidRDefault="00544649">
            <w:pPr>
              <w:pStyle w:val="aff7"/>
              <w:adjustRightInd w:val="0"/>
              <w:snapToGrid w:val="0"/>
              <w:spacing w:before="62" w:after="62"/>
              <w:rPr>
                <w:rFonts w:cs="Times New Roman"/>
                <w:kern w:val="21"/>
                <w:szCs w:val="21"/>
              </w:rPr>
            </w:pPr>
          </w:p>
        </w:tc>
      </w:tr>
      <w:tr w:rsidR="00544649" w14:paraId="3F2067AA" w14:textId="77777777">
        <w:trPr>
          <w:trHeight w:val="90"/>
          <w:jc w:val="center"/>
        </w:trPr>
        <w:tc>
          <w:tcPr>
            <w:tcW w:w="473" w:type="dxa"/>
            <w:vMerge/>
            <w:shd w:val="clear" w:color="auto" w:fill="auto"/>
            <w:vAlign w:val="center"/>
          </w:tcPr>
          <w:p w14:paraId="0F440B99"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407D9CE9"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2DF9768E"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蹇</w:t>
            </w:r>
            <w:proofErr w:type="gramEnd"/>
            <w:r>
              <w:rPr>
                <w:rFonts w:cs="Times New Roman"/>
                <w:szCs w:val="21"/>
              </w:rPr>
              <w:t>家湾散户居民</w:t>
            </w:r>
          </w:p>
        </w:tc>
        <w:tc>
          <w:tcPr>
            <w:tcW w:w="873" w:type="dxa"/>
            <w:vAlign w:val="center"/>
          </w:tcPr>
          <w:p w14:paraId="5645EC3E"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556390.88</w:t>
            </w:r>
          </w:p>
        </w:tc>
        <w:tc>
          <w:tcPr>
            <w:tcW w:w="871" w:type="dxa"/>
            <w:vAlign w:val="center"/>
          </w:tcPr>
          <w:p w14:paraId="5384EB60"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3559912.28</w:t>
            </w:r>
          </w:p>
        </w:tc>
        <w:tc>
          <w:tcPr>
            <w:tcW w:w="727" w:type="dxa"/>
            <w:shd w:val="clear" w:color="auto" w:fill="auto"/>
            <w:vAlign w:val="center"/>
          </w:tcPr>
          <w:p w14:paraId="2D46AE73"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育雏场</w:t>
            </w:r>
            <w:proofErr w:type="gramEnd"/>
            <w:r>
              <w:rPr>
                <w:rFonts w:cs="Times New Roman"/>
                <w:szCs w:val="21"/>
              </w:rPr>
              <w:t>西</w:t>
            </w:r>
            <w:r>
              <w:rPr>
                <w:rFonts w:cs="Times New Roman" w:hint="eastAsia"/>
                <w:szCs w:val="21"/>
              </w:rPr>
              <w:t>南</w:t>
            </w:r>
          </w:p>
        </w:tc>
        <w:tc>
          <w:tcPr>
            <w:tcW w:w="875" w:type="dxa"/>
            <w:shd w:val="clear" w:color="auto" w:fill="auto"/>
            <w:vAlign w:val="center"/>
          </w:tcPr>
          <w:p w14:paraId="0B9F2CD3" w14:textId="77777777" w:rsidR="00544649" w:rsidRDefault="00000000">
            <w:pPr>
              <w:pStyle w:val="aff7"/>
              <w:adjustRightInd w:val="0"/>
              <w:snapToGrid w:val="0"/>
              <w:spacing w:before="62" w:after="62"/>
              <w:rPr>
                <w:rFonts w:cs="Times New Roman"/>
                <w:szCs w:val="21"/>
              </w:rPr>
            </w:pPr>
            <w:r>
              <w:rPr>
                <w:rFonts w:cs="Times New Roman" w:hint="eastAsia"/>
                <w:szCs w:val="21"/>
              </w:rPr>
              <w:t>5</w:t>
            </w:r>
            <w:r>
              <w:rPr>
                <w:rFonts w:hint="eastAsia"/>
                <w:szCs w:val="21"/>
              </w:rPr>
              <w:t>10</w:t>
            </w:r>
          </w:p>
        </w:tc>
        <w:tc>
          <w:tcPr>
            <w:tcW w:w="873" w:type="dxa"/>
            <w:shd w:val="clear" w:color="auto" w:fill="auto"/>
            <w:vAlign w:val="center"/>
          </w:tcPr>
          <w:p w14:paraId="74875338"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5</w:t>
            </w:r>
            <w:r>
              <w:rPr>
                <w:rFonts w:hint="eastAsia"/>
                <w:kern w:val="21"/>
                <w:szCs w:val="21"/>
              </w:rPr>
              <w:t>60</w:t>
            </w:r>
          </w:p>
        </w:tc>
        <w:tc>
          <w:tcPr>
            <w:tcW w:w="871" w:type="dxa"/>
            <w:shd w:val="clear" w:color="auto" w:fill="auto"/>
            <w:vAlign w:val="center"/>
          </w:tcPr>
          <w:p w14:paraId="069090DF" w14:textId="77777777" w:rsidR="00544649" w:rsidRDefault="00000000">
            <w:pPr>
              <w:pStyle w:val="aff3"/>
              <w:spacing w:before="62" w:after="62" w:line="240" w:lineRule="auto"/>
              <w:rPr>
                <w:rFonts w:cs="Times New Roman"/>
                <w:kern w:val="21"/>
                <w:szCs w:val="21"/>
              </w:rPr>
            </w:pPr>
            <w:r>
              <w:rPr>
                <w:rFonts w:cs="Times New Roman" w:hint="eastAsia"/>
                <w:kern w:val="21"/>
                <w:szCs w:val="21"/>
              </w:rPr>
              <w:t>-89</w:t>
            </w:r>
          </w:p>
        </w:tc>
        <w:tc>
          <w:tcPr>
            <w:tcW w:w="1163" w:type="dxa"/>
            <w:shd w:val="clear" w:color="auto" w:fill="auto"/>
            <w:vAlign w:val="center"/>
          </w:tcPr>
          <w:p w14:paraId="7312627F"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31"/>
                <w:rFonts w:hint="eastAsia"/>
                <w:color w:val="auto"/>
                <w:sz w:val="21"/>
                <w:szCs w:val="21"/>
              </w:rPr>
              <w:t>5</w:t>
            </w:r>
            <w:r>
              <w:rPr>
                <w:rStyle w:val="font21"/>
                <w:rFonts w:ascii="Times New Roman" w:hAnsi="Times New Roman" w:cs="Times New Roman" w:hint="default"/>
                <w:color w:val="auto"/>
                <w:sz w:val="21"/>
                <w:szCs w:val="21"/>
              </w:rPr>
              <w:t>户，</w:t>
            </w:r>
            <w:r>
              <w:rPr>
                <w:rStyle w:val="font31"/>
                <w:rFonts w:hint="eastAsia"/>
                <w:color w:val="auto"/>
                <w:sz w:val="21"/>
                <w:szCs w:val="21"/>
              </w:rPr>
              <w:t>15</w:t>
            </w:r>
            <w:r>
              <w:rPr>
                <w:rStyle w:val="font21"/>
                <w:rFonts w:ascii="Times New Roman" w:hAnsi="Times New Roman" w:cs="Times New Roman" w:hint="default"/>
                <w:color w:val="auto"/>
                <w:sz w:val="21"/>
                <w:szCs w:val="21"/>
              </w:rPr>
              <w:t>人</w:t>
            </w:r>
          </w:p>
        </w:tc>
        <w:tc>
          <w:tcPr>
            <w:tcW w:w="1018" w:type="dxa"/>
            <w:vMerge/>
            <w:shd w:val="clear" w:color="auto" w:fill="auto"/>
            <w:vAlign w:val="center"/>
          </w:tcPr>
          <w:p w14:paraId="235997C7" w14:textId="77777777" w:rsidR="00544649" w:rsidRDefault="00544649">
            <w:pPr>
              <w:pStyle w:val="aff7"/>
              <w:adjustRightInd w:val="0"/>
              <w:snapToGrid w:val="0"/>
              <w:spacing w:before="62" w:after="62"/>
              <w:rPr>
                <w:rFonts w:cs="Times New Roman"/>
                <w:kern w:val="21"/>
                <w:szCs w:val="21"/>
              </w:rPr>
            </w:pPr>
          </w:p>
        </w:tc>
      </w:tr>
      <w:tr w:rsidR="00544649" w14:paraId="4ABA9821" w14:textId="77777777">
        <w:trPr>
          <w:trHeight w:val="90"/>
          <w:jc w:val="center"/>
        </w:trPr>
        <w:tc>
          <w:tcPr>
            <w:tcW w:w="473" w:type="dxa"/>
            <w:vMerge/>
            <w:shd w:val="clear" w:color="auto" w:fill="auto"/>
            <w:vAlign w:val="center"/>
          </w:tcPr>
          <w:p w14:paraId="5935AB57"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7AFB067D"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0B34DA1B"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蹇</w:t>
            </w:r>
            <w:proofErr w:type="gramEnd"/>
            <w:r>
              <w:rPr>
                <w:rFonts w:cs="Times New Roman"/>
                <w:szCs w:val="21"/>
              </w:rPr>
              <w:t>家湾散户居民</w:t>
            </w:r>
          </w:p>
        </w:tc>
        <w:tc>
          <w:tcPr>
            <w:tcW w:w="873" w:type="dxa"/>
            <w:vAlign w:val="center"/>
          </w:tcPr>
          <w:p w14:paraId="059FF87B"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556267.20</w:t>
            </w:r>
          </w:p>
        </w:tc>
        <w:tc>
          <w:tcPr>
            <w:tcW w:w="871" w:type="dxa"/>
            <w:vAlign w:val="center"/>
          </w:tcPr>
          <w:p w14:paraId="650C42C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3559793.79</w:t>
            </w:r>
          </w:p>
        </w:tc>
        <w:tc>
          <w:tcPr>
            <w:tcW w:w="727" w:type="dxa"/>
            <w:shd w:val="clear" w:color="auto" w:fill="auto"/>
            <w:vAlign w:val="center"/>
          </w:tcPr>
          <w:p w14:paraId="226A99B2"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育雏场</w:t>
            </w:r>
            <w:proofErr w:type="gramEnd"/>
            <w:r>
              <w:rPr>
                <w:rFonts w:cs="Times New Roman"/>
                <w:szCs w:val="21"/>
              </w:rPr>
              <w:t>西</w:t>
            </w:r>
            <w:r>
              <w:rPr>
                <w:rFonts w:cs="Times New Roman" w:hint="eastAsia"/>
                <w:szCs w:val="21"/>
              </w:rPr>
              <w:t>南</w:t>
            </w:r>
          </w:p>
        </w:tc>
        <w:tc>
          <w:tcPr>
            <w:tcW w:w="875" w:type="dxa"/>
            <w:shd w:val="clear" w:color="auto" w:fill="auto"/>
            <w:vAlign w:val="center"/>
          </w:tcPr>
          <w:p w14:paraId="6E970D7D" w14:textId="77777777" w:rsidR="00544649" w:rsidRDefault="00000000">
            <w:pPr>
              <w:pStyle w:val="aff7"/>
              <w:adjustRightInd w:val="0"/>
              <w:snapToGrid w:val="0"/>
              <w:spacing w:before="62" w:after="62"/>
              <w:rPr>
                <w:rFonts w:cs="Times New Roman"/>
                <w:szCs w:val="21"/>
              </w:rPr>
            </w:pPr>
            <w:r>
              <w:rPr>
                <w:rFonts w:cs="Times New Roman" w:hint="eastAsia"/>
                <w:szCs w:val="21"/>
              </w:rPr>
              <w:t>690</w:t>
            </w:r>
          </w:p>
        </w:tc>
        <w:tc>
          <w:tcPr>
            <w:tcW w:w="873" w:type="dxa"/>
            <w:shd w:val="clear" w:color="auto" w:fill="auto"/>
            <w:vAlign w:val="center"/>
          </w:tcPr>
          <w:p w14:paraId="33ED6DB8"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740</w:t>
            </w:r>
          </w:p>
        </w:tc>
        <w:tc>
          <w:tcPr>
            <w:tcW w:w="871" w:type="dxa"/>
            <w:shd w:val="clear" w:color="auto" w:fill="auto"/>
            <w:vAlign w:val="center"/>
          </w:tcPr>
          <w:p w14:paraId="369708AE" w14:textId="77777777" w:rsidR="00544649" w:rsidRDefault="00000000">
            <w:pPr>
              <w:pStyle w:val="aff3"/>
              <w:spacing w:before="62" w:after="62" w:line="240" w:lineRule="auto"/>
              <w:rPr>
                <w:rFonts w:cs="Times New Roman"/>
                <w:kern w:val="21"/>
                <w:szCs w:val="21"/>
              </w:rPr>
            </w:pPr>
            <w:r>
              <w:rPr>
                <w:rFonts w:cs="Times New Roman" w:hint="eastAsia"/>
                <w:kern w:val="21"/>
                <w:szCs w:val="21"/>
              </w:rPr>
              <w:t>-90</w:t>
            </w:r>
          </w:p>
        </w:tc>
        <w:tc>
          <w:tcPr>
            <w:tcW w:w="1163" w:type="dxa"/>
            <w:shd w:val="clear" w:color="auto" w:fill="auto"/>
            <w:vAlign w:val="center"/>
          </w:tcPr>
          <w:p w14:paraId="5B34D712"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31"/>
                <w:color w:val="auto"/>
                <w:sz w:val="21"/>
                <w:szCs w:val="21"/>
              </w:rPr>
              <w:t>10</w:t>
            </w:r>
            <w:r>
              <w:rPr>
                <w:rStyle w:val="font21"/>
                <w:rFonts w:ascii="Times New Roman" w:hAnsi="Times New Roman" w:cs="Times New Roman" w:hint="default"/>
                <w:color w:val="auto"/>
                <w:sz w:val="21"/>
                <w:szCs w:val="21"/>
              </w:rPr>
              <w:t>户，</w:t>
            </w:r>
            <w:r>
              <w:rPr>
                <w:rStyle w:val="font31"/>
                <w:color w:val="auto"/>
                <w:sz w:val="21"/>
                <w:szCs w:val="21"/>
              </w:rPr>
              <w:t>30</w:t>
            </w:r>
            <w:r>
              <w:rPr>
                <w:rStyle w:val="font21"/>
                <w:rFonts w:ascii="Times New Roman" w:hAnsi="Times New Roman" w:cs="Times New Roman" w:hint="default"/>
                <w:color w:val="auto"/>
                <w:sz w:val="21"/>
                <w:szCs w:val="21"/>
              </w:rPr>
              <w:t>人</w:t>
            </w:r>
          </w:p>
        </w:tc>
        <w:tc>
          <w:tcPr>
            <w:tcW w:w="1018" w:type="dxa"/>
            <w:vMerge/>
            <w:shd w:val="clear" w:color="auto" w:fill="auto"/>
            <w:vAlign w:val="center"/>
          </w:tcPr>
          <w:p w14:paraId="152BC1E8" w14:textId="77777777" w:rsidR="00544649" w:rsidRDefault="00544649">
            <w:pPr>
              <w:pStyle w:val="aff7"/>
              <w:adjustRightInd w:val="0"/>
              <w:snapToGrid w:val="0"/>
              <w:spacing w:before="62" w:after="62"/>
              <w:rPr>
                <w:rFonts w:cs="Times New Roman"/>
                <w:kern w:val="21"/>
                <w:szCs w:val="21"/>
              </w:rPr>
            </w:pPr>
          </w:p>
        </w:tc>
      </w:tr>
      <w:tr w:rsidR="00544649" w14:paraId="0BB7D52E" w14:textId="77777777">
        <w:trPr>
          <w:trHeight w:val="90"/>
          <w:jc w:val="center"/>
        </w:trPr>
        <w:tc>
          <w:tcPr>
            <w:tcW w:w="473" w:type="dxa"/>
            <w:vMerge/>
            <w:shd w:val="clear" w:color="auto" w:fill="auto"/>
            <w:vAlign w:val="center"/>
          </w:tcPr>
          <w:p w14:paraId="736B0253"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6B453046"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5859CCAA"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蹇</w:t>
            </w:r>
            <w:proofErr w:type="gramEnd"/>
            <w:r>
              <w:rPr>
                <w:rFonts w:cs="Times New Roman"/>
                <w:szCs w:val="21"/>
              </w:rPr>
              <w:t>家湾散户居民</w:t>
            </w:r>
          </w:p>
        </w:tc>
        <w:tc>
          <w:tcPr>
            <w:tcW w:w="873" w:type="dxa"/>
            <w:vAlign w:val="center"/>
          </w:tcPr>
          <w:p w14:paraId="080D6A81"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556234.40</w:t>
            </w:r>
          </w:p>
        </w:tc>
        <w:tc>
          <w:tcPr>
            <w:tcW w:w="871" w:type="dxa"/>
            <w:vAlign w:val="center"/>
          </w:tcPr>
          <w:p w14:paraId="05BB9B0D"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3559784.04</w:t>
            </w:r>
          </w:p>
        </w:tc>
        <w:tc>
          <w:tcPr>
            <w:tcW w:w="727" w:type="dxa"/>
            <w:shd w:val="clear" w:color="auto" w:fill="auto"/>
            <w:vAlign w:val="center"/>
          </w:tcPr>
          <w:p w14:paraId="09380071"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育雏场</w:t>
            </w:r>
            <w:proofErr w:type="gramEnd"/>
            <w:r>
              <w:rPr>
                <w:rFonts w:cs="Times New Roman"/>
                <w:szCs w:val="21"/>
              </w:rPr>
              <w:t>西</w:t>
            </w:r>
            <w:r>
              <w:rPr>
                <w:rFonts w:cs="Times New Roman" w:hint="eastAsia"/>
                <w:szCs w:val="21"/>
              </w:rPr>
              <w:t>南</w:t>
            </w:r>
          </w:p>
        </w:tc>
        <w:tc>
          <w:tcPr>
            <w:tcW w:w="875" w:type="dxa"/>
            <w:shd w:val="clear" w:color="auto" w:fill="auto"/>
            <w:vAlign w:val="center"/>
          </w:tcPr>
          <w:p w14:paraId="4475A3CD" w14:textId="77777777" w:rsidR="00544649" w:rsidRDefault="00000000">
            <w:pPr>
              <w:pStyle w:val="aff7"/>
              <w:adjustRightInd w:val="0"/>
              <w:snapToGrid w:val="0"/>
              <w:spacing w:before="62" w:after="62"/>
              <w:rPr>
                <w:rFonts w:cs="Times New Roman"/>
                <w:szCs w:val="21"/>
              </w:rPr>
            </w:pPr>
            <w:r>
              <w:rPr>
                <w:rFonts w:cs="Times New Roman" w:hint="eastAsia"/>
                <w:szCs w:val="21"/>
              </w:rPr>
              <w:t>730</w:t>
            </w:r>
          </w:p>
        </w:tc>
        <w:tc>
          <w:tcPr>
            <w:tcW w:w="873" w:type="dxa"/>
            <w:shd w:val="clear" w:color="auto" w:fill="auto"/>
            <w:vAlign w:val="center"/>
          </w:tcPr>
          <w:p w14:paraId="7019C483"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780</w:t>
            </w:r>
          </w:p>
        </w:tc>
        <w:tc>
          <w:tcPr>
            <w:tcW w:w="871" w:type="dxa"/>
            <w:shd w:val="clear" w:color="auto" w:fill="auto"/>
            <w:vAlign w:val="center"/>
          </w:tcPr>
          <w:p w14:paraId="2794DC03" w14:textId="77777777" w:rsidR="00544649" w:rsidRDefault="00000000">
            <w:pPr>
              <w:pStyle w:val="aff3"/>
              <w:spacing w:before="62" w:after="62" w:line="240" w:lineRule="auto"/>
              <w:rPr>
                <w:rFonts w:cs="Times New Roman"/>
                <w:kern w:val="21"/>
                <w:szCs w:val="21"/>
              </w:rPr>
            </w:pPr>
            <w:r>
              <w:rPr>
                <w:rFonts w:cs="Times New Roman" w:hint="eastAsia"/>
                <w:kern w:val="21"/>
                <w:szCs w:val="21"/>
              </w:rPr>
              <w:t>-112</w:t>
            </w:r>
          </w:p>
        </w:tc>
        <w:tc>
          <w:tcPr>
            <w:tcW w:w="1163" w:type="dxa"/>
            <w:shd w:val="clear" w:color="auto" w:fill="auto"/>
            <w:vAlign w:val="center"/>
          </w:tcPr>
          <w:p w14:paraId="14C933D6"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31"/>
                <w:rFonts w:hint="eastAsia"/>
                <w:color w:val="auto"/>
                <w:sz w:val="21"/>
                <w:szCs w:val="21"/>
              </w:rPr>
              <w:t>2</w:t>
            </w:r>
            <w:r>
              <w:rPr>
                <w:rStyle w:val="font21"/>
                <w:rFonts w:ascii="Times New Roman" w:hAnsi="Times New Roman" w:cs="Times New Roman" w:hint="default"/>
                <w:color w:val="auto"/>
                <w:sz w:val="21"/>
                <w:szCs w:val="21"/>
              </w:rPr>
              <w:t>户，</w:t>
            </w:r>
            <w:r>
              <w:rPr>
                <w:rStyle w:val="font31"/>
                <w:rFonts w:hint="eastAsia"/>
                <w:color w:val="auto"/>
                <w:sz w:val="21"/>
                <w:szCs w:val="21"/>
              </w:rPr>
              <w:t>6</w:t>
            </w:r>
            <w:r>
              <w:rPr>
                <w:rStyle w:val="font21"/>
                <w:rFonts w:ascii="Times New Roman" w:hAnsi="Times New Roman" w:cs="Times New Roman" w:hint="default"/>
                <w:color w:val="auto"/>
                <w:sz w:val="21"/>
                <w:szCs w:val="21"/>
              </w:rPr>
              <w:t>人</w:t>
            </w:r>
          </w:p>
        </w:tc>
        <w:tc>
          <w:tcPr>
            <w:tcW w:w="1018" w:type="dxa"/>
            <w:vMerge/>
            <w:shd w:val="clear" w:color="auto" w:fill="auto"/>
            <w:vAlign w:val="center"/>
          </w:tcPr>
          <w:p w14:paraId="05D65CEE" w14:textId="77777777" w:rsidR="00544649" w:rsidRDefault="00544649">
            <w:pPr>
              <w:pStyle w:val="aff7"/>
              <w:adjustRightInd w:val="0"/>
              <w:snapToGrid w:val="0"/>
              <w:spacing w:before="62" w:after="62"/>
              <w:rPr>
                <w:rFonts w:cs="Times New Roman"/>
                <w:kern w:val="21"/>
                <w:szCs w:val="21"/>
              </w:rPr>
            </w:pPr>
          </w:p>
        </w:tc>
      </w:tr>
      <w:tr w:rsidR="00544649" w14:paraId="185FBC6C" w14:textId="77777777">
        <w:trPr>
          <w:trHeight w:val="90"/>
          <w:jc w:val="center"/>
        </w:trPr>
        <w:tc>
          <w:tcPr>
            <w:tcW w:w="473" w:type="dxa"/>
            <w:vMerge/>
            <w:shd w:val="clear" w:color="auto" w:fill="auto"/>
            <w:vAlign w:val="center"/>
          </w:tcPr>
          <w:p w14:paraId="2679FA76"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308A55E9"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460EABB4" w14:textId="77777777" w:rsidR="00544649" w:rsidRDefault="00000000">
            <w:pPr>
              <w:pStyle w:val="aff7"/>
              <w:adjustRightInd w:val="0"/>
              <w:snapToGrid w:val="0"/>
              <w:spacing w:before="62" w:after="62"/>
              <w:rPr>
                <w:rFonts w:cs="Times New Roman"/>
                <w:szCs w:val="21"/>
              </w:rPr>
            </w:pPr>
            <w:r>
              <w:rPr>
                <w:rFonts w:cs="Times New Roman"/>
                <w:szCs w:val="21"/>
              </w:rPr>
              <w:t>双鱼村散户居民</w:t>
            </w:r>
          </w:p>
        </w:tc>
        <w:tc>
          <w:tcPr>
            <w:tcW w:w="873" w:type="dxa"/>
            <w:vAlign w:val="center"/>
          </w:tcPr>
          <w:p w14:paraId="3BDDECFC"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555188.63</w:t>
            </w:r>
          </w:p>
        </w:tc>
        <w:tc>
          <w:tcPr>
            <w:tcW w:w="871" w:type="dxa"/>
            <w:vAlign w:val="center"/>
          </w:tcPr>
          <w:p w14:paraId="4BD95C2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3559525.71</w:t>
            </w:r>
          </w:p>
        </w:tc>
        <w:tc>
          <w:tcPr>
            <w:tcW w:w="727" w:type="dxa"/>
            <w:shd w:val="clear" w:color="auto" w:fill="auto"/>
            <w:vAlign w:val="center"/>
          </w:tcPr>
          <w:p w14:paraId="6CB157D9"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育雏场</w:t>
            </w:r>
            <w:proofErr w:type="gramEnd"/>
            <w:r>
              <w:rPr>
                <w:rFonts w:cs="Times New Roman"/>
                <w:szCs w:val="21"/>
              </w:rPr>
              <w:t>西南</w:t>
            </w:r>
          </w:p>
        </w:tc>
        <w:tc>
          <w:tcPr>
            <w:tcW w:w="875" w:type="dxa"/>
            <w:shd w:val="clear" w:color="auto" w:fill="auto"/>
            <w:vAlign w:val="center"/>
          </w:tcPr>
          <w:p w14:paraId="6A84208E" w14:textId="77777777" w:rsidR="00544649" w:rsidRDefault="00000000">
            <w:pPr>
              <w:pStyle w:val="aff7"/>
              <w:adjustRightInd w:val="0"/>
              <w:snapToGrid w:val="0"/>
              <w:spacing w:before="62" w:after="62"/>
              <w:rPr>
                <w:rFonts w:cs="Times New Roman"/>
                <w:szCs w:val="21"/>
              </w:rPr>
            </w:pPr>
            <w:r>
              <w:rPr>
                <w:rFonts w:cs="Times New Roman"/>
                <w:szCs w:val="21"/>
              </w:rPr>
              <w:t>2200</w:t>
            </w:r>
          </w:p>
        </w:tc>
        <w:tc>
          <w:tcPr>
            <w:tcW w:w="873" w:type="dxa"/>
            <w:shd w:val="clear" w:color="auto" w:fill="auto"/>
            <w:vAlign w:val="center"/>
          </w:tcPr>
          <w:p w14:paraId="69E1EA2F"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2355</w:t>
            </w:r>
          </w:p>
        </w:tc>
        <w:tc>
          <w:tcPr>
            <w:tcW w:w="871" w:type="dxa"/>
            <w:shd w:val="clear" w:color="auto" w:fill="auto"/>
            <w:vAlign w:val="center"/>
          </w:tcPr>
          <w:p w14:paraId="1AE1FDEB" w14:textId="77777777" w:rsidR="00544649" w:rsidRDefault="00000000">
            <w:pPr>
              <w:pStyle w:val="aff3"/>
              <w:spacing w:before="62" w:after="62" w:line="240" w:lineRule="auto"/>
              <w:rPr>
                <w:rFonts w:cs="Times New Roman"/>
                <w:kern w:val="21"/>
                <w:szCs w:val="21"/>
              </w:rPr>
            </w:pPr>
            <w:r>
              <w:rPr>
                <w:rFonts w:cs="Times New Roman" w:hint="eastAsia"/>
                <w:kern w:val="21"/>
                <w:szCs w:val="21"/>
              </w:rPr>
              <w:t>+10</w:t>
            </w:r>
          </w:p>
        </w:tc>
        <w:tc>
          <w:tcPr>
            <w:tcW w:w="1163" w:type="dxa"/>
            <w:shd w:val="clear" w:color="auto" w:fill="auto"/>
            <w:vAlign w:val="center"/>
          </w:tcPr>
          <w:p w14:paraId="6AD6E8F9"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11"/>
                <w:color w:val="auto"/>
                <w:sz w:val="21"/>
                <w:szCs w:val="21"/>
              </w:rPr>
              <w:t>30</w:t>
            </w:r>
            <w:r>
              <w:rPr>
                <w:rStyle w:val="font01"/>
                <w:rFonts w:ascii="Times New Roman" w:hAnsi="Times New Roman" w:cs="Times New Roman" w:hint="default"/>
                <w:color w:val="auto"/>
                <w:sz w:val="21"/>
                <w:szCs w:val="21"/>
              </w:rPr>
              <w:t>户，</w:t>
            </w:r>
            <w:r>
              <w:rPr>
                <w:rStyle w:val="font11"/>
                <w:color w:val="auto"/>
                <w:sz w:val="21"/>
                <w:szCs w:val="21"/>
              </w:rPr>
              <w:t>90</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51B49909" w14:textId="77777777" w:rsidR="00544649" w:rsidRDefault="00544649">
            <w:pPr>
              <w:pStyle w:val="aff7"/>
              <w:adjustRightInd w:val="0"/>
              <w:snapToGrid w:val="0"/>
              <w:spacing w:before="62" w:after="62"/>
              <w:rPr>
                <w:rFonts w:cs="Times New Roman"/>
                <w:kern w:val="21"/>
                <w:szCs w:val="21"/>
              </w:rPr>
            </w:pPr>
          </w:p>
        </w:tc>
      </w:tr>
      <w:tr w:rsidR="00544649" w14:paraId="0303D5F3" w14:textId="77777777">
        <w:trPr>
          <w:trHeight w:val="90"/>
          <w:jc w:val="center"/>
        </w:trPr>
        <w:tc>
          <w:tcPr>
            <w:tcW w:w="473" w:type="dxa"/>
            <w:vMerge/>
            <w:shd w:val="clear" w:color="auto" w:fill="auto"/>
            <w:vAlign w:val="center"/>
          </w:tcPr>
          <w:p w14:paraId="2BCC4005"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55C0CFEA"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60F52484"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蹇</w:t>
            </w:r>
            <w:proofErr w:type="gramEnd"/>
            <w:r>
              <w:rPr>
                <w:rFonts w:cs="Times New Roman"/>
                <w:szCs w:val="21"/>
              </w:rPr>
              <w:t>家湾散户居</w:t>
            </w:r>
            <w:r>
              <w:rPr>
                <w:rFonts w:cs="Times New Roman"/>
                <w:szCs w:val="21"/>
              </w:rPr>
              <w:lastRenderedPageBreak/>
              <w:t>民</w:t>
            </w:r>
          </w:p>
        </w:tc>
        <w:tc>
          <w:tcPr>
            <w:tcW w:w="873" w:type="dxa"/>
            <w:vAlign w:val="center"/>
          </w:tcPr>
          <w:p w14:paraId="3786B3FF"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lastRenderedPageBreak/>
              <w:t>556355.04</w:t>
            </w:r>
          </w:p>
        </w:tc>
        <w:tc>
          <w:tcPr>
            <w:tcW w:w="871" w:type="dxa"/>
            <w:vAlign w:val="center"/>
          </w:tcPr>
          <w:p w14:paraId="45B4018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3560534.81</w:t>
            </w:r>
          </w:p>
        </w:tc>
        <w:tc>
          <w:tcPr>
            <w:tcW w:w="727" w:type="dxa"/>
            <w:shd w:val="clear" w:color="auto" w:fill="auto"/>
            <w:vAlign w:val="center"/>
          </w:tcPr>
          <w:p w14:paraId="25AB3AE3"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育雏场</w:t>
            </w:r>
            <w:proofErr w:type="gramEnd"/>
            <w:r>
              <w:rPr>
                <w:rFonts w:cs="Times New Roman"/>
                <w:szCs w:val="21"/>
              </w:rPr>
              <w:t>西</w:t>
            </w:r>
            <w:r>
              <w:rPr>
                <w:rFonts w:cs="Times New Roman"/>
                <w:szCs w:val="21"/>
              </w:rPr>
              <w:lastRenderedPageBreak/>
              <w:t>北</w:t>
            </w:r>
          </w:p>
        </w:tc>
        <w:tc>
          <w:tcPr>
            <w:tcW w:w="875" w:type="dxa"/>
            <w:shd w:val="clear" w:color="auto" w:fill="auto"/>
            <w:vAlign w:val="center"/>
          </w:tcPr>
          <w:p w14:paraId="34FEDBB3" w14:textId="77777777" w:rsidR="00544649" w:rsidRDefault="00000000">
            <w:pPr>
              <w:pStyle w:val="aff7"/>
              <w:adjustRightInd w:val="0"/>
              <w:snapToGrid w:val="0"/>
              <w:spacing w:before="62" w:after="62"/>
              <w:rPr>
                <w:rFonts w:cs="Times New Roman"/>
                <w:szCs w:val="21"/>
              </w:rPr>
            </w:pPr>
            <w:r>
              <w:rPr>
                <w:rFonts w:cs="Times New Roman" w:hint="eastAsia"/>
                <w:szCs w:val="21"/>
              </w:rPr>
              <w:lastRenderedPageBreak/>
              <w:t>6</w:t>
            </w:r>
            <w:r>
              <w:rPr>
                <w:rFonts w:hint="eastAsia"/>
                <w:szCs w:val="21"/>
              </w:rPr>
              <w:t>50</w:t>
            </w:r>
          </w:p>
        </w:tc>
        <w:tc>
          <w:tcPr>
            <w:tcW w:w="873" w:type="dxa"/>
            <w:shd w:val="clear" w:color="auto" w:fill="auto"/>
            <w:vAlign w:val="center"/>
          </w:tcPr>
          <w:p w14:paraId="303F3593"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690</w:t>
            </w:r>
          </w:p>
        </w:tc>
        <w:tc>
          <w:tcPr>
            <w:tcW w:w="871" w:type="dxa"/>
            <w:shd w:val="clear" w:color="auto" w:fill="auto"/>
            <w:vAlign w:val="center"/>
          </w:tcPr>
          <w:p w14:paraId="03F71030" w14:textId="77777777" w:rsidR="00544649" w:rsidRDefault="00000000">
            <w:pPr>
              <w:pStyle w:val="aff3"/>
              <w:spacing w:before="62" w:after="62" w:line="240" w:lineRule="auto"/>
              <w:rPr>
                <w:rFonts w:cs="Times New Roman"/>
                <w:kern w:val="21"/>
                <w:szCs w:val="21"/>
              </w:rPr>
            </w:pPr>
            <w:r>
              <w:rPr>
                <w:rFonts w:cs="Times New Roman" w:hint="eastAsia"/>
                <w:kern w:val="21"/>
                <w:szCs w:val="21"/>
              </w:rPr>
              <w:t>-38</w:t>
            </w:r>
          </w:p>
        </w:tc>
        <w:tc>
          <w:tcPr>
            <w:tcW w:w="1163" w:type="dxa"/>
            <w:shd w:val="clear" w:color="auto" w:fill="auto"/>
            <w:vAlign w:val="center"/>
          </w:tcPr>
          <w:p w14:paraId="3834B55D" w14:textId="77777777" w:rsidR="00544649" w:rsidRDefault="00000000">
            <w:pPr>
              <w:pStyle w:val="aff7"/>
              <w:adjustRightInd w:val="0"/>
              <w:snapToGrid w:val="0"/>
              <w:spacing w:before="62" w:after="62"/>
              <w:rPr>
                <w:rFonts w:cs="Times New Roman"/>
                <w:szCs w:val="21"/>
              </w:rPr>
            </w:pPr>
            <w:r>
              <w:rPr>
                <w:rFonts w:cs="Times New Roman"/>
                <w:szCs w:val="21"/>
              </w:rPr>
              <w:t>约</w:t>
            </w:r>
            <w:r>
              <w:rPr>
                <w:rFonts w:cs="Times New Roman" w:hint="eastAsia"/>
                <w:szCs w:val="21"/>
              </w:rPr>
              <w:t>2</w:t>
            </w:r>
            <w:r>
              <w:rPr>
                <w:rStyle w:val="font01"/>
                <w:rFonts w:ascii="Times New Roman" w:hAnsi="Times New Roman" w:cs="Times New Roman" w:hint="default"/>
                <w:color w:val="auto"/>
                <w:sz w:val="21"/>
                <w:szCs w:val="21"/>
              </w:rPr>
              <w:t>户，</w:t>
            </w:r>
            <w:r>
              <w:rPr>
                <w:rStyle w:val="font01"/>
                <w:rFonts w:ascii="Times New Roman" w:hAnsi="Times New Roman" w:cs="Times New Roman" w:hint="default"/>
                <w:color w:val="auto"/>
                <w:sz w:val="21"/>
                <w:szCs w:val="21"/>
              </w:rPr>
              <w:t>6</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591E85E7" w14:textId="77777777" w:rsidR="00544649" w:rsidRDefault="00544649">
            <w:pPr>
              <w:pStyle w:val="aff7"/>
              <w:adjustRightInd w:val="0"/>
              <w:snapToGrid w:val="0"/>
              <w:spacing w:before="62" w:after="62"/>
              <w:rPr>
                <w:rFonts w:cs="Times New Roman"/>
                <w:kern w:val="21"/>
                <w:szCs w:val="21"/>
              </w:rPr>
            </w:pPr>
          </w:p>
        </w:tc>
      </w:tr>
      <w:tr w:rsidR="00544649" w14:paraId="3F84D7CA" w14:textId="77777777">
        <w:trPr>
          <w:trHeight w:val="90"/>
          <w:jc w:val="center"/>
        </w:trPr>
        <w:tc>
          <w:tcPr>
            <w:tcW w:w="473" w:type="dxa"/>
            <w:vMerge/>
            <w:shd w:val="clear" w:color="auto" w:fill="auto"/>
            <w:vAlign w:val="center"/>
          </w:tcPr>
          <w:p w14:paraId="45337563"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622B33F4"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2E74F215" w14:textId="77777777" w:rsidR="00544649" w:rsidRDefault="00000000">
            <w:pPr>
              <w:pStyle w:val="aff7"/>
              <w:adjustRightInd w:val="0"/>
              <w:snapToGrid w:val="0"/>
              <w:spacing w:before="62" w:after="62"/>
              <w:rPr>
                <w:rFonts w:cs="Times New Roman"/>
                <w:kern w:val="21"/>
                <w:szCs w:val="21"/>
              </w:rPr>
            </w:pPr>
            <w:r>
              <w:rPr>
                <w:rFonts w:cs="Times New Roman"/>
                <w:szCs w:val="21"/>
              </w:rPr>
              <w:t>风</w:t>
            </w:r>
            <w:proofErr w:type="gramStart"/>
            <w:r>
              <w:rPr>
                <w:rFonts w:cs="Times New Roman"/>
                <w:szCs w:val="21"/>
              </w:rPr>
              <w:t>垭</w:t>
            </w:r>
            <w:proofErr w:type="gramEnd"/>
            <w:r>
              <w:rPr>
                <w:rFonts w:cs="Times New Roman"/>
                <w:szCs w:val="21"/>
              </w:rPr>
              <w:t>村散户居民</w:t>
            </w:r>
          </w:p>
        </w:tc>
        <w:tc>
          <w:tcPr>
            <w:tcW w:w="873" w:type="dxa"/>
            <w:vAlign w:val="center"/>
          </w:tcPr>
          <w:p w14:paraId="5777CC52"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555619.35</w:t>
            </w:r>
          </w:p>
        </w:tc>
        <w:tc>
          <w:tcPr>
            <w:tcW w:w="871" w:type="dxa"/>
            <w:vAlign w:val="center"/>
          </w:tcPr>
          <w:p w14:paraId="29E6449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3560651.93</w:t>
            </w:r>
          </w:p>
        </w:tc>
        <w:tc>
          <w:tcPr>
            <w:tcW w:w="727" w:type="dxa"/>
            <w:shd w:val="clear" w:color="auto" w:fill="auto"/>
            <w:vAlign w:val="center"/>
          </w:tcPr>
          <w:p w14:paraId="01E18CA1" w14:textId="77777777" w:rsidR="00544649" w:rsidRDefault="00000000">
            <w:pPr>
              <w:pStyle w:val="aff7"/>
              <w:adjustRightInd w:val="0"/>
              <w:snapToGrid w:val="0"/>
              <w:spacing w:before="62" w:after="62"/>
              <w:rPr>
                <w:rFonts w:cs="Times New Roman"/>
                <w:b/>
                <w:bCs/>
                <w:kern w:val="21"/>
                <w:szCs w:val="21"/>
              </w:rPr>
            </w:pPr>
            <w:proofErr w:type="gramStart"/>
            <w:r>
              <w:rPr>
                <w:rFonts w:cs="Times New Roman"/>
                <w:szCs w:val="21"/>
              </w:rPr>
              <w:t>育雏场</w:t>
            </w:r>
            <w:proofErr w:type="gramEnd"/>
            <w:r>
              <w:rPr>
                <w:rFonts w:cs="Times New Roman"/>
                <w:szCs w:val="21"/>
              </w:rPr>
              <w:t>西北</w:t>
            </w:r>
          </w:p>
        </w:tc>
        <w:tc>
          <w:tcPr>
            <w:tcW w:w="875" w:type="dxa"/>
            <w:shd w:val="clear" w:color="auto" w:fill="auto"/>
            <w:vAlign w:val="center"/>
          </w:tcPr>
          <w:p w14:paraId="44DCAC11" w14:textId="77777777" w:rsidR="00544649" w:rsidRDefault="00000000">
            <w:pPr>
              <w:pStyle w:val="aff7"/>
              <w:adjustRightInd w:val="0"/>
              <w:snapToGrid w:val="0"/>
              <w:spacing w:before="62" w:after="62"/>
              <w:rPr>
                <w:rFonts w:cs="Times New Roman"/>
                <w:kern w:val="21"/>
                <w:szCs w:val="21"/>
              </w:rPr>
            </w:pPr>
            <w:r>
              <w:rPr>
                <w:rFonts w:cs="Times New Roman"/>
                <w:szCs w:val="21"/>
              </w:rPr>
              <w:t>1200</w:t>
            </w:r>
          </w:p>
        </w:tc>
        <w:tc>
          <w:tcPr>
            <w:tcW w:w="873" w:type="dxa"/>
            <w:shd w:val="clear" w:color="auto" w:fill="auto"/>
            <w:vAlign w:val="center"/>
          </w:tcPr>
          <w:p w14:paraId="60C1EF21"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1275</w:t>
            </w:r>
          </w:p>
        </w:tc>
        <w:tc>
          <w:tcPr>
            <w:tcW w:w="871" w:type="dxa"/>
            <w:shd w:val="clear" w:color="auto" w:fill="auto"/>
            <w:vAlign w:val="center"/>
          </w:tcPr>
          <w:p w14:paraId="0AFFA580" w14:textId="77777777" w:rsidR="00544649" w:rsidRDefault="00000000">
            <w:pPr>
              <w:pStyle w:val="aff3"/>
              <w:spacing w:before="62" w:after="62" w:line="240" w:lineRule="auto"/>
              <w:rPr>
                <w:rFonts w:cs="Times New Roman"/>
                <w:kern w:val="21"/>
                <w:szCs w:val="21"/>
              </w:rPr>
            </w:pPr>
            <w:r>
              <w:rPr>
                <w:rFonts w:cs="Times New Roman" w:hint="eastAsia"/>
                <w:kern w:val="21"/>
                <w:szCs w:val="21"/>
              </w:rPr>
              <w:t>-29</w:t>
            </w:r>
          </w:p>
        </w:tc>
        <w:tc>
          <w:tcPr>
            <w:tcW w:w="1163" w:type="dxa"/>
            <w:shd w:val="clear" w:color="auto" w:fill="auto"/>
            <w:vAlign w:val="center"/>
          </w:tcPr>
          <w:p w14:paraId="0C7CD12E" w14:textId="77777777" w:rsidR="00544649" w:rsidRDefault="00000000">
            <w:pPr>
              <w:pStyle w:val="aff7"/>
              <w:adjustRightInd w:val="0"/>
              <w:snapToGrid w:val="0"/>
              <w:spacing w:before="62" w:after="62"/>
              <w:rPr>
                <w:rFonts w:cs="Times New Roman"/>
                <w:kern w:val="21"/>
                <w:szCs w:val="21"/>
              </w:rPr>
            </w:pPr>
            <w:r>
              <w:rPr>
                <w:rFonts w:cs="Times New Roman"/>
                <w:szCs w:val="21"/>
              </w:rPr>
              <w:t>约</w:t>
            </w:r>
            <w:r>
              <w:rPr>
                <w:rStyle w:val="font11"/>
                <w:color w:val="auto"/>
                <w:sz w:val="21"/>
                <w:szCs w:val="21"/>
              </w:rPr>
              <w:t>30</w:t>
            </w:r>
            <w:r>
              <w:rPr>
                <w:rStyle w:val="font01"/>
                <w:rFonts w:ascii="Times New Roman" w:hAnsi="Times New Roman" w:cs="Times New Roman" w:hint="default"/>
                <w:color w:val="auto"/>
                <w:sz w:val="21"/>
                <w:szCs w:val="21"/>
              </w:rPr>
              <w:t>户，</w:t>
            </w:r>
            <w:r>
              <w:rPr>
                <w:rStyle w:val="font11"/>
                <w:color w:val="auto"/>
                <w:sz w:val="21"/>
                <w:szCs w:val="21"/>
              </w:rPr>
              <w:t>90</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2B719599" w14:textId="77777777" w:rsidR="00544649" w:rsidRDefault="00544649">
            <w:pPr>
              <w:pStyle w:val="aff7"/>
              <w:adjustRightInd w:val="0"/>
              <w:snapToGrid w:val="0"/>
              <w:spacing w:before="62" w:after="62"/>
              <w:rPr>
                <w:rFonts w:cs="Times New Roman"/>
                <w:kern w:val="21"/>
                <w:szCs w:val="21"/>
              </w:rPr>
            </w:pPr>
          </w:p>
        </w:tc>
      </w:tr>
      <w:tr w:rsidR="00544649" w14:paraId="4FF1CD48" w14:textId="77777777">
        <w:trPr>
          <w:trHeight w:val="90"/>
          <w:jc w:val="center"/>
        </w:trPr>
        <w:tc>
          <w:tcPr>
            <w:tcW w:w="473" w:type="dxa"/>
            <w:vMerge/>
            <w:shd w:val="clear" w:color="auto" w:fill="auto"/>
            <w:vAlign w:val="center"/>
          </w:tcPr>
          <w:p w14:paraId="6657259D"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384AF1F2"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2E3098B2" w14:textId="77777777" w:rsidR="00544649" w:rsidRDefault="00000000">
            <w:pPr>
              <w:pStyle w:val="aff7"/>
              <w:adjustRightInd w:val="0"/>
              <w:snapToGrid w:val="0"/>
              <w:spacing w:before="62" w:after="62"/>
              <w:rPr>
                <w:rFonts w:cs="Times New Roman"/>
                <w:kern w:val="21"/>
                <w:szCs w:val="21"/>
              </w:rPr>
            </w:pPr>
            <w:proofErr w:type="gramStart"/>
            <w:r>
              <w:rPr>
                <w:rFonts w:cs="Times New Roman"/>
                <w:szCs w:val="21"/>
              </w:rPr>
              <w:t>普子岭</w:t>
            </w:r>
            <w:proofErr w:type="gramEnd"/>
            <w:r>
              <w:rPr>
                <w:rFonts w:cs="Times New Roman"/>
                <w:szCs w:val="21"/>
              </w:rPr>
              <w:t>散户居民</w:t>
            </w:r>
          </w:p>
        </w:tc>
        <w:tc>
          <w:tcPr>
            <w:tcW w:w="873" w:type="dxa"/>
            <w:vAlign w:val="center"/>
          </w:tcPr>
          <w:p w14:paraId="195EBEF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556440.36</w:t>
            </w:r>
          </w:p>
        </w:tc>
        <w:tc>
          <w:tcPr>
            <w:tcW w:w="871" w:type="dxa"/>
            <w:vAlign w:val="center"/>
          </w:tcPr>
          <w:p w14:paraId="62D06BC2"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3561721.73</w:t>
            </w:r>
          </w:p>
        </w:tc>
        <w:tc>
          <w:tcPr>
            <w:tcW w:w="727" w:type="dxa"/>
            <w:shd w:val="clear" w:color="auto" w:fill="auto"/>
            <w:vAlign w:val="center"/>
          </w:tcPr>
          <w:p w14:paraId="70C2D880" w14:textId="77777777" w:rsidR="00544649" w:rsidRDefault="00000000">
            <w:pPr>
              <w:pStyle w:val="aff7"/>
              <w:adjustRightInd w:val="0"/>
              <w:snapToGrid w:val="0"/>
              <w:spacing w:before="62" w:after="62"/>
              <w:rPr>
                <w:rFonts w:cs="Times New Roman"/>
                <w:kern w:val="21"/>
                <w:szCs w:val="21"/>
              </w:rPr>
            </w:pPr>
            <w:proofErr w:type="gramStart"/>
            <w:r>
              <w:rPr>
                <w:rFonts w:cs="Times New Roman"/>
                <w:szCs w:val="21"/>
              </w:rPr>
              <w:t>育雏场</w:t>
            </w:r>
            <w:proofErr w:type="gramEnd"/>
            <w:r>
              <w:rPr>
                <w:rFonts w:cs="Times New Roman"/>
                <w:szCs w:val="21"/>
              </w:rPr>
              <w:t>北</w:t>
            </w:r>
          </w:p>
        </w:tc>
        <w:tc>
          <w:tcPr>
            <w:tcW w:w="875" w:type="dxa"/>
            <w:shd w:val="clear" w:color="auto" w:fill="auto"/>
            <w:vAlign w:val="center"/>
          </w:tcPr>
          <w:p w14:paraId="7DF89D55" w14:textId="77777777" w:rsidR="00544649" w:rsidRDefault="00000000">
            <w:pPr>
              <w:pStyle w:val="aff7"/>
              <w:adjustRightInd w:val="0"/>
              <w:snapToGrid w:val="0"/>
              <w:spacing w:before="62" w:after="62"/>
              <w:rPr>
                <w:rFonts w:cs="Times New Roman"/>
                <w:kern w:val="21"/>
                <w:szCs w:val="21"/>
              </w:rPr>
            </w:pPr>
            <w:r>
              <w:rPr>
                <w:rFonts w:cs="Times New Roman"/>
                <w:szCs w:val="21"/>
              </w:rPr>
              <w:t>1</w:t>
            </w:r>
            <w:r>
              <w:rPr>
                <w:rFonts w:cs="Times New Roman" w:hint="eastAsia"/>
                <w:szCs w:val="21"/>
              </w:rPr>
              <w:t>5</w:t>
            </w:r>
            <w:r>
              <w:rPr>
                <w:rFonts w:cs="Times New Roman"/>
                <w:szCs w:val="21"/>
              </w:rPr>
              <w:t>00</w:t>
            </w:r>
          </w:p>
        </w:tc>
        <w:tc>
          <w:tcPr>
            <w:tcW w:w="873" w:type="dxa"/>
            <w:shd w:val="clear" w:color="auto" w:fill="auto"/>
            <w:vAlign w:val="center"/>
          </w:tcPr>
          <w:p w14:paraId="45B8C961"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1540</w:t>
            </w:r>
          </w:p>
        </w:tc>
        <w:tc>
          <w:tcPr>
            <w:tcW w:w="871" w:type="dxa"/>
            <w:shd w:val="clear" w:color="auto" w:fill="auto"/>
            <w:vAlign w:val="center"/>
          </w:tcPr>
          <w:p w14:paraId="5D125FAF"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57</w:t>
            </w:r>
          </w:p>
        </w:tc>
        <w:tc>
          <w:tcPr>
            <w:tcW w:w="1163" w:type="dxa"/>
            <w:shd w:val="clear" w:color="auto" w:fill="auto"/>
            <w:vAlign w:val="center"/>
          </w:tcPr>
          <w:p w14:paraId="24EDA76D" w14:textId="77777777" w:rsidR="00544649" w:rsidRDefault="00000000">
            <w:pPr>
              <w:pStyle w:val="aff7"/>
              <w:adjustRightInd w:val="0"/>
              <w:snapToGrid w:val="0"/>
              <w:spacing w:before="62" w:after="62"/>
              <w:rPr>
                <w:rFonts w:cs="Times New Roman"/>
                <w:kern w:val="21"/>
                <w:szCs w:val="21"/>
              </w:rPr>
            </w:pPr>
            <w:r>
              <w:rPr>
                <w:rFonts w:cs="Times New Roman"/>
                <w:szCs w:val="21"/>
              </w:rPr>
              <w:t>约</w:t>
            </w:r>
            <w:r>
              <w:rPr>
                <w:rStyle w:val="font11"/>
                <w:color w:val="auto"/>
                <w:sz w:val="21"/>
                <w:szCs w:val="21"/>
              </w:rPr>
              <w:t>15</w:t>
            </w:r>
            <w:r>
              <w:rPr>
                <w:rStyle w:val="font01"/>
                <w:rFonts w:ascii="Times New Roman" w:hAnsi="Times New Roman" w:cs="Times New Roman" w:hint="default"/>
                <w:color w:val="auto"/>
                <w:sz w:val="21"/>
                <w:szCs w:val="21"/>
              </w:rPr>
              <w:t>户，</w:t>
            </w:r>
            <w:r>
              <w:rPr>
                <w:rStyle w:val="font11"/>
                <w:color w:val="auto"/>
                <w:sz w:val="21"/>
                <w:szCs w:val="21"/>
              </w:rPr>
              <w:t>45</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4C3CB4D2" w14:textId="77777777" w:rsidR="00544649" w:rsidRDefault="00544649">
            <w:pPr>
              <w:pStyle w:val="aff7"/>
              <w:adjustRightInd w:val="0"/>
              <w:snapToGrid w:val="0"/>
              <w:spacing w:before="62" w:after="62"/>
              <w:rPr>
                <w:rFonts w:cs="Times New Roman"/>
                <w:kern w:val="21"/>
                <w:szCs w:val="21"/>
              </w:rPr>
            </w:pPr>
          </w:p>
        </w:tc>
      </w:tr>
      <w:tr w:rsidR="00544649" w14:paraId="7AE52D76" w14:textId="77777777">
        <w:trPr>
          <w:trHeight w:val="90"/>
          <w:jc w:val="center"/>
        </w:trPr>
        <w:tc>
          <w:tcPr>
            <w:tcW w:w="473" w:type="dxa"/>
            <w:vMerge/>
            <w:shd w:val="clear" w:color="auto" w:fill="auto"/>
            <w:vAlign w:val="center"/>
          </w:tcPr>
          <w:p w14:paraId="0A5D19B4"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30AFBA00"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607F60E6" w14:textId="77777777" w:rsidR="00544649" w:rsidRDefault="00000000">
            <w:pPr>
              <w:pStyle w:val="aff7"/>
              <w:adjustRightInd w:val="0"/>
              <w:snapToGrid w:val="0"/>
              <w:spacing w:before="62" w:after="62"/>
              <w:rPr>
                <w:rFonts w:cs="Times New Roman"/>
                <w:kern w:val="21"/>
                <w:szCs w:val="21"/>
              </w:rPr>
            </w:pPr>
            <w:proofErr w:type="gramStart"/>
            <w:r>
              <w:rPr>
                <w:rFonts w:cs="Times New Roman"/>
                <w:szCs w:val="21"/>
              </w:rPr>
              <w:t>岳家河</w:t>
            </w:r>
            <w:proofErr w:type="gramEnd"/>
            <w:r>
              <w:rPr>
                <w:rFonts w:cs="Times New Roman"/>
                <w:szCs w:val="21"/>
              </w:rPr>
              <w:t>散户居民</w:t>
            </w:r>
          </w:p>
        </w:tc>
        <w:tc>
          <w:tcPr>
            <w:tcW w:w="873" w:type="dxa"/>
            <w:vAlign w:val="center"/>
          </w:tcPr>
          <w:p w14:paraId="11B53BA9"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557062.28</w:t>
            </w:r>
          </w:p>
        </w:tc>
        <w:tc>
          <w:tcPr>
            <w:tcW w:w="871" w:type="dxa"/>
            <w:vAlign w:val="center"/>
          </w:tcPr>
          <w:p w14:paraId="70BE8FA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3561465.34</w:t>
            </w:r>
          </w:p>
        </w:tc>
        <w:tc>
          <w:tcPr>
            <w:tcW w:w="727" w:type="dxa"/>
            <w:shd w:val="clear" w:color="auto" w:fill="auto"/>
            <w:vAlign w:val="center"/>
          </w:tcPr>
          <w:p w14:paraId="59999132" w14:textId="77777777" w:rsidR="00544649" w:rsidRDefault="00000000">
            <w:pPr>
              <w:pStyle w:val="aff7"/>
              <w:adjustRightInd w:val="0"/>
              <w:snapToGrid w:val="0"/>
              <w:spacing w:before="62" w:after="62"/>
              <w:rPr>
                <w:rFonts w:cs="Times New Roman"/>
                <w:kern w:val="21"/>
                <w:szCs w:val="21"/>
              </w:rPr>
            </w:pPr>
            <w:proofErr w:type="gramStart"/>
            <w:r>
              <w:rPr>
                <w:rFonts w:cs="Times New Roman"/>
                <w:szCs w:val="21"/>
              </w:rPr>
              <w:t>育雏场</w:t>
            </w:r>
            <w:proofErr w:type="gramEnd"/>
            <w:r>
              <w:rPr>
                <w:rFonts w:cs="Times New Roman"/>
                <w:szCs w:val="21"/>
              </w:rPr>
              <w:t>北</w:t>
            </w:r>
          </w:p>
        </w:tc>
        <w:tc>
          <w:tcPr>
            <w:tcW w:w="875" w:type="dxa"/>
            <w:shd w:val="clear" w:color="auto" w:fill="auto"/>
            <w:vAlign w:val="center"/>
          </w:tcPr>
          <w:p w14:paraId="73640680" w14:textId="77777777" w:rsidR="00544649" w:rsidRDefault="00000000">
            <w:pPr>
              <w:pStyle w:val="aff7"/>
              <w:adjustRightInd w:val="0"/>
              <w:snapToGrid w:val="0"/>
              <w:spacing w:before="62" w:after="62"/>
              <w:rPr>
                <w:rFonts w:cs="Times New Roman"/>
                <w:kern w:val="21"/>
                <w:szCs w:val="21"/>
              </w:rPr>
            </w:pPr>
            <w:r>
              <w:rPr>
                <w:rFonts w:cs="Times New Roman"/>
                <w:szCs w:val="21"/>
              </w:rPr>
              <w:t>1100</w:t>
            </w:r>
          </w:p>
        </w:tc>
        <w:tc>
          <w:tcPr>
            <w:tcW w:w="873" w:type="dxa"/>
            <w:shd w:val="clear" w:color="auto" w:fill="auto"/>
            <w:vAlign w:val="center"/>
          </w:tcPr>
          <w:p w14:paraId="5F5A4672"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1135</w:t>
            </w:r>
          </w:p>
        </w:tc>
        <w:tc>
          <w:tcPr>
            <w:tcW w:w="871" w:type="dxa"/>
            <w:shd w:val="clear" w:color="auto" w:fill="auto"/>
            <w:vAlign w:val="center"/>
          </w:tcPr>
          <w:p w14:paraId="254D7DA0"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139</w:t>
            </w:r>
          </w:p>
        </w:tc>
        <w:tc>
          <w:tcPr>
            <w:tcW w:w="1163" w:type="dxa"/>
            <w:shd w:val="clear" w:color="auto" w:fill="auto"/>
            <w:vAlign w:val="center"/>
          </w:tcPr>
          <w:p w14:paraId="28D9206B" w14:textId="77777777" w:rsidR="00544649" w:rsidRDefault="00000000">
            <w:pPr>
              <w:pStyle w:val="aff7"/>
              <w:adjustRightInd w:val="0"/>
              <w:snapToGrid w:val="0"/>
              <w:spacing w:before="62" w:after="62"/>
              <w:rPr>
                <w:rFonts w:cs="Times New Roman"/>
                <w:kern w:val="21"/>
                <w:szCs w:val="21"/>
              </w:rPr>
            </w:pPr>
            <w:r>
              <w:rPr>
                <w:rFonts w:cs="Times New Roman"/>
                <w:szCs w:val="21"/>
              </w:rPr>
              <w:t>约</w:t>
            </w:r>
            <w:r>
              <w:rPr>
                <w:rStyle w:val="font31"/>
                <w:color w:val="auto"/>
                <w:sz w:val="21"/>
                <w:szCs w:val="21"/>
              </w:rPr>
              <w:t>10</w:t>
            </w:r>
            <w:r>
              <w:rPr>
                <w:rStyle w:val="font21"/>
                <w:rFonts w:ascii="Times New Roman" w:hAnsi="Times New Roman" w:cs="Times New Roman" w:hint="default"/>
                <w:color w:val="auto"/>
                <w:sz w:val="21"/>
                <w:szCs w:val="21"/>
              </w:rPr>
              <w:t>户，</w:t>
            </w:r>
            <w:r>
              <w:rPr>
                <w:rStyle w:val="font31"/>
                <w:color w:val="auto"/>
                <w:sz w:val="21"/>
                <w:szCs w:val="21"/>
              </w:rPr>
              <w:t>30</w:t>
            </w:r>
            <w:r>
              <w:rPr>
                <w:rStyle w:val="font21"/>
                <w:rFonts w:ascii="Times New Roman" w:hAnsi="Times New Roman" w:cs="Times New Roman" w:hint="default"/>
                <w:color w:val="auto"/>
                <w:sz w:val="21"/>
                <w:szCs w:val="21"/>
              </w:rPr>
              <w:t>人</w:t>
            </w:r>
          </w:p>
        </w:tc>
        <w:tc>
          <w:tcPr>
            <w:tcW w:w="1018" w:type="dxa"/>
            <w:vMerge/>
            <w:shd w:val="clear" w:color="auto" w:fill="auto"/>
            <w:vAlign w:val="center"/>
          </w:tcPr>
          <w:p w14:paraId="2CBD72AD" w14:textId="77777777" w:rsidR="00544649" w:rsidRDefault="00544649">
            <w:pPr>
              <w:pStyle w:val="aff7"/>
              <w:adjustRightInd w:val="0"/>
              <w:snapToGrid w:val="0"/>
              <w:spacing w:before="62" w:after="62"/>
              <w:rPr>
                <w:rFonts w:cs="Times New Roman"/>
                <w:kern w:val="21"/>
                <w:szCs w:val="21"/>
              </w:rPr>
            </w:pPr>
          </w:p>
        </w:tc>
      </w:tr>
      <w:tr w:rsidR="00544649" w14:paraId="39EEBD27" w14:textId="77777777">
        <w:trPr>
          <w:trHeight w:val="90"/>
          <w:jc w:val="center"/>
        </w:trPr>
        <w:tc>
          <w:tcPr>
            <w:tcW w:w="473" w:type="dxa"/>
            <w:vMerge/>
            <w:shd w:val="clear" w:color="auto" w:fill="auto"/>
            <w:vAlign w:val="center"/>
          </w:tcPr>
          <w:p w14:paraId="450E072C"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4635EDD6"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1DF21631" w14:textId="77777777" w:rsidR="00544649" w:rsidRDefault="00000000">
            <w:pPr>
              <w:pStyle w:val="aff7"/>
              <w:adjustRightInd w:val="0"/>
              <w:snapToGrid w:val="0"/>
              <w:spacing w:before="62" w:after="62"/>
              <w:rPr>
                <w:rFonts w:cs="Times New Roman"/>
                <w:kern w:val="21"/>
                <w:szCs w:val="21"/>
              </w:rPr>
            </w:pPr>
            <w:r>
              <w:rPr>
                <w:rFonts w:cs="Times New Roman"/>
                <w:szCs w:val="21"/>
              </w:rPr>
              <w:t>大屋基散户居民</w:t>
            </w:r>
          </w:p>
        </w:tc>
        <w:tc>
          <w:tcPr>
            <w:tcW w:w="873" w:type="dxa"/>
            <w:vAlign w:val="center"/>
          </w:tcPr>
          <w:p w14:paraId="6B4A1B6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557072.40</w:t>
            </w:r>
          </w:p>
        </w:tc>
        <w:tc>
          <w:tcPr>
            <w:tcW w:w="871" w:type="dxa"/>
            <w:vAlign w:val="center"/>
          </w:tcPr>
          <w:p w14:paraId="150A5B2C"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3562528.42</w:t>
            </w:r>
          </w:p>
        </w:tc>
        <w:tc>
          <w:tcPr>
            <w:tcW w:w="727" w:type="dxa"/>
            <w:shd w:val="clear" w:color="auto" w:fill="auto"/>
            <w:vAlign w:val="center"/>
          </w:tcPr>
          <w:p w14:paraId="49585A29" w14:textId="77777777" w:rsidR="00544649" w:rsidRDefault="00000000">
            <w:pPr>
              <w:pStyle w:val="aff7"/>
              <w:adjustRightInd w:val="0"/>
              <w:snapToGrid w:val="0"/>
              <w:spacing w:before="62" w:after="62"/>
              <w:rPr>
                <w:rFonts w:cs="Times New Roman"/>
                <w:kern w:val="21"/>
                <w:szCs w:val="21"/>
              </w:rPr>
            </w:pPr>
            <w:proofErr w:type="gramStart"/>
            <w:r>
              <w:rPr>
                <w:rFonts w:cs="Times New Roman"/>
                <w:szCs w:val="21"/>
              </w:rPr>
              <w:t>育雏场</w:t>
            </w:r>
            <w:proofErr w:type="gramEnd"/>
            <w:r>
              <w:rPr>
                <w:rFonts w:cs="Times New Roman"/>
                <w:szCs w:val="21"/>
              </w:rPr>
              <w:t>北</w:t>
            </w:r>
          </w:p>
        </w:tc>
        <w:tc>
          <w:tcPr>
            <w:tcW w:w="875" w:type="dxa"/>
            <w:shd w:val="clear" w:color="auto" w:fill="auto"/>
            <w:vAlign w:val="center"/>
          </w:tcPr>
          <w:p w14:paraId="5D87B30E" w14:textId="77777777" w:rsidR="00544649" w:rsidRDefault="00000000">
            <w:pPr>
              <w:pStyle w:val="aff7"/>
              <w:adjustRightInd w:val="0"/>
              <w:snapToGrid w:val="0"/>
              <w:spacing w:before="62" w:after="62"/>
              <w:rPr>
                <w:rFonts w:cs="Times New Roman"/>
                <w:kern w:val="21"/>
                <w:szCs w:val="21"/>
              </w:rPr>
            </w:pPr>
            <w:r>
              <w:rPr>
                <w:rFonts w:cs="Times New Roman"/>
                <w:szCs w:val="21"/>
              </w:rPr>
              <w:t>1700</w:t>
            </w:r>
          </w:p>
        </w:tc>
        <w:tc>
          <w:tcPr>
            <w:tcW w:w="873" w:type="dxa"/>
            <w:shd w:val="clear" w:color="auto" w:fill="auto"/>
            <w:vAlign w:val="center"/>
          </w:tcPr>
          <w:p w14:paraId="39ED09F6"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1730</w:t>
            </w:r>
          </w:p>
        </w:tc>
        <w:tc>
          <w:tcPr>
            <w:tcW w:w="871" w:type="dxa"/>
            <w:shd w:val="clear" w:color="auto" w:fill="auto"/>
            <w:vAlign w:val="center"/>
          </w:tcPr>
          <w:p w14:paraId="55A3EF18" w14:textId="77777777" w:rsidR="00544649" w:rsidRDefault="00000000">
            <w:pPr>
              <w:pStyle w:val="aff3"/>
              <w:spacing w:before="62" w:after="62" w:line="240" w:lineRule="auto"/>
              <w:rPr>
                <w:rFonts w:cs="Times New Roman"/>
                <w:kern w:val="21"/>
                <w:szCs w:val="21"/>
              </w:rPr>
            </w:pPr>
            <w:r>
              <w:rPr>
                <w:rFonts w:cs="Times New Roman"/>
                <w:kern w:val="21"/>
                <w:szCs w:val="21"/>
              </w:rPr>
              <w:t>-1</w:t>
            </w:r>
            <w:r>
              <w:rPr>
                <w:rFonts w:cs="Times New Roman" w:hint="eastAsia"/>
                <w:kern w:val="21"/>
                <w:szCs w:val="21"/>
              </w:rPr>
              <w:t>36</w:t>
            </w:r>
          </w:p>
        </w:tc>
        <w:tc>
          <w:tcPr>
            <w:tcW w:w="1163" w:type="dxa"/>
            <w:shd w:val="clear" w:color="auto" w:fill="auto"/>
            <w:vAlign w:val="center"/>
          </w:tcPr>
          <w:p w14:paraId="0D184590" w14:textId="77777777" w:rsidR="00544649" w:rsidRDefault="00000000">
            <w:pPr>
              <w:pStyle w:val="aff7"/>
              <w:adjustRightInd w:val="0"/>
              <w:snapToGrid w:val="0"/>
              <w:spacing w:before="62" w:after="62"/>
              <w:rPr>
                <w:rFonts w:cs="Times New Roman"/>
                <w:kern w:val="21"/>
                <w:szCs w:val="21"/>
              </w:rPr>
            </w:pPr>
            <w:r>
              <w:rPr>
                <w:rFonts w:cs="Times New Roman"/>
                <w:szCs w:val="21"/>
              </w:rPr>
              <w:t>约</w:t>
            </w:r>
            <w:r>
              <w:rPr>
                <w:rStyle w:val="font11"/>
                <w:color w:val="auto"/>
                <w:sz w:val="21"/>
                <w:szCs w:val="21"/>
              </w:rPr>
              <w:t>20</w:t>
            </w:r>
            <w:r>
              <w:rPr>
                <w:rStyle w:val="font01"/>
                <w:rFonts w:ascii="Times New Roman" w:hAnsi="Times New Roman" w:cs="Times New Roman" w:hint="default"/>
                <w:color w:val="auto"/>
                <w:sz w:val="21"/>
                <w:szCs w:val="21"/>
              </w:rPr>
              <w:t>户，</w:t>
            </w:r>
            <w:r>
              <w:rPr>
                <w:rStyle w:val="font01"/>
                <w:rFonts w:ascii="Times New Roman" w:hAnsi="Times New Roman" w:cs="Times New Roman" w:hint="default"/>
                <w:color w:val="auto"/>
                <w:sz w:val="21"/>
                <w:szCs w:val="21"/>
              </w:rPr>
              <w:t>60</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7731509E" w14:textId="77777777" w:rsidR="00544649" w:rsidRDefault="00544649">
            <w:pPr>
              <w:pStyle w:val="aff7"/>
              <w:adjustRightInd w:val="0"/>
              <w:snapToGrid w:val="0"/>
              <w:spacing w:before="62" w:after="62"/>
              <w:rPr>
                <w:rFonts w:cs="Times New Roman"/>
                <w:kern w:val="21"/>
                <w:szCs w:val="21"/>
              </w:rPr>
            </w:pPr>
          </w:p>
        </w:tc>
      </w:tr>
      <w:tr w:rsidR="00544649" w14:paraId="3103CBC8" w14:textId="77777777">
        <w:trPr>
          <w:trHeight w:val="90"/>
          <w:jc w:val="center"/>
        </w:trPr>
        <w:tc>
          <w:tcPr>
            <w:tcW w:w="473" w:type="dxa"/>
            <w:vMerge/>
            <w:shd w:val="clear" w:color="auto" w:fill="auto"/>
            <w:vAlign w:val="center"/>
          </w:tcPr>
          <w:p w14:paraId="16DB4F79"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76848150"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5461C848" w14:textId="77777777" w:rsidR="00544649" w:rsidRDefault="00000000">
            <w:pPr>
              <w:pStyle w:val="aff7"/>
              <w:adjustRightInd w:val="0"/>
              <w:snapToGrid w:val="0"/>
              <w:spacing w:before="62" w:after="62"/>
              <w:rPr>
                <w:rFonts w:cs="Times New Roman"/>
                <w:kern w:val="21"/>
                <w:szCs w:val="21"/>
              </w:rPr>
            </w:pPr>
            <w:r>
              <w:rPr>
                <w:rFonts w:cs="Times New Roman"/>
                <w:szCs w:val="21"/>
              </w:rPr>
              <w:t>剑山村散户居民</w:t>
            </w:r>
          </w:p>
        </w:tc>
        <w:tc>
          <w:tcPr>
            <w:tcW w:w="873" w:type="dxa"/>
            <w:vAlign w:val="center"/>
          </w:tcPr>
          <w:p w14:paraId="464D537D"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557929.54</w:t>
            </w:r>
          </w:p>
        </w:tc>
        <w:tc>
          <w:tcPr>
            <w:tcW w:w="871" w:type="dxa"/>
            <w:vAlign w:val="center"/>
          </w:tcPr>
          <w:p w14:paraId="1F88BA61"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3561723.41</w:t>
            </w:r>
          </w:p>
        </w:tc>
        <w:tc>
          <w:tcPr>
            <w:tcW w:w="727" w:type="dxa"/>
            <w:shd w:val="clear" w:color="auto" w:fill="auto"/>
            <w:vAlign w:val="center"/>
          </w:tcPr>
          <w:p w14:paraId="5B62D827" w14:textId="77777777" w:rsidR="00544649" w:rsidRDefault="00000000">
            <w:pPr>
              <w:pStyle w:val="aff7"/>
              <w:adjustRightInd w:val="0"/>
              <w:snapToGrid w:val="0"/>
              <w:spacing w:before="62" w:after="62"/>
              <w:rPr>
                <w:rFonts w:cs="Times New Roman"/>
                <w:kern w:val="21"/>
                <w:szCs w:val="21"/>
              </w:rPr>
            </w:pPr>
            <w:proofErr w:type="gramStart"/>
            <w:r>
              <w:rPr>
                <w:rFonts w:cs="Times New Roman"/>
                <w:szCs w:val="21"/>
              </w:rPr>
              <w:t>育雏场</w:t>
            </w:r>
            <w:proofErr w:type="gramEnd"/>
            <w:r>
              <w:rPr>
                <w:rFonts w:cs="Times New Roman"/>
                <w:szCs w:val="21"/>
              </w:rPr>
              <w:t>北</w:t>
            </w:r>
          </w:p>
        </w:tc>
        <w:tc>
          <w:tcPr>
            <w:tcW w:w="875" w:type="dxa"/>
            <w:shd w:val="clear" w:color="auto" w:fill="auto"/>
            <w:vAlign w:val="center"/>
          </w:tcPr>
          <w:p w14:paraId="7A0B43DB" w14:textId="77777777" w:rsidR="00544649" w:rsidRDefault="00000000">
            <w:pPr>
              <w:pStyle w:val="aff7"/>
              <w:adjustRightInd w:val="0"/>
              <w:snapToGrid w:val="0"/>
              <w:spacing w:before="62" w:after="62"/>
              <w:rPr>
                <w:rFonts w:cs="Times New Roman"/>
                <w:kern w:val="21"/>
                <w:szCs w:val="21"/>
              </w:rPr>
            </w:pPr>
            <w:r>
              <w:rPr>
                <w:rFonts w:cs="Times New Roman"/>
                <w:szCs w:val="21"/>
              </w:rPr>
              <w:t>1500</w:t>
            </w:r>
          </w:p>
        </w:tc>
        <w:tc>
          <w:tcPr>
            <w:tcW w:w="873" w:type="dxa"/>
            <w:shd w:val="clear" w:color="auto" w:fill="auto"/>
            <w:vAlign w:val="center"/>
          </w:tcPr>
          <w:p w14:paraId="1D3713C9"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1530</w:t>
            </w:r>
          </w:p>
        </w:tc>
        <w:tc>
          <w:tcPr>
            <w:tcW w:w="871" w:type="dxa"/>
            <w:shd w:val="clear" w:color="auto" w:fill="auto"/>
            <w:vAlign w:val="center"/>
          </w:tcPr>
          <w:p w14:paraId="64FEB6CC" w14:textId="77777777" w:rsidR="00544649" w:rsidRDefault="00000000">
            <w:pPr>
              <w:pStyle w:val="aff3"/>
              <w:spacing w:before="62" w:after="62" w:line="240" w:lineRule="auto"/>
              <w:rPr>
                <w:rFonts w:cs="Times New Roman"/>
                <w:kern w:val="21"/>
                <w:szCs w:val="21"/>
              </w:rPr>
            </w:pPr>
            <w:r>
              <w:rPr>
                <w:rFonts w:cs="Times New Roman"/>
                <w:kern w:val="21"/>
                <w:szCs w:val="21"/>
              </w:rPr>
              <w:t>-12</w:t>
            </w:r>
            <w:r>
              <w:rPr>
                <w:rFonts w:cs="Times New Roman" w:hint="eastAsia"/>
                <w:kern w:val="21"/>
                <w:szCs w:val="21"/>
              </w:rPr>
              <w:t>1</w:t>
            </w:r>
          </w:p>
        </w:tc>
        <w:tc>
          <w:tcPr>
            <w:tcW w:w="1163" w:type="dxa"/>
            <w:shd w:val="clear" w:color="auto" w:fill="auto"/>
            <w:vAlign w:val="center"/>
          </w:tcPr>
          <w:p w14:paraId="1AB79378" w14:textId="77777777" w:rsidR="00544649" w:rsidRDefault="00000000">
            <w:pPr>
              <w:pStyle w:val="aff7"/>
              <w:adjustRightInd w:val="0"/>
              <w:snapToGrid w:val="0"/>
              <w:spacing w:before="62" w:after="62"/>
              <w:rPr>
                <w:rFonts w:cs="Times New Roman"/>
                <w:kern w:val="21"/>
                <w:szCs w:val="21"/>
              </w:rPr>
            </w:pPr>
            <w:r>
              <w:rPr>
                <w:rFonts w:cs="Times New Roman"/>
                <w:szCs w:val="21"/>
              </w:rPr>
              <w:t>约</w:t>
            </w:r>
            <w:r>
              <w:rPr>
                <w:rStyle w:val="font11"/>
                <w:color w:val="auto"/>
                <w:sz w:val="21"/>
                <w:szCs w:val="21"/>
              </w:rPr>
              <w:t>25</w:t>
            </w:r>
            <w:r>
              <w:rPr>
                <w:rStyle w:val="font01"/>
                <w:rFonts w:ascii="Times New Roman" w:hAnsi="Times New Roman" w:cs="Times New Roman" w:hint="default"/>
                <w:color w:val="auto"/>
                <w:sz w:val="21"/>
                <w:szCs w:val="21"/>
              </w:rPr>
              <w:t>户，</w:t>
            </w:r>
            <w:r>
              <w:rPr>
                <w:rStyle w:val="font11"/>
                <w:color w:val="auto"/>
                <w:sz w:val="21"/>
                <w:szCs w:val="21"/>
              </w:rPr>
              <w:t>75</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0FA11087" w14:textId="77777777" w:rsidR="00544649" w:rsidRDefault="00544649">
            <w:pPr>
              <w:pStyle w:val="aff7"/>
              <w:adjustRightInd w:val="0"/>
              <w:snapToGrid w:val="0"/>
              <w:spacing w:before="62" w:after="62"/>
              <w:rPr>
                <w:rFonts w:cs="Times New Roman"/>
                <w:kern w:val="21"/>
                <w:szCs w:val="21"/>
              </w:rPr>
            </w:pPr>
          </w:p>
        </w:tc>
      </w:tr>
      <w:tr w:rsidR="00544649" w14:paraId="0E98C682" w14:textId="77777777">
        <w:trPr>
          <w:trHeight w:val="90"/>
          <w:jc w:val="center"/>
        </w:trPr>
        <w:tc>
          <w:tcPr>
            <w:tcW w:w="473" w:type="dxa"/>
            <w:vMerge/>
            <w:shd w:val="clear" w:color="auto" w:fill="auto"/>
            <w:vAlign w:val="center"/>
          </w:tcPr>
          <w:p w14:paraId="79AD8F18"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12578AF3"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437A503D" w14:textId="77777777" w:rsidR="00544649" w:rsidRDefault="00000000">
            <w:pPr>
              <w:pStyle w:val="aff7"/>
              <w:adjustRightInd w:val="0"/>
              <w:snapToGrid w:val="0"/>
              <w:spacing w:before="62" w:after="62"/>
              <w:rPr>
                <w:rFonts w:cs="Times New Roman"/>
                <w:kern w:val="21"/>
                <w:szCs w:val="21"/>
              </w:rPr>
            </w:pPr>
            <w:r>
              <w:rPr>
                <w:rFonts w:cs="Times New Roman"/>
                <w:szCs w:val="21"/>
              </w:rPr>
              <w:t>屋基岩散户居民</w:t>
            </w:r>
          </w:p>
        </w:tc>
        <w:tc>
          <w:tcPr>
            <w:tcW w:w="873" w:type="dxa"/>
            <w:vAlign w:val="center"/>
          </w:tcPr>
          <w:p w14:paraId="4665045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558178.70</w:t>
            </w:r>
          </w:p>
        </w:tc>
        <w:tc>
          <w:tcPr>
            <w:tcW w:w="871" w:type="dxa"/>
            <w:vAlign w:val="center"/>
          </w:tcPr>
          <w:p w14:paraId="2C64185B"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3561249.45</w:t>
            </w:r>
          </w:p>
        </w:tc>
        <w:tc>
          <w:tcPr>
            <w:tcW w:w="727" w:type="dxa"/>
            <w:shd w:val="clear" w:color="auto" w:fill="auto"/>
            <w:vAlign w:val="center"/>
          </w:tcPr>
          <w:p w14:paraId="17072EFB" w14:textId="77777777" w:rsidR="00544649" w:rsidRDefault="00000000">
            <w:pPr>
              <w:pStyle w:val="aff7"/>
              <w:adjustRightInd w:val="0"/>
              <w:snapToGrid w:val="0"/>
              <w:spacing w:before="62" w:after="62"/>
              <w:rPr>
                <w:rFonts w:cs="Times New Roman"/>
                <w:kern w:val="21"/>
                <w:szCs w:val="21"/>
              </w:rPr>
            </w:pPr>
            <w:proofErr w:type="gramStart"/>
            <w:r>
              <w:rPr>
                <w:rFonts w:cs="Times New Roman"/>
                <w:szCs w:val="21"/>
              </w:rPr>
              <w:t>育雏场</w:t>
            </w:r>
            <w:proofErr w:type="gramEnd"/>
            <w:r>
              <w:rPr>
                <w:rFonts w:cs="Times New Roman"/>
                <w:szCs w:val="21"/>
              </w:rPr>
              <w:t>东北</w:t>
            </w:r>
          </w:p>
        </w:tc>
        <w:tc>
          <w:tcPr>
            <w:tcW w:w="875" w:type="dxa"/>
            <w:shd w:val="clear" w:color="auto" w:fill="auto"/>
            <w:vAlign w:val="center"/>
          </w:tcPr>
          <w:p w14:paraId="09A21772" w14:textId="77777777" w:rsidR="00544649" w:rsidRDefault="00000000">
            <w:pPr>
              <w:pStyle w:val="aff7"/>
              <w:adjustRightInd w:val="0"/>
              <w:snapToGrid w:val="0"/>
              <w:spacing w:before="62" w:after="62"/>
              <w:rPr>
                <w:rFonts w:cs="Times New Roman"/>
                <w:kern w:val="21"/>
                <w:szCs w:val="21"/>
              </w:rPr>
            </w:pPr>
            <w:r>
              <w:rPr>
                <w:rFonts w:cs="Times New Roman"/>
                <w:szCs w:val="21"/>
              </w:rPr>
              <w:t>1300</w:t>
            </w:r>
          </w:p>
        </w:tc>
        <w:tc>
          <w:tcPr>
            <w:tcW w:w="873" w:type="dxa"/>
            <w:shd w:val="clear" w:color="auto" w:fill="auto"/>
            <w:vAlign w:val="center"/>
          </w:tcPr>
          <w:p w14:paraId="2A6A3619"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1320</w:t>
            </w:r>
          </w:p>
        </w:tc>
        <w:tc>
          <w:tcPr>
            <w:tcW w:w="871" w:type="dxa"/>
            <w:shd w:val="clear" w:color="auto" w:fill="auto"/>
            <w:vAlign w:val="center"/>
          </w:tcPr>
          <w:p w14:paraId="47AA3413"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105</w:t>
            </w:r>
          </w:p>
        </w:tc>
        <w:tc>
          <w:tcPr>
            <w:tcW w:w="1163" w:type="dxa"/>
            <w:shd w:val="clear" w:color="auto" w:fill="auto"/>
            <w:vAlign w:val="center"/>
          </w:tcPr>
          <w:p w14:paraId="679C9252" w14:textId="77777777" w:rsidR="00544649" w:rsidRDefault="00000000">
            <w:pPr>
              <w:pStyle w:val="aff7"/>
              <w:adjustRightInd w:val="0"/>
              <w:snapToGrid w:val="0"/>
              <w:spacing w:before="62" w:after="62"/>
              <w:rPr>
                <w:rFonts w:cs="Times New Roman"/>
                <w:kern w:val="21"/>
                <w:szCs w:val="21"/>
              </w:rPr>
            </w:pPr>
            <w:r>
              <w:rPr>
                <w:rFonts w:cs="Times New Roman"/>
                <w:szCs w:val="21"/>
              </w:rPr>
              <w:t>约</w:t>
            </w:r>
            <w:r>
              <w:rPr>
                <w:rStyle w:val="font11"/>
                <w:color w:val="auto"/>
                <w:sz w:val="21"/>
                <w:szCs w:val="21"/>
              </w:rPr>
              <w:t>30</w:t>
            </w:r>
            <w:r>
              <w:rPr>
                <w:rStyle w:val="font01"/>
                <w:rFonts w:ascii="Times New Roman" w:hAnsi="Times New Roman" w:cs="Times New Roman" w:hint="default"/>
                <w:color w:val="auto"/>
                <w:sz w:val="21"/>
                <w:szCs w:val="21"/>
              </w:rPr>
              <w:t>户，</w:t>
            </w:r>
            <w:r>
              <w:rPr>
                <w:rStyle w:val="font11"/>
                <w:color w:val="auto"/>
                <w:sz w:val="21"/>
                <w:szCs w:val="21"/>
              </w:rPr>
              <w:t>90</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7CA63052" w14:textId="77777777" w:rsidR="00544649" w:rsidRDefault="00544649">
            <w:pPr>
              <w:pStyle w:val="aff7"/>
              <w:adjustRightInd w:val="0"/>
              <w:snapToGrid w:val="0"/>
              <w:spacing w:before="62" w:after="62"/>
              <w:rPr>
                <w:rFonts w:cs="Times New Roman"/>
                <w:kern w:val="21"/>
                <w:szCs w:val="21"/>
              </w:rPr>
            </w:pPr>
          </w:p>
        </w:tc>
      </w:tr>
      <w:tr w:rsidR="00544649" w14:paraId="1EF569AD" w14:textId="77777777">
        <w:trPr>
          <w:trHeight w:val="90"/>
          <w:jc w:val="center"/>
        </w:trPr>
        <w:tc>
          <w:tcPr>
            <w:tcW w:w="473" w:type="dxa"/>
            <w:vMerge/>
            <w:shd w:val="clear" w:color="auto" w:fill="auto"/>
            <w:vAlign w:val="center"/>
          </w:tcPr>
          <w:p w14:paraId="16042180"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3785EEC9"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28267335" w14:textId="77777777" w:rsidR="00544649" w:rsidRDefault="00000000">
            <w:pPr>
              <w:pStyle w:val="aff7"/>
              <w:adjustRightInd w:val="0"/>
              <w:snapToGrid w:val="0"/>
              <w:spacing w:before="62" w:after="62"/>
              <w:rPr>
                <w:rFonts w:cs="Times New Roman"/>
                <w:kern w:val="21"/>
                <w:szCs w:val="21"/>
              </w:rPr>
            </w:pPr>
            <w:r>
              <w:rPr>
                <w:rFonts w:cs="Times New Roman"/>
                <w:szCs w:val="21"/>
              </w:rPr>
              <w:t>散户居民</w:t>
            </w:r>
          </w:p>
        </w:tc>
        <w:tc>
          <w:tcPr>
            <w:tcW w:w="873" w:type="dxa"/>
            <w:vAlign w:val="center"/>
          </w:tcPr>
          <w:p w14:paraId="661E781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555566.48</w:t>
            </w:r>
          </w:p>
        </w:tc>
        <w:tc>
          <w:tcPr>
            <w:tcW w:w="871" w:type="dxa"/>
            <w:vAlign w:val="center"/>
          </w:tcPr>
          <w:p w14:paraId="39F20144"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3560703.97</w:t>
            </w:r>
          </w:p>
        </w:tc>
        <w:tc>
          <w:tcPr>
            <w:tcW w:w="727" w:type="dxa"/>
            <w:shd w:val="clear" w:color="auto" w:fill="auto"/>
            <w:vAlign w:val="center"/>
          </w:tcPr>
          <w:p w14:paraId="142771A9" w14:textId="77777777" w:rsidR="00544649" w:rsidRDefault="00000000">
            <w:pPr>
              <w:pStyle w:val="aff7"/>
              <w:adjustRightInd w:val="0"/>
              <w:snapToGrid w:val="0"/>
              <w:spacing w:before="62" w:after="62"/>
              <w:rPr>
                <w:rFonts w:cs="Times New Roman"/>
                <w:kern w:val="21"/>
                <w:szCs w:val="21"/>
              </w:rPr>
            </w:pPr>
            <w:proofErr w:type="gramStart"/>
            <w:r>
              <w:rPr>
                <w:rFonts w:cs="Times New Roman"/>
                <w:szCs w:val="21"/>
              </w:rPr>
              <w:t>育雏场西</w:t>
            </w:r>
            <w:proofErr w:type="gramEnd"/>
          </w:p>
        </w:tc>
        <w:tc>
          <w:tcPr>
            <w:tcW w:w="875" w:type="dxa"/>
            <w:shd w:val="clear" w:color="auto" w:fill="auto"/>
            <w:vAlign w:val="center"/>
          </w:tcPr>
          <w:p w14:paraId="48401FB5" w14:textId="77777777" w:rsidR="00544649" w:rsidRDefault="00000000">
            <w:pPr>
              <w:pStyle w:val="aff7"/>
              <w:adjustRightInd w:val="0"/>
              <w:snapToGrid w:val="0"/>
              <w:spacing w:before="62" w:after="62"/>
              <w:rPr>
                <w:rFonts w:cs="Times New Roman"/>
                <w:kern w:val="21"/>
                <w:szCs w:val="21"/>
              </w:rPr>
            </w:pPr>
            <w:r>
              <w:rPr>
                <w:rFonts w:cs="Times New Roman" w:hint="eastAsia"/>
                <w:szCs w:val="21"/>
              </w:rPr>
              <w:t>37</w:t>
            </w:r>
            <w:r>
              <w:rPr>
                <w:rFonts w:cs="Times New Roman"/>
                <w:szCs w:val="21"/>
              </w:rPr>
              <w:t>0</w:t>
            </w:r>
          </w:p>
        </w:tc>
        <w:tc>
          <w:tcPr>
            <w:tcW w:w="873" w:type="dxa"/>
            <w:shd w:val="clear" w:color="auto" w:fill="auto"/>
            <w:vAlign w:val="center"/>
          </w:tcPr>
          <w:p w14:paraId="5F0D4F40"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410</w:t>
            </w:r>
          </w:p>
        </w:tc>
        <w:tc>
          <w:tcPr>
            <w:tcW w:w="871" w:type="dxa"/>
            <w:shd w:val="clear" w:color="auto" w:fill="auto"/>
            <w:vAlign w:val="center"/>
          </w:tcPr>
          <w:p w14:paraId="1CA624B1"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43</w:t>
            </w:r>
          </w:p>
        </w:tc>
        <w:tc>
          <w:tcPr>
            <w:tcW w:w="1163" w:type="dxa"/>
            <w:shd w:val="clear" w:color="auto" w:fill="auto"/>
            <w:vAlign w:val="center"/>
          </w:tcPr>
          <w:p w14:paraId="2CDA56FF" w14:textId="77777777" w:rsidR="00544649" w:rsidRDefault="00000000">
            <w:pPr>
              <w:pStyle w:val="aff7"/>
              <w:adjustRightInd w:val="0"/>
              <w:snapToGrid w:val="0"/>
              <w:spacing w:before="62" w:after="62"/>
              <w:rPr>
                <w:rFonts w:cs="Times New Roman"/>
                <w:kern w:val="21"/>
                <w:szCs w:val="21"/>
              </w:rPr>
            </w:pPr>
            <w:r>
              <w:rPr>
                <w:rFonts w:cs="Times New Roman"/>
                <w:szCs w:val="21"/>
              </w:rPr>
              <w:t>2</w:t>
            </w:r>
            <w:r>
              <w:rPr>
                <w:rStyle w:val="font01"/>
                <w:rFonts w:ascii="Times New Roman" w:hAnsi="Times New Roman" w:cs="Times New Roman" w:hint="default"/>
                <w:color w:val="auto"/>
                <w:sz w:val="21"/>
                <w:szCs w:val="21"/>
              </w:rPr>
              <w:t>户，</w:t>
            </w:r>
            <w:r>
              <w:rPr>
                <w:rStyle w:val="font11"/>
                <w:color w:val="auto"/>
                <w:sz w:val="21"/>
                <w:szCs w:val="21"/>
              </w:rPr>
              <w:t>6</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4F482D0F" w14:textId="77777777" w:rsidR="00544649" w:rsidRDefault="00544649">
            <w:pPr>
              <w:pStyle w:val="aff7"/>
              <w:adjustRightInd w:val="0"/>
              <w:snapToGrid w:val="0"/>
              <w:spacing w:before="62" w:after="62"/>
              <w:rPr>
                <w:rFonts w:cs="Times New Roman"/>
                <w:kern w:val="21"/>
                <w:szCs w:val="21"/>
              </w:rPr>
            </w:pPr>
          </w:p>
        </w:tc>
      </w:tr>
      <w:tr w:rsidR="00544649" w14:paraId="776ACCD9" w14:textId="77777777">
        <w:trPr>
          <w:trHeight w:val="90"/>
          <w:jc w:val="center"/>
        </w:trPr>
        <w:tc>
          <w:tcPr>
            <w:tcW w:w="473" w:type="dxa"/>
            <w:vMerge/>
            <w:shd w:val="clear" w:color="auto" w:fill="auto"/>
            <w:vAlign w:val="center"/>
          </w:tcPr>
          <w:p w14:paraId="47E3C16D"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0780598E"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61F83FBA" w14:textId="77777777" w:rsidR="00544649" w:rsidRDefault="00000000">
            <w:pPr>
              <w:pStyle w:val="aff7"/>
              <w:adjustRightInd w:val="0"/>
              <w:snapToGrid w:val="0"/>
              <w:spacing w:before="62" w:after="62"/>
              <w:rPr>
                <w:rFonts w:cs="Times New Roman"/>
                <w:szCs w:val="21"/>
              </w:rPr>
            </w:pPr>
            <w:r>
              <w:rPr>
                <w:rFonts w:cs="Times New Roman" w:hint="eastAsia"/>
                <w:szCs w:val="21"/>
              </w:rPr>
              <w:t>剑门蜀道国家级风景名胜区</w:t>
            </w:r>
          </w:p>
        </w:tc>
        <w:tc>
          <w:tcPr>
            <w:tcW w:w="873" w:type="dxa"/>
            <w:vAlign w:val="center"/>
          </w:tcPr>
          <w:p w14:paraId="0BB1A3AE"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557260.78</w:t>
            </w:r>
          </w:p>
        </w:tc>
        <w:tc>
          <w:tcPr>
            <w:tcW w:w="871" w:type="dxa"/>
            <w:vAlign w:val="center"/>
          </w:tcPr>
          <w:p w14:paraId="38E10D4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3562799.16</w:t>
            </w:r>
          </w:p>
        </w:tc>
        <w:tc>
          <w:tcPr>
            <w:tcW w:w="727" w:type="dxa"/>
            <w:shd w:val="clear" w:color="auto" w:fill="auto"/>
            <w:vAlign w:val="center"/>
          </w:tcPr>
          <w:p w14:paraId="2CC6FFB6" w14:textId="77777777" w:rsidR="00544649" w:rsidRDefault="00000000">
            <w:pPr>
              <w:pStyle w:val="aff7"/>
              <w:adjustRightInd w:val="0"/>
              <w:snapToGrid w:val="0"/>
              <w:spacing w:before="62" w:after="62"/>
              <w:rPr>
                <w:rFonts w:cs="Times New Roman"/>
                <w:szCs w:val="21"/>
              </w:rPr>
            </w:pPr>
            <w:proofErr w:type="gramStart"/>
            <w:r>
              <w:rPr>
                <w:rFonts w:cs="Times New Roman" w:hint="eastAsia"/>
                <w:szCs w:val="21"/>
              </w:rPr>
              <w:t>育雏场</w:t>
            </w:r>
            <w:proofErr w:type="gramEnd"/>
            <w:r>
              <w:rPr>
                <w:rFonts w:cs="Times New Roman" w:hint="eastAsia"/>
                <w:szCs w:val="21"/>
              </w:rPr>
              <w:t>西侧</w:t>
            </w:r>
          </w:p>
        </w:tc>
        <w:tc>
          <w:tcPr>
            <w:tcW w:w="875" w:type="dxa"/>
            <w:shd w:val="clear" w:color="auto" w:fill="auto"/>
            <w:vAlign w:val="center"/>
          </w:tcPr>
          <w:p w14:paraId="694CB551" w14:textId="77777777" w:rsidR="00544649" w:rsidRDefault="00000000">
            <w:pPr>
              <w:pStyle w:val="aff7"/>
              <w:adjustRightInd w:val="0"/>
              <w:snapToGrid w:val="0"/>
              <w:spacing w:before="62" w:after="62"/>
              <w:rPr>
                <w:rFonts w:cs="Times New Roman"/>
                <w:szCs w:val="21"/>
              </w:rPr>
            </w:pPr>
            <w:r>
              <w:rPr>
                <w:rFonts w:cs="Times New Roman" w:hint="eastAsia"/>
                <w:szCs w:val="21"/>
              </w:rPr>
              <w:t>1</w:t>
            </w:r>
            <w:r>
              <w:rPr>
                <w:rFonts w:hint="eastAsia"/>
                <w:szCs w:val="21"/>
              </w:rPr>
              <w:t>430</w:t>
            </w:r>
          </w:p>
        </w:tc>
        <w:tc>
          <w:tcPr>
            <w:tcW w:w="873" w:type="dxa"/>
            <w:shd w:val="clear" w:color="auto" w:fill="auto"/>
            <w:vAlign w:val="center"/>
          </w:tcPr>
          <w:p w14:paraId="3ED4DA37"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1460</w:t>
            </w:r>
          </w:p>
        </w:tc>
        <w:tc>
          <w:tcPr>
            <w:tcW w:w="871" w:type="dxa"/>
            <w:shd w:val="clear" w:color="auto" w:fill="auto"/>
            <w:vAlign w:val="center"/>
          </w:tcPr>
          <w:p w14:paraId="06C43824" w14:textId="77777777" w:rsidR="00544649" w:rsidRDefault="00000000">
            <w:pPr>
              <w:pStyle w:val="aff3"/>
              <w:spacing w:before="62" w:after="62" w:line="240" w:lineRule="auto"/>
              <w:rPr>
                <w:rFonts w:cs="Times New Roman"/>
                <w:kern w:val="21"/>
                <w:szCs w:val="21"/>
              </w:rPr>
            </w:pPr>
            <w:r>
              <w:rPr>
                <w:rFonts w:cs="Times New Roman" w:hint="eastAsia"/>
                <w:kern w:val="21"/>
                <w:szCs w:val="21"/>
              </w:rPr>
              <w:t>+3</w:t>
            </w:r>
          </w:p>
        </w:tc>
        <w:tc>
          <w:tcPr>
            <w:tcW w:w="1163" w:type="dxa"/>
            <w:shd w:val="clear" w:color="auto" w:fill="auto"/>
            <w:vAlign w:val="center"/>
          </w:tcPr>
          <w:p w14:paraId="30AA6D7C" w14:textId="77777777" w:rsidR="00544649" w:rsidRDefault="00000000">
            <w:pPr>
              <w:pStyle w:val="aff7"/>
              <w:adjustRightInd w:val="0"/>
              <w:snapToGrid w:val="0"/>
              <w:spacing w:before="62" w:after="62"/>
              <w:rPr>
                <w:rFonts w:cs="Times New Roman"/>
                <w:szCs w:val="21"/>
              </w:rPr>
            </w:pPr>
            <w:r>
              <w:rPr>
                <w:rFonts w:cs="Times New Roman" w:hint="eastAsia"/>
                <w:szCs w:val="21"/>
              </w:rPr>
              <w:t>/</w:t>
            </w:r>
          </w:p>
        </w:tc>
        <w:tc>
          <w:tcPr>
            <w:tcW w:w="1018" w:type="dxa"/>
            <w:vMerge/>
            <w:shd w:val="clear" w:color="auto" w:fill="auto"/>
            <w:vAlign w:val="center"/>
          </w:tcPr>
          <w:p w14:paraId="1536EE90" w14:textId="77777777" w:rsidR="00544649" w:rsidRDefault="00544649">
            <w:pPr>
              <w:pStyle w:val="aff7"/>
              <w:adjustRightInd w:val="0"/>
              <w:snapToGrid w:val="0"/>
              <w:spacing w:before="62" w:after="62"/>
              <w:rPr>
                <w:rFonts w:cs="Times New Roman"/>
                <w:kern w:val="21"/>
                <w:szCs w:val="21"/>
              </w:rPr>
            </w:pPr>
          </w:p>
        </w:tc>
      </w:tr>
      <w:tr w:rsidR="00544649" w14:paraId="47217659" w14:textId="77777777">
        <w:trPr>
          <w:trHeight w:val="90"/>
          <w:jc w:val="center"/>
        </w:trPr>
        <w:tc>
          <w:tcPr>
            <w:tcW w:w="473" w:type="dxa"/>
            <w:vMerge/>
            <w:shd w:val="clear" w:color="auto" w:fill="auto"/>
            <w:vAlign w:val="center"/>
          </w:tcPr>
          <w:p w14:paraId="5741860F"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07C0D694"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0BF4992D" w14:textId="77777777" w:rsidR="00544649" w:rsidRDefault="00000000">
            <w:pPr>
              <w:pStyle w:val="aff7"/>
              <w:adjustRightInd w:val="0"/>
              <w:snapToGrid w:val="0"/>
              <w:spacing w:before="62" w:after="62"/>
              <w:rPr>
                <w:rFonts w:cs="Times New Roman"/>
                <w:szCs w:val="21"/>
              </w:rPr>
            </w:pPr>
            <w:r>
              <w:rPr>
                <w:rFonts w:cs="Times New Roman" w:hint="eastAsia"/>
                <w:kern w:val="21"/>
                <w:szCs w:val="21"/>
              </w:rPr>
              <w:t>剑门关地质公园</w:t>
            </w:r>
          </w:p>
        </w:tc>
        <w:tc>
          <w:tcPr>
            <w:tcW w:w="873" w:type="dxa"/>
            <w:vAlign w:val="center"/>
          </w:tcPr>
          <w:p w14:paraId="41A509AC"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557334.74</w:t>
            </w:r>
          </w:p>
        </w:tc>
        <w:tc>
          <w:tcPr>
            <w:tcW w:w="871" w:type="dxa"/>
            <w:vAlign w:val="center"/>
          </w:tcPr>
          <w:p w14:paraId="7370D96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3558687.84</w:t>
            </w:r>
          </w:p>
        </w:tc>
        <w:tc>
          <w:tcPr>
            <w:tcW w:w="727" w:type="dxa"/>
            <w:shd w:val="clear" w:color="auto" w:fill="auto"/>
            <w:vAlign w:val="center"/>
          </w:tcPr>
          <w:p w14:paraId="4B516763" w14:textId="77777777" w:rsidR="00544649" w:rsidRDefault="00000000">
            <w:pPr>
              <w:pStyle w:val="aff7"/>
              <w:adjustRightInd w:val="0"/>
              <w:snapToGrid w:val="0"/>
              <w:spacing w:before="62" w:after="62"/>
              <w:rPr>
                <w:rFonts w:cs="Times New Roman"/>
                <w:szCs w:val="21"/>
              </w:rPr>
            </w:pPr>
            <w:r>
              <w:rPr>
                <w:rFonts w:cs="Times New Roman" w:hint="eastAsia"/>
                <w:szCs w:val="21"/>
              </w:rPr>
              <w:t>育雏北侧</w:t>
            </w:r>
          </w:p>
        </w:tc>
        <w:tc>
          <w:tcPr>
            <w:tcW w:w="875" w:type="dxa"/>
            <w:shd w:val="clear" w:color="auto" w:fill="auto"/>
            <w:vAlign w:val="center"/>
          </w:tcPr>
          <w:p w14:paraId="0CF81D81" w14:textId="77777777" w:rsidR="00544649" w:rsidRDefault="00000000">
            <w:pPr>
              <w:pStyle w:val="aff7"/>
              <w:adjustRightInd w:val="0"/>
              <w:snapToGrid w:val="0"/>
              <w:spacing w:before="62" w:after="62"/>
              <w:rPr>
                <w:rFonts w:cs="Times New Roman"/>
                <w:szCs w:val="21"/>
              </w:rPr>
            </w:pPr>
            <w:r>
              <w:rPr>
                <w:rFonts w:cs="Times New Roman" w:hint="eastAsia"/>
                <w:szCs w:val="21"/>
              </w:rPr>
              <w:t>2430</w:t>
            </w:r>
          </w:p>
        </w:tc>
        <w:tc>
          <w:tcPr>
            <w:tcW w:w="873" w:type="dxa"/>
            <w:shd w:val="clear" w:color="auto" w:fill="auto"/>
            <w:vAlign w:val="center"/>
          </w:tcPr>
          <w:p w14:paraId="25909DDB"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2440</w:t>
            </w:r>
          </w:p>
        </w:tc>
        <w:tc>
          <w:tcPr>
            <w:tcW w:w="871" w:type="dxa"/>
            <w:shd w:val="clear" w:color="auto" w:fill="auto"/>
            <w:vAlign w:val="center"/>
          </w:tcPr>
          <w:p w14:paraId="380492AE" w14:textId="77777777" w:rsidR="00544649" w:rsidRDefault="00000000">
            <w:pPr>
              <w:pStyle w:val="aff3"/>
              <w:spacing w:before="62" w:after="62" w:line="240" w:lineRule="auto"/>
              <w:rPr>
                <w:rFonts w:cs="Times New Roman"/>
                <w:kern w:val="21"/>
                <w:szCs w:val="21"/>
              </w:rPr>
            </w:pPr>
            <w:r>
              <w:rPr>
                <w:rFonts w:cs="Times New Roman" w:hint="eastAsia"/>
                <w:kern w:val="21"/>
                <w:szCs w:val="21"/>
              </w:rPr>
              <w:t>+9</w:t>
            </w:r>
          </w:p>
        </w:tc>
        <w:tc>
          <w:tcPr>
            <w:tcW w:w="1163" w:type="dxa"/>
            <w:shd w:val="clear" w:color="auto" w:fill="auto"/>
            <w:vAlign w:val="center"/>
          </w:tcPr>
          <w:p w14:paraId="227BF8ED" w14:textId="77777777" w:rsidR="00544649" w:rsidRDefault="00000000">
            <w:pPr>
              <w:pStyle w:val="aff7"/>
              <w:adjustRightInd w:val="0"/>
              <w:snapToGrid w:val="0"/>
              <w:spacing w:before="62" w:after="62"/>
              <w:rPr>
                <w:rFonts w:cs="Times New Roman"/>
                <w:szCs w:val="21"/>
              </w:rPr>
            </w:pPr>
            <w:r>
              <w:rPr>
                <w:rFonts w:cs="Times New Roman" w:hint="eastAsia"/>
                <w:szCs w:val="21"/>
              </w:rPr>
              <w:t>/</w:t>
            </w:r>
          </w:p>
        </w:tc>
        <w:tc>
          <w:tcPr>
            <w:tcW w:w="1018" w:type="dxa"/>
            <w:vMerge/>
            <w:shd w:val="clear" w:color="auto" w:fill="auto"/>
            <w:vAlign w:val="center"/>
          </w:tcPr>
          <w:p w14:paraId="09095C2A" w14:textId="77777777" w:rsidR="00544649" w:rsidRDefault="00544649">
            <w:pPr>
              <w:pStyle w:val="aff7"/>
              <w:adjustRightInd w:val="0"/>
              <w:snapToGrid w:val="0"/>
              <w:spacing w:before="62" w:after="62"/>
              <w:rPr>
                <w:rFonts w:cs="Times New Roman"/>
                <w:kern w:val="21"/>
                <w:szCs w:val="21"/>
              </w:rPr>
            </w:pPr>
          </w:p>
        </w:tc>
      </w:tr>
      <w:tr w:rsidR="00544649" w14:paraId="3AFAC13D" w14:textId="77777777">
        <w:trPr>
          <w:trHeight w:val="90"/>
          <w:jc w:val="center"/>
        </w:trPr>
        <w:tc>
          <w:tcPr>
            <w:tcW w:w="473" w:type="dxa"/>
            <w:vMerge/>
            <w:shd w:val="clear" w:color="auto" w:fill="auto"/>
            <w:vAlign w:val="center"/>
          </w:tcPr>
          <w:p w14:paraId="69C60BEC" w14:textId="77777777" w:rsidR="00544649" w:rsidRDefault="00544649">
            <w:pPr>
              <w:pStyle w:val="aff7"/>
              <w:adjustRightInd w:val="0"/>
              <w:snapToGrid w:val="0"/>
              <w:spacing w:before="62" w:after="62"/>
              <w:rPr>
                <w:rFonts w:cs="Times New Roman"/>
                <w:kern w:val="21"/>
                <w:szCs w:val="21"/>
              </w:rPr>
            </w:pPr>
          </w:p>
        </w:tc>
        <w:tc>
          <w:tcPr>
            <w:tcW w:w="687" w:type="dxa"/>
            <w:vMerge w:val="restart"/>
            <w:vAlign w:val="center"/>
          </w:tcPr>
          <w:p w14:paraId="6DC44389" w14:textId="77777777" w:rsidR="00544649" w:rsidRDefault="00000000">
            <w:pPr>
              <w:pStyle w:val="aff7"/>
              <w:adjustRightInd w:val="0"/>
              <w:snapToGrid w:val="0"/>
              <w:spacing w:before="62" w:after="62"/>
              <w:rPr>
                <w:rFonts w:cs="Times New Roman"/>
                <w:szCs w:val="21"/>
              </w:rPr>
            </w:pPr>
            <w:r>
              <w:rPr>
                <w:rFonts w:cs="Times New Roman" w:hint="eastAsia"/>
                <w:szCs w:val="21"/>
              </w:rPr>
              <w:t>蛋鸡场</w:t>
            </w:r>
          </w:p>
        </w:tc>
        <w:tc>
          <w:tcPr>
            <w:tcW w:w="723" w:type="dxa"/>
            <w:shd w:val="clear" w:color="auto" w:fill="auto"/>
            <w:vAlign w:val="center"/>
          </w:tcPr>
          <w:p w14:paraId="1D5FC0B4" w14:textId="77777777" w:rsidR="00544649" w:rsidRDefault="00000000">
            <w:pPr>
              <w:pStyle w:val="aff7"/>
              <w:adjustRightInd w:val="0"/>
              <w:snapToGrid w:val="0"/>
              <w:spacing w:before="62" w:after="62"/>
              <w:rPr>
                <w:rFonts w:cs="Times New Roman"/>
                <w:szCs w:val="21"/>
              </w:rPr>
            </w:pPr>
            <w:bookmarkStart w:id="167" w:name="OLE_LINK15"/>
            <w:r>
              <w:rPr>
                <w:rFonts w:cs="Times New Roman"/>
                <w:szCs w:val="21"/>
              </w:rPr>
              <w:t>散户居民</w:t>
            </w:r>
            <w:bookmarkEnd w:id="167"/>
          </w:p>
        </w:tc>
        <w:tc>
          <w:tcPr>
            <w:tcW w:w="873" w:type="dxa"/>
            <w:vAlign w:val="center"/>
          </w:tcPr>
          <w:p w14:paraId="7D707C7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557318.86</w:t>
            </w:r>
          </w:p>
        </w:tc>
        <w:tc>
          <w:tcPr>
            <w:tcW w:w="871" w:type="dxa"/>
            <w:vAlign w:val="center"/>
          </w:tcPr>
          <w:p w14:paraId="5F63376B"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3558637.41</w:t>
            </w:r>
          </w:p>
        </w:tc>
        <w:tc>
          <w:tcPr>
            <w:tcW w:w="727" w:type="dxa"/>
            <w:shd w:val="clear" w:color="auto" w:fill="auto"/>
            <w:vAlign w:val="center"/>
          </w:tcPr>
          <w:p w14:paraId="7C51F695" w14:textId="77777777" w:rsidR="00544649" w:rsidRDefault="00000000">
            <w:pPr>
              <w:pStyle w:val="aff7"/>
              <w:adjustRightInd w:val="0"/>
              <w:snapToGrid w:val="0"/>
              <w:spacing w:before="62" w:after="62"/>
              <w:rPr>
                <w:rFonts w:cs="Times New Roman"/>
                <w:szCs w:val="21"/>
              </w:rPr>
            </w:pPr>
            <w:bookmarkStart w:id="168" w:name="OLE_LINK16"/>
            <w:proofErr w:type="gramStart"/>
            <w:r>
              <w:rPr>
                <w:rFonts w:cs="Times New Roman"/>
                <w:szCs w:val="21"/>
              </w:rPr>
              <w:t>蛋鸡场西</w:t>
            </w:r>
            <w:bookmarkEnd w:id="168"/>
            <w:proofErr w:type="gramEnd"/>
          </w:p>
        </w:tc>
        <w:tc>
          <w:tcPr>
            <w:tcW w:w="875" w:type="dxa"/>
            <w:shd w:val="clear" w:color="auto" w:fill="auto"/>
            <w:vAlign w:val="center"/>
          </w:tcPr>
          <w:p w14:paraId="6F6DB5DA" w14:textId="77777777" w:rsidR="00544649" w:rsidRDefault="00000000">
            <w:pPr>
              <w:pStyle w:val="aff7"/>
              <w:adjustRightInd w:val="0"/>
              <w:snapToGrid w:val="0"/>
              <w:spacing w:before="62" w:after="62"/>
              <w:rPr>
                <w:rFonts w:cs="Times New Roman"/>
                <w:szCs w:val="21"/>
              </w:rPr>
            </w:pPr>
            <w:r>
              <w:rPr>
                <w:rFonts w:cs="Times New Roman"/>
                <w:szCs w:val="21"/>
              </w:rPr>
              <w:t>125</w:t>
            </w:r>
          </w:p>
        </w:tc>
        <w:tc>
          <w:tcPr>
            <w:tcW w:w="873" w:type="dxa"/>
            <w:shd w:val="clear" w:color="auto" w:fill="auto"/>
            <w:vAlign w:val="center"/>
          </w:tcPr>
          <w:p w14:paraId="5EE6529F"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185</w:t>
            </w:r>
          </w:p>
        </w:tc>
        <w:tc>
          <w:tcPr>
            <w:tcW w:w="871" w:type="dxa"/>
            <w:shd w:val="clear" w:color="auto" w:fill="auto"/>
            <w:vAlign w:val="center"/>
          </w:tcPr>
          <w:p w14:paraId="44FC834A"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60</w:t>
            </w:r>
          </w:p>
        </w:tc>
        <w:tc>
          <w:tcPr>
            <w:tcW w:w="1163" w:type="dxa"/>
            <w:shd w:val="clear" w:color="auto" w:fill="auto"/>
            <w:vAlign w:val="center"/>
          </w:tcPr>
          <w:p w14:paraId="26458C72" w14:textId="77777777" w:rsidR="00544649" w:rsidRDefault="00000000">
            <w:pPr>
              <w:pStyle w:val="aff7"/>
              <w:adjustRightInd w:val="0"/>
              <w:snapToGrid w:val="0"/>
              <w:spacing w:before="62" w:after="62"/>
              <w:rPr>
                <w:rFonts w:cs="Times New Roman"/>
                <w:szCs w:val="21"/>
              </w:rPr>
            </w:pPr>
            <w:bookmarkStart w:id="169" w:name="OLE_LINK17"/>
            <w:r>
              <w:rPr>
                <w:rStyle w:val="font01"/>
                <w:rFonts w:ascii="Times New Roman" w:hAnsi="Times New Roman" w:cs="Times New Roman" w:hint="default"/>
                <w:color w:val="auto"/>
                <w:sz w:val="21"/>
                <w:szCs w:val="21"/>
              </w:rPr>
              <w:t>1</w:t>
            </w:r>
            <w:r>
              <w:rPr>
                <w:rStyle w:val="font01"/>
                <w:rFonts w:ascii="Times New Roman" w:hAnsi="Times New Roman" w:cs="Times New Roman" w:hint="default"/>
                <w:color w:val="auto"/>
                <w:sz w:val="21"/>
                <w:szCs w:val="21"/>
              </w:rPr>
              <w:t>户，</w:t>
            </w:r>
            <w:r>
              <w:rPr>
                <w:rStyle w:val="font01"/>
                <w:rFonts w:ascii="Times New Roman" w:hAnsi="Times New Roman" w:cs="Times New Roman" w:hint="default"/>
                <w:color w:val="auto"/>
                <w:sz w:val="21"/>
                <w:szCs w:val="21"/>
              </w:rPr>
              <w:t>3</w:t>
            </w:r>
            <w:r>
              <w:rPr>
                <w:rStyle w:val="font01"/>
                <w:rFonts w:ascii="Times New Roman" w:hAnsi="Times New Roman" w:cs="Times New Roman" w:hint="default"/>
                <w:color w:val="auto"/>
                <w:sz w:val="21"/>
                <w:szCs w:val="21"/>
              </w:rPr>
              <w:t>人</w:t>
            </w:r>
            <w:bookmarkEnd w:id="169"/>
          </w:p>
        </w:tc>
        <w:tc>
          <w:tcPr>
            <w:tcW w:w="1018" w:type="dxa"/>
            <w:vMerge w:val="restart"/>
            <w:shd w:val="clear" w:color="auto" w:fill="auto"/>
            <w:vAlign w:val="center"/>
          </w:tcPr>
          <w:p w14:paraId="5529ADBB"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《环境空气质量标准》（</w:t>
            </w:r>
            <w:r>
              <w:rPr>
                <w:rFonts w:cs="Times New Roman"/>
                <w:kern w:val="21"/>
                <w:szCs w:val="21"/>
              </w:rPr>
              <w:t>GB3095-</w:t>
            </w:r>
            <w:r>
              <w:rPr>
                <w:rFonts w:cs="Times New Roman"/>
                <w:kern w:val="21"/>
                <w:szCs w:val="21"/>
              </w:rPr>
              <w:lastRenderedPageBreak/>
              <w:t>2012</w:t>
            </w:r>
            <w:r>
              <w:rPr>
                <w:rFonts w:cs="Times New Roman" w:hint="eastAsia"/>
                <w:kern w:val="21"/>
                <w:szCs w:val="21"/>
              </w:rPr>
              <w:t>）</w:t>
            </w:r>
          </w:p>
        </w:tc>
      </w:tr>
      <w:tr w:rsidR="00544649" w14:paraId="2AEE8D1E" w14:textId="77777777">
        <w:trPr>
          <w:trHeight w:val="90"/>
          <w:jc w:val="center"/>
        </w:trPr>
        <w:tc>
          <w:tcPr>
            <w:tcW w:w="473" w:type="dxa"/>
            <w:vMerge/>
            <w:shd w:val="clear" w:color="auto" w:fill="auto"/>
            <w:vAlign w:val="center"/>
          </w:tcPr>
          <w:p w14:paraId="40D426FD"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25E88BFB"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654EEE61" w14:textId="77777777" w:rsidR="00544649" w:rsidRDefault="00000000">
            <w:pPr>
              <w:pStyle w:val="aff7"/>
              <w:adjustRightInd w:val="0"/>
              <w:snapToGrid w:val="0"/>
              <w:spacing w:before="62" w:after="62"/>
              <w:rPr>
                <w:rFonts w:cs="Times New Roman"/>
                <w:szCs w:val="21"/>
              </w:rPr>
            </w:pPr>
            <w:r>
              <w:rPr>
                <w:rFonts w:cs="Times New Roman"/>
                <w:szCs w:val="21"/>
              </w:rPr>
              <w:t>散户居民</w:t>
            </w:r>
          </w:p>
        </w:tc>
        <w:tc>
          <w:tcPr>
            <w:tcW w:w="873" w:type="dxa"/>
            <w:vAlign w:val="center"/>
          </w:tcPr>
          <w:p w14:paraId="201BE30C"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558017.89</w:t>
            </w:r>
          </w:p>
        </w:tc>
        <w:tc>
          <w:tcPr>
            <w:tcW w:w="871" w:type="dxa"/>
            <w:vAlign w:val="center"/>
          </w:tcPr>
          <w:p w14:paraId="68E1F4BC"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3558708.11</w:t>
            </w:r>
          </w:p>
        </w:tc>
        <w:tc>
          <w:tcPr>
            <w:tcW w:w="727" w:type="dxa"/>
            <w:shd w:val="clear" w:color="auto" w:fill="auto"/>
            <w:vAlign w:val="center"/>
          </w:tcPr>
          <w:p w14:paraId="3F76C509"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蛋鸡场西</w:t>
            </w:r>
            <w:proofErr w:type="gramEnd"/>
          </w:p>
        </w:tc>
        <w:tc>
          <w:tcPr>
            <w:tcW w:w="875" w:type="dxa"/>
            <w:shd w:val="clear" w:color="auto" w:fill="auto"/>
            <w:vAlign w:val="center"/>
          </w:tcPr>
          <w:p w14:paraId="4A71C3F5" w14:textId="77777777" w:rsidR="00544649" w:rsidRDefault="00000000">
            <w:pPr>
              <w:pStyle w:val="aff7"/>
              <w:adjustRightInd w:val="0"/>
              <w:snapToGrid w:val="0"/>
              <w:spacing w:before="62" w:after="62"/>
              <w:rPr>
                <w:rFonts w:cs="Times New Roman"/>
                <w:szCs w:val="21"/>
              </w:rPr>
            </w:pPr>
            <w:r>
              <w:rPr>
                <w:rFonts w:cs="Times New Roman" w:hint="eastAsia"/>
                <w:szCs w:val="21"/>
              </w:rPr>
              <w:t>140</w:t>
            </w:r>
          </w:p>
        </w:tc>
        <w:tc>
          <w:tcPr>
            <w:tcW w:w="873" w:type="dxa"/>
            <w:shd w:val="clear" w:color="auto" w:fill="auto"/>
            <w:vAlign w:val="center"/>
          </w:tcPr>
          <w:p w14:paraId="0977781B"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210</w:t>
            </w:r>
          </w:p>
        </w:tc>
        <w:tc>
          <w:tcPr>
            <w:tcW w:w="871" w:type="dxa"/>
            <w:shd w:val="clear" w:color="auto" w:fill="auto"/>
            <w:vAlign w:val="center"/>
          </w:tcPr>
          <w:p w14:paraId="47475F14" w14:textId="77777777" w:rsidR="00544649" w:rsidRDefault="00000000">
            <w:pPr>
              <w:pStyle w:val="aff3"/>
              <w:spacing w:before="62" w:after="62" w:line="240" w:lineRule="auto"/>
              <w:rPr>
                <w:rFonts w:cs="Times New Roman"/>
                <w:kern w:val="21"/>
                <w:szCs w:val="21"/>
              </w:rPr>
            </w:pPr>
            <w:r>
              <w:rPr>
                <w:rFonts w:cs="Times New Roman" w:hint="eastAsia"/>
                <w:kern w:val="21"/>
                <w:szCs w:val="21"/>
              </w:rPr>
              <w:t>-67</w:t>
            </w:r>
          </w:p>
        </w:tc>
        <w:tc>
          <w:tcPr>
            <w:tcW w:w="1163" w:type="dxa"/>
            <w:shd w:val="clear" w:color="auto" w:fill="auto"/>
            <w:vAlign w:val="center"/>
          </w:tcPr>
          <w:p w14:paraId="18174FBF" w14:textId="77777777" w:rsidR="00544649" w:rsidRDefault="00000000">
            <w:pPr>
              <w:pStyle w:val="aff7"/>
              <w:adjustRightInd w:val="0"/>
              <w:snapToGrid w:val="0"/>
              <w:spacing w:before="62" w:after="62"/>
              <w:rPr>
                <w:rFonts w:cs="Times New Roman"/>
                <w:szCs w:val="21"/>
              </w:rPr>
            </w:pPr>
            <w:r>
              <w:rPr>
                <w:rStyle w:val="font01"/>
                <w:rFonts w:ascii="Times New Roman" w:hAnsi="Times New Roman" w:cs="Times New Roman" w:hint="default"/>
                <w:color w:val="auto"/>
                <w:sz w:val="21"/>
                <w:szCs w:val="21"/>
              </w:rPr>
              <w:t>1</w:t>
            </w:r>
            <w:r>
              <w:rPr>
                <w:rStyle w:val="font01"/>
                <w:rFonts w:ascii="Times New Roman" w:hAnsi="Times New Roman" w:cs="Times New Roman" w:hint="default"/>
                <w:color w:val="auto"/>
                <w:sz w:val="21"/>
                <w:szCs w:val="21"/>
              </w:rPr>
              <w:t>户，</w:t>
            </w:r>
            <w:r>
              <w:rPr>
                <w:rStyle w:val="font01"/>
                <w:rFonts w:ascii="Times New Roman" w:hAnsi="Times New Roman" w:cs="Times New Roman" w:hint="default"/>
                <w:color w:val="auto"/>
                <w:sz w:val="21"/>
                <w:szCs w:val="21"/>
              </w:rPr>
              <w:t>3</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515AFED2" w14:textId="77777777" w:rsidR="00544649" w:rsidRDefault="00544649">
            <w:pPr>
              <w:pStyle w:val="aff7"/>
              <w:adjustRightInd w:val="0"/>
              <w:snapToGrid w:val="0"/>
              <w:spacing w:before="62" w:after="62"/>
              <w:rPr>
                <w:rFonts w:cs="Times New Roman"/>
                <w:kern w:val="21"/>
                <w:szCs w:val="21"/>
              </w:rPr>
            </w:pPr>
          </w:p>
        </w:tc>
      </w:tr>
      <w:tr w:rsidR="00544649" w14:paraId="7BE9722F" w14:textId="77777777">
        <w:trPr>
          <w:trHeight w:val="90"/>
          <w:jc w:val="center"/>
        </w:trPr>
        <w:tc>
          <w:tcPr>
            <w:tcW w:w="473" w:type="dxa"/>
            <w:vMerge/>
            <w:shd w:val="clear" w:color="auto" w:fill="auto"/>
            <w:vAlign w:val="center"/>
          </w:tcPr>
          <w:p w14:paraId="1CA86EAC"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04AA8DDC"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1E10EE71" w14:textId="77777777" w:rsidR="00544649" w:rsidRDefault="00000000">
            <w:pPr>
              <w:pStyle w:val="aff7"/>
              <w:adjustRightInd w:val="0"/>
              <w:snapToGrid w:val="0"/>
              <w:spacing w:before="62" w:after="62"/>
              <w:rPr>
                <w:rFonts w:cs="Times New Roman"/>
                <w:szCs w:val="21"/>
              </w:rPr>
            </w:pPr>
            <w:r>
              <w:rPr>
                <w:rFonts w:cs="Times New Roman"/>
                <w:szCs w:val="21"/>
              </w:rPr>
              <w:t>散户</w:t>
            </w:r>
            <w:r>
              <w:rPr>
                <w:rFonts w:cs="Times New Roman"/>
                <w:szCs w:val="21"/>
              </w:rPr>
              <w:lastRenderedPageBreak/>
              <w:t>居民</w:t>
            </w:r>
          </w:p>
        </w:tc>
        <w:tc>
          <w:tcPr>
            <w:tcW w:w="873" w:type="dxa"/>
            <w:vAlign w:val="center"/>
          </w:tcPr>
          <w:p w14:paraId="0A981D6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lastRenderedPageBreak/>
              <w:t>558193</w:t>
            </w:r>
            <w:r>
              <w:rPr>
                <w:rFonts w:cs="Times New Roman"/>
                <w:kern w:val="21"/>
                <w:szCs w:val="21"/>
              </w:rPr>
              <w:lastRenderedPageBreak/>
              <w:t>.97</w:t>
            </w:r>
          </w:p>
        </w:tc>
        <w:tc>
          <w:tcPr>
            <w:tcW w:w="871" w:type="dxa"/>
            <w:vAlign w:val="center"/>
          </w:tcPr>
          <w:p w14:paraId="08AC9C50"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lastRenderedPageBreak/>
              <w:t>355878</w:t>
            </w:r>
            <w:r>
              <w:rPr>
                <w:rFonts w:cs="Times New Roman"/>
                <w:kern w:val="21"/>
                <w:szCs w:val="21"/>
              </w:rPr>
              <w:lastRenderedPageBreak/>
              <w:t>5.74</w:t>
            </w:r>
          </w:p>
        </w:tc>
        <w:tc>
          <w:tcPr>
            <w:tcW w:w="727" w:type="dxa"/>
            <w:shd w:val="clear" w:color="auto" w:fill="auto"/>
            <w:vAlign w:val="center"/>
          </w:tcPr>
          <w:p w14:paraId="60F55CC3" w14:textId="77777777" w:rsidR="00544649" w:rsidRDefault="00000000">
            <w:pPr>
              <w:pStyle w:val="aff7"/>
              <w:adjustRightInd w:val="0"/>
              <w:snapToGrid w:val="0"/>
              <w:spacing w:before="62" w:after="62"/>
              <w:rPr>
                <w:rFonts w:cs="Times New Roman"/>
                <w:szCs w:val="21"/>
              </w:rPr>
            </w:pPr>
            <w:bookmarkStart w:id="170" w:name="OLE_LINK21"/>
            <w:proofErr w:type="gramStart"/>
            <w:r>
              <w:rPr>
                <w:rFonts w:cs="Times New Roman"/>
                <w:szCs w:val="21"/>
              </w:rPr>
              <w:lastRenderedPageBreak/>
              <w:t>蛋鸡</w:t>
            </w:r>
            <w:r>
              <w:rPr>
                <w:rFonts w:cs="Times New Roman"/>
                <w:szCs w:val="21"/>
              </w:rPr>
              <w:lastRenderedPageBreak/>
              <w:t>场东</w:t>
            </w:r>
            <w:bookmarkEnd w:id="170"/>
            <w:proofErr w:type="gramEnd"/>
          </w:p>
        </w:tc>
        <w:tc>
          <w:tcPr>
            <w:tcW w:w="875" w:type="dxa"/>
            <w:shd w:val="clear" w:color="auto" w:fill="auto"/>
            <w:vAlign w:val="center"/>
          </w:tcPr>
          <w:p w14:paraId="3FF48B6B" w14:textId="77777777" w:rsidR="00544649" w:rsidRDefault="00000000">
            <w:pPr>
              <w:pStyle w:val="aff7"/>
              <w:adjustRightInd w:val="0"/>
              <w:snapToGrid w:val="0"/>
              <w:spacing w:before="62" w:after="62"/>
              <w:rPr>
                <w:rFonts w:cs="Times New Roman"/>
                <w:szCs w:val="21"/>
              </w:rPr>
            </w:pPr>
            <w:r>
              <w:rPr>
                <w:rFonts w:cs="Times New Roman"/>
                <w:szCs w:val="21"/>
              </w:rPr>
              <w:lastRenderedPageBreak/>
              <w:t>180</w:t>
            </w:r>
          </w:p>
        </w:tc>
        <w:tc>
          <w:tcPr>
            <w:tcW w:w="873" w:type="dxa"/>
            <w:shd w:val="clear" w:color="auto" w:fill="auto"/>
            <w:vAlign w:val="center"/>
          </w:tcPr>
          <w:p w14:paraId="239554E6"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225</w:t>
            </w:r>
          </w:p>
        </w:tc>
        <w:tc>
          <w:tcPr>
            <w:tcW w:w="871" w:type="dxa"/>
            <w:shd w:val="clear" w:color="auto" w:fill="auto"/>
            <w:vAlign w:val="center"/>
          </w:tcPr>
          <w:p w14:paraId="32E6CAE8" w14:textId="77777777" w:rsidR="00544649" w:rsidRDefault="00000000">
            <w:pPr>
              <w:pStyle w:val="aff3"/>
              <w:spacing w:before="62" w:after="62" w:line="240" w:lineRule="auto"/>
              <w:rPr>
                <w:rFonts w:cs="Times New Roman"/>
                <w:kern w:val="21"/>
                <w:szCs w:val="21"/>
              </w:rPr>
            </w:pPr>
            <w:r>
              <w:rPr>
                <w:rFonts w:cs="Times New Roman"/>
                <w:kern w:val="21"/>
                <w:szCs w:val="21"/>
              </w:rPr>
              <w:t>-2</w:t>
            </w:r>
            <w:r>
              <w:rPr>
                <w:rFonts w:cs="Times New Roman" w:hint="eastAsia"/>
                <w:kern w:val="21"/>
                <w:szCs w:val="21"/>
              </w:rPr>
              <w:t>6</w:t>
            </w:r>
          </w:p>
        </w:tc>
        <w:tc>
          <w:tcPr>
            <w:tcW w:w="1163" w:type="dxa"/>
            <w:shd w:val="clear" w:color="auto" w:fill="auto"/>
            <w:vAlign w:val="center"/>
          </w:tcPr>
          <w:p w14:paraId="5B02E778" w14:textId="77777777" w:rsidR="00544649" w:rsidRDefault="00000000">
            <w:pPr>
              <w:pStyle w:val="aff7"/>
              <w:adjustRightInd w:val="0"/>
              <w:snapToGrid w:val="0"/>
              <w:spacing w:before="62" w:after="62"/>
              <w:rPr>
                <w:rFonts w:cs="Times New Roman"/>
                <w:szCs w:val="21"/>
              </w:rPr>
            </w:pPr>
            <w:r>
              <w:rPr>
                <w:rFonts w:cs="Times New Roman" w:hint="eastAsia"/>
                <w:kern w:val="21"/>
                <w:szCs w:val="21"/>
              </w:rPr>
              <w:t>空置房屋</w:t>
            </w:r>
          </w:p>
        </w:tc>
        <w:tc>
          <w:tcPr>
            <w:tcW w:w="1018" w:type="dxa"/>
            <w:vMerge/>
            <w:shd w:val="clear" w:color="auto" w:fill="auto"/>
            <w:vAlign w:val="center"/>
          </w:tcPr>
          <w:p w14:paraId="1976C17C" w14:textId="77777777" w:rsidR="00544649" w:rsidRDefault="00544649">
            <w:pPr>
              <w:pStyle w:val="aff7"/>
              <w:adjustRightInd w:val="0"/>
              <w:snapToGrid w:val="0"/>
              <w:spacing w:before="62" w:after="62"/>
              <w:rPr>
                <w:rFonts w:cs="Times New Roman"/>
                <w:kern w:val="21"/>
                <w:szCs w:val="21"/>
              </w:rPr>
            </w:pPr>
          </w:p>
        </w:tc>
      </w:tr>
      <w:tr w:rsidR="00544649" w14:paraId="39C518DC" w14:textId="77777777">
        <w:trPr>
          <w:trHeight w:val="90"/>
          <w:jc w:val="center"/>
        </w:trPr>
        <w:tc>
          <w:tcPr>
            <w:tcW w:w="473" w:type="dxa"/>
            <w:vMerge/>
            <w:shd w:val="clear" w:color="auto" w:fill="auto"/>
            <w:vAlign w:val="center"/>
          </w:tcPr>
          <w:p w14:paraId="45CE617F"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197F18AF"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3BE2B95B" w14:textId="77777777" w:rsidR="00544649" w:rsidRDefault="00000000">
            <w:pPr>
              <w:pStyle w:val="aff7"/>
              <w:adjustRightInd w:val="0"/>
              <w:snapToGrid w:val="0"/>
              <w:spacing w:before="62" w:after="62"/>
              <w:rPr>
                <w:rFonts w:cs="Times New Roman"/>
                <w:szCs w:val="21"/>
              </w:rPr>
            </w:pPr>
            <w:r>
              <w:rPr>
                <w:rFonts w:cs="Times New Roman" w:hint="eastAsia"/>
                <w:szCs w:val="21"/>
              </w:rPr>
              <w:t>散户居民</w:t>
            </w:r>
          </w:p>
        </w:tc>
        <w:tc>
          <w:tcPr>
            <w:tcW w:w="873" w:type="dxa"/>
            <w:vAlign w:val="center"/>
          </w:tcPr>
          <w:p w14:paraId="03EDB25A"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559973.21</w:t>
            </w:r>
          </w:p>
        </w:tc>
        <w:tc>
          <w:tcPr>
            <w:tcW w:w="871" w:type="dxa"/>
            <w:vAlign w:val="center"/>
          </w:tcPr>
          <w:p w14:paraId="50DFD57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3558945.79</w:t>
            </w:r>
          </w:p>
        </w:tc>
        <w:tc>
          <w:tcPr>
            <w:tcW w:w="727" w:type="dxa"/>
            <w:shd w:val="clear" w:color="auto" w:fill="auto"/>
            <w:vAlign w:val="center"/>
          </w:tcPr>
          <w:p w14:paraId="360C83CE"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蛋鸡场东</w:t>
            </w:r>
            <w:proofErr w:type="gramEnd"/>
          </w:p>
        </w:tc>
        <w:tc>
          <w:tcPr>
            <w:tcW w:w="875" w:type="dxa"/>
            <w:shd w:val="clear" w:color="auto" w:fill="auto"/>
            <w:vAlign w:val="center"/>
          </w:tcPr>
          <w:p w14:paraId="19294650" w14:textId="77777777" w:rsidR="00544649" w:rsidRDefault="00000000">
            <w:pPr>
              <w:pStyle w:val="aff7"/>
              <w:adjustRightInd w:val="0"/>
              <w:snapToGrid w:val="0"/>
              <w:spacing w:before="62" w:after="62"/>
              <w:rPr>
                <w:rFonts w:cs="Times New Roman"/>
                <w:szCs w:val="21"/>
              </w:rPr>
            </w:pPr>
            <w:r>
              <w:rPr>
                <w:rFonts w:cs="Times New Roman" w:hint="eastAsia"/>
                <w:szCs w:val="21"/>
              </w:rPr>
              <w:t>235</w:t>
            </w:r>
          </w:p>
        </w:tc>
        <w:tc>
          <w:tcPr>
            <w:tcW w:w="873" w:type="dxa"/>
            <w:shd w:val="clear" w:color="auto" w:fill="auto"/>
            <w:vAlign w:val="center"/>
          </w:tcPr>
          <w:p w14:paraId="5F7B21AF"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285</w:t>
            </w:r>
          </w:p>
        </w:tc>
        <w:tc>
          <w:tcPr>
            <w:tcW w:w="871" w:type="dxa"/>
            <w:shd w:val="clear" w:color="auto" w:fill="auto"/>
            <w:vAlign w:val="center"/>
          </w:tcPr>
          <w:p w14:paraId="11C82060" w14:textId="77777777" w:rsidR="00544649" w:rsidRDefault="00000000">
            <w:pPr>
              <w:pStyle w:val="aff3"/>
              <w:spacing w:before="62" w:after="62" w:line="240" w:lineRule="auto"/>
              <w:rPr>
                <w:rFonts w:cs="Times New Roman"/>
                <w:kern w:val="21"/>
                <w:szCs w:val="21"/>
              </w:rPr>
            </w:pPr>
            <w:r>
              <w:rPr>
                <w:rFonts w:cs="Times New Roman" w:hint="eastAsia"/>
                <w:kern w:val="21"/>
                <w:szCs w:val="21"/>
              </w:rPr>
              <w:t>-48</w:t>
            </w:r>
          </w:p>
        </w:tc>
        <w:tc>
          <w:tcPr>
            <w:tcW w:w="1163" w:type="dxa"/>
            <w:shd w:val="clear" w:color="auto" w:fill="auto"/>
            <w:vAlign w:val="center"/>
          </w:tcPr>
          <w:p w14:paraId="458EC8A2"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11"/>
                <w:color w:val="auto"/>
                <w:sz w:val="21"/>
                <w:szCs w:val="21"/>
              </w:rPr>
              <w:t>25</w:t>
            </w:r>
            <w:r>
              <w:rPr>
                <w:rStyle w:val="font01"/>
                <w:rFonts w:ascii="Times New Roman" w:hAnsi="Times New Roman" w:cs="Times New Roman" w:hint="default"/>
                <w:color w:val="auto"/>
                <w:sz w:val="21"/>
                <w:szCs w:val="21"/>
              </w:rPr>
              <w:t>户，</w:t>
            </w:r>
            <w:r>
              <w:rPr>
                <w:rStyle w:val="font11"/>
                <w:color w:val="auto"/>
                <w:sz w:val="21"/>
                <w:szCs w:val="21"/>
              </w:rPr>
              <w:t>75</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11B3CCD1" w14:textId="77777777" w:rsidR="00544649" w:rsidRDefault="00544649">
            <w:pPr>
              <w:pStyle w:val="aff7"/>
              <w:adjustRightInd w:val="0"/>
              <w:snapToGrid w:val="0"/>
              <w:spacing w:before="62" w:after="62"/>
              <w:rPr>
                <w:rFonts w:cs="Times New Roman"/>
                <w:kern w:val="21"/>
                <w:szCs w:val="21"/>
              </w:rPr>
            </w:pPr>
          </w:p>
        </w:tc>
      </w:tr>
      <w:tr w:rsidR="00544649" w14:paraId="4AD14B8B" w14:textId="77777777">
        <w:trPr>
          <w:trHeight w:val="90"/>
          <w:jc w:val="center"/>
        </w:trPr>
        <w:tc>
          <w:tcPr>
            <w:tcW w:w="473" w:type="dxa"/>
            <w:vMerge/>
            <w:shd w:val="clear" w:color="auto" w:fill="auto"/>
            <w:vAlign w:val="center"/>
          </w:tcPr>
          <w:p w14:paraId="59578CD5"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0EC2AA36"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5D08A37F" w14:textId="77777777" w:rsidR="00544649" w:rsidRDefault="00000000">
            <w:pPr>
              <w:pStyle w:val="aff7"/>
              <w:adjustRightInd w:val="0"/>
              <w:snapToGrid w:val="0"/>
              <w:spacing w:before="62" w:after="62"/>
              <w:rPr>
                <w:rFonts w:cs="Times New Roman"/>
                <w:szCs w:val="21"/>
              </w:rPr>
            </w:pPr>
            <w:r>
              <w:rPr>
                <w:rFonts w:cs="Times New Roman"/>
                <w:szCs w:val="21"/>
              </w:rPr>
              <w:t>中三窝散户居民</w:t>
            </w:r>
          </w:p>
        </w:tc>
        <w:tc>
          <w:tcPr>
            <w:tcW w:w="873" w:type="dxa"/>
            <w:vAlign w:val="center"/>
          </w:tcPr>
          <w:p w14:paraId="2F751CB9"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559098.29</w:t>
            </w:r>
          </w:p>
        </w:tc>
        <w:tc>
          <w:tcPr>
            <w:tcW w:w="871" w:type="dxa"/>
            <w:vAlign w:val="center"/>
          </w:tcPr>
          <w:p w14:paraId="3ADBBA0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3558023.58</w:t>
            </w:r>
          </w:p>
        </w:tc>
        <w:tc>
          <w:tcPr>
            <w:tcW w:w="727" w:type="dxa"/>
            <w:shd w:val="clear" w:color="auto" w:fill="auto"/>
            <w:vAlign w:val="center"/>
          </w:tcPr>
          <w:p w14:paraId="1A7C69B3"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蛋鸡场东</w:t>
            </w:r>
            <w:proofErr w:type="gramEnd"/>
          </w:p>
        </w:tc>
        <w:tc>
          <w:tcPr>
            <w:tcW w:w="875" w:type="dxa"/>
            <w:shd w:val="clear" w:color="auto" w:fill="auto"/>
            <w:vAlign w:val="center"/>
          </w:tcPr>
          <w:p w14:paraId="31EFB29F" w14:textId="77777777" w:rsidR="00544649" w:rsidRDefault="00000000">
            <w:pPr>
              <w:pStyle w:val="aff7"/>
              <w:adjustRightInd w:val="0"/>
              <w:snapToGrid w:val="0"/>
              <w:spacing w:before="62" w:after="62"/>
              <w:rPr>
                <w:rFonts w:cs="Times New Roman"/>
                <w:szCs w:val="21"/>
              </w:rPr>
            </w:pPr>
            <w:r>
              <w:rPr>
                <w:rFonts w:cs="Times New Roman"/>
                <w:szCs w:val="21"/>
              </w:rPr>
              <w:t>1800</w:t>
            </w:r>
          </w:p>
        </w:tc>
        <w:tc>
          <w:tcPr>
            <w:tcW w:w="873" w:type="dxa"/>
            <w:shd w:val="clear" w:color="auto" w:fill="auto"/>
            <w:vAlign w:val="center"/>
          </w:tcPr>
          <w:p w14:paraId="53A45940"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1820</w:t>
            </w:r>
          </w:p>
        </w:tc>
        <w:tc>
          <w:tcPr>
            <w:tcW w:w="871" w:type="dxa"/>
            <w:shd w:val="clear" w:color="auto" w:fill="auto"/>
            <w:vAlign w:val="center"/>
          </w:tcPr>
          <w:p w14:paraId="6300BDC5"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95</w:t>
            </w:r>
          </w:p>
        </w:tc>
        <w:tc>
          <w:tcPr>
            <w:tcW w:w="1163" w:type="dxa"/>
            <w:shd w:val="clear" w:color="auto" w:fill="auto"/>
            <w:vAlign w:val="center"/>
          </w:tcPr>
          <w:p w14:paraId="2E7D2062"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11"/>
                <w:color w:val="auto"/>
                <w:sz w:val="21"/>
                <w:szCs w:val="21"/>
              </w:rPr>
              <w:t>30</w:t>
            </w:r>
            <w:r>
              <w:rPr>
                <w:rStyle w:val="font01"/>
                <w:rFonts w:ascii="Times New Roman" w:hAnsi="Times New Roman" w:cs="Times New Roman" w:hint="default"/>
                <w:color w:val="auto"/>
                <w:sz w:val="21"/>
                <w:szCs w:val="21"/>
              </w:rPr>
              <w:t>户，</w:t>
            </w:r>
            <w:r>
              <w:rPr>
                <w:rStyle w:val="font11"/>
                <w:color w:val="auto"/>
                <w:sz w:val="21"/>
                <w:szCs w:val="21"/>
              </w:rPr>
              <w:t>90</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11502612" w14:textId="77777777" w:rsidR="00544649" w:rsidRDefault="00544649">
            <w:pPr>
              <w:pStyle w:val="aff7"/>
              <w:adjustRightInd w:val="0"/>
              <w:snapToGrid w:val="0"/>
              <w:spacing w:before="62" w:after="62"/>
              <w:rPr>
                <w:rFonts w:cs="Times New Roman"/>
                <w:kern w:val="21"/>
                <w:szCs w:val="21"/>
              </w:rPr>
            </w:pPr>
          </w:p>
        </w:tc>
      </w:tr>
      <w:tr w:rsidR="00544649" w14:paraId="6DF507A6" w14:textId="77777777">
        <w:trPr>
          <w:trHeight w:val="90"/>
          <w:jc w:val="center"/>
        </w:trPr>
        <w:tc>
          <w:tcPr>
            <w:tcW w:w="473" w:type="dxa"/>
            <w:vMerge/>
            <w:shd w:val="clear" w:color="auto" w:fill="auto"/>
            <w:vAlign w:val="center"/>
          </w:tcPr>
          <w:p w14:paraId="5A4BE684"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2CD739AF"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57CCBF59" w14:textId="77777777" w:rsidR="00544649" w:rsidRDefault="00000000">
            <w:pPr>
              <w:pStyle w:val="aff7"/>
              <w:adjustRightInd w:val="0"/>
              <w:snapToGrid w:val="0"/>
              <w:spacing w:before="62" w:after="62"/>
              <w:rPr>
                <w:rFonts w:cs="Times New Roman"/>
                <w:szCs w:val="21"/>
              </w:rPr>
            </w:pPr>
            <w:r>
              <w:rPr>
                <w:rFonts w:cs="Times New Roman"/>
                <w:szCs w:val="21"/>
              </w:rPr>
              <w:t>长石村散户居民</w:t>
            </w:r>
          </w:p>
        </w:tc>
        <w:tc>
          <w:tcPr>
            <w:tcW w:w="873" w:type="dxa"/>
            <w:vAlign w:val="center"/>
          </w:tcPr>
          <w:p w14:paraId="64D58BD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559352.11</w:t>
            </w:r>
          </w:p>
        </w:tc>
        <w:tc>
          <w:tcPr>
            <w:tcW w:w="871" w:type="dxa"/>
            <w:vAlign w:val="center"/>
          </w:tcPr>
          <w:p w14:paraId="6F621D54"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3557104.21</w:t>
            </w:r>
          </w:p>
        </w:tc>
        <w:tc>
          <w:tcPr>
            <w:tcW w:w="727" w:type="dxa"/>
            <w:shd w:val="clear" w:color="auto" w:fill="auto"/>
            <w:vAlign w:val="center"/>
          </w:tcPr>
          <w:p w14:paraId="220C0D23" w14:textId="77777777" w:rsidR="00544649" w:rsidRDefault="00000000">
            <w:pPr>
              <w:pStyle w:val="aff7"/>
              <w:adjustRightInd w:val="0"/>
              <w:snapToGrid w:val="0"/>
              <w:spacing w:before="62" w:after="62"/>
              <w:rPr>
                <w:rFonts w:cs="Times New Roman"/>
                <w:szCs w:val="21"/>
              </w:rPr>
            </w:pPr>
            <w:r>
              <w:rPr>
                <w:rFonts w:cs="Times New Roman"/>
                <w:szCs w:val="21"/>
              </w:rPr>
              <w:t>蛋鸡场东南</w:t>
            </w:r>
          </w:p>
        </w:tc>
        <w:tc>
          <w:tcPr>
            <w:tcW w:w="875" w:type="dxa"/>
            <w:shd w:val="clear" w:color="auto" w:fill="auto"/>
            <w:vAlign w:val="center"/>
          </w:tcPr>
          <w:p w14:paraId="4360C7AA" w14:textId="77777777" w:rsidR="00544649" w:rsidRDefault="00000000">
            <w:pPr>
              <w:pStyle w:val="aff7"/>
              <w:adjustRightInd w:val="0"/>
              <w:snapToGrid w:val="0"/>
              <w:spacing w:before="62" w:after="62"/>
              <w:rPr>
                <w:rFonts w:cs="Times New Roman"/>
                <w:szCs w:val="21"/>
              </w:rPr>
            </w:pPr>
            <w:r>
              <w:rPr>
                <w:rFonts w:cs="Times New Roman"/>
                <w:szCs w:val="21"/>
              </w:rPr>
              <w:t>1100</w:t>
            </w:r>
          </w:p>
        </w:tc>
        <w:tc>
          <w:tcPr>
            <w:tcW w:w="873" w:type="dxa"/>
            <w:shd w:val="clear" w:color="auto" w:fill="auto"/>
            <w:vAlign w:val="center"/>
          </w:tcPr>
          <w:p w14:paraId="72D89753"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1190</w:t>
            </w:r>
          </w:p>
        </w:tc>
        <w:tc>
          <w:tcPr>
            <w:tcW w:w="871" w:type="dxa"/>
            <w:shd w:val="clear" w:color="auto" w:fill="auto"/>
            <w:vAlign w:val="center"/>
          </w:tcPr>
          <w:p w14:paraId="7A3251CC"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85</w:t>
            </w:r>
          </w:p>
        </w:tc>
        <w:tc>
          <w:tcPr>
            <w:tcW w:w="1163" w:type="dxa"/>
            <w:shd w:val="clear" w:color="auto" w:fill="auto"/>
            <w:vAlign w:val="center"/>
          </w:tcPr>
          <w:p w14:paraId="7778E8AE"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11"/>
                <w:color w:val="auto"/>
                <w:sz w:val="21"/>
                <w:szCs w:val="21"/>
              </w:rPr>
              <w:t>40</w:t>
            </w:r>
            <w:r>
              <w:rPr>
                <w:rStyle w:val="font01"/>
                <w:rFonts w:ascii="Times New Roman" w:hAnsi="Times New Roman" w:cs="Times New Roman" w:hint="default"/>
                <w:color w:val="auto"/>
                <w:sz w:val="21"/>
                <w:szCs w:val="21"/>
              </w:rPr>
              <w:t>户，</w:t>
            </w:r>
            <w:r>
              <w:rPr>
                <w:rStyle w:val="font11"/>
                <w:color w:val="auto"/>
                <w:sz w:val="21"/>
                <w:szCs w:val="21"/>
              </w:rPr>
              <w:t>120</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748358DD" w14:textId="77777777" w:rsidR="00544649" w:rsidRDefault="00544649">
            <w:pPr>
              <w:pStyle w:val="aff7"/>
              <w:adjustRightInd w:val="0"/>
              <w:snapToGrid w:val="0"/>
              <w:spacing w:before="62" w:after="62"/>
              <w:rPr>
                <w:rFonts w:cs="Times New Roman"/>
                <w:kern w:val="21"/>
                <w:szCs w:val="21"/>
              </w:rPr>
            </w:pPr>
          </w:p>
        </w:tc>
      </w:tr>
      <w:tr w:rsidR="00544649" w14:paraId="149347B2" w14:textId="77777777">
        <w:trPr>
          <w:trHeight w:val="90"/>
          <w:jc w:val="center"/>
        </w:trPr>
        <w:tc>
          <w:tcPr>
            <w:tcW w:w="473" w:type="dxa"/>
            <w:vMerge/>
            <w:shd w:val="clear" w:color="auto" w:fill="auto"/>
            <w:vAlign w:val="center"/>
          </w:tcPr>
          <w:p w14:paraId="6C3364C3"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0AAD779E"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3BD295BB" w14:textId="77777777" w:rsidR="00544649" w:rsidRDefault="00000000">
            <w:pPr>
              <w:pStyle w:val="aff7"/>
              <w:adjustRightInd w:val="0"/>
              <w:snapToGrid w:val="0"/>
              <w:spacing w:before="62" w:after="62"/>
              <w:rPr>
                <w:rFonts w:cs="Times New Roman"/>
                <w:szCs w:val="21"/>
              </w:rPr>
            </w:pPr>
            <w:r>
              <w:rPr>
                <w:rFonts w:cs="Times New Roman"/>
                <w:szCs w:val="21"/>
              </w:rPr>
              <w:t>扁柏树散户居民</w:t>
            </w:r>
          </w:p>
        </w:tc>
        <w:tc>
          <w:tcPr>
            <w:tcW w:w="873" w:type="dxa"/>
            <w:vAlign w:val="center"/>
          </w:tcPr>
          <w:p w14:paraId="18C6FCA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557670.54</w:t>
            </w:r>
          </w:p>
        </w:tc>
        <w:tc>
          <w:tcPr>
            <w:tcW w:w="871" w:type="dxa"/>
            <w:vAlign w:val="center"/>
          </w:tcPr>
          <w:p w14:paraId="24D764B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3557573.72</w:t>
            </w:r>
          </w:p>
        </w:tc>
        <w:tc>
          <w:tcPr>
            <w:tcW w:w="727" w:type="dxa"/>
            <w:shd w:val="clear" w:color="auto" w:fill="auto"/>
            <w:vAlign w:val="center"/>
          </w:tcPr>
          <w:p w14:paraId="763F9658" w14:textId="77777777" w:rsidR="00544649" w:rsidRDefault="00000000">
            <w:pPr>
              <w:pStyle w:val="aff7"/>
              <w:adjustRightInd w:val="0"/>
              <w:snapToGrid w:val="0"/>
              <w:spacing w:before="62" w:after="62"/>
              <w:rPr>
                <w:rFonts w:cs="Times New Roman"/>
                <w:szCs w:val="21"/>
              </w:rPr>
            </w:pPr>
            <w:r>
              <w:rPr>
                <w:rFonts w:cs="Times New Roman"/>
                <w:szCs w:val="21"/>
              </w:rPr>
              <w:t>蛋鸡场东南</w:t>
            </w:r>
          </w:p>
        </w:tc>
        <w:tc>
          <w:tcPr>
            <w:tcW w:w="875" w:type="dxa"/>
            <w:shd w:val="clear" w:color="auto" w:fill="auto"/>
            <w:vAlign w:val="center"/>
          </w:tcPr>
          <w:p w14:paraId="0077B452" w14:textId="77777777" w:rsidR="00544649" w:rsidRDefault="00000000">
            <w:pPr>
              <w:pStyle w:val="aff7"/>
              <w:adjustRightInd w:val="0"/>
              <w:snapToGrid w:val="0"/>
              <w:spacing w:before="62" w:after="62"/>
              <w:rPr>
                <w:rFonts w:cs="Times New Roman"/>
                <w:szCs w:val="21"/>
              </w:rPr>
            </w:pPr>
            <w:r>
              <w:rPr>
                <w:rFonts w:cs="Times New Roman"/>
                <w:szCs w:val="21"/>
              </w:rPr>
              <w:t>720</w:t>
            </w:r>
          </w:p>
        </w:tc>
        <w:tc>
          <w:tcPr>
            <w:tcW w:w="873" w:type="dxa"/>
            <w:shd w:val="clear" w:color="auto" w:fill="auto"/>
            <w:vAlign w:val="center"/>
          </w:tcPr>
          <w:p w14:paraId="0B4D5521"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780</w:t>
            </w:r>
          </w:p>
        </w:tc>
        <w:tc>
          <w:tcPr>
            <w:tcW w:w="871" w:type="dxa"/>
            <w:shd w:val="clear" w:color="auto" w:fill="auto"/>
            <w:vAlign w:val="center"/>
          </w:tcPr>
          <w:p w14:paraId="30C79454"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116</w:t>
            </w:r>
          </w:p>
        </w:tc>
        <w:tc>
          <w:tcPr>
            <w:tcW w:w="1163" w:type="dxa"/>
            <w:shd w:val="clear" w:color="auto" w:fill="auto"/>
            <w:vAlign w:val="center"/>
          </w:tcPr>
          <w:p w14:paraId="7392287A"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41"/>
                <w:color w:val="auto"/>
                <w:sz w:val="21"/>
                <w:szCs w:val="21"/>
              </w:rPr>
              <w:t>35</w:t>
            </w:r>
            <w:r>
              <w:rPr>
                <w:rStyle w:val="font01"/>
                <w:rFonts w:ascii="Times New Roman" w:hAnsi="Times New Roman" w:cs="Times New Roman" w:hint="default"/>
                <w:color w:val="auto"/>
                <w:sz w:val="21"/>
                <w:szCs w:val="21"/>
              </w:rPr>
              <w:t>户，</w:t>
            </w:r>
            <w:r>
              <w:rPr>
                <w:rStyle w:val="font41"/>
                <w:color w:val="auto"/>
                <w:sz w:val="21"/>
                <w:szCs w:val="21"/>
              </w:rPr>
              <w:t>105</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4927BD3A" w14:textId="77777777" w:rsidR="00544649" w:rsidRDefault="00544649">
            <w:pPr>
              <w:pStyle w:val="aff7"/>
              <w:adjustRightInd w:val="0"/>
              <w:snapToGrid w:val="0"/>
              <w:spacing w:before="62" w:after="62"/>
              <w:rPr>
                <w:rFonts w:cs="Times New Roman"/>
                <w:kern w:val="21"/>
                <w:szCs w:val="21"/>
              </w:rPr>
            </w:pPr>
          </w:p>
        </w:tc>
      </w:tr>
      <w:tr w:rsidR="00544649" w14:paraId="2E03C8D5" w14:textId="77777777">
        <w:trPr>
          <w:trHeight w:val="90"/>
          <w:jc w:val="center"/>
        </w:trPr>
        <w:tc>
          <w:tcPr>
            <w:tcW w:w="473" w:type="dxa"/>
            <w:vMerge/>
            <w:shd w:val="clear" w:color="auto" w:fill="auto"/>
            <w:vAlign w:val="center"/>
          </w:tcPr>
          <w:p w14:paraId="7132212C"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2B2F86F4"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5958FCC1"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蹇</w:t>
            </w:r>
            <w:proofErr w:type="gramEnd"/>
            <w:r>
              <w:rPr>
                <w:rFonts w:cs="Times New Roman"/>
                <w:szCs w:val="21"/>
              </w:rPr>
              <w:t>家湾散户居民</w:t>
            </w:r>
          </w:p>
        </w:tc>
        <w:tc>
          <w:tcPr>
            <w:tcW w:w="873" w:type="dxa"/>
            <w:vAlign w:val="center"/>
          </w:tcPr>
          <w:p w14:paraId="45E5683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558455.08</w:t>
            </w:r>
          </w:p>
        </w:tc>
        <w:tc>
          <w:tcPr>
            <w:tcW w:w="871" w:type="dxa"/>
            <w:vAlign w:val="center"/>
          </w:tcPr>
          <w:p w14:paraId="0CDB88E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3556783.88</w:t>
            </w:r>
          </w:p>
        </w:tc>
        <w:tc>
          <w:tcPr>
            <w:tcW w:w="727" w:type="dxa"/>
            <w:shd w:val="clear" w:color="auto" w:fill="auto"/>
            <w:vAlign w:val="center"/>
          </w:tcPr>
          <w:p w14:paraId="5D1FE2FA" w14:textId="77777777" w:rsidR="00544649" w:rsidRDefault="00000000">
            <w:pPr>
              <w:pStyle w:val="aff7"/>
              <w:adjustRightInd w:val="0"/>
              <w:snapToGrid w:val="0"/>
              <w:spacing w:before="62" w:after="62"/>
              <w:rPr>
                <w:rFonts w:cs="Times New Roman"/>
                <w:szCs w:val="21"/>
              </w:rPr>
            </w:pPr>
            <w:r>
              <w:rPr>
                <w:rFonts w:cs="Times New Roman"/>
                <w:szCs w:val="21"/>
              </w:rPr>
              <w:t>蛋鸡场南</w:t>
            </w:r>
          </w:p>
        </w:tc>
        <w:tc>
          <w:tcPr>
            <w:tcW w:w="875" w:type="dxa"/>
            <w:shd w:val="clear" w:color="auto" w:fill="auto"/>
            <w:vAlign w:val="center"/>
          </w:tcPr>
          <w:p w14:paraId="2B538197" w14:textId="77777777" w:rsidR="00544649" w:rsidRDefault="00000000">
            <w:pPr>
              <w:pStyle w:val="aff7"/>
              <w:adjustRightInd w:val="0"/>
              <w:snapToGrid w:val="0"/>
              <w:spacing w:before="62" w:after="62"/>
              <w:rPr>
                <w:rFonts w:cs="Times New Roman"/>
                <w:szCs w:val="21"/>
              </w:rPr>
            </w:pPr>
            <w:r>
              <w:rPr>
                <w:rFonts w:cs="Times New Roman"/>
                <w:szCs w:val="21"/>
              </w:rPr>
              <w:t>640</w:t>
            </w:r>
          </w:p>
        </w:tc>
        <w:tc>
          <w:tcPr>
            <w:tcW w:w="873" w:type="dxa"/>
            <w:shd w:val="clear" w:color="auto" w:fill="auto"/>
            <w:vAlign w:val="center"/>
          </w:tcPr>
          <w:p w14:paraId="3D9F3F7E"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785</w:t>
            </w:r>
          </w:p>
        </w:tc>
        <w:tc>
          <w:tcPr>
            <w:tcW w:w="871" w:type="dxa"/>
            <w:shd w:val="clear" w:color="auto" w:fill="auto"/>
            <w:vAlign w:val="center"/>
          </w:tcPr>
          <w:p w14:paraId="2153A31C"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51</w:t>
            </w:r>
          </w:p>
        </w:tc>
        <w:tc>
          <w:tcPr>
            <w:tcW w:w="1163" w:type="dxa"/>
            <w:shd w:val="clear" w:color="auto" w:fill="auto"/>
            <w:vAlign w:val="center"/>
          </w:tcPr>
          <w:p w14:paraId="20A536F3"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11"/>
                <w:color w:val="auto"/>
                <w:sz w:val="21"/>
                <w:szCs w:val="21"/>
              </w:rPr>
              <w:t>30</w:t>
            </w:r>
            <w:r>
              <w:rPr>
                <w:rStyle w:val="font01"/>
                <w:rFonts w:ascii="Times New Roman" w:hAnsi="Times New Roman" w:cs="Times New Roman" w:hint="default"/>
                <w:color w:val="auto"/>
                <w:sz w:val="21"/>
                <w:szCs w:val="21"/>
              </w:rPr>
              <w:t>户，</w:t>
            </w:r>
            <w:r>
              <w:rPr>
                <w:rStyle w:val="font11"/>
                <w:color w:val="auto"/>
                <w:sz w:val="21"/>
                <w:szCs w:val="21"/>
              </w:rPr>
              <w:t>90</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7D39D094" w14:textId="77777777" w:rsidR="00544649" w:rsidRDefault="00544649">
            <w:pPr>
              <w:pStyle w:val="aff7"/>
              <w:adjustRightInd w:val="0"/>
              <w:snapToGrid w:val="0"/>
              <w:spacing w:before="62" w:after="62"/>
              <w:rPr>
                <w:rFonts w:cs="Times New Roman"/>
                <w:kern w:val="21"/>
                <w:szCs w:val="21"/>
              </w:rPr>
            </w:pPr>
          </w:p>
        </w:tc>
      </w:tr>
      <w:tr w:rsidR="00544649" w14:paraId="5E33A91B" w14:textId="77777777">
        <w:trPr>
          <w:trHeight w:val="90"/>
          <w:jc w:val="center"/>
        </w:trPr>
        <w:tc>
          <w:tcPr>
            <w:tcW w:w="473" w:type="dxa"/>
            <w:vMerge/>
            <w:shd w:val="clear" w:color="auto" w:fill="auto"/>
            <w:vAlign w:val="center"/>
          </w:tcPr>
          <w:p w14:paraId="623C7203"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43EEC6BD"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3A4B1ED8" w14:textId="77777777" w:rsidR="00544649" w:rsidRDefault="00000000">
            <w:pPr>
              <w:pStyle w:val="aff7"/>
              <w:adjustRightInd w:val="0"/>
              <w:snapToGrid w:val="0"/>
              <w:spacing w:before="62" w:after="62"/>
              <w:rPr>
                <w:rFonts w:cs="Times New Roman"/>
                <w:szCs w:val="21"/>
              </w:rPr>
            </w:pPr>
            <w:r>
              <w:rPr>
                <w:rFonts w:cs="Times New Roman"/>
                <w:szCs w:val="21"/>
              </w:rPr>
              <w:t>新田村散户居民</w:t>
            </w:r>
          </w:p>
        </w:tc>
        <w:tc>
          <w:tcPr>
            <w:tcW w:w="873" w:type="dxa"/>
            <w:vAlign w:val="center"/>
          </w:tcPr>
          <w:p w14:paraId="6EEB2AAB"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557464.79</w:t>
            </w:r>
          </w:p>
        </w:tc>
        <w:tc>
          <w:tcPr>
            <w:tcW w:w="871" w:type="dxa"/>
            <w:vAlign w:val="center"/>
          </w:tcPr>
          <w:p w14:paraId="4ED0D90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3556795.16</w:t>
            </w:r>
          </w:p>
        </w:tc>
        <w:tc>
          <w:tcPr>
            <w:tcW w:w="727" w:type="dxa"/>
            <w:shd w:val="clear" w:color="auto" w:fill="auto"/>
            <w:vAlign w:val="center"/>
          </w:tcPr>
          <w:p w14:paraId="3D22EBF0" w14:textId="77777777" w:rsidR="00544649" w:rsidRDefault="00000000">
            <w:pPr>
              <w:pStyle w:val="aff7"/>
              <w:adjustRightInd w:val="0"/>
              <w:snapToGrid w:val="0"/>
              <w:spacing w:before="62" w:after="62"/>
              <w:rPr>
                <w:rFonts w:cs="Times New Roman"/>
                <w:szCs w:val="21"/>
              </w:rPr>
            </w:pPr>
            <w:r>
              <w:rPr>
                <w:rFonts w:cs="Times New Roman"/>
                <w:szCs w:val="21"/>
              </w:rPr>
              <w:t>蛋鸡场南</w:t>
            </w:r>
          </w:p>
        </w:tc>
        <w:tc>
          <w:tcPr>
            <w:tcW w:w="875" w:type="dxa"/>
            <w:shd w:val="clear" w:color="auto" w:fill="auto"/>
            <w:vAlign w:val="center"/>
          </w:tcPr>
          <w:p w14:paraId="7FC21C77" w14:textId="77777777" w:rsidR="00544649" w:rsidRDefault="00000000">
            <w:pPr>
              <w:pStyle w:val="aff7"/>
              <w:adjustRightInd w:val="0"/>
              <w:snapToGrid w:val="0"/>
              <w:spacing w:before="62" w:after="62"/>
              <w:rPr>
                <w:rFonts w:cs="Times New Roman"/>
                <w:szCs w:val="21"/>
              </w:rPr>
            </w:pPr>
            <w:r>
              <w:rPr>
                <w:rFonts w:cs="Times New Roman"/>
                <w:szCs w:val="21"/>
              </w:rPr>
              <w:t>1400</w:t>
            </w:r>
          </w:p>
        </w:tc>
        <w:tc>
          <w:tcPr>
            <w:tcW w:w="873" w:type="dxa"/>
            <w:shd w:val="clear" w:color="auto" w:fill="auto"/>
            <w:vAlign w:val="center"/>
          </w:tcPr>
          <w:p w14:paraId="54CB0FF8"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1420</w:t>
            </w:r>
          </w:p>
        </w:tc>
        <w:tc>
          <w:tcPr>
            <w:tcW w:w="871" w:type="dxa"/>
            <w:shd w:val="clear" w:color="auto" w:fill="auto"/>
            <w:vAlign w:val="center"/>
          </w:tcPr>
          <w:p w14:paraId="0D3077FC" w14:textId="77777777" w:rsidR="00544649" w:rsidRDefault="00000000">
            <w:pPr>
              <w:pStyle w:val="aff3"/>
              <w:spacing w:before="62" w:after="62" w:line="240" w:lineRule="auto"/>
              <w:rPr>
                <w:rFonts w:cs="Times New Roman"/>
                <w:kern w:val="21"/>
                <w:szCs w:val="21"/>
              </w:rPr>
            </w:pPr>
            <w:r>
              <w:rPr>
                <w:rFonts w:cs="Times New Roman"/>
                <w:kern w:val="21"/>
                <w:szCs w:val="21"/>
              </w:rPr>
              <w:t>-1</w:t>
            </w:r>
            <w:r>
              <w:rPr>
                <w:rFonts w:cs="Times New Roman" w:hint="eastAsia"/>
                <w:kern w:val="21"/>
                <w:szCs w:val="21"/>
              </w:rPr>
              <w:t>34</w:t>
            </w:r>
          </w:p>
        </w:tc>
        <w:tc>
          <w:tcPr>
            <w:tcW w:w="1163" w:type="dxa"/>
            <w:shd w:val="clear" w:color="auto" w:fill="auto"/>
            <w:vAlign w:val="center"/>
          </w:tcPr>
          <w:p w14:paraId="1777BEB0"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11"/>
                <w:color w:val="auto"/>
                <w:sz w:val="21"/>
                <w:szCs w:val="21"/>
              </w:rPr>
              <w:t>40</w:t>
            </w:r>
            <w:r>
              <w:rPr>
                <w:rStyle w:val="font01"/>
                <w:rFonts w:ascii="Times New Roman" w:hAnsi="Times New Roman" w:cs="Times New Roman" w:hint="default"/>
                <w:color w:val="auto"/>
                <w:sz w:val="21"/>
                <w:szCs w:val="21"/>
              </w:rPr>
              <w:t>户，</w:t>
            </w:r>
            <w:r>
              <w:rPr>
                <w:rStyle w:val="font11"/>
                <w:color w:val="auto"/>
                <w:sz w:val="21"/>
                <w:szCs w:val="21"/>
              </w:rPr>
              <w:t>150</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67DB2BFE" w14:textId="77777777" w:rsidR="00544649" w:rsidRDefault="00544649">
            <w:pPr>
              <w:pStyle w:val="aff7"/>
              <w:adjustRightInd w:val="0"/>
              <w:snapToGrid w:val="0"/>
              <w:spacing w:before="62" w:after="62"/>
              <w:rPr>
                <w:rFonts w:cs="Times New Roman"/>
                <w:kern w:val="21"/>
                <w:szCs w:val="21"/>
              </w:rPr>
            </w:pPr>
          </w:p>
        </w:tc>
      </w:tr>
      <w:tr w:rsidR="00544649" w14:paraId="251E03B6" w14:textId="77777777">
        <w:trPr>
          <w:trHeight w:val="90"/>
          <w:jc w:val="center"/>
        </w:trPr>
        <w:tc>
          <w:tcPr>
            <w:tcW w:w="473" w:type="dxa"/>
            <w:vMerge/>
            <w:shd w:val="clear" w:color="auto" w:fill="auto"/>
            <w:vAlign w:val="center"/>
          </w:tcPr>
          <w:p w14:paraId="7EEB57FB"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259B3CF5"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4F7E57BF" w14:textId="77777777" w:rsidR="00544649" w:rsidRDefault="00000000">
            <w:pPr>
              <w:pStyle w:val="aff7"/>
              <w:adjustRightInd w:val="0"/>
              <w:snapToGrid w:val="0"/>
              <w:spacing w:before="62" w:after="62"/>
              <w:rPr>
                <w:rFonts w:cs="Times New Roman"/>
                <w:szCs w:val="21"/>
              </w:rPr>
            </w:pPr>
            <w:r>
              <w:rPr>
                <w:rFonts w:cs="Times New Roman"/>
                <w:szCs w:val="21"/>
              </w:rPr>
              <w:t>张家散户居民</w:t>
            </w:r>
          </w:p>
        </w:tc>
        <w:tc>
          <w:tcPr>
            <w:tcW w:w="873" w:type="dxa"/>
            <w:vAlign w:val="center"/>
          </w:tcPr>
          <w:p w14:paraId="3CF924EF"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557083.50</w:t>
            </w:r>
          </w:p>
        </w:tc>
        <w:tc>
          <w:tcPr>
            <w:tcW w:w="871" w:type="dxa"/>
            <w:vAlign w:val="center"/>
          </w:tcPr>
          <w:p w14:paraId="3D0AC9E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3556301.67</w:t>
            </w:r>
          </w:p>
        </w:tc>
        <w:tc>
          <w:tcPr>
            <w:tcW w:w="727" w:type="dxa"/>
            <w:shd w:val="clear" w:color="auto" w:fill="auto"/>
            <w:vAlign w:val="center"/>
          </w:tcPr>
          <w:p w14:paraId="61F07E07" w14:textId="77777777" w:rsidR="00544649" w:rsidRDefault="00000000">
            <w:pPr>
              <w:pStyle w:val="aff7"/>
              <w:adjustRightInd w:val="0"/>
              <w:snapToGrid w:val="0"/>
              <w:spacing w:before="62" w:after="62"/>
              <w:rPr>
                <w:rFonts w:cs="Times New Roman"/>
                <w:szCs w:val="21"/>
              </w:rPr>
            </w:pPr>
            <w:r>
              <w:rPr>
                <w:rFonts w:cs="Times New Roman"/>
                <w:szCs w:val="21"/>
              </w:rPr>
              <w:t>蛋鸡场南</w:t>
            </w:r>
          </w:p>
        </w:tc>
        <w:tc>
          <w:tcPr>
            <w:tcW w:w="875" w:type="dxa"/>
            <w:shd w:val="clear" w:color="auto" w:fill="auto"/>
            <w:vAlign w:val="center"/>
          </w:tcPr>
          <w:p w14:paraId="621FCDF3" w14:textId="77777777" w:rsidR="00544649" w:rsidRDefault="00000000">
            <w:pPr>
              <w:pStyle w:val="aff7"/>
              <w:adjustRightInd w:val="0"/>
              <w:snapToGrid w:val="0"/>
              <w:spacing w:before="62" w:after="62"/>
              <w:rPr>
                <w:rFonts w:cs="Times New Roman"/>
                <w:szCs w:val="21"/>
              </w:rPr>
            </w:pPr>
            <w:r>
              <w:rPr>
                <w:rFonts w:cs="Times New Roman"/>
                <w:szCs w:val="21"/>
              </w:rPr>
              <w:t>1600</w:t>
            </w:r>
          </w:p>
        </w:tc>
        <w:tc>
          <w:tcPr>
            <w:tcW w:w="873" w:type="dxa"/>
            <w:shd w:val="clear" w:color="auto" w:fill="auto"/>
            <w:vAlign w:val="center"/>
          </w:tcPr>
          <w:p w14:paraId="792CC355"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1625</w:t>
            </w:r>
          </w:p>
        </w:tc>
        <w:tc>
          <w:tcPr>
            <w:tcW w:w="871" w:type="dxa"/>
            <w:shd w:val="clear" w:color="auto" w:fill="auto"/>
            <w:vAlign w:val="center"/>
          </w:tcPr>
          <w:p w14:paraId="454E8ED6"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146</w:t>
            </w:r>
          </w:p>
        </w:tc>
        <w:tc>
          <w:tcPr>
            <w:tcW w:w="1163" w:type="dxa"/>
            <w:shd w:val="clear" w:color="auto" w:fill="auto"/>
            <w:vAlign w:val="center"/>
          </w:tcPr>
          <w:p w14:paraId="71CA846D"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11"/>
                <w:color w:val="auto"/>
                <w:sz w:val="21"/>
                <w:szCs w:val="21"/>
              </w:rPr>
              <w:t>20</w:t>
            </w:r>
            <w:r>
              <w:rPr>
                <w:rStyle w:val="font01"/>
                <w:rFonts w:ascii="Times New Roman" w:hAnsi="Times New Roman" w:cs="Times New Roman" w:hint="default"/>
                <w:color w:val="auto"/>
                <w:sz w:val="21"/>
                <w:szCs w:val="21"/>
              </w:rPr>
              <w:t>户，</w:t>
            </w:r>
            <w:r>
              <w:rPr>
                <w:rStyle w:val="font01"/>
                <w:rFonts w:ascii="Times New Roman" w:hAnsi="Times New Roman" w:cs="Times New Roman" w:hint="default"/>
                <w:color w:val="auto"/>
                <w:sz w:val="21"/>
                <w:szCs w:val="21"/>
              </w:rPr>
              <w:t>60</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01473DE4" w14:textId="77777777" w:rsidR="00544649" w:rsidRDefault="00544649">
            <w:pPr>
              <w:pStyle w:val="aff7"/>
              <w:adjustRightInd w:val="0"/>
              <w:snapToGrid w:val="0"/>
              <w:spacing w:before="62" w:after="62"/>
              <w:rPr>
                <w:rFonts w:cs="Times New Roman"/>
                <w:kern w:val="21"/>
                <w:szCs w:val="21"/>
              </w:rPr>
            </w:pPr>
          </w:p>
        </w:tc>
      </w:tr>
      <w:tr w:rsidR="00544649" w14:paraId="05CA10A4" w14:textId="77777777">
        <w:trPr>
          <w:trHeight w:val="90"/>
          <w:jc w:val="center"/>
        </w:trPr>
        <w:tc>
          <w:tcPr>
            <w:tcW w:w="473" w:type="dxa"/>
            <w:vMerge/>
            <w:shd w:val="clear" w:color="auto" w:fill="auto"/>
            <w:vAlign w:val="center"/>
          </w:tcPr>
          <w:p w14:paraId="0B811338"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71CB0FDD"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162C828B" w14:textId="77777777" w:rsidR="00544649" w:rsidRDefault="00000000">
            <w:pPr>
              <w:pStyle w:val="aff7"/>
              <w:adjustRightInd w:val="0"/>
              <w:snapToGrid w:val="0"/>
              <w:spacing w:before="62" w:after="62"/>
              <w:rPr>
                <w:rFonts w:cs="Times New Roman"/>
                <w:szCs w:val="21"/>
              </w:rPr>
            </w:pPr>
            <w:r>
              <w:rPr>
                <w:rFonts w:cs="Times New Roman"/>
                <w:szCs w:val="21"/>
              </w:rPr>
              <w:t>田家坝散户居民</w:t>
            </w:r>
          </w:p>
        </w:tc>
        <w:tc>
          <w:tcPr>
            <w:tcW w:w="873" w:type="dxa"/>
            <w:vAlign w:val="center"/>
          </w:tcPr>
          <w:p w14:paraId="4498C3EC"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555956.02</w:t>
            </w:r>
          </w:p>
        </w:tc>
        <w:tc>
          <w:tcPr>
            <w:tcW w:w="871" w:type="dxa"/>
            <w:vAlign w:val="center"/>
          </w:tcPr>
          <w:p w14:paraId="33A0FBC4"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3557572.60</w:t>
            </w:r>
          </w:p>
        </w:tc>
        <w:tc>
          <w:tcPr>
            <w:tcW w:w="727" w:type="dxa"/>
            <w:shd w:val="clear" w:color="auto" w:fill="auto"/>
            <w:vAlign w:val="center"/>
          </w:tcPr>
          <w:p w14:paraId="41E76F89" w14:textId="77777777" w:rsidR="00544649" w:rsidRDefault="00000000">
            <w:pPr>
              <w:pStyle w:val="aff7"/>
              <w:adjustRightInd w:val="0"/>
              <w:snapToGrid w:val="0"/>
              <w:spacing w:before="62" w:after="62"/>
              <w:rPr>
                <w:rFonts w:cs="Times New Roman"/>
                <w:szCs w:val="21"/>
              </w:rPr>
            </w:pPr>
            <w:r>
              <w:rPr>
                <w:rFonts w:cs="Times New Roman"/>
                <w:szCs w:val="21"/>
              </w:rPr>
              <w:t>蛋鸡场南</w:t>
            </w:r>
          </w:p>
        </w:tc>
        <w:tc>
          <w:tcPr>
            <w:tcW w:w="875" w:type="dxa"/>
            <w:shd w:val="clear" w:color="auto" w:fill="auto"/>
            <w:vAlign w:val="center"/>
          </w:tcPr>
          <w:p w14:paraId="66AEB2BC" w14:textId="77777777" w:rsidR="00544649" w:rsidRDefault="00000000">
            <w:pPr>
              <w:pStyle w:val="aff7"/>
              <w:adjustRightInd w:val="0"/>
              <w:snapToGrid w:val="0"/>
              <w:spacing w:before="62" w:after="62"/>
              <w:rPr>
                <w:rFonts w:cs="Times New Roman"/>
                <w:szCs w:val="21"/>
              </w:rPr>
            </w:pPr>
            <w:r>
              <w:rPr>
                <w:rFonts w:cs="Times New Roman"/>
                <w:szCs w:val="21"/>
              </w:rPr>
              <w:t>1950</w:t>
            </w:r>
          </w:p>
        </w:tc>
        <w:tc>
          <w:tcPr>
            <w:tcW w:w="873" w:type="dxa"/>
            <w:shd w:val="clear" w:color="auto" w:fill="auto"/>
            <w:vAlign w:val="center"/>
          </w:tcPr>
          <w:p w14:paraId="570BB993"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1970</w:t>
            </w:r>
          </w:p>
        </w:tc>
        <w:tc>
          <w:tcPr>
            <w:tcW w:w="871" w:type="dxa"/>
            <w:shd w:val="clear" w:color="auto" w:fill="auto"/>
            <w:vAlign w:val="center"/>
          </w:tcPr>
          <w:p w14:paraId="77DB3017" w14:textId="77777777" w:rsidR="00544649" w:rsidRDefault="00000000">
            <w:pPr>
              <w:pStyle w:val="aff3"/>
              <w:spacing w:before="62" w:after="62" w:line="240" w:lineRule="auto"/>
              <w:rPr>
                <w:rFonts w:cs="Times New Roman"/>
                <w:kern w:val="21"/>
                <w:szCs w:val="21"/>
              </w:rPr>
            </w:pPr>
            <w:r>
              <w:rPr>
                <w:rFonts w:cs="Times New Roman"/>
                <w:kern w:val="21"/>
                <w:szCs w:val="21"/>
              </w:rPr>
              <w:t>-1</w:t>
            </w:r>
            <w:r>
              <w:rPr>
                <w:rFonts w:cs="Times New Roman" w:hint="eastAsia"/>
                <w:kern w:val="21"/>
                <w:szCs w:val="21"/>
              </w:rPr>
              <w:t>61</w:t>
            </w:r>
          </w:p>
        </w:tc>
        <w:tc>
          <w:tcPr>
            <w:tcW w:w="1163" w:type="dxa"/>
            <w:shd w:val="clear" w:color="auto" w:fill="auto"/>
            <w:vAlign w:val="center"/>
          </w:tcPr>
          <w:p w14:paraId="2ED0CD94"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11"/>
                <w:color w:val="auto"/>
                <w:sz w:val="21"/>
                <w:szCs w:val="21"/>
              </w:rPr>
              <w:t>20</w:t>
            </w:r>
            <w:r>
              <w:rPr>
                <w:rStyle w:val="font01"/>
                <w:rFonts w:ascii="Times New Roman" w:hAnsi="Times New Roman" w:cs="Times New Roman" w:hint="default"/>
                <w:color w:val="auto"/>
                <w:sz w:val="21"/>
                <w:szCs w:val="21"/>
              </w:rPr>
              <w:t>户，</w:t>
            </w:r>
            <w:r>
              <w:rPr>
                <w:rStyle w:val="font01"/>
                <w:rFonts w:ascii="Times New Roman" w:hAnsi="Times New Roman" w:cs="Times New Roman" w:hint="default"/>
                <w:color w:val="auto"/>
                <w:sz w:val="21"/>
                <w:szCs w:val="21"/>
              </w:rPr>
              <w:t>60</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1B6B7DE9" w14:textId="77777777" w:rsidR="00544649" w:rsidRDefault="00544649">
            <w:pPr>
              <w:pStyle w:val="aff7"/>
              <w:adjustRightInd w:val="0"/>
              <w:snapToGrid w:val="0"/>
              <w:spacing w:before="62" w:after="62"/>
              <w:rPr>
                <w:rFonts w:cs="Times New Roman"/>
                <w:kern w:val="21"/>
                <w:szCs w:val="21"/>
              </w:rPr>
            </w:pPr>
          </w:p>
        </w:tc>
      </w:tr>
      <w:tr w:rsidR="00544649" w14:paraId="124CF14E" w14:textId="77777777">
        <w:trPr>
          <w:trHeight w:val="90"/>
          <w:jc w:val="center"/>
        </w:trPr>
        <w:tc>
          <w:tcPr>
            <w:tcW w:w="473" w:type="dxa"/>
            <w:vMerge/>
            <w:shd w:val="clear" w:color="auto" w:fill="auto"/>
            <w:vAlign w:val="center"/>
          </w:tcPr>
          <w:p w14:paraId="33ED1183"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28C58F54"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3E1860F5" w14:textId="77777777" w:rsidR="00544649" w:rsidRDefault="00000000">
            <w:pPr>
              <w:pStyle w:val="aff7"/>
              <w:adjustRightInd w:val="0"/>
              <w:snapToGrid w:val="0"/>
              <w:spacing w:before="62" w:after="62"/>
              <w:rPr>
                <w:rFonts w:cs="Times New Roman"/>
                <w:szCs w:val="21"/>
              </w:rPr>
            </w:pPr>
            <w:r>
              <w:rPr>
                <w:rFonts w:cs="Times New Roman"/>
                <w:szCs w:val="21"/>
              </w:rPr>
              <w:t>双木树散户居民</w:t>
            </w:r>
          </w:p>
        </w:tc>
        <w:tc>
          <w:tcPr>
            <w:tcW w:w="873" w:type="dxa"/>
            <w:vAlign w:val="center"/>
          </w:tcPr>
          <w:p w14:paraId="484C6FDE"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555420.58</w:t>
            </w:r>
          </w:p>
        </w:tc>
        <w:tc>
          <w:tcPr>
            <w:tcW w:w="871" w:type="dxa"/>
            <w:vAlign w:val="center"/>
          </w:tcPr>
          <w:p w14:paraId="376C81D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3558552.36</w:t>
            </w:r>
          </w:p>
        </w:tc>
        <w:tc>
          <w:tcPr>
            <w:tcW w:w="727" w:type="dxa"/>
            <w:shd w:val="clear" w:color="auto" w:fill="auto"/>
            <w:vAlign w:val="center"/>
          </w:tcPr>
          <w:p w14:paraId="58BD3DE3" w14:textId="77777777" w:rsidR="00544649" w:rsidRDefault="00000000">
            <w:pPr>
              <w:pStyle w:val="aff7"/>
              <w:adjustRightInd w:val="0"/>
              <w:snapToGrid w:val="0"/>
              <w:spacing w:before="62" w:after="62"/>
              <w:rPr>
                <w:rFonts w:cs="Times New Roman"/>
                <w:szCs w:val="21"/>
              </w:rPr>
            </w:pPr>
            <w:r>
              <w:rPr>
                <w:rFonts w:cs="Times New Roman"/>
                <w:szCs w:val="21"/>
              </w:rPr>
              <w:t>蛋鸡场西南</w:t>
            </w:r>
          </w:p>
        </w:tc>
        <w:tc>
          <w:tcPr>
            <w:tcW w:w="875" w:type="dxa"/>
            <w:shd w:val="clear" w:color="auto" w:fill="auto"/>
            <w:vAlign w:val="center"/>
          </w:tcPr>
          <w:p w14:paraId="6EFC1D2E" w14:textId="77777777" w:rsidR="00544649" w:rsidRDefault="00000000">
            <w:pPr>
              <w:pStyle w:val="aff7"/>
              <w:adjustRightInd w:val="0"/>
              <w:snapToGrid w:val="0"/>
              <w:spacing w:before="62" w:after="62"/>
              <w:rPr>
                <w:rFonts w:cs="Times New Roman"/>
                <w:szCs w:val="21"/>
              </w:rPr>
            </w:pPr>
            <w:r>
              <w:rPr>
                <w:rFonts w:cs="Times New Roman"/>
                <w:szCs w:val="21"/>
              </w:rPr>
              <w:t>1100</w:t>
            </w:r>
          </w:p>
        </w:tc>
        <w:tc>
          <w:tcPr>
            <w:tcW w:w="873" w:type="dxa"/>
            <w:shd w:val="clear" w:color="auto" w:fill="auto"/>
            <w:vAlign w:val="center"/>
          </w:tcPr>
          <w:p w14:paraId="58F8673E"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1160</w:t>
            </w:r>
          </w:p>
        </w:tc>
        <w:tc>
          <w:tcPr>
            <w:tcW w:w="871" w:type="dxa"/>
            <w:shd w:val="clear" w:color="auto" w:fill="auto"/>
            <w:vAlign w:val="center"/>
          </w:tcPr>
          <w:p w14:paraId="4C9DA757"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104</w:t>
            </w:r>
          </w:p>
        </w:tc>
        <w:tc>
          <w:tcPr>
            <w:tcW w:w="1163" w:type="dxa"/>
            <w:shd w:val="clear" w:color="auto" w:fill="auto"/>
            <w:vAlign w:val="center"/>
          </w:tcPr>
          <w:p w14:paraId="57298B12"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11"/>
                <w:color w:val="auto"/>
                <w:sz w:val="21"/>
                <w:szCs w:val="21"/>
              </w:rPr>
              <w:t>25</w:t>
            </w:r>
            <w:r>
              <w:rPr>
                <w:rStyle w:val="font01"/>
                <w:rFonts w:ascii="Times New Roman" w:hAnsi="Times New Roman" w:cs="Times New Roman" w:hint="default"/>
                <w:color w:val="auto"/>
                <w:sz w:val="21"/>
                <w:szCs w:val="21"/>
              </w:rPr>
              <w:t>户，</w:t>
            </w:r>
            <w:r>
              <w:rPr>
                <w:rStyle w:val="font11"/>
                <w:color w:val="auto"/>
                <w:sz w:val="21"/>
                <w:szCs w:val="21"/>
              </w:rPr>
              <w:t>75</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6FC922E7" w14:textId="77777777" w:rsidR="00544649" w:rsidRDefault="00544649">
            <w:pPr>
              <w:pStyle w:val="aff7"/>
              <w:adjustRightInd w:val="0"/>
              <w:snapToGrid w:val="0"/>
              <w:spacing w:before="62" w:after="62"/>
              <w:rPr>
                <w:rFonts w:cs="Times New Roman"/>
                <w:kern w:val="21"/>
                <w:szCs w:val="21"/>
              </w:rPr>
            </w:pPr>
          </w:p>
        </w:tc>
      </w:tr>
      <w:tr w:rsidR="00544649" w14:paraId="2283FF5F" w14:textId="77777777">
        <w:trPr>
          <w:trHeight w:val="90"/>
          <w:jc w:val="center"/>
        </w:trPr>
        <w:tc>
          <w:tcPr>
            <w:tcW w:w="473" w:type="dxa"/>
            <w:vMerge/>
            <w:shd w:val="clear" w:color="auto" w:fill="auto"/>
            <w:vAlign w:val="center"/>
          </w:tcPr>
          <w:p w14:paraId="2CD1FAB4"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0E8B9C2B"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1CF2C9C2" w14:textId="77777777" w:rsidR="00544649" w:rsidRDefault="00000000">
            <w:pPr>
              <w:pStyle w:val="aff7"/>
              <w:adjustRightInd w:val="0"/>
              <w:snapToGrid w:val="0"/>
              <w:spacing w:before="62" w:after="62"/>
              <w:rPr>
                <w:rFonts w:cs="Times New Roman"/>
                <w:szCs w:val="21"/>
              </w:rPr>
            </w:pPr>
            <w:r>
              <w:rPr>
                <w:rFonts w:cs="Times New Roman"/>
                <w:szCs w:val="21"/>
              </w:rPr>
              <w:t>魏家角散户居民</w:t>
            </w:r>
          </w:p>
        </w:tc>
        <w:tc>
          <w:tcPr>
            <w:tcW w:w="873" w:type="dxa"/>
            <w:vAlign w:val="center"/>
          </w:tcPr>
          <w:p w14:paraId="2932CA6E"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555326.16</w:t>
            </w:r>
          </w:p>
        </w:tc>
        <w:tc>
          <w:tcPr>
            <w:tcW w:w="871" w:type="dxa"/>
            <w:vAlign w:val="center"/>
          </w:tcPr>
          <w:p w14:paraId="1C8CA53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3559166.06</w:t>
            </w:r>
          </w:p>
        </w:tc>
        <w:tc>
          <w:tcPr>
            <w:tcW w:w="727" w:type="dxa"/>
            <w:shd w:val="clear" w:color="auto" w:fill="auto"/>
            <w:vAlign w:val="center"/>
          </w:tcPr>
          <w:p w14:paraId="5AAB2537"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蛋鸡场西</w:t>
            </w:r>
            <w:proofErr w:type="gramEnd"/>
          </w:p>
        </w:tc>
        <w:tc>
          <w:tcPr>
            <w:tcW w:w="875" w:type="dxa"/>
            <w:shd w:val="clear" w:color="auto" w:fill="auto"/>
            <w:vAlign w:val="center"/>
          </w:tcPr>
          <w:p w14:paraId="72BFA0F2" w14:textId="77777777" w:rsidR="00544649" w:rsidRDefault="00000000">
            <w:pPr>
              <w:pStyle w:val="aff7"/>
              <w:adjustRightInd w:val="0"/>
              <w:snapToGrid w:val="0"/>
              <w:spacing w:before="62" w:after="62"/>
              <w:rPr>
                <w:rFonts w:cs="Times New Roman"/>
                <w:szCs w:val="21"/>
              </w:rPr>
            </w:pPr>
            <w:r>
              <w:rPr>
                <w:rFonts w:cs="Times New Roman"/>
                <w:szCs w:val="21"/>
              </w:rPr>
              <w:t>1700</w:t>
            </w:r>
          </w:p>
        </w:tc>
        <w:tc>
          <w:tcPr>
            <w:tcW w:w="873" w:type="dxa"/>
            <w:shd w:val="clear" w:color="auto" w:fill="auto"/>
            <w:vAlign w:val="center"/>
          </w:tcPr>
          <w:p w14:paraId="3C8E4852"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1710</w:t>
            </w:r>
          </w:p>
        </w:tc>
        <w:tc>
          <w:tcPr>
            <w:tcW w:w="871" w:type="dxa"/>
            <w:shd w:val="clear" w:color="auto" w:fill="auto"/>
            <w:vAlign w:val="center"/>
          </w:tcPr>
          <w:p w14:paraId="3979348D"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15</w:t>
            </w:r>
          </w:p>
        </w:tc>
        <w:tc>
          <w:tcPr>
            <w:tcW w:w="1163" w:type="dxa"/>
            <w:shd w:val="clear" w:color="auto" w:fill="auto"/>
            <w:vAlign w:val="center"/>
          </w:tcPr>
          <w:p w14:paraId="79E1D8FD"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41"/>
                <w:color w:val="auto"/>
                <w:sz w:val="21"/>
                <w:szCs w:val="21"/>
              </w:rPr>
              <w:t>15</w:t>
            </w:r>
            <w:r>
              <w:rPr>
                <w:rStyle w:val="font01"/>
                <w:rFonts w:ascii="Times New Roman" w:hAnsi="Times New Roman" w:cs="Times New Roman" w:hint="default"/>
                <w:color w:val="auto"/>
                <w:sz w:val="21"/>
                <w:szCs w:val="21"/>
              </w:rPr>
              <w:t>户，</w:t>
            </w:r>
            <w:r>
              <w:rPr>
                <w:rStyle w:val="font41"/>
                <w:color w:val="auto"/>
                <w:sz w:val="21"/>
                <w:szCs w:val="21"/>
              </w:rPr>
              <w:t>45</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684E64F5" w14:textId="77777777" w:rsidR="00544649" w:rsidRDefault="00544649">
            <w:pPr>
              <w:pStyle w:val="aff7"/>
              <w:adjustRightInd w:val="0"/>
              <w:snapToGrid w:val="0"/>
              <w:spacing w:before="62" w:after="62"/>
              <w:rPr>
                <w:rFonts w:cs="Times New Roman"/>
                <w:kern w:val="21"/>
                <w:szCs w:val="21"/>
              </w:rPr>
            </w:pPr>
          </w:p>
        </w:tc>
      </w:tr>
      <w:tr w:rsidR="00544649" w14:paraId="68F222CD" w14:textId="77777777">
        <w:trPr>
          <w:trHeight w:val="90"/>
          <w:jc w:val="center"/>
        </w:trPr>
        <w:tc>
          <w:tcPr>
            <w:tcW w:w="473" w:type="dxa"/>
            <w:vMerge/>
            <w:shd w:val="clear" w:color="auto" w:fill="auto"/>
            <w:vAlign w:val="center"/>
          </w:tcPr>
          <w:p w14:paraId="3CE8965C"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41DD1FC3"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5B185B99" w14:textId="77777777" w:rsidR="00544649" w:rsidRDefault="00000000">
            <w:pPr>
              <w:pStyle w:val="aff7"/>
              <w:adjustRightInd w:val="0"/>
              <w:snapToGrid w:val="0"/>
              <w:spacing w:before="62" w:after="62"/>
              <w:rPr>
                <w:rFonts w:cs="Times New Roman"/>
                <w:szCs w:val="21"/>
              </w:rPr>
            </w:pPr>
            <w:r>
              <w:rPr>
                <w:rFonts w:cs="Times New Roman"/>
                <w:szCs w:val="21"/>
              </w:rPr>
              <w:t>双鱼村散户居民</w:t>
            </w:r>
          </w:p>
        </w:tc>
        <w:tc>
          <w:tcPr>
            <w:tcW w:w="873" w:type="dxa"/>
            <w:vAlign w:val="center"/>
          </w:tcPr>
          <w:p w14:paraId="507EDBAA"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556426.96</w:t>
            </w:r>
          </w:p>
        </w:tc>
        <w:tc>
          <w:tcPr>
            <w:tcW w:w="871" w:type="dxa"/>
            <w:vAlign w:val="center"/>
          </w:tcPr>
          <w:p w14:paraId="2DBDF5DB"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3558707.18</w:t>
            </w:r>
          </w:p>
        </w:tc>
        <w:tc>
          <w:tcPr>
            <w:tcW w:w="727" w:type="dxa"/>
            <w:shd w:val="clear" w:color="auto" w:fill="auto"/>
            <w:vAlign w:val="center"/>
          </w:tcPr>
          <w:p w14:paraId="6B8D9804"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蛋鸡场西</w:t>
            </w:r>
            <w:proofErr w:type="gramEnd"/>
          </w:p>
        </w:tc>
        <w:tc>
          <w:tcPr>
            <w:tcW w:w="875" w:type="dxa"/>
            <w:shd w:val="clear" w:color="auto" w:fill="auto"/>
            <w:vAlign w:val="center"/>
          </w:tcPr>
          <w:p w14:paraId="320DB9E8" w14:textId="77777777" w:rsidR="00544649" w:rsidRDefault="00000000">
            <w:pPr>
              <w:pStyle w:val="aff7"/>
              <w:adjustRightInd w:val="0"/>
              <w:snapToGrid w:val="0"/>
              <w:spacing w:before="62" w:after="62"/>
              <w:rPr>
                <w:rFonts w:cs="Times New Roman"/>
                <w:szCs w:val="21"/>
              </w:rPr>
            </w:pPr>
            <w:r>
              <w:rPr>
                <w:rFonts w:cs="Times New Roman"/>
                <w:szCs w:val="21"/>
              </w:rPr>
              <w:t>2000</w:t>
            </w:r>
          </w:p>
        </w:tc>
        <w:tc>
          <w:tcPr>
            <w:tcW w:w="873" w:type="dxa"/>
            <w:shd w:val="clear" w:color="auto" w:fill="auto"/>
            <w:vAlign w:val="center"/>
          </w:tcPr>
          <w:p w14:paraId="53A1B4D9"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2030</w:t>
            </w:r>
          </w:p>
        </w:tc>
        <w:tc>
          <w:tcPr>
            <w:tcW w:w="871" w:type="dxa"/>
            <w:shd w:val="clear" w:color="auto" w:fill="auto"/>
            <w:vAlign w:val="center"/>
          </w:tcPr>
          <w:p w14:paraId="7DA3D22E" w14:textId="77777777" w:rsidR="00544649" w:rsidRDefault="00000000">
            <w:pPr>
              <w:pStyle w:val="aff3"/>
              <w:spacing w:before="62" w:after="62" w:line="240" w:lineRule="auto"/>
              <w:rPr>
                <w:rFonts w:cs="Times New Roman"/>
                <w:kern w:val="21"/>
                <w:szCs w:val="21"/>
              </w:rPr>
            </w:pPr>
            <w:r>
              <w:rPr>
                <w:rFonts w:cs="Times New Roman" w:hint="eastAsia"/>
                <w:kern w:val="21"/>
                <w:szCs w:val="21"/>
              </w:rPr>
              <w:t>+56</w:t>
            </w:r>
          </w:p>
        </w:tc>
        <w:tc>
          <w:tcPr>
            <w:tcW w:w="1163" w:type="dxa"/>
            <w:shd w:val="clear" w:color="auto" w:fill="auto"/>
            <w:vAlign w:val="center"/>
          </w:tcPr>
          <w:p w14:paraId="10C31764"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41"/>
                <w:color w:val="auto"/>
                <w:sz w:val="21"/>
                <w:szCs w:val="21"/>
              </w:rPr>
              <w:t>35</w:t>
            </w:r>
            <w:r>
              <w:rPr>
                <w:rStyle w:val="font01"/>
                <w:rFonts w:ascii="Times New Roman" w:hAnsi="Times New Roman" w:cs="Times New Roman" w:hint="default"/>
                <w:color w:val="auto"/>
                <w:sz w:val="21"/>
                <w:szCs w:val="21"/>
              </w:rPr>
              <w:t>户，</w:t>
            </w:r>
            <w:r>
              <w:rPr>
                <w:rStyle w:val="font41"/>
                <w:color w:val="auto"/>
                <w:sz w:val="21"/>
                <w:szCs w:val="21"/>
              </w:rPr>
              <w:t>105</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2765015D" w14:textId="77777777" w:rsidR="00544649" w:rsidRDefault="00544649">
            <w:pPr>
              <w:pStyle w:val="aff7"/>
              <w:adjustRightInd w:val="0"/>
              <w:snapToGrid w:val="0"/>
              <w:spacing w:before="62" w:after="62"/>
              <w:rPr>
                <w:rFonts w:cs="Times New Roman"/>
                <w:kern w:val="21"/>
                <w:szCs w:val="21"/>
              </w:rPr>
            </w:pPr>
          </w:p>
        </w:tc>
      </w:tr>
      <w:tr w:rsidR="00544649" w14:paraId="6BD3F1BD" w14:textId="77777777">
        <w:trPr>
          <w:trHeight w:val="90"/>
          <w:jc w:val="center"/>
        </w:trPr>
        <w:tc>
          <w:tcPr>
            <w:tcW w:w="473" w:type="dxa"/>
            <w:vMerge/>
            <w:shd w:val="clear" w:color="auto" w:fill="auto"/>
            <w:vAlign w:val="center"/>
          </w:tcPr>
          <w:p w14:paraId="2C2E0065"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7BD1E812"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3EC10262" w14:textId="77777777" w:rsidR="00544649" w:rsidRDefault="00000000">
            <w:pPr>
              <w:pStyle w:val="aff7"/>
              <w:adjustRightInd w:val="0"/>
              <w:snapToGrid w:val="0"/>
              <w:spacing w:before="62" w:after="62"/>
              <w:rPr>
                <w:rFonts w:cs="Times New Roman"/>
                <w:szCs w:val="21"/>
              </w:rPr>
            </w:pPr>
            <w:r>
              <w:rPr>
                <w:rFonts w:cs="Times New Roman"/>
                <w:szCs w:val="21"/>
              </w:rPr>
              <w:t>剑华村散户居民</w:t>
            </w:r>
          </w:p>
        </w:tc>
        <w:tc>
          <w:tcPr>
            <w:tcW w:w="873" w:type="dxa"/>
            <w:vAlign w:val="center"/>
          </w:tcPr>
          <w:p w14:paraId="0D854F9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557187.71</w:t>
            </w:r>
          </w:p>
        </w:tc>
        <w:tc>
          <w:tcPr>
            <w:tcW w:w="871" w:type="dxa"/>
            <w:vAlign w:val="center"/>
          </w:tcPr>
          <w:p w14:paraId="4E4AC2C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3558952.93</w:t>
            </w:r>
          </w:p>
        </w:tc>
        <w:tc>
          <w:tcPr>
            <w:tcW w:w="727" w:type="dxa"/>
            <w:shd w:val="clear" w:color="auto" w:fill="auto"/>
            <w:vAlign w:val="center"/>
          </w:tcPr>
          <w:p w14:paraId="251EEFE3"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蛋鸡场西</w:t>
            </w:r>
            <w:proofErr w:type="gramEnd"/>
          </w:p>
        </w:tc>
        <w:tc>
          <w:tcPr>
            <w:tcW w:w="875" w:type="dxa"/>
            <w:shd w:val="clear" w:color="auto" w:fill="auto"/>
            <w:vAlign w:val="center"/>
          </w:tcPr>
          <w:p w14:paraId="2EE595A8" w14:textId="77777777" w:rsidR="00544649" w:rsidRDefault="00000000">
            <w:pPr>
              <w:pStyle w:val="aff7"/>
              <w:adjustRightInd w:val="0"/>
              <w:snapToGrid w:val="0"/>
              <w:spacing w:before="62" w:after="62"/>
              <w:rPr>
                <w:rFonts w:cs="Times New Roman"/>
                <w:szCs w:val="21"/>
              </w:rPr>
            </w:pPr>
            <w:r>
              <w:rPr>
                <w:rFonts w:cs="Times New Roman"/>
                <w:szCs w:val="21"/>
              </w:rPr>
              <w:t>1000</w:t>
            </w:r>
          </w:p>
        </w:tc>
        <w:tc>
          <w:tcPr>
            <w:tcW w:w="873" w:type="dxa"/>
            <w:shd w:val="clear" w:color="auto" w:fill="auto"/>
            <w:vAlign w:val="center"/>
          </w:tcPr>
          <w:p w14:paraId="38AB1EBB"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1060</w:t>
            </w:r>
          </w:p>
        </w:tc>
        <w:tc>
          <w:tcPr>
            <w:tcW w:w="871" w:type="dxa"/>
            <w:shd w:val="clear" w:color="auto" w:fill="auto"/>
            <w:vAlign w:val="center"/>
          </w:tcPr>
          <w:p w14:paraId="17C6B777"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64</w:t>
            </w:r>
          </w:p>
        </w:tc>
        <w:tc>
          <w:tcPr>
            <w:tcW w:w="1163" w:type="dxa"/>
            <w:shd w:val="clear" w:color="auto" w:fill="auto"/>
            <w:vAlign w:val="center"/>
          </w:tcPr>
          <w:p w14:paraId="3D79074E"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11"/>
                <w:color w:val="auto"/>
                <w:sz w:val="21"/>
                <w:szCs w:val="21"/>
              </w:rPr>
              <w:t>20</w:t>
            </w:r>
            <w:r>
              <w:rPr>
                <w:rStyle w:val="font01"/>
                <w:rFonts w:ascii="Times New Roman" w:hAnsi="Times New Roman" w:cs="Times New Roman" w:hint="default"/>
                <w:color w:val="auto"/>
                <w:sz w:val="21"/>
                <w:szCs w:val="21"/>
              </w:rPr>
              <w:t>户，</w:t>
            </w:r>
            <w:r>
              <w:rPr>
                <w:rStyle w:val="font01"/>
                <w:rFonts w:ascii="Times New Roman" w:hAnsi="Times New Roman" w:cs="Times New Roman" w:hint="default"/>
                <w:color w:val="auto"/>
                <w:sz w:val="21"/>
                <w:szCs w:val="21"/>
              </w:rPr>
              <w:t>60</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671A0237" w14:textId="77777777" w:rsidR="00544649" w:rsidRDefault="00544649">
            <w:pPr>
              <w:pStyle w:val="aff7"/>
              <w:adjustRightInd w:val="0"/>
              <w:snapToGrid w:val="0"/>
              <w:spacing w:before="62" w:after="62"/>
              <w:rPr>
                <w:rFonts w:cs="Times New Roman"/>
                <w:kern w:val="21"/>
                <w:szCs w:val="21"/>
              </w:rPr>
            </w:pPr>
          </w:p>
        </w:tc>
      </w:tr>
      <w:tr w:rsidR="00544649" w14:paraId="33470E11" w14:textId="77777777">
        <w:trPr>
          <w:trHeight w:val="90"/>
          <w:jc w:val="center"/>
        </w:trPr>
        <w:tc>
          <w:tcPr>
            <w:tcW w:w="473" w:type="dxa"/>
            <w:vMerge/>
            <w:shd w:val="clear" w:color="auto" w:fill="auto"/>
            <w:vAlign w:val="center"/>
          </w:tcPr>
          <w:p w14:paraId="3CEDBFDE"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07E68A2F"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324FDB15" w14:textId="77777777" w:rsidR="00544649" w:rsidRDefault="00000000">
            <w:pPr>
              <w:pStyle w:val="aff7"/>
              <w:adjustRightInd w:val="0"/>
              <w:snapToGrid w:val="0"/>
              <w:spacing w:before="62" w:after="62"/>
              <w:rPr>
                <w:rFonts w:cs="Times New Roman"/>
                <w:szCs w:val="21"/>
              </w:rPr>
            </w:pPr>
            <w:proofErr w:type="gramStart"/>
            <w:r>
              <w:rPr>
                <w:rFonts w:cs="Times New Roman"/>
                <w:szCs w:val="21"/>
              </w:rPr>
              <w:t>蹇</w:t>
            </w:r>
            <w:proofErr w:type="gramEnd"/>
            <w:r>
              <w:rPr>
                <w:rFonts w:cs="Times New Roman"/>
                <w:szCs w:val="21"/>
              </w:rPr>
              <w:t>家湾散户居民</w:t>
            </w:r>
          </w:p>
        </w:tc>
        <w:tc>
          <w:tcPr>
            <w:tcW w:w="873" w:type="dxa"/>
            <w:vAlign w:val="center"/>
          </w:tcPr>
          <w:p w14:paraId="3C947C5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559270.97</w:t>
            </w:r>
          </w:p>
        </w:tc>
        <w:tc>
          <w:tcPr>
            <w:tcW w:w="871" w:type="dxa"/>
            <w:vAlign w:val="center"/>
          </w:tcPr>
          <w:p w14:paraId="2772C290"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3558193.54</w:t>
            </w:r>
          </w:p>
        </w:tc>
        <w:tc>
          <w:tcPr>
            <w:tcW w:w="727" w:type="dxa"/>
            <w:shd w:val="clear" w:color="auto" w:fill="auto"/>
            <w:vAlign w:val="center"/>
          </w:tcPr>
          <w:p w14:paraId="789EE78D" w14:textId="77777777" w:rsidR="00544649" w:rsidRDefault="00000000">
            <w:pPr>
              <w:pStyle w:val="aff7"/>
              <w:adjustRightInd w:val="0"/>
              <w:snapToGrid w:val="0"/>
              <w:spacing w:before="62" w:after="62"/>
              <w:rPr>
                <w:rFonts w:cs="Times New Roman"/>
                <w:szCs w:val="21"/>
              </w:rPr>
            </w:pPr>
            <w:r>
              <w:rPr>
                <w:rFonts w:cs="Times New Roman"/>
                <w:szCs w:val="21"/>
              </w:rPr>
              <w:t>蛋鸡场西北</w:t>
            </w:r>
          </w:p>
        </w:tc>
        <w:tc>
          <w:tcPr>
            <w:tcW w:w="875" w:type="dxa"/>
            <w:shd w:val="clear" w:color="auto" w:fill="auto"/>
            <w:vAlign w:val="center"/>
          </w:tcPr>
          <w:p w14:paraId="0325F2E1" w14:textId="77777777" w:rsidR="00544649" w:rsidRDefault="00000000">
            <w:pPr>
              <w:pStyle w:val="aff7"/>
              <w:adjustRightInd w:val="0"/>
              <w:snapToGrid w:val="0"/>
              <w:spacing w:before="62" w:after="62"/>
              <w:rPr>
                <w:rFonts w:cs="Times New Roman"/>
                <w:szCs w:val="21"/>
              </w:rPr>
            </w:pPr>
            <w:r>
              <w:rPr>
                <w:rFonts w:cs="Times New Roman"/>
                <w:szCs w:val="21"/>
              </w:rPr>
              <w:t>330</w:t>
            </w:r>
          </w:p>
        </w:tc>
        <w:tc>
          <w:tcPr>
            <w:tcW w:w="873" w:type="dxa"/>
            <w:shd w:val="clear" w:color="auto" w:fill="auto"/>
            <w:vAlign w:val="center"/>
          </w:tcPr>
          <w:p w14:paraId="61E34F85"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340</w:t>
            </w:r>
          </w:p>
        </w:tc>
        <w:tc>
          <w:tcPr>
            <w:tcW w:w="871" w:type="dxa"/>
            <w:shd w:val="clear" w:color="auto" w:fill="auto"/>
            <w:vAlign w:val="center"/>
          </w:tcPr>
          <w:p w14:paraId="686E7A7B"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63</w:t>
            </w:r>
          </w:p>
        </w:tc>
        <w:tc>
          <w:tcPr>
            <w:tcW w:w="1163" w:type="dxa"/>
            <w:shd w:val="clear" w:color="auto" w:fill="auto"/>
            <w:vAlign w:val="center"/>
          </w:tcPr>
          <w:p w14:paraId="715DB75E"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11"/>
                <w:color w:val="auto"/>
                <w:sz w:val="21"/>
                <w:szCs w:val="21"/>
              </w:rPr>
              <w:t>25</w:t>
            </w:r>
            <w:r>
              <w:rPr>
                <w:rStyle w:val="font01"/>
                <w:rFonts w:ascii="Times New Roman" w:hAnsi="Times New Roman" w:cs="Times New Roman" w:hint="default"/>
                <w:color w:val="auto"/>
                <w:sz w:val="21"/>
                <w:szCs w:val="21"/>
              </w:rPr>
              <w:t>户，</w:t>
            </w:r>
            <w:r>
              <w:rPr>
                <w:rStyle w:val="font11"/>
                <w:color w:val="auto"/>
                <w:sz w:val="21"/>
                <w:szCs w:val="21"/>
              </w:rPr>
              <w:t>75</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33508690" w14:textId="77777777" w:rsidR="00544649" w:rsidRDefault="00544649">
            <w:pPr>
              <w:pStyle w:val="aff7"/>
              <w:adjustRightInd w:val="0"/>
              <w:snapToGrid w:val="0"/>
              <w:spacing w:before="62" w:after="62"/>
              <w:rPr>
                <w:rFonts w:cs="Times New Roman"/>
                <w:kern w:val="21"/>
                <w:szCs w:val="21"/>
              </w:rPr>
            </w:pPr>
          </w:p>
        </w:tc>
      </w:tr>
      <w:tr w:rsidR="00544649" w14:paraId="49ABA2ED" w14:textId="77777777">
        <w:trPr>
          <w:trHeight w:val="90"/>
          <w:jc w:val="center"/>
        </w:trPr>
        <w:tc>
          <w:tcPr>
            <w:tcW w:w="473" w:type="dxa"/>
            <w:vMerge/>
            <w:shd w:val="clear" w:color="auto" w:fill="auto"/>
            <w:vAlign w:val="center"/>
          </w:tcPr>
          <w:p w14:paraId="47F36E27"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60D5AF0C" w14:textId="77777777" w:rsidR="00544649" w:rsidRDefault="00544649">
            <w:pPr>
              <w:pStyle w:val="aff7"/>
              <w:adjustRightInd w:val="0"/>
              <w:snapToGrid w:val="0"/>
              <w:spacing w:before="62" w:after="62"/>
              <w:rPr>
                <w:rFonts w:cs="Times New Roman"/>
                <w:szCs w:val="21"/>
              </w:rPr>
            </w:pPr>
          </w:p>
        </w:tc>
        <w:tc>
          <w:tcPr>
            <w:tcW w:w="723" w:type="dxa"/>
            <w:shd w:val="clear" w:color="auto" w:fill="auto"/>
            <w:vAlign w:val="center"/>
          </w:tcPr>
          <w:p w14:paraId="00A95A3F" w14:textId="77777777" w:rsidR="00544649" w:rsidRDefault="00000000">
            <w:pPr>
              <w:pStyle w:val="aff7"/>
              <w:adjustRightInd w:val="0"/>
              <w:snapToGrid w:val="0"/>
              <w:spacing w:before="62" w:after="62"/>
              <w:rPr>
                <w:rFonts w:cs="Times New Roman"/>
                <w:szCs w:val="21"/>
              </w:rPr>
            </w:pPr>
            <w:r>
              <w:rPr>
                <w:rFonts w:cs="Times New Roman"/>
                <w:szCs w:val="21"/>
              </w:rPr>
              <w:t>长石小学</w:t>
            </w:r>
          </w:p>
        </w:tc>
        <w:tc>
          <w:tcPr>
            <w:tcW w:w="873" w:type="dxa"/>
            <w:vAlign w:val="center"/>
          </w:tcPr>
          <w:p w14:paraId="7BF7D22A"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557334.74</w:t>
            </w:r>
          </w:p>
        </w:tc>
        <w:tc>
          <w:tcPr>
            <w:tcW w:w="871" w:type="dxa"/>
            <w:vAlign w:val="center"/>
          </w:tcPr>
          <w:p w14:paraId="6D4686B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3558687.84</w:t>
            </w:r>
          </w:p>
        </w:tc>
        <w:tc>
          <w:tcPr>
            <w:tcW w:w="727" w:type="dxa"/>
            <w:shd w:val="clear" w:color="auto" w:fill="auto"/>
            <w:vAlign w:val="center"/>
          </w:tcPr>
          <w:p w14:paraId="45AA668E" w14:textId="77777777" w:rsidR="00544649" w:rsidRDefault="00000000">
            <w:pPr>
              <w:pStyle w:val="aff7"/>
              <w:adjustRightInd w:val="0"/>
              <w:snapToGrid w:val="0"/>
              <w:spacing w:before="62" w:after="62"/>
              <w:rPr>
                <w:rFonts w:cs="Times New Roman"/>
                <w:szCs w:val="21"/>
              </w:rPr>
            </w:pPr>
            <w:r>
              <w:rPr>
                <w:rFonts w:cs="Times New Roman"/>
                <w:szCs w:val="21"/>
              </w:rPr>
              <w:t>蛋鸡场东南</w:t>
            </w:r>
          </w:p>
        </w:tc>
        <w:tc>
          <w:tcPr>
            <w:tcW w:w="875" w:type="dxa"/>
            <w:shd w:val="clear" w:color="auto" w:fill="auto"/>
            <w:vAlign w:val="center"/>
          </w:tcPr>
          <w:p w14:paraId="352D3439" w14:textId="77777777" w:rsidR="00544649" w:rsidRDefault="00000000">
            <w:pPr>
              <w:pStyle w:val="aff7"/>
              <w:adjustRightInd w:val="0"/>
              <w:snapToGrid w:val="0"/>
              <w:spacing w:before="62" w:after="62"/>
              <w:rPr>
                <w:rFonts w:cs="Times New Roman"/>
                <w:szCs w:val="21"/>
              </w:rPr>
            </w:pPr>
            <w:r>
              <w:rPr>
                <w:rFonts w:cs="Times New Roman"/>
                <w:szCs w:val="21"/>
              </w:rPr>
              <w:t>1500</w:t>
            </w:r>
          </w:p>
        </w:tc>
        <w:tc>
          <w:tcPr>
            <w:tcW w:w="873" w:type="dxa"/>
            <w:shd w:val="clear" w:color="auto" w:fill="auto"/>
            <w:vAlign w:val="center"/>
          </w:tcPr>
          <w:p w14:paraId="223931FF"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1550</w:t>
            </w:r>
          </w:p>
        </w:tc>
        <w:tc>
          <w:tcPr>
            <w:tcW w:w="871" w:type="dxa"/>
            <w:shd w:val="clear" w:color="auto" w:fill="auto"/>
            <w:vAlign w:val="center"/>
          </w:tcPr>
          <w:p w14:paraId="073FBB76" w14:textId="77777777" w:rsidR="00544649" w:rsidRDefault="00000000">
            <w:pPr>
              <w:pStyle w:val="aff3"/>
              <w:spacing w:before="62" w:after="62" w:line="240" w:lineRule="auto"/>
              <w:rPr>
                <w:rFonts w:cs="Times New Roman"/>
                <w:kern w:val="21"/>
                <w:szCs w:val="21"/>
              </w:rPr>
            </w:pPr>
            <w:r>
              <w:rPr>
                <w:rFonts w:cs="Times New Roman"/>
                <w:kern w:val="21"/>
                <w:szCs w:val="21"/>
              </w:rPr>
              <w:t>-</w:t>
            </w:r>
            <w:r>
              <w:rPr>
                <w:rFonts w:cs="Times New Roman" w:hint="eastAsia"/>
                <w:kern w:val="21"/>
                <w:szCs w:val="21"/>
              </w:rPr>
              <w:t>40</w:t>
            </w:r>
          </w:p>
        </w:tc>
        <w:tc>
          <w:tcPr>
            <w:tcW w:w="1163" w:type="dxa"/>
            <w:shd w:val="clear" w:color="auto" w:fill="auto"/>
            <w:vAlign w:val="center"/>
          </w:tcPr>
          <w:p w14:paraId="33075DB5" w14:textId="77777777" w:rsidR="00544649" w:rsidRDefault="00000000">
            <w:pPr>
              <w:pStyle w:val="aff7"/>
              <w:adjustRightInd w:val="0"/>
              <w:snapToGrid w:val="0"/>
              <w:spacing w:before="62" w:after="62"/>
              <w:rPr>
                <w:rFonts w:cs="Times New Roman"/>
                <w:szCs w:val="21"/>
              </w:rPr>
            </w:pPr>
            <w:r>
              <w:rPr>
                <w:rFonts w:cs="Times New Roman"/>
                <w:szCs w:val="21"/>
              </w:rPr>
              <w:t>约</w:t>
            </w:r>
            <w:r>
              <w:rPr>
                <w:rStyle w:val="font11"/>
                <w:color w:val="auto"/>
                <w:sz w:val="21"/>
                <w:szCs w:val="21"/>
              </w:rPr>
              <w:t>300</w:t>
            </w:r>
            <w:r>
              <w:rPr>
                <w:rStyle w:val="font01"/>
                <w:rFonts w:ascii="Times New Roman" w:hAnsi="Times New Roman" w:cs="Times New Roman" w:hint="default"/>
                <w:color w:val="auto"/>
                <w:sz w:val="21"/>
                <w:szCs w:val="21"/>
              </w:rPr>
              <w:t>人</w:t>
            </w:r>
          </w:p>
        </w:tc>
        <w:tc>
          <w:tcPr>
            <w:tcW w:w="1018" w:type="dxa"/>
            <w:vMerge/>
            <w:shd w:val="clear" w:color="auto" w:fill="auto"/>
            <w:vAlign w:val="center"/>
          </w:tcPr>
          <w:p w14:paraId="3CA2B94D" w14:textId="77777777" w:rsidR="00544649" w:rsidRDefault="00544649">
            <w:pPr>
              <w:pStyle w:val="aff7"/>
              <w:adjustRightInd w:val="0"/>
              <w:snapToGrid w:val="0"/>
              <w:spacing w:before="62" w:after="62"/>
              <w:rPr>
                <w:rFonts w:cs="Times New Roman"/>
                <w:kern w:val="21"/>
                <w:szCs w:val="21"/>
              </w:rPr>
            </w:pPr>
          </w:p>
        </w:tc>
      </w:tr>
      <w:tr w:rsidR="00544649" w14:paraId="6578692A" w14:textId="77777777">
        <w:trPr>
          <w:trHeight w:val="90"/>
          <w:jc w:val="center"/>
        </w:trPr>
        <w:tc>
          <w:tcPr>
            <w:tcW w:w="473" w:type="dxa"/>
            <w:vMerge w:val="restart"/>
            <w:shd w:val="clear" w:color="auto" w:fill="auto"/>
            <w:vAlign w:val="center"/>
          </w:tcPr>
          <w:p w14:paraId="589643C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声环境</w:t>
            </w:r>
          </w:p>
        </w:tc>
        <w:tc>
          <w:tcPr>
            <w:tcW w:w="687" w:type="dxa"/>
            <w:vMerge w:val="restart"/>
            <w:vAlign w:val="center"/>
          </w:tcPr>
          <w:p w14:paraId="17B2EF6E"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蛋鸡场</w:t>
            </w:r>
          </w:p>
        </w:tc>
        <w:tc>
          <w:tcPr>
            <w:tcW w:w="723" w:type="dxa"/>
            <w:shd w:val="clear" w:color="auto" w:fill="auto"/>
            <w:vAlign w:val="center"/>
          </w:tcPr>
          <w:p w14:paraId="46980309"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散户居民</w:t>
            </w:r>
          </w:p>
        </w:tc>
        <w:tc>
          <w:tcPr>
            <w:tcW w:w="873" w:type="dxa"/>
            <w:vAlign w:val="center"/>
          </w:tcPr>
          <w:p w14:paraId="50B9535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557318.86</w:t>
            </w:r>
          </w:p>
        </w:tc>
        <w:tc>
          <w:tcPr>
            <w:tcW w:w="871" w:type="dxa"/>
            <w:vAlign w:val="center"/>
          </w:tcPr>
          <w:p w14:paraId="70BE75EF"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3558637.41</w:t>
            </w:r>
          </w:p>
        </w:tc>
        <w:tc>
          <w:tcPr>
            <w:tcW w:w="727" w:type="dxa"/>
            <w:shd w:val="clear" w:color="auto" w:fill="auto"/>
            <w:vAlign w:val="center"/>
          </w:tcPr>
          <w:p w14:paraId="55BF4969" w14:textId="77777777" w:rsidR="00544649" w:rsidRDefault="00000000">
            <w:pPr>
              <w:pStyle w:val="aff7"/>
              <w:adjustRightInd w:val="0"/>
              <w:snapToGrid w:val="0"/>
              <w:spacing w:before="62" w:after="62"/>
              <w:rPr>
                <w:rFonts w:cs="Times New Roman"/>
                <w:kern w:val="21"/>
                <w:szCs w:val="21"/>
              </w:rPr>
            </w:pPr>
            <w:r>
              <w:rPr>
                <w:rFonts w:cs="Times New Roman"/>
                <w:szCs w:val="21"/>
              </w:rPr>
              <w:t>西</w:t>
            </w:r>
          </w:p>
        </w:tc>
        <w:tc>
          <w:tcPr>
            <w:tcW w:w="875" w:type="dxa"/>
            <w:shd w:val="clear" w:color="auto" w:fill="auto"/>
            <w:vAlign w:val="center"/>
          </w:tcPr>
          <w:p w14:paraId="2670171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125</w:t>
            </w:r>
          </w:p>
        </w:tc>
        <w:tc>
          <w:tcPr>
            <w:tcW w:w="873" w:type="dxa"/>
            <w:shd w:val="clear" w:color="auto" w:fill="auto"/>
            <w:vAlign w:val="center"/>
          </w:tcPr>
          <w:p w14:paraId="35328DF2"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185</w:t>
            </w:r>
          </w:p>
        </w:tc>
        <w:tc>
          <w:tcPr>
            <w:tcW w:w="871" w:type="dxa"/>
            <w:shd w:val="clear" w:color="auto" w:fill="auto"/>
            <w:vAlign w:val="center"/>
          </w:tcPr>
          <w:p w14:paraId="6F7C466B" w14:textId="77777777" w:rsidR="00544649" w:rsidRDefault="00000000">
            <w:pPr>
              <w:pStyle w:val="aff3"/>
              <w:spacing w:before="62" w:after="62" w:line="240" w:lineRule="auto"/>
              <w:rPr>
                <w:rFonts w:cs="Times New Roman"/>
                <w:kern w:val="21"/>
                <w:szCs w:val="21"/>
              </w:rPr>
            </w:pPr>
            <w:r>
              <w:rPr>
                <w:rFonts w:cs="Times New Roman"/>
                <w:kern w:val="21"/>
                <w:szCs w:val="21"/>
              </w:rPr>
              <w:t>-54</w:t>
            </w:r>
          </w:p>
        </w:tc>
        <w:tc>
          <w:tcPr>
            <w:tcW w:w="1163" w:type="dxa"/>
            <w:shd w:val="clear" w:color="auto" w:fill="auto"/>
            <w:vAlign w:val="center"/>
          </w:tcPr>
          <w:p w14:paraId="0DA657FB"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1</w:t>
            </w:r>
            <w:r>
              <w:rPr>
                <w:rFonts w:cs="Times New Roman"/>
                <w:kern w:val="21"/>
                <w:szCs w:val="21"/>
              </w:rPr>
              <w:t>户</w:t>
            </w:r>
            <w:r>
              <w:rPr>
                <w:rFonts w:cs="Times New Roman"/>
                <w:kern w:val="21"/>
                <w:szCs w:val="21"/>
              </w:rPr>
              <w:t>3</w:t>
            </w:r>
            <w:r>
              <w:rPr>
                <w:rFonts w:cs="Times New Roman"/>
                <w:kern w:val="21"/>
                <w:szCs w:val="21"/>
              </w:rPr>
              <w:t>人</w:t>
            </w:r>
          </w:p>
        </w:tc>
        <w:tc>
          <w:tcPr>
            <w:tcW w:w="1018" w:type="dxa"/>
            <w:vMerge w:val="restart"/>
            <w:shd w:val="clear" w:color="auto" w:fill="auto"/>
            <w:vAlign w:val="center"/>
          </w:tcPr>
          <w:p w14:paraId="4189FB3F"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《声环境质量标准》（</w:t>
            </w:r>
            <w:r>
              <w:rPr>
                <w:rFonts w:cs="Times New Roman"/>
                <w:kern w:val="21"/>
                <w:szCs w:val="21"/>
              </w:rPr>
              <w:t>GB3096-2008</w:t>
            </w:r>
            <w:r>
              <w:rPr>
                <w:rFonts w:cs="Times New Roman" w:hint="eastAsia"/>
                <w:kern w:val="21"/>
                <w:szCs w:val="21"/>
              </w:rPr>
              <w:t>）</w:t>
            </w:r>
            <w:r>
              <w:rPr>
                <w:rFonts w:cs="Times New Roman"/>
                <w:kern w:val="21"/>
                <w:szCs w:val="21"/>
              </w:rPr>
              <w:t>的</w:t>
            </w:r>
            <w:r>
              <w:rPr>
                <w:rFonts w:cs="Times New Roman"/>
                <w:kern w:val="21"/>
                <w:szCs w:val="21"/>
              </w:rPr>
              <w:t>2</w:t>
            </w:r>
            <w:r>
              <w:rPr>
                <w:rFonts w:cs="Times New Roman"/>
                <w:kern w:val="21"/>
                <w:szCs w:val="21"/>
              </w:rPr>
              <w:t>类区</w:t>
            </w:r>
          </w:p>
        </w:tc>
      </w:tr>
      <w:tr w:rsidR="00544649" w14:paraId="084626AB" w14:textId="77777777">
        <w:trPr>
          <w:trHeight w:val="90"/>
          <w:jc w:val="center"/>
        </w:trPr>
        <w:tc>
          <w:tcPr>
            <w:tcW w:w="473" w:type="dxa"/>
            <w:vMerge/>
            <w:shd w:val="clear" w:color="auto" w:fill="auto"/>
            <w:vAlign w:val="center"/>
          </w:tcPr>
          <w:p w14:paraId="576762D2"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34470814" w14:textId="77777777" w:rsidR="00544649" w:rsidRDefault="00544649">
            <w:pPr>
              <w:pStyle w:val="aff7"/>
              <w:adjustRightInd w:val="0"/>
              <w:snapToGrid w:val="0"/>
              <w:spacing w:before="62" w:after="62"/>
              <w:rPr>
                <w:rFonts w:cs="Times New Roman"/>
                <w:kern w:val="21"/>
                <w:szCs w:val="21"/>
              </w:rPr>
            </w:pPr>
          </w:p>
        </w:tc>
        <w:tc>
          <w:tcPr>
            <w:tcW w:w="723" w:type="dxa"/>
            <w:shd w:val="clear" w:color="auto" w:fill="auto"/>
            <w:vAlign w:val="center"/>
          </w:tcPr>
          <w:p w14:paraId="240DAF6C"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散户居民</w:t>
            </w:r>
          </w:p>
        </w:tc>
        <w:tc>
          <w:tcPr>
            <w:tcW w:w="873" w:type="dxa"/>
            <w:vAlign w:val="center"/>
          </w:tcPr>
          <w:p w14:paraId="3C0F9900"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558017.89</w:t>
            </w:r>
          </w:p>
        </w:tc>
        <w:tc>
          <w:tcPr>
            <w:tcW w:w="871" w:type="dxa"/>
            <w:vAlign w:val="center"/>
          </w:tcPr>
          <w:p w14:paraId="3D6D7BE1"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3558708.11</w:t>
            </w:r>
          </w:p>
        </w:tc>
        <w:tc>
          <w:tcPr>
            <w:tcW w:w="727" w:type="dxa"/>
            <w:shd w:val="clear" w:color="auto" w:fill="auto"/>
            <w:vAlign w:val="center"/>
          </w:tcPr>
          <w:p w14:paraId="2C362947" w14:textId="77777777" w:rsidR="00544649" w:rsidRDefault="00000000">
            <w:pPr>
              <w:pStyle w:val="aff7"/>
              <w:adjustRightInd w:val="0"/>
              <w:snapToGrid w:val="0"/>
              <w:spacing w:before="62" w:after="62"/>
              <w:rPr>
                <w:rFonts w:cs="Times New Roman"/>
                <w:kern w:val="21"/>
                <w:szCs w:val="21"/>
              </w:rPr>
            </w:pPr>
            <w:r>
              <w:rPr>
                <w:rFonts w:cs="Times New Roman"/>
                <w:szCs w:val="21"/>
              </w:rPr>
              <w:t>西</w:t>
            </w:r>
          </w:p>
        </w:tc>
        <w:tc>
          <w:tcPr>
            <w:tcW w:w="875" w:type="dxa"/>
            <w:shd w:val="clear" w:color="auto" w:fill="auto"/>
            <w:vAlign w:val="center"/>
          </w:tcPr>
          <w:p w14:paraId="34DA47A9"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140</w:t>
            </w:r>
          </w:p>
        </w:tc>
        <w:tc>
          <w:tcPr>
            <w:tcW w:w="873" w:type="dxa"/>
            <w:shd w:val="clear" w:color="auto" w:fill="auto"/>
            <w:vAlign w:val="center"/>
          </w:tcPr>
          <w:p w14:paraId="34FBE115"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210</w:t>
            </w:r>
          </w:p>
        </w:tc>
        <w:tc>
          <w:tcPr>
            <w:tcW w:w="871" w:type="dxa"/>
            <w:shd w:val="clear" w:color="auto" w:fill="auto"/>
            <w:vAlign w:val="center"/>
          </w:tcPr>
          <w:p w14:paraId="3DF6AF6E" w14:textId="77777777" w:rsidR="00544649" w:rsidRDefault="00000000">
            <w:pPr>
              <w:pStyle w:val="aff3"/>
              <w:spacing w:before="62" w:after="62" w:line="240" w:lineRule="auto"/>
              <w:rPr>
                <w:rFonts w:cs="Times New Roman"/>
                <w:kern w:val="21"/>
                <w:szCs w:val="21"/>
              </w:rPr>
            </w:pPr>
            <w:r>
              <w:rPr>
                <w:rFonts w:cs="Times New Roman"/>
                <w:kern w:val="21"/>
                <w:szCs w:val="21"/>
              </w:rPr>
              <w:t>-60</w:t>
            </w:r>
          </w:p>
        </w:tc>
        <w:tc>
          <w:tcPr>
            <w:tcW w:w="1163" w:type="dxa"/>
            <w:shd w:val="clear" w:color="auto" w:fill="auto"/>
            <w:vAlign w:val="center"/>
          </w:tcPr>
          <w:p w14:paraId="3BB4EFC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1</w:t>
            </w:r>
            <w:r>
              <w:rPr>
                <w:rFonts w:cs="Times New Roman"/>
                <w:kern w:val="21"/>
                <w:szCs w:val="21"/>
              </w:rPr>
              <w:t>户</w:t>
            </w:r>
            <w:r>
              <w:rPr>
                <w:rFonts w:cs="Times New Roman"/>
                <w:kern w:val="21"/>
                <w:szCs w:val="21"/>
              </w:rPr>
              <w:t>3</w:t>
            </w:r>
            <w:r>
              <w:rPr>
                <w:rFonts w:cs="Times New Roman"/>
                <w:kern w:val="21"/>
                <w:szCs w:val="21"/>
              </w:rPr>
              <w:t>人</w:t>
            </w:r>
          </w:p>
        </w:tc>
        <w:tc>
          <w:tcPr>
            <w:tcW w:w="1018" w:type="dxa"/>
            <w:vMerge/>
            <w:shd w:val="clear" w:color="auto" w:fill="auto"/>
            <w:vAlign w:val="center"/>
          </w:tcPr>
          <w:p w14:paraId="275F261E" w14:textId="77777777" w:rsidR="00544649" w:rsidRDefault="00544649">
            <w:pPr>
              <w:pStyle w:val="aff7"/>
              <w:adjustRightInd w:val="0"/>
              <w:snapToGrid w:val="0"/>
              <w:spacing w:before="62" w:after="62"/>
              <w:rPr>
                <w:rFonts w:cs="Times New Roman"/>
                <w:kern w:val="21"/>
                <w:szCs w:val="21"/>
              </w:rPr>
            </w:pPr>
          </w:p>
        </w:tc>
      </w:tr>
      <w:tr w:rsidR="00544649" w14:paraId="18320BA8" w14:textId="77777777">
        <w:trPr>
          <w:trHeight w:val="90"/>
          <w:jc w:val="center"/>
        </w:trPr>
        <w:tc>
          <w:tcPr>
            <w:tcW w:w="473" w:type="dxa"/>
            <w:vMerge/>
            <w:shd w:val="clear" w:color="auto" w:fill="auto"/>
            <w:vAlign w:val="center"/>
          </w:tcPr>
          <w:p w14:paraId="06461277" w14:textId="77777777" w:rsidR="00544649" w:rsidRDefault="00544649">
            <w:pPr>
              <w:pStyle w:val="aff7"/>
              <w:adjustRightInd w:val="0"/>
              <w:snapToGrid w:val="0"/>
              <w:spacing w:before="62" w:after="62"/>
              <w:rPr>
                <w:rFonts w:cs="Times New Roman"/>
                <w:kern w:val="21"/>
                <w:szCs w:val="21"/>
              </w:rPr>
            </w:pPr>
          </w:p>
        </w:tc>
        <w:tc>
          <w:tcPr>
            <w:tcW w:w="687" w:type="dxa"/>
            <w:vMerge/>
            <w:vAlign w:val="center"/>
          </w:tcPr>
          <w:p w14:paraId="493F1661" w14:textId="77777777" w:rsidR="00544649" w:rsidRDefault="00544649">
            <w:pPr>
              <w:pStyle w:val="aff7"/>
              <w:adjustRightInd w:val="0"/>
              <w:snapToGrid w:val="0"/>
              <w:spacing w:before="62" w:after="62"/>
              <w:rPr>
                <w:rFonts w:cs="Times New Roman"/>
                <w:kern w:val="21"/>
                <w:szCs w:val="21"/>
              </w:rPr>
            </w:pPr>
          </w:p>
        </w:tc>
        <w:tc>
          <w:tcPr>
            <w:tcW w:w="723" w:type="dxa"/>
            <w:shd w:val="clear" w:color="auto" w:fill="auto"/>
            <w:vAlign w:val="center"/>
          </w:tcPr>
          <w:p w14:paraId="144A551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散户居民</w:t>
            </w:r>
          </w:p>
        </w:tc>
        <w:tc>
          <w:tcPr>
            <w:tcW w:w="873" w:type="dxa"/>
            <w:vAlign w:val="center"/>
          </w:tcPr>
          <w:p w14:paraId="02AF22A2"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556849.99</w:t>
            </w:r>
          </w:p>
        </w:tc>
        <w:tc>
          <w:tcPr>
            <w:tcW w:w="871" w:type="dxa"/>
            <w:vAlign w:val="center"/>
          </w:tcPr>
          <w:p w14:paraId="13D05B1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3561041.02</w:t>
            </w:r>
          </w:p>
        </w:tc>
        <w:tc>
          <w:tcPr>
            <w:tcW w:w="727" w:type="dxa"/>
            <w:shd w:val="clear" w:color="auto" w:fill="auto"/>
            <w:vAlign w:val="center"/>
          </w:tcPr>
          <w:p w14:paraId="3B42A08D"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东</w:t>
            </w:r>
          </w:p>
        </w:tc>
        <w:tc>
          <w:tcPr>
            <w:tcW w:w="875" w:type="dxa"/>
            <w:shd w:val="clear" w:color="auto" w:fill="auto"/>
            <w:vAlign w:val="center"/>
          </w:tcPr>
          <w:p w14:paraId="061617FE"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180</w:t>
            </w:r>
          </w:p>
        </w:tc>
        <w:tc>
          <w:tcPr>
            <w:tcW w:w="873" w:type="dxa"/>
            <w:shd w:val="clear" w:color="auto" w:fill="auto"/>
            <w:vAlign w:val="center"/>
          </w:tcPr>
          <w:p w14:paraId="18A32BCA"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225</w:t>
            </w:r>
          </w:p>
        </w:tc>
        <w:tc>
          <w:tcPr>
            <w:tcW w:w="871" w:type="dxa"/>
            <w:shd w:val="clear" w:color="auto" w:fill="auto"/>
            <w:vAlign w:val="center"/>
          </w:tcPr>
          <w:p w14:paraId="46D3A6EB" w14:textId="77777777" w:rsidR="00544649" w:rsidRDefault="00000000">
            <w:pPr>
              <w:pStyle w:val="aff3"/>
              <w:spacing w:before="62" w:after="62" w:line="240" w:lineRule="auto"/>
              <w:rPr>
                <w:rFonts w:cs="Times New Roman"/>
                <w:kern w:val="21"/>
                <w:szCs w:val="21"/>
              </w:rPr>
            </w:pPr>
            <w:r>
              <w:rPr>
                <w:rFonts w:cs="Times New Roman"/>
                <w:kern w:val="21"/>
                <w:szCs w:val="21"/>
              </w:rPr>
              <w:t>-19</w:t>
            </w:r>
          </w:p>
        </w:tc>
        <w:tc>
          <w:tcPr>
            <w:tcW w:w="1163" w:type="dxa"/>
            <w:shd w:val="clear" w:color="auto" w:fill="auto"/>
            <w:vAlign w:val="center"/>
          </w:tcPr>
          <w:p w14:paraId="40B76A99"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空置房屋</w:t>
            </w:r>
          </w:p>
        </w:tc>
        <w:tc>
          <w:tcPr>
            <w:tcW w:w="1018" w:type="dxa"/>
            <w:vMerge/>
            <w:shd w:val="clear" w:color="auto" w:fill="auto"/>
            <w:vAlign w:val="center"/>
          </w:tcPr>
          <w:p w14:paraId="578158A1" w14:textId="77777777" w:rsidR="00544649" w:rsidRDefault="00544649">
            <w:pPr>
              <w:pStyle w:val="aff7"/>
              <w:adjustRightInd w:val="0"/>
              <w:snapToGrid w:val="0"/>
              <w:spacing w:before="62" w:after="62"/>
              <w:rPr>
                <w:rFonts w:cs="Times New Roman"/>
                <w:kern w:val="21"/>
                <w:szCs w:val="21"/>
              </w:rPr>
            </w:pPr>
          </w:p>
        </w:tc>
      </w:tr>
      <w:tr w:rsidR="00544649" w14:paraId="60127096" w14:textId="77777777">
        <w:trPr>
          <w:trHeight w:val="90"/>
          <w:jc w:val="center"/>
        </w:trPr>
        <w:tc>
          <w:tcPr>
            <w:tcW w:w="473" w:type="dxa"/>
            <w:vMerge w:val="restart"/>
            <w:shd w:val="clear" w:color="auto" w:fill="auto"/>
            <w:vAlign w:val="center"/>
          </w:tcPr>
          <w:p w14:paraId="52F5E679"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地下水环境</w:t>
            </w:r>
          </w:p>
        </w:tc>
        <w:tc>
          <w:tcPr>
            <w:tcW w:w="687" w:type="dxa"/>
            <w:vAlign w:val="center"/>
          </w:tcPr>
          <w:p w14:paraId="3E97A3DF" w14:textId="77777777" w:rsidR="00544649" w:rsidRDefault="00000000">
            <w:pPr>
              <w:pStyle w:val="aff7"/>
              <w:adjustRightInd w:val="0"/>
              <w:snapToGrid w:val="0"/>
              <w:spacing w:before="62" w:after="62"/>
              <w:rPr>
                <w:rFonts w:cs="Times New Roman"/>
                <w:kern w:val="21"/>
                <w:szCs w:val="21"/>
              </w:rPr>
            </w:pPr>
            <w:proofErr w:type="gramStart"/>
            <w:r>
              <w:rPr>
                <w:rFonts w:cs="Times New Roman" w:hint="eastAsia"/>
                <w:kern w:val="21"/>
                <w:szCs w:val="21"/>
              </w:rPr>
              <w:t>育雏场</w:t>
            </w:r>
            <w:proofErr w:type="gramEnd"/>
            <w:r>
              <w:rPr>
                <w:rFonts w:cs="Times New Roman" w:hint="eastAsia"/>
                <w:kern w:val="21"/>
                <w:szCs w:val="21"/>
              </w:rPr>
              <w:t>北侧</w:t>
            </w:r>
          </w:p>
        </w:tc>
        <w:tc>
          <w:tcPr>
            <w:tcW w:w="723" w:type="dxa"/>
            <w:shd w:val="clear" w:color="auto" w:fill="auto"/>
            <w:vAlign w:val="center"/>
          </w:tcPr>
          <w:p w14:paraId="5A767BC6"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w:t>
            </w:r>
            <w:r>
              <w:rPr>
                <w:rFonts w:cs="Times New Roman"/>
                <w:kern w:val="21"/>
                <w:szCs w:val="21"/>
              </w:rPr>
              <w:t>#</w:t>
            </w:r>
            <w:r>
              <w:rPr>
                <w:rFonts w:cs="Times New Roman" w:hint="eastAsia"/>
                <w:kern w:val="21"/>
                <w:szCs w:val="21"/>
              </w:rPr>
              <w:t>水井</w:t>
            </w:r>
          </w:p>
        </w:tc>
        <w:tc>
          <w:tcPr>
            <w:tcW w:w="873" w:type="dxa"/>
            <w:shd w:val="clear" w:color="auto" w:fill="auto"/>
            <w:vAlign w:val="center"/>
          </w:tcPr>
          <w:p w14:paraId="0E774C00"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557394.24</w:t>
            </w:r>
          </w:p>
        </w:tc>
        <w:tc>
          <w:tcPr>
            <w:tcW w:w="871" w:type="dxa"/>
            <w:shd w:val="clear" w:color="auto" w:fill="auto"/>
            <w:vAlign w:val="center"/>
          </w:tcPr>
          <w:p w14:paraId="11AB532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3558933.69</w:t>
            </w:r>
          </w:p>
        </w:tc>
        <w:tc>
          <w:tcPr>
            <w:tcW w:w="727" w:type="dxa"/>
            <w:shd w:val="clear" w:color="auto" w:fill="auto"/>
            <w:vAlign w:val="center"/>
          </w:tcPr>
          <w:p w14:paraId="74A1A6A7"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北</w:t>
            </w:r>
          </w:p>
        </w:tc>
        <w:tc>
          <w:tcPr>
            <w:tcW w:w="875" w:type="dxa"/>
            <w:shd w:val="clear" w:color="auto" w:fill="auto"/>
            <w:vAlign w:val="center"/>
          </w:tcPr>
          <w:p w14:paraId="78834A4D"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850</w:t>
            </w:r>
          </w:p>
        </w:tc>
        <w:tc>
          <w:tcPr>
            <w:tcW w:w="873" w:type="dxa"/>
            <w:shd w:val="clear" w:color="auto" w:fill="auto"/>
            <w:vAlign w:val="center"/>
          </w:tcPr>
          <w:p w14:paraId="5FC6731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871" w:type="dxa"/>
            <w:shd w:val="clear" w:color="auto" w:fill="auto"/>
            <w:vAlign w:val="center"/>
          </w:tcPr>
          <w:p w14:paraId="5B394032"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w:t>
            </w:r>
          </w:p>
        </w:tc>
        <w:tc>
          <w:tcPr>
            <w:tcW w:w="1163" w:type="dxa"/>
            <w:shd w:val="clear" w:color="auto" w:fill="auto"/>
            <w:vAlign w:val="center"/>
          </w:tcPr>
          <w:p w14:paraId="3E60A30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w:t>
            </w:r>
          </w:p>
        </w:tc>
        <w:tc>
          <w:tcPr>
            <w:tcW w:w="1018" w:type="dxa"/>
            <w:vMerge w:val="restart"/>
            <w:shd w:val="clear" w:color="auto" w:fill="auto"/>
            <w:vAlign w:val="center"/>
          </w:tcPr>
          <w:p w14:paraId="1C5ABD0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GBT/14848-2017Ⅲ</w:t>
            </w:r>
            <w:r>
              <w:rPr>
                <w:rFonts w:cs="Times New Roman"/>
                <w:kern w:val="21"/>
                <w:szCs w:val="21"/>
              </w:rPr>
              <w:t>类</w:t>
            </w:r>
          </w:p>
        </w:tc>
      </w:tr>
      <w:tr w:rsidR="00544649" w14:paraId="748B0C35" w14:textId="77777777">
        <w:trPr>
          <w:trHeight w:val="90"/>
          <w:jc w:val="center"/>
        </w:trPr>
        <w:tc>
          <w:tcPr>
            <w:tcW w:w="473" w:type="dxa"/>
            <w:vMerge/>
            <w:shd w:val="clear" w:color="auto" w:fill="auto"/>
            <w:vAlign w:val="center"/>
          </w:tcPr>
          <w:p w14:paraId="3E76096D" w14:textId="77777777" w:rsidR="00544649" w:rsidRDefault="00544649">
            <w:pPr>
              <w:pStyle w:val="aff7"/>
              <w:adjustRightInd w:val="0"/>
              <w:snapToGrid w:val="0"/>
              <w:spacing w:before="62" w:after="62"/>
              <w:rPr>
                <w:rFonts w:cs="Times New Roman"/>
                <w:kern w:val="21"/>
                <w:szCs w:val="21"/>
              </w:rPr>
            </w:pPr>
          </w:p>
        </w:tc>
        <w:tc>
          <w:tcPr>
            <w:tcW w:w="687" w:type="dxa"/>
            <w:vAlign w:val="center"/>
          </w:tcPr>
          <w:p w14:paraId="515479C1" w14:textId="77777777" w:rsidR="00544649" w:rsidRDefault="00000000">
            <w:pPr>
              <w:pStyle w:val="aff7"/>
              <w:adjustRightInd w:val="0"/>
              <w:snapToGrid w:val="0"/>
              <w:spacing w:before="62" w:after="62"/>
              <w:rPr>
                <w:rFonts w:cs="Times New Roman"/>
                <w:kern w:val="21"/>
                <w:szCs w:val="21"/>
              </w:rPr>
            </w:pPr>
            <w:proofErr w:type="gramStart"/>
            <w:r>
              <w:rPr>
                <w:rFonts w:cs="Times New Roman" w:hint="eastAsia"/>
                <w:kern w:val="21"/>
                <w:szCs w:val="21"/>
              </w:rPr>
              <w:t>蛋鸡场西北侧</w:t>
            </w:r>
            <w:proofErr w:type="gramEnd"/>
          </w:p>
        </w:tc>
        <w:tc>
          <w:tcPr>
            <w:tcW w:w="723" w:type="dxa"/>
            <w:shd w:val="clear" w:color="auto" w:fill="auto"/>
            <w:vAlign w:val="center"/>
          </w:tcPr>
          <w:p w14:paraId="30CFD52E"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2</w:t>
            </w:r>
            <w:r>
              <w:rPr>
                <w:rFonts w:cs="Times New Roman"/>
                <w:kern w:val="21"/>
                <w:szCs w:val="21"/>
              </w:rPr>
              <w:t>#</w:t>
            </w:r>
            <w:r>
              <w:rPr>
                <w:rFonts w:cs="Times New Roman" w:hint="eastAsia"/>
                <w:kern w:val="21"/>
                <w:szCs w:val="21"/>
              </w:rPr>
              <w:t>水井</w:t>
            </w:r>
          </w:p>
        </w:tc>
        <w:tc>
          <w:tcPr>
            <w:tcW w:w="873" w:type="dxa"/>
            <w:shd w:val="clear" w:color="auto" w:fill="auto"/>
            <w:vAlign w:val="center"/>
          </w:tcPr>
          <w:p w14:paraId="3032070D"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557726.99</w:t>
            </w:r>
          </w:p>
        </w:tc>
        <w:tc>
          <w:tcPr>
            <w:tcW w:w="871" w:type="dxa"/>
            <w:shd w:val="clear" w:color="auto" w:fill="auto"/>
            <w:vAlign w:val="center"/>
          </w:tcPr>
          <w:p w14:paraId="0A454030"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3558453.82</w:t>
            </w:r>
          </w:p>
        </w:tc>
        <w:tc>
          <w:tcPr>
            <w:tcW w:w="727" w:type="dxa"/>
            <w:shd w:val="clear" w:color="auto" w:fill="auto"/>
            <w:vAlign w:val="center"/>
          </w:tcPr>
          <w:p w14:paraId="1DBC2956"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西北</w:t>
            </w:r>
          </w:p>
        </w:tc>
        <w:tc>
          <w:tcPr>
            <w:tcW w:w="875" w:type="dxa"/>
            <w:shd w:val="clear" w:color="auto" w:fill="auto"/>
            <w:vAlign w:val="center"/>
          </w:tcPr>
          <w:p w14:paraId="568A8F0C"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130</w:t>
            </w:r>
          </w:p>
        </w:tc>
        <w:tc>
          <w:tcPr>
            <w:tcW w:w="873" w:type="dxa"/>
            <w:shd w:val="clear" w:color="auto" w:fill="auto"/>
            <w:vAlign w:val="center"/>
          </w:tcPr>
          <w:p w14:paraId="1C9EB22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871" w:type="dxa"/>
            <w:shd w:val="clear" w:color="auto" w:fill="auto"/>
            <w:vAlign w:val="center"/>
          </w:tcPr>
          <w:p w14:paraId="0F25402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w:t>
            </w:r>
          </w:p>
        </w:tc>
        <w:tc>
          <w:tcPr>
            <w:tcW w:w="1163" w:type="dxa"/>
            <w:shd w:val="clear" w:color="auto" w:fill="auto"/>
            <w:vAlign w:val="center"/>
          </w:tcPr>
          <w:p w14:paraId="231A3A82"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w:t>
            </w:r>
          </w:p>
        </w:tc>
        <w:tc>
          <w:tcPr>
            <w:tcW w:w="1018" w:type="dxa"/>
            <w:vMerge/>
            <w:shd w:val="clear" w:color="auto" w:fill="auto"/>
            <w:vAlign w:val="center"/>
          </w:tcPr>
          <w:p w14:paraId="4043651E" w14:textId="77777777" w:rsidR="00544649" w:rsidRDefault="00544649">
            <w:pPr>
              <w:pStyle w:val="aff7"/>
              <w:adjustRightInd w:val="0"/>
              <w:snapToGrid w:val="0"/>
              <w:spacing w:before="62" w:after="62"/>
              <w:rPr>
                <w:rFonts w:cs="Times New Roman"/>
                <w:kern w:val="21"/>
                <w:szCs w:val="21"/>
              </w:rPr>
            </w:pPr>
          </w:p>
        </w:tc>
      </w:tr>
      <w:tr w:rsidR="00544649" w14:paraId="36EC29BC" w14:textId="77777777">
        <w:trPr>
          <w:trHeight w:val="329"/>
          <w:jc w:val="center"/>
        </w:trPr>
        <w:tc>
          <w:tcPr>
            <w:tcW w:w="473" w:type="dxa"/>
            <w:vMerge/>
            <w:shd w:val="clear" w:color="auto" w:fill="auto"/>
            <w:vAlign w:val="center"/>
          </w:tcPr>
          <w:p w14:paraId="15604511" w14:textId="77777777" w:rsidR="00544649" w:rsidRDefault="00544649">
            <w:pPr>
              <w:pStyle w:val="aff7"/>
              <w:adjustRightInd w:val="0"/>
              <w:snapToGrid w:val="0"/>
              <w:spacing w:before="62" w:after="62"/>
              <w:rPr>
                <w:rFonts w:cs="Times New Roman"/>
                <w:kern w:val="21"/>
                <w:szCs w:val="21"/>
              </w:rPr>
            </w:pPr>
          </w:p>
        </w:tc>
        <w:tc>
          <w:tcPr>
            <w:tcW w:w="687" w:type="dxa"/>
            <w:vAlign w:val="center"/>
          </w:tcPr>
          <w:p w14:paraId="294661BD"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蛋鸡场西侧</w:t>
            </w:r>
          </w:p>
        </w:tc>
        <w:tc>
          <w:tcPr>
            <w:tcW w:w="723" w:type="dxa"/>
            <w:shd w:val="clear" w:color="auto" w:fill="auto"/>
            <w:vAlign w:val="center"/>
          </w:tcPr>
          <w:p w14:paraId="0C204ADB"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3</w:t>
            </w:r>
            <w:r>
              <w:rPr>
                <w:rFonts w:cs="Times New Roman"/>
                <w:kern w:val="21"/>
                <w:szCs w:val="21"/>
              </w:rPr>
              <w:t>#</w:t>
            </w:r>
            <w:r>
              <w:rPr>
                <w:rFonts w:cs="Times New Roman" w:hint="eastAsia"/>
                <w:kern w:val="21"/>
                <w:szCs w:val="21"/>
              </w:rPr>
              <w:t>水井</w:t>
            </w:r>
          </w:p>
        </w:tc>
        <w:tc>
          <w:tcPr>
            <w:tcW w:w="873" w:type="dxa"/>
            <w:shd w:val="clear" w:color="auto" w:fill="auto"/>
            <w:vAlign w:val="center"/>
          </w:tcPr>
          <w:p w14:paraId="4DE47A11"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557795.11</w:t>
            </w:r>
          </w:p>
        </w:tc>
        <w:tc>
          <w:tcPr>
            <w:tcW w:w="871" w:type="dxa"/>
            <w:shd w:val="clear" w:color="auto" w:fill="auto"/>
            <w:vAlign w:val="center"/>
          </w:tcPr>
          <w:p w14:paraId="512BB51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3557683.68</w:t>
            </w:r>
          </w:p>
        </w:tc>
        <w:tc>
          <w:tcPr>
            <w:tcW w:w="727" w:type="dxa"/>
            <w:shd w:val="clear" w:color="auto" w:fill="auto"/>
            <w:vAlign w:val="center"/>
          </w:tcPr>
          <w:p w14:paraId="14CF282C"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西</w:t>
            </w:r>
          </w:p>
        </w:tc>
        <w:tc>
          <w:tcPr>
            <w:tcW w:w="875" w:type="dxa"/>
            <w:shd w:val="clear" w:color="auto" w:fill="auto"/>
            <w:vAlign w:val="center"/>
          </w:tcPr>
          <w:p w14:paraId="6A44DA4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10</w:t>
            </w:r>
          </w:p>
        </w:tc>
        <w:tc>
          <w:tcPr>
            <w:tcW w:w="873" w:type="dxa"/>
            <w:shd w:val="clear" w:color="auto" w:fill="auto"/>
            <w:vAlign w:val="center"/>
          </w:tcPr>
          <w:p w14:paraId="6E76BBC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871" w:type="dxa"/>
            <w:shd w:val="clear" w:color="auto" w:fill="auto"/>
            <w:vAlign w:val="center"/>
          </w:tcPr>
          <w:p w14:paraId="5C0E569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1163" w:type="dxa"/>
            <w:shd w:val="clear" w:color="auto" w:fill="auto"/>
            <w:vAlign w:val="center"/>
          </w:tcPr>
          <w:p w14:paraId="2D1C0F5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1018" w:type="dxa"/>
            <w:vMerge/>
            <w:shd w:val="clear" w:color="auto" w:fill="auto"/>
            <w:vAlign w:val="center"/>
          </w:tcPr>
          <w:p w14:paraId="2885FA9D" w14:textId="77777777" w:rsidR="00544649" w:rsidRDefault="00544649">
            <w:pPr>
              <w:pStyle w:val="aff7"/>
              <w:adjustRightInd w:val="0"/>
              <w:snapToGrid w:val="0"/>
              <w:spacing w:before="62" w:after="62"/>
              <w:rPr>
                <w:rFonts w:cs="Times New Roman"/>
                <w:kern w:val="21"/>
                <w:szCs w:val="21"/>
              </w:rPr>
            </w:pPr>
          </w:p>
        </w:tc>
      </w:tr>
      <w:tr w:rsidR="00544649" w14:paraId="76B1CCCF" w14:textId="77777777">
        <w:trPr>
          <w:trHeight w:val="329"/>
          <w:jc w:val="center"/>
        </w:trPr>
        <w:tc>
          <w:tcPr>
            <w:tcW w:w="473" w:type="dxa"/>
            <w:vMerge/>
            <w:shd w:val="clear" w:color="auto" w:fill="auto"/>
            <w:vAlign w:val="center"/>
          </w:tcPr>
          <w:p w14:paraId="1D09DCD4" w14:textId="77777777" w:rsidR="00544649" w:rsidRDefault="00544649">
            <w:pPr>
              <w:pStyle w:val="aff7"/>
              <w:adjustRightInd w:val="0"/>
              <w:snapToGrid w:val="0"/>
              <w:spacing w:before="62" w:after="62"/>
              <w:rPr>
                <w:rFonts w:cs="Times New Roman"/>
                <w:kern w:val="21"/>
                <w:szCs w:val="21"/>
              </w:rPr>
            </w:pPr>
          </w:p>
        </w:tc>
        <w:tc>
          <w:tcPr>
            <w:tcW w:w="687" w:type="dxa"/>
            <w:vAlign w:val="center"/>
          </w:tcPr>
          <w:p w14:paraId="1E696817"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蛋鸡场南侧</w:t>
            </w:r>
          </w:p>
        </w:tc>
        <w:tc>
          <w:tcPr>
            <w:tcW w:w="723" w:type="dxa"/>
            <w:shd w:val="clear" w:color="auto" w:fill="auto"/>
            <w:vAlign w:val="center"/>
          </w:tcPr>
          <w:p w14:paraId="4CCB013D"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4</w:t>
            </w:r>
            <w:r>
              <w:rPr>
                <w:rFonts w:cs="Times New Roman"/>
                <w:kern w:val="21"/>
                <w:szCs w:val="21"/>
              </w:rPr>
              <w:t>#</w:t>
            </w:r>
            <w:r>
              <w:rPr>
                <w:rFonts w:cs="Times New Roman" w:hint="eastAsia"/>
                <w:kern w:val="21"/>
                <w:szCs w:val="21"/>
              </w:rPr>
              <w:t>水井</w:t>
            </w:r>
          </w:p>
        </w:tc>
        <w:tc>
          <w:tcPr>
            <w:tcW w:w="873" w:type="dxa"/>
            <w:shd w:val="clear" w:color="auto" w:fill="auto"/>
            <w:vAlign w:val="center"/>
          </w:tcPr>
          <w:p w14:paraId="22FB548F"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557744.824</w:t>
            </w:r>
          </w:p>
        </w:tc>
        <w:tc>
          <w:tcPr>
            <w:tcW w:w="871" w:type="dxa"/>
            <w:shd w:val="clear" w:color="auto" w:fill="auto"/>
            <w:vAlign w:val="center"/>
          </w:tcPr>
          <w:p w14:paraId="1EE7ABCC"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3557772.7</w:t>
            </w:r>
          </w:p>
        </w:tc>
        <w:tc>
          <w:tcPr>
            <w:tcW w:w="727" w:type="dxa"/>
            <w:shd w:val="clear" w:color="auto" w:fill="auto"/>
            <w:vAlign w:val="center"/>
          </w:tcPr>
          <w:p w14:paraId="38B66D47"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南</w:t>
            </w:r>
          </w:p>
        </w:tc>
        <w:tc>
          <w:tcPr>
            <w:tcW w:w="875" w:type="dxa"/>
            <w:shd w:val="clear" w:color="auto" w:fill="auto"/>
            <w:vAlign w:val="center"/>
          </w:tcPr>
          <w:p w14:paraId="498B112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710</w:t>
            </w:r>
          </w:p>
        </w:tc>
        <w:tc>
          <w:tcPr>
            <w:tcW w:w="873" w:type="dxa"/>
            <w:shd w:val="clear" w:color="auto" w:fill="auto"/>
            <w:vAlign w:val="center"/>
          </w:tcPr>
          <w:p w14:paraId="771E3FF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871" w:type="dxa"/>
            <w:shd w:val="clear" w:color="auto" w:fill="auto"/>
            <w:vAlign w:val="center"/>
          </w:tcPr>
          <w:p w14:paraId="5E88BA0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1163" w:type="dxa"/>
            <w:shd w:val="clear" w:color="auto" w:fill="auto"/>
            <w:vAlign w:val="center"/>
          </w:tcPr>
          <w:p w14:paraId="3E565DF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1018" w:type="dxa"/>
            <w:vMerge/>
            <w:shd w:val="clear" w:color="auto" w:fill="auto"/>
            <w:vAlign w:val="center"/>
          </w:tcPr>
          <w:p w14:paraId="125F8D06" w14:textId="77777777" w:rsidR="00544649" w:rsidRDefault="00544649">
            <w:pPr>
              <w:pStyle w:val="aff7"/>
              <w:adjustRightInd w:val="0"/>
              <w:snapToGrid w:val="0"/>
              <w:spacing w:before="62" w:after="62"/>
              <w:rPr>
                <w:rFonts w:cs="Times New Roman"/>
                <w:kern w:val="21"/>
                <w:szCs w:val="21"/>
              </w:rPr>
            </w:pPr>
          </w:p>
        </w:tc>
      </w:tr>
      <w:tr w:rsidR="00544649" w14:paraId="7F532B5E" w14:textId="77777777">
        <w:trPr>
          <w:trHeight w:val="329"/>
          <w:jc w:val="center"/>
        </w:trPr>
        <w:tc>
          <w:tcPr>
            <w:tcW w:w="473" w:type="dxa"/>
            <w:vMerge/>
            <w:shd w:val="clear" w:color="auto" w:fill="auto"/>
            <w:vAlign w:val="center"/>
          </w:tcPr>
          <w:p w14:paraId="1E0B12CB" w14:textId="77777777" w:rsidR="00544649" w:rsidRDefault="00544649">
            <w:pPr>
              <w:pStyle w:val="aff7"/>
              <w:adjustRightInd w:val="0"/>
              <w:snapToGrid w:val="0"/>
              <w:spacing w:before="62" w:after="62"/>
              <w:rPr>
                <w:rFonts w:cs="Times New Roman"/>
                <w:kern w:val="21"/>
                <w:szCs w:val="21"/>
              </w:rPr>
            </w:pPr>
          </w:p>
        </w:tc>
        <w:tc>
          <w:tcPr>
            <w:tcW w:w="687" w:type="dxa"/>
            <w:vAlign w:val="center"/>
          </w:tcPr>
          <w:p w14:paraId="29DCB74F"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蛋鸡场南侧</w:t>
            </w:r>
          </w:p>
        </w:tc>
        <w:tc>
          <w:tcPr>
            <w:tcW w:w="723" w:type="dxa"/>
            <w:shd w:val="clear" w:color="auto" w:fill="auto"/>
            <w:vAlign w:val="center"/>
          </w:tcPr>
          <w:p w14:paraId="13712912" w14:textId="77777777" w:rsidR="00544649" w:rsidRDefault="00000000">
            <w:pPr>
              <w:pStyle w:val="aff7"/>
              <w:adjustRightInd w:val="0"/>
              <w:snapToGrid w:val="0"/>
              <w:spacing w:before="62" w:after="62"/>
              <w:rPr>
                <w:rFonts w:cs="Times New Roman"/>
                <w:b/>
                <w:bCs/>
                <w:kern w:val="21"/>
                <w:szCs w:val="21"/>
              </w:rPr>
            </w:pPr>
            <w:r>
              <w:rPr>
                <w:rFonts w:cs="Times New Roman" w:hint="eastAsia"/>
                <w:kern w:val="21"/>
                <w:szCs w:val="21"/>
              </w:rPr>
              <w:t>5</w:t>
            </w:r>
            <w:r>
              <w:rPr>
                <w:rFonts w:cs="Times New Roman"/>
                <w:kern w:val="21"/>
                <w:szCs w:val="21"/>
              </w:rPr>
              <w:t>#</w:t>
            </w:r>
            <w:r>
              <w:rPr>
                <w:rFonts w:cs="Times New Roman" w:hint="eastAsia"/>
                <w:kern w:val="21"/>
                <w:szCs w:val="21"/>
              </w:rPr>
              <w:t>水井</w:t>
            </w:r>
          </w:p>
        </w:tc>
        <w:tc>
          <w:tcPr>
            <w:tcW w:w="873" w:type="dxa"/>
            <w:shd w:val="clear" w:color="auto" w:fill="auto"/>
            <w:vAlign w:val="center"/>
          </w:tcPr>
          <w:p w14:paraId="77414312"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557472.03</w:t>
            </w:r>
          </w:p>
        </w:tc>
        <w:tc>
          <w:tcPr>
            <w:tcW w:w="871" w:type="dxa"/>
            <w:shd w:val="clear" w:color="auto" w:fill="auto"/>
            <w:vAlign w:val="center"/>
          </w:tcPr>
          <w:p w14:paraId="1DB6F7D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3558100.31</w:t>
            </w:r>
          </w:p>
        </w:tc>
        <w:tc>
          <w:tcPr>
            <w:tcW w:w="727" w:type="dxa"/>
            <w:shd w:val="clear" w:color="auto" w:fill="auto"/>
            <w:vAlign w:val="center"/>
          </w:tcPr>
          <w:p w14:paraId="0F4E8E9C"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南</w:t>
            </w:r>
          </w:p>
        </w:tc>
        <w:tc>
          <w:tcPr>
            <w:tcW w:w="875" w:type="dxa"/>
            <w:shd w:val="clear" w:color="auto" w:fill="auto"/>
            <w:vAlign w:val="center"/>
          </w:tcPr>
          <w:p w14:paraId="53C19D2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630</w:t>
            </w:r>
          </w:p>
        </w:tc>
        <w:tc>
          <w:tcPr>
            <w:tcW w:w="873" w:type="dxa"/>
            <w:shd w:val="clear" w:color="auto" w:fill="auto"/>
            <w:vAlign w:val="center"/>
          </w:tcPr>
          <w:p w14:paraId="45B7FBD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871" w:type="dxa"/>
            <w:shd w:val="clear" w:color="auto" w:fill="auto"/>
            <w:vAlign w:val="center"/>
          </w:tcPr>
          <w:p w14:paraId="3E45A3A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1163" w:type="dxa"/>
            <w:shd w:val="clear" w:color="auto" w:fill="auto"/>
            <w:vAlign w:val="center"/>
          </w:tcPr>
          <w:p w14:paraId="10A30B4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1018" w:type="dxa"/>
            <w:vMerge/>
            <w:shd w:val="clear" w:color="auto" w:fill="auto"/>
            <w:vAlign w:val="center"/>
          </w:tcPr>
          <w:p w14:paraId="59F3F6E2" w14:textId="77777777" w:rsidR="00544649" w:rsidRDefault="00544649">
            <w:pPr>
              <w:pStyle w:val="aff7"/>
              <w:adjustRightInd w:val="0"/>
              <w:snapToGrid w:val="0"/>
              <w:spacing w:before="62" w:after="62"/>
              <w:rPr>
                <w:rFonts w:cs="Times New Roman"/>
                <w:kern w:val="21"/>
                <w:szCs w:val="21"/>
              </w:rPr>
            </w:pPr>
          </w:p>
        </w:tc>
      </w:tr>
      <w:tr w:rsidR="00544649" w14:paraId="650A4120" w14:textId="77777777">
        <w:trPr>
          <w:trHeight w:val="329"/>
          <w:jc w:val="center"/>
        </w:trPr>
        <w:tc>
          <w:tcPr>
            <w:tcW w:w="473" w:type="dxa"/>
            <w:vMerge/>
            <w:shd w:val="clear" w:color="auto" w:fill="auto"/>
            <w:vAlign w:val="center"/>
          </w:tcPr>
          <w:p w14:paraId="34B3AB3D" w14:textId="77777777" w:rsidR="00544649" w:rsidRDefault="00544649">
            <w:pPr>
              <w:pStyle w:val="aff7"/>
              <w:adjustRightInd w:val="0"/>
              <w:snapToGrid w:val="0"/>
              <w:spacing w:before="62" w:after="62"/>
              <w:rPr>
                <w:rFonts w:cs="Times New Roman"/>
                <w:kern w:val="21"/>
                <w:szCs w:val="21"/>
              </w:rPr>
            </w:pPr>
          </w:p>
        </w:tc>
        <w:tc>
          <w:tcPr>
            <w:tcW w:w="687" w:type="dxa"/>
            <w:vAlign w:val="center"/>
          </w:tcPr>
          <w:p w14:paraId="6BBD00D3"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蛋鸡场南侧</w:t>
            </w:r>
          </w:p>
        </w:tc>
        <w:tc>
          <w:tcPr>
            <w:tcW w:w="723" w:type="dxa"/>
            <w:shd w:val="clear" w:color="auto" w:fill="auto"/>
            <w:vAlign w:val="center"/>
          </w:tcPr>
          <w:p w14:paraId="4CD58B4C"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6</w:t>
            </w:r>
            <w:r>
              <w:rPr>
                <w:rFonts w:cs="Times New Roman"/>
                <w:kern w:val="21"/>
                <w:szCs w:val="21"/>
              </w:rPr>
              <w:t>#</w:t>
            </w:r>
            <w:r>
              <w:rPr>
                <w:rFonts w:cs="Times New Roman" w:hint="eastAsia"/>
                <w:kern w:val="21"/>
                <w:szCs w:val="21"/>
              </w:rPr>
              <w:t>水井</w:t>
            </w:r>
          </w:p>
        </w:tc>
        <w:tc>
          <w:tcPr>
            <w:tcW w:w="873" w:type="dxa"/>
            <w:shd w:val="clear" w:color="auto" w:fill="auto"/>
            <w:vAlign w:val="center"/>
          </w:tcPr>
          <w:p w14:paraId="374DCB2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557621.23</w:t>
            </w:r>
          </w:p>
        </w:tc>
        <w:tc>
          <w:tcPr>
            <w:tcW w:w="871" w:type="dxa"/>
            <w:shd w:val="clear" w:color="auto" w:fill="auto"/>
            <w:vAlign w:val="center"/>
          </w:tcPr>
          <w:p w14:paraId="3E76C01A"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3560271.15</w:t>
            </w:r>
          </w:p>
        </w:tc>
        <w:tc>
          <w:tcPr>
            <w:tcW w:w="727" w:type="dxa"/>
            <w:shd w:val="clear" w:color="auto" w:fill="auto"/>
            <w:vAlign w:val="center"/>
          </w:tcPr>
          <w:p w14:paraId="6CB47CBC"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南</w:t>
            </w:r>
          </w:p>
        </w:tc>
        <w:tc>
          <w:tcPr>
            <w:tcW w:w="875" w:type="dxa"/>
            <w:shd w:val="clear" w:color="auto" w:fill="auto"/>
            <w:vAlign w:val="center"/>
          </w:tcPr>
          <w:p w14:paraId="6322299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510</w:t>
            </w:r>
          </w:p>
        </w:tc>
        <w:tc>
          <w:tcPr>
            <w:tcW w:w="873" w:type="dxa"/>
            <w:shd w:val="clear" w:color="auto" w:fill="auto"/>
            <w:vAlign w:val="center"/>
          </w:tcPr>
          <w:p w14:paraId="30A251E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871" w:type="dxa"/>
            <w:shd w:val="clear" w:color="auto" w:fill="auto"/>
            <w:vAlign w:val="center"/>
          </w:tcPr>
          <w:p w14:paraId="5E2D192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1163" w:type="dxa"/>
            <w:shd w:val="clear" w:color="auto" w:fill="auto"/>
            <w:vAlign w:val="center"/>
          </w:tcPr>
          <w:p w14:paraId="0329FDC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1018" w:type="dxa"/>
            <w:vMerge/>
            <w:shd w:val="clear" w:color="auto" w:fill="auto"/>
            <w:vAlign w:val="center"/>
          </w:tcPr>
          <w:p w14:paraId="7CF884C4" w14:textId="77777777" w:rsidR="00544649" w:rsidRDefault="00544649">
            <w:pPr>
              <w:pStyle w:val="aff7"/>
              <w:adjustRightInd w:val="0"/>
              <w:snapToGrid w:val="0"/>
              <w:spacing w:before="62" w:after="62"/>
              <w:rPr>
                <w:rFonts w:cs="Times New Roman"/>
                <w:kern w:val="21"/>
                <w:szCs w:val="21"/>
              </w:rPr>
            </w:pPr>
          </w:p>
        </w:tc>
      </w:tr>
    </w:tbl>
    <w:p w14:paraId="55714503"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本项目周边外环境现场照片如下所示：</w:t>
      </w:r>
    </w:p>
    <w:p w14:paraId="542B26D0" w14:textId="1EA53752" w:rsidR="00544649" w:rsidRPr="007D51AC" w:rsidRDefault="007D51AC" w:rsidP="007D51AC">
      <w:pPr>
        <w:adjustRightInd w:val="0"/>
        <w:snapToGrid w:val="0"/>
        <w:spacing w:after="0"/>
        <w:ind w:firstLine="480"/>
        <w:rPr>
          <w:rFonts w:cs="Times New Roman"/>
          <w:kern w:val="21"/>
          <w:szCs w:val="24"/>
        </w:rPr>
      </w:pPr>
      <w:r>
        <w:rPr>
          <w:rFonts w:cs="Times New Roman" w:hint="eastAsia"/>
          <w:kern w:val="21"/>
          <w:szCs w:val="24"/>
        </w:rPr>
        <w:t>略。</w:t>
      </w:r>
    </w:p>
    <w:p w14:paraId="167CDB0C" w14:textId="77777777" w:rsidR="00544649" w:rsidRDefault="00000000">
      <w:pPr>
        <w:pStyle w:val="2"/>
        <w:numPr>
          <w:ilvl w:val="1"/>
          <w:numId w:val="2"/>
        </w:numPr>
        <w:adjustRightInd w:val="0"/>
        <w:snapToGrid w:val="0"/>
        <w:spacing w:after="0"/>
        <w:rPr>
          <w:rFonts w:cs="Times New Roman"/>
          <w:kern w:val="21"/>
        </w:rPr>
      </w:pPr>
      <w:bookmarkStart w:id="171" w:name="_Toc17083"/>
      <w:bookmarkStart w:id="172" w:name="_Toc195009818"/>
      <w:r>
        <w:rPr>
          <w:rFonts w:cs="Times New Roman"/>
          <w:kern w:val="21"/>
        </w:rPr>
        <w:lastRenderedPageBreak/>
        <w:t>污染控制目标</w:t>
      </w:r>
      <w:bookmarkEnd w:id="171"/>
      <w:bookmarkEnd w:id="172"/>
    </w:p>
    <w:p w14:paraId="4EEC1AE6" w14:textId="77777777" w:rsidR="00544649" w:rsidRDefault="00000000">
      <w:pPr>
        <w:pStyle w:val="3"/>
        <w:numPr>
          <w:ilvl w:val="2"/>
          <w:numId w:val="2"/>
        </w:numPr>
        <w:adjustRightInd w:val="0"/>
        <w:snapToGrid w:val="0"/>
        <w:spacing w:after="0"/>
        <w:rPr>
          <w:rFonts w:cs="Times New Roman"/>
          <w:kern w:val="21"/>
        </w:rPr>
      </w:pPr>
      <w:bookmarkStart w:id="173" w:name="_Toc4405"/>
      <w:bookmarkStart w:id="174" w:name="_Toc31931"/>
      <w:bookmarkStart w:id="175" w:name="_Toc195009819"/>
      <w:r>
        <w:rPr>
          <w:rFonts w:cs="Times New Roman"/>
          <w:kern w:val="21"/>
        </w:rPr>
        <w:t>施工期污染控制目标</w:t>
      </w:r>
      <w:bookmarkEnd w:id="173"/>
      <w:bookmarkEnd w:id="174"/>
      <w:bookmarkEnd w:id="175"/>
    </w:p>
    <w:p w14:paraId="52D0C497" w14:textId="77777777" w:rsidR="00544649" w:rsidRDefault="00000000">
      <w:pPr>
        <w:adjustRightInd w:val="0"/>
        <w:snapToGrid w:val="0"/>
        <w:spacing w:after="0"/>
        <w:ind w:firstLine="480"/>
        <w:rPr>
          <w:rFonts w:cs="Times New Roman"/>
          <w:kern w:val="21"/>
        </w:rPr>
      </w:pPr>
      <w:r>
        <w:rPr>
          <w:rFonts w:cs="Times New Roman"/>
          <w:kern w:val="21"/>
        </w:rPr>
        <w:t>施工期污染控制目标主要是控制设备安装过程中产生的噪声，工人生活产生的生活污水，对施工期产生的固体废弃物进行妥善处置。</w:t>
      </w:r>
    </w:p>
    <w:p w14:paraId="2E12C94C" w14:textId="77777777" w:rsidR="00544649" w:rsidRDefault="00000000">
      <w:pPr>
        <w:keepNext/>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施工期污染控制内容和目标</w:t>
      </w: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617"/>
        <w:gridCol w:w="4768"/>
      </w:tblGrid>
      <w:tr w:rsidR="00544649" w14:paraId="52293403" w14:textId="77777777">
        <w:trPr>
          <w:tblHeader/>
          <w:jc w:val="center"/>
        </w:trPr>
        <w:tc>
          <w:tcPr>
            <w:tcW w:w="670" w:type="dxa"/>
            <w:vAlign w:val="center"/>
          </w:tcPr>
          <w:p w14:paraId="21C1266D"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类别</w:t>
            </w:r>
          </w:p>
        </w:tc>
        <w:tc>
          <w:tcPr>
            <w:tcW w:w="3617" w:type="dxa"/>
            <w:vAlign w:val="center"/>
          </w:tcPr>
          <w:p w14:paraId="09EBF7D2"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影响因素</w:t>
            </w:r>
          </w:p>
        </w:tc>
        <w:tc>
          <w:tcPr>
            <w:tcW w:w="4768" w:type="dxa"/>
            <w:vAlign w:val="center"/>
          </w:tcPr>
          <w:p w14:paraId="3C8EED0F"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污染控制内容与目标</w:t>
            </w:r>
          </w:p>
        </w:tc>
      </w:tr>
      <w:tr w:rsidR="00544649" w14:paraId="3DE57C99" w14:textId="77777777">
        <w:trPr>
          <w:trHeight w:val="90"/>
          <w:jc w:val="center"/>
        </w:trPr>
        <w:tc>
          <w:tcPr>
            <w:tcW w:w="670" w:type="dxa"/>
            <w:vAlign w:val="center"/>
          </w:tcPr>
          <w:p w14:paraId="11BD2F9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废水</w:t>
            </w:r>
          </w:p>
        </w:tc>
        <w:tc>
          <w:tcPr>
            <w:tcW w:w="3617" w:type="dxa"/>
            <w:vAlign w:val="center"/>
          </w:tcPr>
          <w:p w14:paraId="21D72E7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施工过程中产生的生活污水</w:t>
            </w:r>
          </w:p>
        </w:tc>
        <w:tc>
          <w:tcPr>
            <w:tcW w:w="4768" w:type="dxa"/>
            <w:vAlign w:val="center"/>
          </w:tcPr>
          <w:p w14:paraId="571E3BB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生活污水依托现有</w:t>
            </w:r>
            <w:r>
              <w:rPr>
                <w:rFonts w:cs="Times New Roman" w:hint="eastAsia"/>
                <w:kern w:val="21"/>
                <w:sz w:val="21"/>
                <w:szCs w:val="21"/>
              </w:rPr>
              <w:t>工程已建化粪池</w:t>
            </w:r>
            <w:r>
              <w:rPr>
                <w:rFonts w:cs="Times New Roman"/>
                <w:kern w:val="21"/>
                <w:sz w:val="21"/>
                <w:szCs w:val="21"/>
              </w:rPr>
              <w:t>处理</w:t>
            </w:r>
          </w:p>
        </w:tc>
      </w:tr>
      <w:tr w:rsidR="00544649" w14:paraId="7E747A4F" w14:textId="77777777">
        <w:trPr>
          <w:jc w:val="center"/>
        </w:trPr>
        <w:tc>
          <w:tcPr>
            <w:tcW w:w="670" w:type="dxa"/>
            <w:vAlign w:val="center"/>
          </w:tcPr>
          <w:p w14:paraId="27E9DE5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废气</w:t>
            </w:r>
          </w:p>
        </w:tc>
        <w:tc>
          <w:tcPr>
            <w:tcW w:w="3617" w:type="dxa"/>
            <w:vAlign w:val="center"/>
          </w:tcPr>
          <w:p w14:paraId="5204550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设备安装过程、设备堆放及运输产生的扬尘</w:t>
            </w:r>
          </w:p>
        </w:tc>
        <w:tc>
          <w:tcPr>
            <w:tcW w:w="4768" w:type="dxa"/>
            <w:vAlign w:val="center"/>
          </w:tcPr>
          <w:p w14:paraId="0B3EACB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对施工场地扬尘采取设置围栏等措施，控制施工扬尘符合</w:t>
            </w:r>
            <w:r>
              <w:rPr>
                <w:rFonts w:cs="Times New Roman"/>
                <w:kern w:val="21"/>
                <w:sz w:val="21"/>
                <w:szCs w:val="21"/>
              </w:rPr>
              <w:t>DB51/2682-2020</w:t>
            </w:r>
            <w:r>
              <w:rPr>
                <w:rFonts w:cs="Times New Roman"/>
                <w:kern w:val="21"/>
                <w:sz w:val="21"/>
                <w:szCs w:val="21"/>
              </w:rPr>
              <w:t>的规定和要求</w:t>
            </w:r>
          </w:p>
        </w:tc>
      </w:tr>
      <w:tr w:rsidR="00544649" w14:paraId="0793E1EF" w14:textId="77777777">
        <w:trPr>
          <w:jc w:val="center"/>
        </w:trPr>
        <w:tc>
          <w:tcPr>
            <w:tcW w:w="670" w:type="dxa"/>
            <w:vAlign w:val="center"/>
          </w:tcPr>
          <w:p w14:paraId="558531B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噪声</w:t>
            </w:r>
          </w:p>
        </w:tc>
        <w:tc>
          <w:tcPr>
            <w:tcW w:w="3617" w:type="dxa"/>
            <w:vAlign w:val="center"/>
          </w:tcPr>
          <w:p w14:paraId="71D2286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施工设备安装机械和运输车辆噪声</w:t>
            </w:r>
          </w:p>
        </w:tc>
        <w:tc>
          <w:tcPr>
            <w:tcW w:w="4768" w:type="dxa"/>
            <w:vAlign w:val="center"/>
          </w:tcPr>
          <w:p w14:paraId="2664E43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合理安排施工时间，采用低噪声机械设备，控制施工机械噪声符合</w:t>
            </w:r>
            <w:r>
              <w:rPr>
                <w:rFonts w:cs="Times New Roman"/>
                <w:kern w:val="21"/>
                <w:sz w:val="21"/>
                <w:szCs w:val="21"/>
              </w:rPr>
              <w:t>GB12523-2011</w:t>
            </w:r>
            <w:r>
              <w:rPr>
                <w:rFonts w:cs="Times New Roman"/>
                <w:kern w:val="21"/>
                <w:sz w:val="21"/>
                <w:szCs w:val="21"/>
              </w:rPr>
              <w:t>的规定和要求</w:t>
            </w:r>
          </w:p>
        </w:tc>
      </w:tr>
      <w:tr w:rsidR="00544649" w14:paraId="7C4A466F" w14:textId="77777777">
        <w:trPr>
          <w:trHeight w:val="90"/>
          <w:jc w:val="center"/>
        </w:trPr>
        <w:tc>
          <w:tcPr>
            <w:tcW w:w="670" w:type="dxa"/>
            <w:vAlign w:val="center"/>
          </w:tcPr>
          <w:p w14:paraId="4F4F3A0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固体废物</w:t>
            </w:r>
          </w:p>
        </w:tc>
        <w:tc>
          <w:tcPr>
            <w:tcW w:w="3617" w:type="dxa"/>
            <w:vAlign w:val="center"/>
          </w:tcPr>
          <w:p w14:paraId="2D72253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施工产生</w:t>
            </w:r>
            <w:r>
              <w:rPr>
                <w:rFonts w:cs="Times New Roman" w:hint="eastAsia"/>
                <w:kern w:val="21"/>
                <w:sz w:val="21"/>
                <w:szCs w:val="21"/>
              </w:rPr>
              <w:t>废</w:t>
            </w:r>
            <w:r>
              <w:rPr>
                <w:rFonts w:cs="Times New Roman"/>
                <w:kern w:val="21"/>
                <w:sz w:val="21"/>
                <w:szCs w:val="21"/>
              </w:rPr>
              <w:t>包装材料</w:t>
            </w:r>
            <w:r>
              <w:rPr>
                <w:rFonts w:cs="Times New Roman" w:hint="eastAsia"/>
                <w:kern w:val="21"/>
                <w:sz w:val="21"/>
                <w:szCs w:val="21"/>
              </w:rPr>
              <w:t>、</w:t>
            </w:r>
            <w:r>
              <w:rPr>
                <w:rFonts w:cs="Times New Roman"/>
                <w:kern w:val="21"/>
                <w:sz w:val="21"/>
                <w:szCs w:val="21"/>
              </w:rPr>
              <w:t>生活垃圾</w:t>
            </w:r>
          </w:p>
        </w:tc>
        <w:tc>
          <w:tcPr>
            <w:tcW w:w="4768" w:type="dxa"/>
            <w:vAlign w:val="center"/>
          </w:tcPr>
          <w:p w14:paraId="0F098BF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制定完善的处置措施，禁止乱堆放。</w:t>
            </w:r>
          </w:p>
        </w:tc>
      </w:tr>
      <w:tr w:rsidR="00544649" w14:paraId="37B39A1D" w14:textId="77777777">
        <w:trPr>
          <w:jc w:val="center"/>
        </w:trPr>
        <w:tc>
          <w:tcPr>
            <w:tcW w:w="670" w:type="dxa"/>
            <w:vAlign w:val="center"/>
          </w:tcPr>
          <w:p w14:paraId="487CFEC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生态</w:t>
            </w:r>
          </w:p>
        </w:tc>
        <w:tc>
          <w:tcPr>
            <w:tcW w:w="3617" w:type="dxa"/>
            <w:vAlign w:val="center"/>
          </w:tcPr>
          <w:p w14:paraId="7E469B8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项目建设过程</w:t>
            </w:r>
          </w:p>
        </w:tc>
        <w:tc>
          <w:tcPr>
            <w:tcW w:w="4768" w:type="dxa"/>
            <w:vAlign w:val="center"/>
          </w:tcPr>
          <w:p w14:paraId="75C8E98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制定植被恢复措施，保护生态环境。恢复面积不小于破坏面积。</w:t>
            </w:r>
          </w:p>
        </w:tc>
      </w:tr>
    </w:tbl>
    <w:p w14:paraId="002C1BB0" w14:textId="77777777" w:rsidR="00544649" w:rsidRDefault="00000000">
      <w:pPr>
        <w:pStyle w:val="3"/>
        <w:numPr>
          <w:ilvl w:val="2"/>
          <w:numId w:val="2"/>
        </w:numPr>
        <w:adjustRightInd w:val="0"/>
        <w:snapToGrid w:val="0"/>
        <w:spacing w:after="0"/>
        <w:rPr>
          <w:rFonts w:cs="Times New Roman"/>
          <w:kern w:val="21"/>
        </w:rPr>
      </w:pPr>
      <w:bookmarkStart w:id="176" w:name="_Toc25105"/>
      <w:bookmarkStart w:id="177" w:name="_Toc3813"/>
      <w:bookmarkStart w:id="178" w:name="_Toc195009820"/>
      <w:r>
        <w:rPr>
          <w:rFonts w:cs="Times New Roman"/>
          <w:kern w:val="21"/>
        </w:rPr>
        <w:t>营运</w:t>
      </w:r>
      <w:proofErr w:type="gramStart"/>
      <w:r>
        <w:rPr>
          <w:rFonts w:cs="Times New Roman"/>
          <w:kern w:val="21"/>
        </w:rPr>
        <w:t>期污染</w:t>
      </w:r>
      <w:proofErr w:type="gramEnd"/>
      <w:r>
        <w:rPr>
          <w:rFonts w:cs="Times New Roman"/>
          <w:kern w:val="21"/>
        </w:rPr>
        <w:t>控制目标</w:t>
      </w:r>
      <w:bookmarkEnd w:id="176"/>
      <w:bookmarkEnd w:id="177"/>
      <w:bookmarkEnd w:id="178"/>
    </w:p>
    <w:p w14:paraId="372ED78D" w14:textId="77777777" w:rsidR="00544649" w:rsidRDefault="00000000">
      <w:pPr>
        <w:adjustRightInd w:val="0"/>
        <w:snapToGrid w:val="0"/>
        <w:spacing w:after="0"/>
        <w:ind w:firstLine="480"/>
        <w:rPr>
          <w:rFonts w:cs="Times New Roman"/>
          <w:kern w:val="21"/>
          <w:szCs w:val="24"/>
        </w:rPr>
      </w:pPr>
      <w:r>
        <w:rPr>
          <w:rFonts w:cs="Times New Roman"/>
          <w:kern w:val="21"/>
          <w:szCs w:val="24"/>
        </w:rPr>
        <w:t>营运</w:t>
      </w:r>
      <w:proofErr w:type="gramStart"/>
      <w:r>
        <w:rPr>
          <w:rFonts w:cs="Times New Roman"/>
          <w:kern w:val="21"/>
          <w:szCs w:val="24"/>
        </w:rPr>
        <w:t>期污染</w:t>
      </w:r>
      <w:proofErr w:type="gramEnd"/>
      <w:r>
        <w:rPr>
          <w:rFonts w:cs="Times New Roman"/>
          <w:kern w:val="21"/>
          <w:szCs w:val="24"/>
        </w:rPr>
        <w:t>控制目标是废水、废气、噪声和固体废弃物的排放，必须控制在国家和地方制定的排放标准允许的范围内，具体如下表所示。</w:t>
      </w:r>
    </w:p>
    <w:p w14:paraId="1B1000F0"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kern w:val="21"/>
        </w:rPr>
      </w:pPr>
      <w:r>
        <w:rPr>
          <w:rFonts w:cs="Times New Roman"/>
          <w:b/>
          <w:bCs/>
          <w:kern w:val="21"/>
          <w:sz w:val="21"/>
        </w:rPr>
        <w:t>营运</w:t>
      </w:r>
      <w:proofErr w:type="gramStart"/>
      <w:r>
        <w:rPr>
          <w:rFonts w:cs="Times New Roman"/>
          <w:b/>
          <w:bCs/>
          <w:kern w:val="21"/>
          <w:sz w:val="21"/>
        </w:rPr>
        <w:t>期污染</w:t>
      </w:r>
      <w:proofErr w:type="gramEnd"/>
      <w:r>
        <w:rPr>
          <w:rFonts w:cs="Times New Roman"/>
          <w:b/>
          <w:bCs/>
          <w:kern w:val="21"/>
          <w:sz w:val="21"/>
        </w:rPr>
        <w:t>控制内容和目标</w:t>
      </w:r>
    </w:p>
    <w:tbl>
      <w:tblPr>
        <w:tblW w:w="90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07"/>
        <w:gridCol w:w="1366"/>
        <w:gridCol w:w="1850"/>
        <w:gridCol w:w="3100"/>
        <w:gridCol w:w="2337"/>
      </w:tblGrid>
      <w:tr w:rsidR="00544649" w14:paraId="024FF521" w14:textId="77777777">
        <w:trPr>
          <w:tblHeader/>
          <w:jc w:val="center"/>
        </w:trPr>
        <w:tc>
          <w:tcPr>
            <w:tcW w:w="1773" w:type="dxa"/>
            <w:gridSpan w:val="2"/>
            <w:vAlign w:val="center"/>
          </w:tcPr>
          <w:p w14:paraId="5000A857"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污染类别</w:t>
            </w:r>
          </w:p>
        </w:tc>
        <w:tc>
          <w:tcPr>
            <w:tcW w:w="1850" w:type="dxa"/>
            <w:vAlign w:val="center"/>
          </w:tcPr>
          <w:p w14:paraId="4446F170"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主要污染物</w:t>
            </w:r>
          </w:p>
        </w:tc>
        <w:tc>
          <w:tcPr>
            <w:tcW w:w="3100" w:type="dxa"/>
            <w:vAlign w:val="center"/>
          </w:tcPr>
          <w:p w14:paraId="70A93BBD"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控制措施</w:t>
            </w:r>
          </w:p>
        </w:tc>
        <w:tc>
          <w:tcPr>
            <w:tcW w:w="2337" w:type="dxa"/>
            <w:vAlign w:val="center"/>
          </w:tcPr>
          <w:p w14:paraId="2765AAA3"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控制目标</w:t>
            </w:r>
          </w:p>
        </w:tc>
      </w:tr>
      <w:tr w:rsidR="00544649" w14:paraId="5A39CFC6" w14:textId="77777777">
        <w:trPr>
          <w:trHeight w:val="90"/>
          <w:jc w:val="center"/>
        </w:trPr>
        <w:tc>
          <w:tcPr>
            <w:tcW w:w="407" w:type="dxa"/>
            <w:vMerge w:val="restart"/>
            <w:vAlign w:val="center"/>
          </w:tcPr>
          <w:p w14:paraId="507B922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废气</w:t>
            </w:r>
          </w:p>
        </w:tc>
        <w:tc>
          <w:tcPr>
            <w:tcW w:w="1366" w:type="dxa"/>
            <w:vAlign w:val="center"/>
          </w:tcPr>
          <w:p w14:paraId="2FA2F7F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鸡舍</w:t>
            </w:r>
            <w:r>
              <w:rPr>
                <w:rFonts w:cs="Times New Roman" w:hint="eastAsia"/>
                <w:kern w:val="21"/>
                <w:sz w:val="21"/>
                <w:szCs w:val="21"/>
              </w:rPr>
              <w:t>恶臭</w:t>
            </w:r>
          </w:p>
        </w:tc>
        <w:tc>
          <w:tcPr>
            <w:tcW w:w="1850" w:type="dxa"/>
            <w:vAlign w:val="center"/>
          </w:tcPr>
          <w:p w14:paraId="1A0F19F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NH</w:t>
            </w:r>
            <w:r>
              <w:rPr>
                <w:rFonts w:cs="Times New Roman" w:hint="eastAsia"/>
                <w:kern w:val="21"/>
                <w:sz w:val="21"/>
                <w:szCs w:val="21"/>
                <w:vertAlign w:val="subscript"/>
              </w:rPr>
              <w:t>3</w:t>
            </w:r>
            <w:r>
              <w:rPr>
                <w:rFonts w:cs="Times New Roman" w:hint="eastAsia"/>
                <w:kern w:val="21"/>
                <w:sz w:val="21"/>
                <w:szCs w:val="21"/>
              </w:rPr>
              <w:t>、</w:t>
            </w:r>
            <w:r>
              <w:rPr>
                <w:rFonts w:cs="Times New Roman" w:hint="eastAsia"/>
                <w:kern w:val="21"/>
                <w:sz w:val="21"/>
                <w:szCs w:val="21"/>
              </w:rPr>
              <w:t>H</w:t>
            </w:r>
            <w:r>
              <w:rPr>
                <w:rFonts w:cs="Times New Roman" w:hint="eastAsia"/>
                <w:kern w:val="21"/>
                <w:sz w:val="21"/>
                <w:szCs w:val="21"/>
                <w:vertAlign w:val="subscript"/>
              </w:rPr>
              <w:t>2</w:t>
            </w:r>
            <w:r>
              <w:rPr>
                <w:rFonts w:cs="Times New Roman" w:hint="eastAsia"/>
                <w:kern w:val="21"/>
                <w:sz w:val="21"/>
                <w:szCs w:val="21"/>
              </w:rPr>
              <w:t>S</w:t>
            </w:r>
            <w:r>
              <w:rPr>
                <w:rFonts w:cs="Times New Roman" w:hint="eastAsia"/>
                <w:kern w:val="21"/>
                <w:sz w:val="21"/>
                <w:szCs w:val="21"/>
              </w:rPr>
              <w:t>、臭气浓度</w:t>
            </w:r>
          </w:p>
        </w:tc>
        <w:tc>
          <w:tcPr>
            <w:tcW w:w="3100" w:type="dxa"/>
            <w:vAlign w:val="center"/>
          </w:tcPr>
          <w:p w14:paraId="5063054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喷洒除臭剂、鸡粪日产日清、合理使用鸡饲料等</w:t>
            </w:r>
          </w:p>
        </w:tc>
        <w:tc>
          <w:tcPr>
            <w:tcW w:w="2337" w:type="dxa"/>
            <w:vMerge w:val="restart"/>
            <w:vAlign w:val="center"/>
          </w:tcPr>
          <w:p w14:paraId="01CE164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废气符合</w:t>
            </w:r>
            <w:r>
              <w:rPr>
                <w:rFonts w:cs="Times New Roman" w:hint="eastAsia"/>
                <w:kern w:val="21"/>
                <w:sz w:val="21"/>
                <w:szCs w:val="21"/>
              </w:rPr>
              <w:t>《恶臭污染物排放标准》（</w:t>
            </w:r>
            <w:r>
              <w:rPr>
                <w:rFonts w:cs="Times New Roman"/>
                <w:kern w:val="21"/>
                <w:sz w:val="21"/>
                <w:szCs w:val="21"/>
              </w:rPr>
              <w:t>GB14554-93</w:t>
            </w:r>
            <w:r>
              <w:rPr>
                <w:rFonts w:cs="Times New Roman" w:hint="eastAsia"/>
                <w:kern w:val="21"/>
                <w:sz w:val="21"/>
                <w:szCs w:val="21"/>
              </w:rPr>
              <w:t>）</w:t>
            </w:r>
            <w:r>
              <w:rPr>
                <w:rFonts w:cs="Times New Roman"/>
                <w:kern w:val="21"/>
                <w:sz w:val="21"/>
                <w:szCs w:val="21"/>
              </w:rPr>
              <w:t>中的规定和要求</w:t>
            </w:r>
          </w:p>
        </w:tc>
      </w:tr>
      <w:tr w:rsidR="00544649" w14:paraId="6548FEBF" w14:textId="77777777">
        <w:trPr>
          <w:trHeight w:val="90"/>
          <w:jc w:val="center"/>
        </w:trPr>
        <w:tc>
          <w:tcPr>
            <w:tcW w:w="407" w:type="dxa"/>
            <w:vMerge/>
            <w:vAlign w:val="center"/>
          </w:tcPr>
          <w:p w14:paraId="76E4D64A"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Align w:val="center"/>
          </w:tcPr>
          <w:p w14:paraId="43FDD34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污水处理站恶臭</w:t>
            </w:r>
          </w:p>
        </w:tc>
        <w:tc>
          <w:tcPr>
            <w:tcW w:w="1850" w:type="dxa"/>
            <w:vAlign w:val="center"/>
          </w:tcPr>
          <w:p w14:paraId="7B9F81D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NH</w:t>
            </w:r>
            <w:r>
              <w:rPr>
                <w:rFonts w:cs="Times New Roman" w:hint="eastAsia"/>
                <w:kern w:val="21"/>
                <w:sz w:val="21"/>
                <w:szCs w:val="21"/>
                <w:vertAlign w:val="subscript"/>
              </w:rPr>
              <w:t>3</w:t>
            </w:r>
            <w:r>
              <w:rPr>
                <w:rFonts w:cs="Times New Roman" w:hint="eastAsia"/>
                <w:kern w:val="21"/>
                <w:sz w:val="21"/>
                <w:szCs w:val="21"/>
              </w:rPr>
              <w:t>、</w:t>
            </w:r>
            <w:r>
              <w:rPr>
                <w:rFonts w:cs="Times New Roman" w:hint="eastAsia"/>
                <w:kern w:val="21"/>
                <w:sz w:val="21"/>
                <w:szCs w:val="21"/>
              </w:rPr>
              <w:t>H</w:t>
            </w:r>
            <w:r>
              <w:rPr>
                <w:rFonts w:cs="Times New Roman" w:hint="eastAsia"/>
                <w:kern w:val="21"/>
                <w:sz w:val="21"/>
                <w:szCs w:val="21"/>
                <w:vertAlign w:val="subscript"/>
              </w:rPr>
              <w:t>2</w:t>
            </w:r>
            <w:r>
              <w:rPr>
                <w:rFonts w:cs="Times New Roman" w:hint="eastAsia"/>
                <w:kern w:val="21"/>
                <w:sz w:val="21"/>
                <w:szCs w:val="21"/>
              </w:rPr>
              <w:t>S</w:t>
            </w:r>
            <w:r>
              <w:rPr>
                <w:rFonts w:cs="Times New Roman" w:hint="eastAsia"/>
                <w:kern w:val="21"/>
                <w:sz w:val="21"/>
                <w:szCs w:val="21"/>
              </w:rPr>
              <w:t>、臭气浓度</w:t>
            </w:r>
          </w:p>
        </w:tc>
        <w:tc>
          <w:tcPr>
            <w:tcW w:w="3100" w:type="dxa"/>
            <w:vAlign w:val="center"/>
          </w:tcPr>
          <w:p w14:paraId="31450BA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经收集处理后达标排放</w:t>
            </w:r>
          </w:p>
        </w:tc>
        <w:tc>
          <w:tcPr>
            <w:tcW w:w="2337" w:type="dxa"/>
            <w:vMerge/>
            <w:vAlign w:val="center"/>
          </w:tcPr>
          <w:p w14:paraId="40DC7A34"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7D3E6108" w14:textId="77777777">
        <w:trPr>
          <w:trHeight w:val="90"/>
          <w:jc w:val="center"/>
        </w:trPr>
        <w:tc>
          <w:tcPr>
            <w:tcW w:w="407" w:type="dxa"/>
            <w:vMerge/>
            <w:vAlign w:val="center"/>
          </w:tcPr>
          <w:p w14:paraId="3C61C7C5"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Align w:val="center"/>
          </w:tcPr>
          <w:p w14:paraId="0E39970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锅炉废气</w:t>
            </w:r>
          </w:p>
        </w:tc>
        <w:tc>
          <w:tcPr>
            <w:tcW w:w="1850" w:type="dxa"/>
            <w:vAlign w:val="center"/>
          </w:tcPr>
          <w:p w14:paraId="5262AAF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SO</w:t>
            </w:r>
            <w:r>
              <w:rPr>
                <w:rFonts w:cs="Times New Roman" w:hint="eastAsia"/>
                <w:kern w:val="21"/>
                <w:sz w:val="21"/>
                <w:szCs w:val="21"/>
                <w:vertAlign w:val="subscript"/>
              </w:rPr>
              <w:t>2</w:t>
            </w:r>
            <w:r>
              <w:rPr>
                <w:rFonts w:cs="Times New Roman" w:hint="eastAsia"/>
                <w:kern w:val="21"/>
                <w:sz w:val="21"/>
                <w:szCs w:val="21"/>
              </w:rPr>
              <w:t>、</w:t>
            </w:r>
            <w:r>
              <w:rPr>
                <w:rFonts w:cs="Times New Roman" w:hint="eastAsia"/>
                <w:kern w:val="21"/>
                <w:sz w:val="21"/>
                <w:szCs w:val="21"/>
              </w:rPr>
              <w:t>NOx</w:t>
            </w:r>
            <w:r>
              <w:rPr>
                <w:rFonts w:cs="Times New Roman" w:hint="eastAsia"/>
                <w:kern w:val="21"/>
                <w:sz w:val="21"/>
                <w:szCs w:val="21"/>
              </w:rPr>
              <w:t>、颗粒物</w:t>
            </w:r>
          </w:p>
        </w:tc>
        <w:tc>
          <w:tcPr>
            <w:tcW w:w="3100" w:type="dxa"/>
            <w:vAlign w:val="center"/>
          </w:tcPr>
          <w:p w14:paraId="2E44FED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经锅炉排气筒达标排放</w:t>
            </w:r>
          </w:p>
        </w:tc>
        <w:tc>
          <w:tcPr>
            <w:tcW w:w="2337" w:type="dxa"/>
            <w:vAlign w:val="center"/>
          </w:tcPr>
          <w:p w14:paraId="27F1AB1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《锅炉大气污染物排放标准》（</w:t>
            </w:r>
            <w:r>
              <w:rPr>
                <w:rFonts w:cs="Times New Roman" w:hint="eastAsia"/>
                <w:kern w:val="21"/>
                <w:sz w:val="21"/>
                <w:szCs w:val="21"/>
              </w:rPr>
              <w:t>GB13271-2014</w:t>
            </w:r>
            <w:r>
              <w:rPr>
                <w:rFonts w:cs="Times New Roman" w:hint="eastAsia"/>
                <w:kern w:val="21"/>
                <w:sz w:val="21"/>
                <w:szCs w:val="21"/>
              </w:rPr>
              <w:t>）</w:t>
            </w:r>
          </w:p>
        </w:tc>
      </w:tr>
      <w:tr w:rsidR="00544649" w14:paraId="5278B245" w14:textId="77777777">
        <w:trPr>
          <w:trHeight w:val="360"/>
          <w:jc w:val="center"/>
        </w:trPr>
        <w:tc>
          <w:tcPr>
            <w:tcW w:w="407" w:type="dxa"/>
            <w:vAlign w:val="center"/>
          </w:tcPr>
          <w:p w14:paraId="5D1D668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废水</w:t>
            </w:r>
          </w:p>
        </w:tc>
        <w:tc>
          <w:tcPr>
            <w:tcW w:w="1366" w:type="dxa"/>
            <w:vAlign w:val="center"/>
          </w:tcPr>
          <w:p w14:paraId="4BF2C47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餐厨废水、</w:t>
            </w:r>
            <w:r>
              <w:rPr>
                <w:rFonts w:cs="Times New Roman"/>
                <w:kern w:val="21"/>
                <w:sz w:val="21"/>
                <w:szCs w:val="21"/>
              </w:rPr>
              <w:t>生活污水</w:t>
            </w:r>
            <w:r>
              <w:rPr>
                <w:rFonts w:cs="Times New Roman" w:hint="eastAsia"/>
                <w:kern w:val="21"/>
                <w:sz w:val="21"/>
                <w:szCs w:val="21"/>
              </w:rPr>
              <w:t>、鸡舍冲洗废水、鸡蛋清洗废水</w:t>
            </w:r>
          </w:p>
        </w:tc>
        <w:tc>
          <w:tcPr>
            <w:tcW w:w="1850" w:type="dxa"/>
            <w:vAlign w:val="center"/>
          </w:tcPr>
          <w:p w14:paraId="3B682CB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SS</w:t>
            </w:r>
            <w:r>
              <w:rPr>
                <w:rFonts w:cs="Times New Roman"/>
                <w:kern w:val="21"/>
                <w:sz w:val="21"/>
                <w:szCs w:val="21"/>
              </w:rPr>
              <w:t>、</w:t>
            </w:r>
            <w:r>
              <w:rPr>
                <w:rFonts w:cs="Times New Roman"/>
                <w:kern w:val="21"/>
                <w:sz w:val="21"/>
                <w:szCs w:val="21"/>
              </w:rPr>
              <w:t>COD</w:t>
            </w:r>
            <w:r>
              <w:rPr>
                <w:rFonts w:cs="Times New Roman"/>
                <w:kern w:val="21"/>
                <w:sz w:val="21"/>
                <w:szCs w:val="21"/>
              </w:rPr>
              <w:t>、</w:t>
            </w:r>
            <w:r>
              <w:rPr>
                <w:rFonts w:cs="Times New Roman"/>
                <w:kern w:val="21"/>
                <w:sz w:val="21"/>
                <w:szCs w:val="21"/>
              </w:rPr>
              <w:t>BOD</w:t>
            </w:r>
            <w:r>
              <w:rPr>
                <w:rFonts w:cs="Times New Roman"/>
                <w:kern w:val="21"/>
                <w:sz w:val="21"/>
                <w:szCs w:val="21"/>
                <w:vertAlign w:val="subscript"/>
              </w:rPr>
              <w:t>5</w:t>
            </w:r>
            <w:r>
              <w:rPr>
                <w:rFonts w:cs="Times New Roman"/>
                <w:kern w:val="21"/>
                <w:sz w:val="21"/>
                <w:szCs w:val="21"/>
              </w:rPr>
              <w:t>、氨氮、总磷</w:t>
            </w:r>
          </w:p>
        </w:tc>
        <w:tc>
          <w:tcPr>
            <w:tcW w:w="3100" w:type="dxa"/>
            <w:vAlign w:val="center"/>
          </w:tcPr>
          <w:p w14:paraId="26889C1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经场内污水处理站处理《农田灌溉水质标准》（</w:t>
            </w:r>
            <w:r>
              <w:rPr>
                <w:rFonts w:cs="Times New Roman" w:hint="eastAsia"/>
                <w:kern w:val="21"/>
                <w:sz w:val="21"/>
                <w:szCs w:val="21"/>
              </w:rPr>
              <w:t>GB5084-2021</w:t>
            </w:r>
            <w:r>
              <w:rPr>
                <w:rFonts w:cs="Times New Roman" w:hint="eastAsia"/>
                <w:kern w:val="21"/>
                <w:sz w:val="21"/>
                <w:szCs w:val="21"/>
              </w:rPr>
              <w:t>）</w:t>
            </w:r>
            <w:proofErr w:type="gramStart"/>
            <w:r>
              <w:rPr>
                <w:rFonts w:cs="Times New Roman" w:hint="eastAsia"/>
                <w:kern w:val="21"/>
                <w:sz w:val="21"/>
                <w:szCs w:val="21"/>
              </w:rPr>
              <w:t>中旱作</w:t>
            </w:r>
            <w:proofErr w:type="gramEnd"/>
            <w:r>
              <w:rPr>
                <w:rFonts w:cs="Times New Roman" w:hint="eastAsia"/>
                <w:kern w:val="21"/>
                <w:sz w:val="21"/>
                <w:szCs w:val="21"/>
              </w:rPr>
              <w:t>标准后用于林地灌溉，不外排</w:t>
            </w:r>
          </w:p>
        </w:tc>
        <w:tc>
          <w:tcPr>
            <w:tcW w:w="2337" w:type="dxa"/>
            <w:vAlign w:val="center"/>
          </w:tcPr>
          <w:p w14:paraId="61D8BA8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《农田灌溉水质标准》（</w:t>
            </w:r>
            <w:r>
              <w:rPr>
                <w:rFonts w:cs="Times New Roman" w:hint="eastAsia"/>
                <w:kern w:val="21"/>
                <w:sz w:val="21"/>
                <w:szCs w:val="21"/>
              </w:rPr>
              <w:t>GB5084-2021</w:t>
            </w:r>
            <w:r>
              <w:rPr>
                <w:rFonts w:cs="Times New Roman" w:hint="eastAsia"/>
                <w:kern w:val="21"/>
                <w:sz w:val="21"/>
                <w:szCs w:val="21"/>
              </w:rPr>
              <w:t>）</w:t>
            </w:r>
          </w:p>
        </w:tc>
      </w:tr>
      <w:tr w:rsidR="00544649" w14:paraId="243B5C13" w14:textId="77777777">
        <w:trPr>
          <w:trHeight w:val="90"/>
          <w:jc w:val="center"/>
        </w:trPr>
        <w:tc>
          <w:tcPr>
            <w:tcW w:w="407" w:type="dxa"/>
            <w:vMerge w:val="restart"/>
            <w:vAlign w:val="center"/>
          </w:tcPr>
          <w:p w14:paraId="7B5BEA1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固废</w:t>
            </w:r>
          </w:p>
        </w:tc>
        <w:tc>
          <w:tcPr>
            <w:tcW w:w="1366" w:type="dxa"/>
            <w:vAlign w:val="center"/>
          </w:tcPr>
          <w:p w14:paraId="10314DB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鸡粪</w:t>
            </w:r>
          </w:p>
        </w:tc>
        <w:tc>
          <w:tcPr>
            <w:tcW w:w="1850" w:type="dxa"/>
            <w:vAlign w:val="center"/>
          </w:tcPr>
          <w:p w14:paraId="4E7EACE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3100" w:type="dxa"/>
            <w:tcBorders>
              <w:bottom w:val="single" w:sz="4" w:space="0" w:color="auto"/>
            </w:tcBorders>
            <w:vAlign w:val="center"/>
          </w:tcPr>
          <w:p w14:paraId="6CBC3B29" w14:textId="77777777" w:rsidR="00544649" w:rsidRDefault="00000000">
            <w:pPr>
              <w:adjustRightInd w:val="0"/>
              <w:snapToGrid w:val="0"/>
              <w:spacing w:beforeLines="20" w:before="62" w:afterLines="20" w:after="62" w:line="240" w:lineRule="auto"/>
              <w:ind w:firstLine="420"/>
              <w:jc w:val="center"/>
              <w:rPr>
                <w:rFonts w:cs="Times New Roman"/>
                <w:kern w:val="21"/>
                <w:sz w:val="21"/>
                <w:szCs w:val="21"/>
              </w:rPr>
            </w:pPr>
            <w:r>
              <w:rPr>
                <w:rFonts w:cs="Times New Roman"/>
                <w:kern w:val="21"/>
                <w:sz w:val="21"/>
                <w:szCs w:val="21"/>
              </w:rPr>
              <w:t>交由</w:t>
            </w:r>
            <w:r>
              <w:rPr>
                <w:rFonts w:cs="Times New Roman" w:hint="eastAsia"/>
                <w:kern w:val="21"/>
                <w:sz w:val="21"/>
                <w:szCs w:val="21"/>
              </w:rPr>
              <w:t>四川省田宝生物科技有限公司</w:t>
            </w:r>
            <w:r>
              <w:rPr>
                <w:rFonts w:cs="Times New Roman"/>
                <w:kern w:val="21"/>
                <w:sz w:val="21"/>
                <w:szCs w:val="21"/>
              </w:rPr>
              <w:t>进行有机肥生产</w:t>
            </w:r>
          </w:p>
        </w:tc>
        <w:tc>
          <w:tcPr>
            <w:tcW w:w="2337" w:type="dxa"/>
            <w:vMerge w:val="restart"/>
            <w:vAlign w:val="center"/>
          </w:tcPr>
          <w:p w14:paraId="0C368FE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处置率达</w:t>
            </w:r>
            <w:r>
              <w:rPr>
                <w:rFonts w:cs="Times New Roman"/>
                <w:kern w:val="21"/>
                <w:sz w:val="21"/>
                <w:szCs w:val="21"/>
              </w:rPr>
              <w:t>100%</w:t>
            </w:r>
          </w:p>
        </w:tc>
      </w:tr>
      <w:tr w:rsidR="00544649" w14:paraId="4F44F711" w14:textId="77777777">
        <w:trPr>
          <w:trHeight w:val="90"/>
          <w:jc w:val="center"/>
        </w:trPr>
        <w:tc>
          <w:tcPr>
            <w:tcW w:w="407" w:type="dxa"/>
            <w:vMerge/>
            <w:vAlign w:val="center"/>
          </w:tcPr>
          <w:p w14:paraId="1447FF80"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Align w:val="center"/>
          </w:tcPr>
          <w:p w14:paraId="292186A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饲料残渣</w:t>
            </w:r>
          </w:p>
        </w:tc>
        <w:tc>
          <w:tcPr>
            <w:tcW w:w="1850" w:type="dxa"/>
            <w:vAlign w:val="center"/>
          </w:tcPr>
          <w:p w14:paraId="063679A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3100" w:type="dxa"/>
            <w:vMerge w:val="restart"/>
            <w:tcBorders>
              <w:top w:val="single" w:sz="4" w:space="0" w:color="auto"/>
            </w:tcBorders>
            <w:vAlign w:val="center"/>
          </w:tcPr>
          <w:p w14:paraId="72E5A0C1" w14:textId="77777777" w:rsidR="00544649" w:rsidRDefault="00000000">
            <w:pPr>
              <w:adjustRightInd w:val="0"/>
              <w:snapToGrid w:val="0"/>
              <w:spacing w:beforeLines="20" w:before="62" w:afterLines="20" w:after="62" w:line="240" w:lineRule="auto"/>
              <w:ind w:firstLine="420"/>
              <w:jc w:val="center"/>
              <w:rPr>
                <w:rFonts w:cs="Times New Roman"/>
                <w:kern w:val="21"/>
                <w:sz w:val="21"/>
                <w:szCs w:val="21"/>
              </w:rPr>
            </w:pPr>
            <w:r>
              <w:rPr>
                <w:rFonts w:cs="Times New Roman"/>
                <w:kern w:val="21"/>
                <w:sz w:val="21"/>
                <w:szCs w:val="21"/>
              </w:rPr>
              <w:t>交由</w:t>
            </w:r>
            <w:r>
              <w:rPr>
                <w:rFonts w:cs="Times New Roman" w:hint="eastAsia"/>
                <w:kern w:val="21"/>
                <w:sz w:val="21"/>
                <w:szCs w:val="21"/>
              </w:rPr>
              <w:t>有处理能力的公司</w:t>
            </w:r>
            <w:r>
              <w:rPr>
                <w:rFonts w:cs="Times New Roman"/>
                <w:kern w:val="21"/>
                <w:sz w:val="21"/>
                <w:szCs w:val="21"/>
              </w:rPr>
              <w:t>进行有机肥生产</w:t>
            </w:r>
          </w:p>
        </w:tc>
        <w:tc>
          <w:tcPr>
            <w:tcW w:w="2337" w:type="dxa"/>
            <w:vMerge/>
            <w:vAlign w:val="center"/>
          </w:tcPr>
          <w:p w14:paraId="6E5508F1"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54059830" w14:textId="77777777">
        <w:trPr>
          <w:trHeight w:val="90"/>
          <w:jc w:val="center"/>
        </w:trPr>
        <w:tc>
          <w:tcPr>
            <w:tcW w:w="407" w:type="dxa"/>
            <w:vMerge/>
            <w:vAlign w:val="center"/>
          </w:tcPr>
          <w:p w14:paraId="23C72836"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Align w:val="center"/>
          </w:tcPr>
          <w:p w14:paraId="2A5E5BB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散落羽毛</w:t>
            </w:r>
          </w:p>
        </w:tc>
        <w:tc>
          <w:tcPr>
            <w:tcW w:w="1850" w:type="dxa"/>
            <w:vAlign w:val="center"/>
          </w:tcPr>
          <w:p w14:paraId="00F1228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3100" w:type="dxa"/>
            <w:vMerge/>
            <w:vAlign w:val="center"/>
          </w:tcPr>
          <w:p w14:paraId="3DC61425"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2337" w:type="dxa"/>
            <w:vMerge/>
            <w:vAlign w:val="center"/>
          </w:tcPr>
          <w:p w14:paraId="72FFA263"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2D332818" w14:textId="77777777">
        <w:trPr>
          <w:trHeight w:val="90"/>
          <w:jc w:val="center"/>
        </w:trPr>
        <w:tc>
          <w:tcPr>
            <w:tcW w:w="407" w:type="dxa"/>
            <w:vMerge/>
            <w:vAlign w:val="center"/>
          </w:tcPr>
          <w:p w14:paraId="75AC5CC0"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Align w:val="center"/>
          </w:tcPr>
          <w:p w14:paraId="706F207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不合格鸡蛋</w:t>
            </w:r>
          </w:p>
        </w:tc>
        <w:tc>
          <w:tcPr>
            <w:tcW w:w="1850" w:type="dxa"/>
            <w:vAlign w:val="center"/>
          </w:tcPr>
          <w:p w14:paraId="723E6D9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3100" w:type="dxa"/>
            <w:vMerge/>
            <w:vAlign w:val="center"/>
          </w:tcPr>
          <w:p w14:paraId="5FFF48BE"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2337" w:type="dxa"/>
            <w:vMerge/>
            <w:vAlign w:val="center"/>
          </w:tcPr>
          <w:p w14:paraId="5F9689D9"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0737F70D" w14:textId="77777777">
        <w:trPr>
          <w:trHeight w:val="90"/>
          <w:jc w:val="center"/>
        </w:trPr>
        <w:tc>
          <w:tcPr>
            <w:tcW w:w="407" w:type="dxa"/>
            <w:vMerge/>
            <w:vAlign w:val="center"/>
          </w:tcPr>
          <w:p w14:paraId="1E95E78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Align w:val="center"/>
          </w:tcPr>
          <w:p w14:paraId="77DFF27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蛋鸡舍垫料</w:t>
            </w:r>
          </w:p>
        </w:tc>
        <w:tc>
          <w:tcPr>
            <w:tcW w:w="1850" w:type="dxa"/>
            <w:vAlign w:val="center"/>
          </w:tcPr>
          <w:p w14:paraId="6565C9E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w:t>
            </w:r>
          </w:p>
        </w:tc>
        <w:tc>
          <w:tcPr>
            <w:tcW w:w="3100" w:type="dxa"/>
            <w:vMerge/>
            <w:vAlign w:val="center"/>
          </w:tcPr>
          <w:p w14:paraId="0D0044F8"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2337" w:type="dxa"/>
            <w:vMerge/>
            <w:vAlign w:val="center"/>
          </w:tcPr>
          <w:p w14:paraId="5E62969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530C6E3B" w14:textId="77777777">
        <w:trPr>
          <w:trHeight w:val="90"/>
          <w:jc w:val="center"/>
        </w:trPr>
        <w:tc>
          <w:tcPr>
            <w:tcW w:w="407" w:type="dxa"/>
            <w:vMerge/>
            <w:vAlign w:val="center"/>
          </w:tcPr>
          <w:p w14:paraId="090D592F"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Align w:val="center"/>
          </w:tcPr>
          <w:p w14:paraId="6023210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污泥</w:t>
            </w:r>
          </w:p>
        </w:tc>
        <w:tc>
          <w:tcPr>
            <w:tcW w:w="1850" w:type="dxa"/>
            <w:vAlign w:val="center"/>
          </w:tcPr>
          <w:p w14:paraId="3EB7429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w:t>
            </w:r>
          </w:p>
        </w:tc>
        <w:tc>
          <w:tcPr>
            <w:tcW w:w="3100" w:type="dxa"/>
            <w:vMerge/>
            <w:vAlign w:val="center"/>
          </w:tcPr>
          <w:p w14:paraId="178373E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2337" w:type="dxa"/>
            <w:vMerge/>
            <w:vAlign w:val="center"/>
          </w:tcPr>
          <w:p w14:paraId="290229DB"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0D67BBED" w14:textId="77777777">
        <w:trPr>
          <w:trHeight w:val="90"/>
          <w:jc w:val="center"/>
        </w:trPr>
        <w:tc>
          <w:tcPr>
            <w:tcW w:w="407" w:type="dxa"/>
            <w:vMerge/>
            <w:vAlign w:val="center"/>
          </w:tcPr>
          <w:p w14:paraId="1EEDA5B4"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Align w:val="center"/>
          </w:tcPr>
          <w:p w14:paraId="1DFA9CD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病死鸡</w:t>
            </w:r>
          </w:p>
        </w:tc>
        <w:tc>
          <w:tcPr>
            <w:tcW w:w="1850" w:type="dxa"/>
            <w:vAlign w:val="center"/>
          </w:tcPr>
          <w:p w14:paraId="325EE12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3100" w:type="dxa"/>
            <w:vAlign w:val="center"/>
          </w:tcPr>
          <w:p w14:paraId="7CEF9BB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交由</w:t>
            </w:r>
            <w:r>
              <w:rPr>
                <w:rFonts w:cs="Times New Roman" w:hint="eastAsia"/>
                <w:kern w:val="21"/>
                <w:sz w:val="21"/>
                <w:szCs w:val="21"/>
              </w:rPr>
              <w:t>广元</w:t>
            </w:r>
            <w:proofErr w:type="gramStart"/>
            <w:r>
              <w:rPr>
                <w:rFonts w:cs="Times New Roman" w:hint="eastAsia"/>
                <w:kern w:val="21"/>
                <w:sz w:val="21"/>
                <w:szCs w:val="21"/>
              </w:rPr>
              <w:t>市朗坤环保</w:t>
            </w:r>
            <w:proofErr w:type="gramEnd"/>
            <w:r>
              <w:rPr>
                <w:rFonts w:cs="Times New Roman" w:hint="eastAsia"/>
                <w:kern w:val="21"/>
                <w:sz w:val="21"/>
                <w:szCs w:val="21"/>
              </w:rPr>
              <w:t>有限公司</w:t>
            </w:r>
            <w:r>
              <w:rPr>
                <w:rFonts w:cs="Times New Roman"/>
                <w:kern w:val="21"/>
                <w:sz w:val="21"/>
                <w:szCs w:val="21"/>
              </w:rPr>
              <w:t>进行无害化处理</w:t>
            </w:r>
          </w:p>
        </w:tc>
        <w:tc>
          <w:tcPr>
            <w:tcW w:w="2337" w:type="dxa"/>
            <w:vMerge/>
            <w:vAlign w:val="center"/>
          </w:tcPr>
          <w:p w14:paraId="0F355E1A"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4B72671D" w14:textId="77777777">
        <w:trPr>
          <w:trHeight w:val="90"/>
          <w:jc w:val="center"/>
        </w:trPr>
        <w:tc>
          <w:tcPr>
            <w:tcW w:w="407" w:type="dxa"/>
            <w:vMerge/>
            <w:vAlign w:val="center"/>
          </w:tcPr>
          <w:p w14:paraId="5FA13A94"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Align w:val="center"/>
          </w:tcPr>
          <w:p w14:paraId="4751248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畜禽医疗废物</w:t>
            </w:r>
          </w:p>
        </w:tc>
        <w:tc>
          <w:tcPr>
            <w:tcW w:w="1850" w:type="dxa"/>
            <w:vAlign w:val="center"/>
          </w:tcPr>
          <w:p w14:paraId="0EF3CE1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w:t>
            </w:r>
          </w:p>
        </w:tc>
        <w:tc>
          <w:tcPr>
            <w:tcW w:w="3100" w:type="dxa"/>
            <w:vAlign w:val="center"/>
          </w:tcPr>
          <w:p w14:paraId="3A367A9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定期交由有相关资质的医疗废物处置单位进行集中处理。</w:t>
            </w:r>
          </w:p>
        </w:tc>
        <w:tc>
          <w:tcPr>
            <w:tcW w:w="2337" w:type="dxa"/>
            <w:vMerge/>
            <w:vAlign w:val="center"/>
          </w:tcPr>
          <w:p w14:paraId="570A913B"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77D1FF82" w14:textId="77777777">
        <w:trPr>
          <w:jc w:val="center"/>
        </w:trPr>
        <w:tc>
          <w:tcPr>
            <w:tcW w:w="407" w:type="dxa"/>
            <w:vMerge/>
            <w:vAlign w:val="center"/>
          </w:tcPr>
          <w:p w14:paraId="7EEAA5D6"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Align w:val="center"/>
          </w:tcPr>
          <w:p w14:paraId="0AE90EF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废润滑油</w:t>
            </w:r>
          </w:p>
        </w:tc>
        <w:tc>
          <w:tcPr>
            <w:tcW w:w="1850" w:type="dxa"/>
            <w:vAlign w:val="center"/>
          </w:tcPr>
          <w:p w14:paraId="29EEBAF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石油烃</w:t>
            </w:r>
          </w:p>
        </w:tc>
        <w:tc>
          <w:tcPr>
            <w:tcW w:w="3100" w:type="dxa"/>
            <w:vMerge w:val="restart"/>
            <w:vAlign w:val="center"/>
          </w:tcPr>
          <w:p w14:paraId="4687954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收集</w:t>
            </w:r>
            <w:proofErr w:type="gramStart"/>
            <w:r>
              <w:rPr>
                <w:rFonts w:cs="Times New Roman" w:hint="eastAsia"/>
                <w:kern w:val="21"/>
                <w:sz w:val="21"/>
                <w:szCs w:val="21"/>
              </w:rPr>
              <w:t>于</w:t>
            </w:r>
            <w:r>
              <w:rPr>
                <w:rFonts w:cs="Times New Roman"/>
                <w:kern w:val="21"/>
                <w:sz w:val="21"/>
                <w:szCs w:val="21"/>
              </w:rPr>
              <w:t>危废暂存</w:t>
            </w:r>
            <w:proofErr w:type="gramEnd"/>
            <w:r>
              <w:rPr>
                <w:rFonts w:cs="Times New Roman"/>
                <w:kern w:val="21"/>
                <w:sz w:val="21"/>
                <w:szCs w:val="21"/>
              </w:rPr>
              <w:t>间暂存，定期交由</w:t>
            </w:r>
            <w:proofErr w:type="gramStart"/>
            <w:r>
              <w:rPr>
                <w:rFonts w:cs="Times New Roman" w:hint="eastAsia"/>
                <w:kern w:val="21"/>
                <w:sz w:val="21"/>
                <w:szCs w:val="21"/>
              </w:rPr>
              <w:t>有</w:t>
            </w:r>
            <w:r>
              <w:rPr>
                <w:rFonts w:cs="Times New Roman"/>
                <w:kern w:val="21"/>
                <w:sz w:val="21"/>
                <w:szCs w:val="21"/>
              </w:rPr>
              <w:t>危废资质</w:t>
            </w:r>
            <w:proofErr w:type="gramEnd"/>
            <w:r>
              <w:rPr>
                <w:rFonts w:cs="Times New Roman"/>
                <w:kern w:val="21"/>
                <w:sz w:val="21"/>
                <w:szCs w:val="21"/>
              </w:rPr>
              <w:t>单位清运处置</w:t>
            </w:r>
          </w:p>
        </w:tc>
        <w:tc>
          <w:tcPr>
            <w:tcW w:w="2337" w:type="dxa"/>
            <w:vMerge/>
            <w:vAlign w:val="center"/>
          </w:tcPr>
          <w:p w14:paraId="5A75E4A9"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6C457AEB" w14:textId="77777777">
        <w:trPr>
          <w:jc w:val="center"/>
        </w:trPr>
        <w:tc>
          <w:tcPr>
            <w:tcW w:w="407" w:type="dxa"/>
            <w:vMerge/>
            <w:vAlign w:val="center"/>
          </w:tcPr>
          <w:p w14:paraId="4E440F71"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Align w:val="center"/>
          </w:tcPr>
          <w:p w14:paraId="24114D9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废润滑油桶</w:t>
            </w:r>
          </w:p>
        </w:tc>
        <w:tc>
          <w:tcPr>
            <w:tcW w:w="1850" w:type="dxa"/>
            <w:vAlign w:val="center"/>
          </w:tcPr>
          <w:p w14:paraId="46D9CCF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石油烃</w:t>
            </w:r>
          </w:p>
        </w:tc>
        <w:tc>
          <w:tcPr>
            <w:tcW w:w="3100" w:type="dxa"/>
            <w:vMerge/>
            <w:vAlign w:val="center"/>
          </w:tcPr>
          <w:p w14:paraId="2C998516"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2337" w:type="dxa"/>
            <w:vMerge/>
            <w:vAlign w:val="center"/>
          </w:tcPr>
          <w:p w14:paraId="189376E9"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1C12D753" w14:textId="77777777">
        <w:trPr>
          <w:jc w:val="center"/>
        </w:trPr>
        <w:tc>
          <w:tcPr>
            <w:tcW w:w="407" w:type="dxa"/>
            <w:vMerge/>
            <w:vAlign w:val="center"/>
          </w:tcPr>
          <w:p w14:paraId="40898501"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Align w:val="center"/>
          </w:tcPr>
          <w:p w14:paraId="76C0461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废含油抹布及手套</w:t>
            </w:r>
          </w:p>
        </w:tc>
        <w:tc>
          <w:tcPr>
            <w:tcW w:w="1850" w:type="dxa"/>
            <w:vAlign w:val="center"/>
          </w:tcPr>
          <w:p w14:paraId="494E9CB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石油烃</w:t>
            </w:r>
          </w:p>
        </w:tc>
        <w:tc>
          <w:tcPr>
            <w:tcW w:w="3100" w:type="dxa"/>
            <w:vMerge/>
            <w:vAlign w:val="center"/>
          </w:tcPr>
          <w:p w14:paraId="67DE7B08"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2337" w:type="dxa"/>
            <w:vMerge/>
            <w:vAlign w:val="center"/>
          </w:tcPr>
          <w:p w14:paraId="5D22D359"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08834BDB" w14:textId="77777777">
        <w:trPr>
          <w:jc w:val="center"/>
        </w:trPr>
        <w:tc>
          <w:tcPr>
            <w:tcW w:w="407" w:type="dxa"/>
            <w:vMerge/>
            <w:vAlign w:val="center"/>
          </w:tcPr>
          <w:p w14:paraId="19DB4466"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Align w:val="center"/>
          </w:tcPr>
          <w:p w14:paraId="0BDBCE3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废紫外线灯管</w:t>
            </w:r>
          </w:p>
        </w:tc>
        <w:tc>
          <w:tcPr>
            <w:tcW w:w="1850" w:type="dxa"/>
            <w:vAlign w:val="center"/>
          </w:tcPr>
          <w:p w14:paraId="0A826FD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汞</w:t>
            </w:r>
          </w:p>
        </w:tc>
        <w:tc>
          <w:tcPr>
            <w:tcW w:w="3100" w:type="dxa"/>
            <w:vMerge/>
            <w:vAlign w:val="center"/>
          </w:tcPr>
          <w:p w14:paraId="490A5C5C"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2337" w:type="dxa"/>
            <w:vMerge/>
            <w:vAlign w:val="center"/>
          </w:tcPr>
          <w:p w14:paraId="2D85FE8E"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6E7D790C" w14:textId="77777777">
        <w:trPr>
          <w:jc w:val="center"/>
        </w:trPr>
        <w:tc>
          <w:tcPr>
            <w:tcW w:w="407" w:type="dxa"/>
            <w:vMerge/>
            <w:vAlign w:val="center"/>
          </w:tcPr>
          <w:p w14:paraId="3001C1DD"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Align w:val="center"/>
          </w:tcPr>
          <w:p w14:paraId="4E7702B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proofErr w:type="gramStart"/>
            <w:r>
              <w:rPr>
                <w:rFonts w:cs="Times New Roman" w:hint="eastAsia"/>
                <w:kern w:val="21"/>
                <w:sz w:val="21"/>
                <w:szCs w:val="21"/>
              </w:rPr>
              <w:t>食品级白油桶</w:t>
            </w:r>
            <w:proofErr w:type="gramEnd"/>
          </w:p>
        </w:tc>
        <w:tc>
          <w:tcPr>
            <w:tcW w:w="1850" w:type="dxa"/>
            <w:vAlign w:val="center"/>
          </w:tcPr>
          <w:p w14:paraId="46AF1E1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油脂</w:t>
            </w:r>
          </w:p>
        </w:tc>
        <w:tc>
          <w:tcPr>
            <w:tcW w:w="3100" w:type="dxa"/>
            <w:vAlign w:val="center"/>
          </w:tcPr>
          <w:p w14:paraId="472301E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收集后</w:t>
            </w:r>
            <w:r>
              <w:rPr>
                <w:rFonts w:cs="Times New Roman" w:hint="eastAsia"/>
                <w:kern w:val="21"/>
                <w:sz w:val="21"/>
                <w:szCs w:val="21"/>
              </w:rPr>
              <w:t>交由</w:t>
            </w:r>
            <w:r>
              <w:rPr>
                <w:rFonts w:cs="Times New Roman"/>
                <w:kern w:val="21"/>
                <w:sz w:val="21"/>
                <w:szCs w:val="21"/>
              </w:rPr>
              <w:t>当地环卫部门</w:t>
            </w:r>
            <w:r>
              <w:rPr>
                <w:rFonts w:cs="Times New Roman" w:hint="eastAsia"/>
                <w:kern w:val="21"/>
                <w:sz w:val="21"/>
                <w:szCs w:val="21"/>
              </w:rPr>
              <w:t>收集处理</w:t>
            </w:r>
          </w:p>
        </w:tc>
        <w:tc>
          <w:tcPr>
            <w:tcW w:w="2337" w:type="dxa"/>
            <w:vMerge/>
            <w:vAlign w:val="center"/>
          </w:tcPr>
          <w:p w14:paraId="250C9359"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5430CD73" w14:textId="77777777">
        <w:trPr>
          <w:trHeight w:val="90"/>
          <w:jc w:val="center"/>
        </w:trPr>
        <w:tc>
          <w:tcPr>
            <w:tcW w:w="407" w:type="dxa"/>
            <w:vMerge/>
            <w:vAlign w:val="center"/>
          </w:tcPr>
          <w:p w14:paraId="5E99B8A5"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Merge w:val="restart"/>
            <w:vAlign w:val="center"/>
          </w:tcPr>
          <w:p w14:paraId="4A4D726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办公、职工生活等</w:t>
            </w:r>
          </w:p>
        </w:tc>
        <w:tc>
          <w:tcPr>
            <w:tcW w:w="1850" w:type="dxa"/>
            <w:vAlign w:val="center"/>
          </w:tcPr>
          <w:p w14:paraId="18299DF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餐厨垃圾</w:t>
            </w:r>
          </w:p>
        </w:tc>
        <w:tc>
          <w:tcPr>
            <w:tcW w:w="3100" w:type="dxa"/>
            <w:vAlign w:val="center"/>
          </w:tcPr>
          <w:p w14:paraId="0F9D3B4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专用容器收集，交由城管部门许可的单位进行收集处理</w:t>
            </w:r>
          </w:p>
        </w:tc>
        <w:tc>
          <w:tcPr>
            <w:tcW w:w="2337" w:type="dxa"/>
            <w:vMerge/>
            <w:vAlign w:val="center"/>
          </w:tcPr>
          <w:p w14:paraId="1DF8285A"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4AD8B8E8" w14:textId="77777777">
        <w:trPr>
          <w:trHeight w:val="220"/>
          <w:jc w:val="center"/>
        </w:trPr>
        <w:tc>
          <w:tcPr>
            <w:tcW w:w="407" w:type="dxa"/>
            <w:vMerge/>
            <w:vAlign w:val="center"/>
          </w:tcPr>
          <w:p w14:paraId="6F469CED"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366" w:type="dxa"/>
            <w:vMerge/>
            <w:vAlign w:val="center"/>
          </w:tcPr>
          <w:p w14:paraId="02FF1C60"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1850" w:type="dxa"/>
            <w:vAlign w:val="center"/>
          </w:tcPr>
          <w:p w14:paraId="0FF02E2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生活垃圾</w:t>
            </w:r>
          </w:p>
        </w:tc>
        <w:tc>
          <w:tcPr>
            <w:tcW w:w="3100" w:type="dxa"/>
            <w:vAlign w:val="center"/>
          </w:tcPr>
          <w:p w14:paraId="0C262B4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收集后运往当地环卫部门指定的场所</w:t>
            </w:r>
          </w:p>
        </w:tc>
        <w:tc>
          <w:tcPr>
            <w:tcW w:w="2337" w:type="dxa"/>
            <w:vMerge/>
            <w:vAlign w:val="center"/>
          </w:tcPr>
          <w:p w14:paraId="2F578010"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7A7931DA" w14:textId="77777777">
        <w:trPr>
          <w:jc w:val="center"/>
        </w:trPr>
        <w:tc>
          <w:tcPr>
            <w:tcW w:w="407" w:type="dxa"/>
            <w:vAlign w:val="center"/>
          </w:tcPr>
          <w:p w14:paraId="773A86F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噪声</w:t>
            </w:r>
          </w:p>
        </w:tc>
        <w:tc>
          <w:tcPr>
            <w:tcW w:w="1366" w:type="dxa"/>
            <w:vAlign w:val="center"/>
          </w:tcPr>
          <w:p w14:paraId="1B5917D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鸡舍</w:t>
            </w:r>
          </w:p>
        </w:tc>
        <w:tc>
          <w:tcPr>
            <w:tcW w:w="1850" w:type="dxa"/>
            <w:vAlign w:val="center"/>
          </w:tcPr>
          <w:p w14:paraId="43F43FB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机械噪声</w:t>
            </w:r>
            <w:r>
              <w:rPr>
                <w:rFonts w:cs="Times New Roman" w:hint="eastAsia"/>
                <w:kern w:val="21"/>
                <w:sz w:val="21"/>
                <w:szCs w:val="21"/>
              </w:rPr>
              <w:t>、</w:t>
            </w:r>
            <w:r>
              <w:rPr>
                <w:rFonts w:cs="Times New Roman"/>
                <w:kern w:val="21"/>
                <w:sz w:val="21"/>
                <w:szCs w:val="21"/>
              </w:rPr>
              <w:t>空气动力噪声</w:t>
            </w:r>
          </w:p>
        </w:tc>
        <w:tc>
          <w:tcPr>
            <w:tcW w:w="3100" w:type="dxa"/>
            <w:vAlign w:val="center"/>
          </w:tcPr>
          <w:p w14:paraId="0C3C1FB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采用吸声、减振等措施</w:t>
            </w:r>
          </w:p>
        </w:tc>
        <w:tc>
          <w:tcPr>
            <w:tcW w:w="2337" w:type="dxa"/>
            <w:vAlign w:val="center"/>
          </w:tcPr>
          <w:p w14:paraId="7998EAE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厂界噪声符合</w:t>
            </w:r>
            <w:r>
              <w:rPr>
                <w:rFonts w:cs="Times New Roman"/>
                <w:kern w:val="21"/>
                <w:sz w:val="21"/>
                <w:szCs w:val="21"/>
              </w:rPr>
              <w:t>GB12348-2008</w:t>
            </w:r>
            <w:r>
              <w:rPr>
                <w:rFonts w:cs="Times New Roman"/>
                <w:kern w:val="21"/>
                <w:sz w:val="21"/>
                <w:szCs w:val="21"/>
              </w:rPr>
              <w:t>中</w:t>
            </w:r>
            <w:r>
              <w:rPr>
                <w:rFonts w:cs="Times New Roman"/>
                <w:kern w:val="21"/>
                <w:sz w:val="21"/>
                <w:szCs w:val="21"/>
              </w:rPr>
              <w:t>2</w:t>
            </w:r>
            <w:r>
              <w:rPr>
                <w:rFonts w:cs="Times New Roman"/>
                <w:kern w:val="21"/>
                <w:sz w:val="21"/>
                <w:szCs w:val="21"/>
              </w:rPr>
              <w:t>类标准</w:t>
            </w:r>
          </w:p>
        </w:tc>
      </w:tr>
    </w:tbl>
    <w:p w14:paraId="167A7B66" w14:textId="77777777" w:rsidR="00544649" w:rsidRDefault="00000000">
      <w:pPr>
        <w:pStyle w:val="2"/>
        <w:numPr>
          <w:ilvl w:val="1"/>
          <w:numId w:val="2"/>
        </w:numPr>
        <w:adjustRightInd w:val="0"/>
        <w:snapToGrid w:val="0"/>
        <w:spacing w:after="0"/>
        <w:rPr>
          <w:rFonts w:cs="Times New Roman"/>
          <w:kern w:val="21"/>
        </w:rPr>
      </w:pPr>
      <w:bookmarkStart w:id="179" w:name="_Toc24548"/>
      <w:bookmarkStart w:id="180" w:name="_Toc28379"/>
      <w:bookmarkStart w:id="181" w:name="_Toc195009821"/>
      <w:r>
        <w:rPr>
          <w:rFonts w:cs="Times New Roman"/>
          <w:kern w:val="21"/>
        </w:rPr>
        <w:t>项目选址合理性分析</w:t>
      </w:r>
      <w:bookmarkEnd w:id="179"/>
      <w:bookmarkEnd w:id="180"/>
      <w:bookmarkEnd w:id="181"/>
    </w:p>
    <w:p w14:paraId="73DCADA0" w14:textId="77777777" w:rsidR="00544649" w:rsidRDefault="00000000">
      <w:pPr>
        <w:keepNext/>
        <w:keepLines/>
        <w:numPr>
          <w:ilvl w:val="2"/>
          <w:numId w:val="2"/>
        </w:numPr>
        <w:adjustRightInd w:val="0"/>
        <w:snapToGrid w:val="0"/>
        <w:spacing w:after="0"/>
        <w:ind w:firstLineChars="0"/>
        <w:jc w:val="left"/>
        <w:outlineLvl w:val="2"/>
        <w:rPr>
          <w:rFonts w:cs="Times New Roman"/>
          <w:b/>
          <w:bCs/>
          <w:kern w:val="21"/>
          <w:sz w:val="28"/>
          <w:szCs w:val="28"/>
        </w:rPr>
      </w:pPr>
      <w:bookmarkStart w:id="182" w:name="_Toc195009822"/>
      <w:r>
        <w:rPr>
          <w:rFonts w:hint="eastAsia"/>
          <w:b/>
          <w:bCs/>
          <w:kern w:val="21"/>
          <w:sz w:val="28"/>
          <w:szCs w:val="28"/>
        </w:rPr>
        <w:t>项目用地规划符合性</w:t>
      </w:r>
      <w:bookmarkEnd w:id="182"/>
    </w:p>
    <w:p w14:paraId="73FDCE74" w14:textId="77777777" w:rsidR="00544649" w:rsidRDefault="00000000">
      <w:pPr>
        <w:adjustRightInd w:val="0"/>
        <w:snapToGrid w:val="0"/>
        <w:spacing w:after="0"/>
        <w:ind w:firstLine="480"/>
        <w:rPr>
          <w:kern w:val="21"/>
        </w:rPr>
      </w:pPr>
      <w:r>
        <w:rPr>
          <w:rFonts w:hint="eastAsia"/>
          <w:kern w:val="21"/>
        </w:rPr>
        <w:t>本项目选址位于四川省广元市剑阁县剑门关镇新龙村六组、双鱼村七组，用地面积约为</w:t>
      </w:r>
      <w:r>
        <w:rPr>
          <w:rFonts w:hint="eastAsia"/>
          <w:kern w:val="21"/>
        </w:rPr>
        <w:t>168</w:t>
      </w:r>
      <w:r>
        <w:rPr>
          <w:rFonts w:hint="eastAsia"/>
          <w:kern w:val="21"/>
        </w:rPr>
        <w:t>亩（</w:t>
      </w:r>
      <w:r>
        <w:rPr>
          <w:rFonts w:hint="eastAsia"/>
          <w:kern w:val="21"/>
          <w:szCs w:val="21"/>
        </w:rPr>
        <w:t>11.2</w:t>
      </w:r>
      <w:r>
        <w:rPr>
          <w:rFonts w:hint="eastAsia"/>
          <w:kern w:val="21"/>
          <w:szCs w:val="21"/>
        </w:rPr>
        <w:t>公顷）</w:t>
      </w:r>
      <w:r>
        <w:rPr>
          <w:rFonts w:hint="eastAsia"/>
          <w:kern w:val="21"/>
        </w:rPr>
        <w:t>，项目已签订土地承包合同，并取得获得四川省林业和草原局颁发的《关于准予剑阁非笼养蛋鸡产业链项目占用林地的行政许可决定》（</w:t>
      </w:r>
      <w:proofErr w:type="gramStart"/>
      <w:r>
        <w:rPr>
          <w:rFonts w:hint="eastAsia"/>
          <w:kern w:val="21"/>
        </w:rPr>
        <w:t>川林资许</w:t>
      </w:r>
      <w:proofErr w:type="gramEnd"/>
      <w:r>
        <w:rPr>
          <w:rFonts w:hint="eastAsia"/>
          <w:kern w:val="21"/>
        </w:rPr>
        <w:t>准（广）〔</w:t>
      </w:r>
      <w:r>
        <w:rPr>
          <w:rFonts w:hint="eastAsia"/>
          <w:kern w:val="21"/>
        </w:rPr>
        <w:t>2024</w:t>
      </w:r>
      <w:r>
        <w:rPr>
          <w:rFonts w:hint="eastAsia"/>
          <w:kern w:val="21"/>
        </w:rPr>
        <w:t>〕</w:t>
      </w:r>
      <w:r>
        <w:rPr>
          <w:rFonts w:hint="eastAsia"/>
          <w:kern w:val="21"/>
        </w:rPr>
        <w:t>115</w:t>
      </w:r>
      <w:r>
        <w:rPr>
          <w:rFonts w:hint="eastAsia"/>
          <w:kern w:val="21"/>
        </w:rPr>
        <w:t>号），批准占用集体林地面积为</w:t>
      </w:r>
      <w:r>
        <w:rPr>
          <w:rFonts w:hint="eastAsia"/>
          <w:kern w:val="21"/>
        </w:rPr>
        <w:t>4.6756</w:t>
      </w:r>
      <w:r>
        <w:rPr>
          <w:rFonts w:hint="eastAsia"/>
          <w:kern w:val="21"/>
        </w:rPr>
        <w:t>公顷（约</w:t>
      </w:r>
      <w:r>
        <w:rPr>
          <w:rFonts w:hint="eastAsia"/>
          <w:kern w:val="21"/>
        </w:rPr>
        <w:t>70.134</w:t>
      </w:r>
      <w:r>
        <w:rPr>
          <w:rFonts w:hint="eastAsia"/>
          <w:kern w:val="21"/>
        </w:rPr>
        <w:t>亩）。此外，本项目剩余约</w:t>
      </w:r>
      <w:r>
        <w:rPr>
          <w:rFonts w:hint="eastAsia"/>
          <w:kern w:val="21"/>
        </w:rPr>
        <w:t>100</w:t>
      </w:r>
      <w:r>
        <w:rPr>
          <w:rFonts w:hint="eastAsia"/>
          <w:kern w:val="21"/>
        </w:rPr>
        <w:t>亩用地的手续将按计划陆续补充完善。项目占用林地的行政许可等相关林地占用手续（见附件）。根据剑阁县林业局出具的关于《剑阁非笼养蛋鸡产业链项目占用林地意见的复函》，“原则同意本项目在已取得占用林地行政许可决定的用地范围内依法依规开展建设活动，其余未申请相关用地手续的用地范围，在依法依规取得各行业主管部门批准后方可动工”。</w:t>
      </w:r>
    </w:p>
    <w:p w14:paraId="6AE637BE" w14:textId="77777777" w:rsidR="00544649" w:rsidRDefault="00000000">
      <w:pPr>
        <w:adjustRightInd w:val="0"/>
        <w:snapToGrid w:val="0"/>
        <w:spacing w:after="0"/>
        <w:ind w:firstLine="480"/>
        <w:rPr>
          <w:kern w:val="21"/>
        </w:rPr>
      </w:pPr>
      <w:r>
        <w:rPr>
          <w:rFonts w:hint="eastAsia"/>
          <w:kern w:val="21"/>
        </w:rPr>
        <w:t>目前本项目用地已办理</w:t>
      </w:r>
      <w:r>
        <w:rPr>
          <w:rFonts w:hint="eastAsia"/>
          <w:kern w:val="21"/>
        </w:rPr>
        <w:t>4.6756</w:t>
      </w:r>
      <w:r>
        <w:rPr>
          <w:rFonts w:hint="eastAsia"/>
          <w:kern w:val="21"/>
        </w:rPr>
        <w:t>公顷土地设施农业用地备案表，根据剑阁县自然资源局出具的关于《剑阁非笼养蛋鸡产业链项目用地情况说明》的复函，“该项目设施</w:t>
      </w:r>
      <w:r>
        <w:rPr>
          <w:rFonts w:hint="eastAsia"/>
          <w:kern w:val="21"/>
        </w:rPr>
        <w:lastRenderedPageBreak/>
        <w:t>农业用地组卷资料已准备完善，还未在设施农业用地系统上图入库，袋上图入库完成后，原则同意在已批准的用地范围内开展建设活动，其余未完善相关手续的用地范围在取得乡镇备案同意，在设施农业用地系统上图入库后方可实施建设。”</w:t>
      </w:r>
    </w:p>
    <w:p w14:paraId="1CF55AC1" w14:textId="77777777" w:rsidR="00544649" w:rsidRDefault="00000000">
      <w:pPr>
        <w:adjustRightInd w:val="0"/>
        <w:snapToGrid w:val="0"/>
        <w:spacing w:after="0"/>
        <w:ind w:firstLine="480"/>
        <w:rPr>
          <w:kern w:val="21"/>
        </w:rPr>
      </w:pPr>
      <w:r>
        <w:rPr>
          <w:kern w:val="21"/>
        </w:rPr>
        <w:t>该项目符合农业发展政策和规划，建设内容符合有关规定，农村土地承包经营权流转符合相关规定，选址符合规定，土地复垦措施可行、用地未超过规定控制规模和比例，不占用永久基本农田，未动工建设，符合设施用地备案要求</w:t>
      </w:r>
      <w:r>
        <w:rPr>
          <w:rFonts w:hint="eastAsia"/>
          <w:kern w:val="21"/>
        </w:rPr>
        <w:t>。均不涉及永久基本农田，所有用地手续均按要求办理，符合相关管理要求。本次环评要求，项目在已批准的用地范围内依法依规开展建设活动，其余未申请相关用地手续的用地范围，在依法依规取得各行业主管部门批准后方可动工。综上，本</w:t>
      </w:r>
      <w:r>
        <w:rPr>
          <w:kern w:val="21"/>
        </w:rPr>
        <w:t>项目</w:t>
      </w:r>
      <w:r>
        <w:rPr>
          <w:rFonts w:hint="eastAsia"/>
          <w:kern w:val="21"/>
        </w:rPr>
        <w:t>用地</w:t>
      </w:r>
      <w:r>
        <w:rPr>
          <w:kern w:val="21"/>
        </w:rPr>
        <w:t>符合</w:t>
      </w:r>
      <w:r>
        <w:rPr>
          <w:rFonts w:hint="eastAsia"/>
          <w:kern w:val="21"/>
        </w:rPr>
        <w:t>区域</w:t>
      </w:r>
      <w:r>
        <w:rPr>
          <w:kern w:val="21"/>
        </w:rPr>
        <w:t>规划，符合</w:t>
      </w:r>
      <w:r>
        <w:rPr>
          <w:rFonts w:hint="eastAsia"/>
          <w:kern w:val="21"/>
        </w:rPr>
        <w:t>林地用地</w:t>
      </w:r>
      <w:r>
        <w:rPr>
          <w:kern w:val="21"/>
        </w:rPr>
        <w:t>规定，</w:t>
      </w:r>
      <w:r>
        <w:rPr>
          <w:rFonts w:hint="eastAsia"/>
          <w:kern w:val="21"/>
        </w:rPr>
        <w:t>选址可行。</w:t>
      </w:r>
    </w:p>
    <w:p w14:paraId="0BA752CB" w14:textId="77777777" w:rsidR="00544649" w:rsidRDefault="00000000">
      <w:pPr>
        <w:keepNext/>
        <w:keepLines/>
        <w:numPr>
          <w:ilvl w:val="2"/>
          <w:numId w:val="2"/>
        </w:numPr>
        <w:adjustRightInd w:val="0"/>
        <w:snapToGrid w:val="0"/>
        <w:spacing w:after="0"/>
        <w:ind w:firstLineChars="0"/>
        <w:jc w:val="left"/>
        <w:outlineLvl w:val="2"/>
        <w:rPr>
          <w:rFonts w:cs="Times New Roman"/>
          <w:b/>
          <w:bCs/>
          <w:kern w:val="21"/>
          <w:sz w:val="28"/>
          <w:szCs w:val="28"/>
        </w:rPr>
      </w:pPr>
      <w:bookmarkStart w:id="183" w:name="_Toc195009823"/>
      <w:r>
        <w:rPr>
          <w:rFonts w:hint="eastAsia"/>
          <w:b/>
          <w:bCs/>
          <w:kern w:val="21"/>
          <w:sz w:val="28"/>
          <w:szCs w:val="28"/>
        </w:rPr>
        <w:t>与行业选址要求符合性分析</w:t>
      </w:r>
      <w:bookmarkEnd w:id="183"/>
    </w:p>
    <w:p w14:paraId="2D1FDD76" w14:textId="77777777" w:rsidR="00544649" w:rsidRDefault="00000000">
      <w:pPr>
        <w:keepNext/>
        <w:keepLines/>
        <w:numPr>
          <w:ilvl w:val="3"/>
          <w:numId w:val="2"/>
        </w:numPr>
        <w:adjustRightInd w:val="0"/>
        <w:snapToGrid w:val="0"/>
        <w:spacing w:after="0"/>
        <w:ind w:firstLineChars="0"/>
        <w:outlineLvl w:val="3"/>
        <w:rPr>
          <w:b/>
          <w:bCs/>
          <w:kern w:val="21"/>
        </w:rPr>
      </w:pPr>
      <w:r>
        <w:rPr>
          <w:rFonts w:hint="eastAsia"/>
          <w:b/>
          <w:bCs/>
          <w:kern w:val="21"/>
        </w:rPr>
        <w:t>与《畜禽规模养殖污染防治条例》选址相符性分析</w:t>
      </w:r>
    </w:p>
    <w:p w14:paraId="3A7FB5AF" w14:textId="77777777" w:rsidR="00544649" w:rsidRDefault="00000000">
      <w:pPr>
        <w:adjustRightInd w:val="0"/>
        <w:snapToGrid w:val="0"/>
        <w:spacing w:after="0"/>
        <w:ind w:firstLine="480"/>
        <w:rPr>
          <w:rFonts w:cs="Times New Roman"/>
          <w:kern w:val="21"/>
        </w:rPr>
      </w:pPr>
      <w:r>
        <w:rPr>
          <w:rFonts w:cs="Times New Roman"/>
          <w:kern w:val="21"/>
          <w:szCs w:val="24"/>
        </w:rPr>
        <w:t>本项目选址与《</w:t>
      </w:r>
      <w:r>
        <w:rPr>
          <w:rFonts w:hint="eastAsia"/>
          <w:kern w:val="21"/>
        </w:rPr>
        <w:t>畜禽规模养殖污染防治条例</w:t>
      </w:r>
      <w:r>
        <w:rPr>
          <w:rFonts w:cs="Times New Roman"/>
          <w:kern w:val="21"/>
          <w:szCs w:val="24"/>
        </w:rPr>
        <w:t>》（国务院令第</w:t>
      </w:r>
      <w:r>
        <w:rPr>
          <w:rFonts w:cs="Times New Roman"/>
          <w:kern w:val="21"/>
          <w:szCs w:val="24"/>
        </w:rPr>
        <w:t>643</w:t>
      </w:r>
      <w:r>
        <w:rPr>
          <w:rFonts w:cs="Times New Roman" w:hint="eastAsia"/>
          <w:kern w:val="21"/>
          <w:szCs w:val="24"/>
        </w:rPr>
        <w:t>号</w:t>
      </w:r>
      <w:r>
        <w:rPr>
          <w:rFonts w:cs="Times New Roman"/>
          <w:kern w:val="21"/>
          <w:szCs w:val="24"/>
        </w:rPr>
        <w:t>）中选址要求符合性分析见下表。</w:t>
      </w:r>
    </w:p>
    <w:p w14:paraId="5069CECB"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与《</w:t>
      </w:r>
      <w:r>
        <w:rPr>
          <w:rFonts w:hint="eastAsia"/>
          <w:b/>
          <w:bCs/>
          <w:kern w:val="21"/>
          <w:sz w:val="21"/>
          <w:szCs w:val="21"/>
        </w:rPr>
        <w:t>畜禽规模养殖污染防治条例</w:t>
      </w:r>
      <w:r>
        <w:rPr>
          <w:rFonts w:cs="Times New Roman"/>
          <w:b/>
          <w:bCs/>
          <w:kern w:val="21"/>
          <w:sz w:val="21"/>
          <w:szCs w:val="21"/>
        </w:rPr>
        <w:t>》选址要求符合性</w:t>
      </w:r>
      <w:r>
        <w:rPr>
          <w:rFonts w:cs="Times New Roman" w:hint="eastAsia"/>
          <w:b/>
          <w:bCs/>
          <w:kern w:val="21"/>
          <w:sz w:val="21"/>
          <w:szCs w:val="21"/>
        </w:rPr>
        <w:t>分析</w:t>
      </w:r>
    </w:p>
    <w:tbl>
      <w:tblPr>
        <w:tblStyle w:val="afc"/>
        <w:tblW w:w="9060" w:type="dxa"/>
        <w:jc w:val="center"/>
        <w:tblLayout w:type="fixed"/>
        <w:tblLook w:val="04A0" w:firstRow="1" w:lastRow="0" w:firstColumn="1" w:lastColumn="0" w:noHBand="0" w:noVBand="1"/>
      </w:tblPr>
      <w:tblGrid>
        <w:gridCol w:w="4923"/>
        <w:gridCol w:w="3233"/>
        <w:gridCol w:w="904"/>
      </w:tblGrid>
      <w:tr w:rsidR="00544649" w14:paraId="1C524691" w14:textId="77777777">
        <w:trPr>
          <w:tblHeader/>
          <w:jc w:val="center"/>
        </w:trPr>
        <w:tc>
          <w:tcPr>
            <w:tcW w:w="4923" w:type="dxa"/>
            <w:vAlign w:val="center"/>
          </w:tcPr>
          <w:p w14:paraId="062F21E2"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条例要求</w:t>
            </w:r>
          </w:p>
        </w:tc>
        <w:tc>
          <w:tcPr>
            <w:tcW w:w="3233" w:type="dxa"/>
            <w:vAlign w:val="center"/>
          </w:tcPr>
          <w:p w14:paraId="5933904D"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本项目</w:t>
            </w:r>
          </w:p>
        </w:tc>
        <w:tc>
          <w:tcPr>
            <w:tcW w:w="904" w:type="dxa"/>
            <w:vAlign w:val="center"/>
          </w:tcPr>
          <w:p w14:paraId="2A33B277"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符合性</w:t>
            </w:r>
          </w:p>
        </w:tc>
      </w:tr>
      <w:tr w:rsidR="00544649" w14:paraId="57757840" w14:textId="77777777">
        <w:trPr>
          <w:jc w:val="center"/>
        </w:trPr>
        <w:tc>
          <w:tcPr>
            <w:tcW w:w="4923" w:type="dxa"/>
            <w:vAlign w:val="center"/>
          </w:tcPr>
          <w:p w14:paraId="1B69D92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一）禁止在下列区域内建设畜禽养殖场、养殖小区：（一）饮用水水源保护区，风景名胜区；（二）自然保护区的核心区和缓冲区；（三）城镇居民区、文化教育科学研究区等人口集中区域；（四）法律、法规规定的其他禁止养殖区域。</w:t>
            </w:r>
          </w:p>
        </w:tc>
        <w:tc>
          <w:tcPr>
            <w:tcW w:w="3233" w:type="dxa"/>
            <w:vAlign w:val="center"/>
          </w:tcPr>
          <w:p w14:paraId="46BC9B0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本项目用地不涉及饮用水水源保护区、风景名胜区、自然保护区、城镇居民区、文化教育科学研究区等人口集中区域以及法律、法规规定的其他禁止养殖区域。</w:t>
            </w:r>
          </w:p>
        </w:tc>
        <w:tc>
          <w:tcPr>
            <w:tcW w:w="904" w:type="dxa"/>
            <w:vAlign w:val="center"/>
          </w:tcPr>
          <w:p w14:paraId="4C93A6D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符合</w:t>
            </w:r>
          </w:p>
        </w:tc>
      </w:tr>
      <w:tr w:rsidR="00544649" w14:paraId="5C9C40AE" w14:textId="77777777">
        <w:trPr>
          <w:jc w:val="center"/>
        </w:trPr>
        <w:tc>
          <w:tcPr>
            <w:tcW w:w="4923" w:type="dxa"/>
            <w:vAlign w:val="center"/>
          </w:tcPr>
          <w:p w14:paraId="509314C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w:t>
            </w:r>
            <w:proofErr w:type="gramStart"/>
            <w:r>
              <w:rPr>
                <w:rFonts w:cs="Times New Roman"/>
                <w:kern w:val="21"/>
                <w:sz w:val="21"/>
                <w:szCs w:val="21"/>
              </w:rPr>
              <w:t>不</w:t>
            </w:r>
            <w:proofErr w:type="gramEnd"/>
            <w:r>
              <w:rPr>
                <w:rFonts w:cs="Times New Roman"/>
                <w:kern w:val="21"/>
                <w:sz w:val="21"/>
                <w:szCs w:val="21"/>
              </w:rPr>
              <w:t>自行建设综合利用和无害化处理设施。未建设污染防治配套设施、自行建设的配套设施不合格，或者未委托他人对畜禽养殖废弃物进行综合利用和无害化处理的，畜禽养殖场、养殖小区不得投入生产或者使用。畜禽养殖场、养殖小区自行建设污染防治配套设施的，应当确保其正常运行。</w:t>
            </w:r>
          </w:p>
        </w:tc>
        <w:tc>
          <w:tcPr>
            <w:tcW w:w="3233" w:type="dxa"/>
            <w:vAlign w:val="center"/>
          </w:tcPr>
          <w:p w14:paraId="3590F4D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本项目将同步配套建设环保工程，对项目产生的污染物按照相关要求进行规范化、无害化、资源化处理。</w:t>
            </w:r>
            <w:r>
              <w:rPr>
                <w:rFonts w:cs="Times New Roman" w:hint="eastAsia"/>
                <w:kern w:val="21"/>
                <w:sz w:val="21"/>
                <w:szCs w:val="21"/>
              </w:rPr>
              <w:t>场内废水经污水处理站处理达</w:t>
            </w:r>
            <w:r>
              <w:rPr>
                <w:rFonts w:hint="eastAsia"/>
                <w:sz w:val="21"/>
                <w:szCs w:val="21"/>
              </w:rPr>
              <w:t>《农田灌溉水质标准》（</w:t>
            </w:r>
            <w:r>
              <w:rPr>
                <w:rFonts w:hint="eastAsia"/>
                <w:sz w:val="21"/>
                <w:szCs w:val="21"/>
              </w:rPr>
              <w:t>GB5084-2021</w:t>
            </w:r>
            <w:r>
              <w:rPr>
                <w:rFonts w:hint="eastAsia"/>
                <w:sz w:val="21"/>
                <w:szCs w:val="21"/>
              </w:rPr>
              <w:t>）</w:t>
            </w:r>
            <w:proofErr w:type="gramStart"/>
            <w:r>
              <w:rPr>
                <w:rFonts w:hint="eastAsia"/>
                <w:sz w:val="21"/>
                <w:szCs w:val="21"/>
              </w:rPr>
              <w:t>中旱作</w:t>
            </w:r>
            <w:proofErr w:type="gramEnd"/>
            <w:r>
              <w:rPr>
                <w:rFonts w:hint="eastAsia"/>
                <w:sz w:val="21"/>
                <w:szCs w:val="21"/>
              </w:rPr>
              <w:t>标准后</w:t>
            </w:r>
            <w:r>
              <w:rPr>
                <w:sz w:val="21"/>
                <w:szCs w:val="21"/>
              </w:rPr>
              <w:t>用于</w:t>
            </w:r>
            <w:r>
              <w:rPr>
                <w:rFonts w:hint="eastAsia"/>
                <w:sz w:val="21"/>
                <w:szCs w:val="21"/>
              </w:rPr>
              <w:t>林地</w:t>
            </w:r>
            <w:r>
              <w:rPr>
                <w:sz w:val="21"/>
                <w:szCs w:val="21"/>
              </w:rPr>
              <w:t>灌溉，不外排</w:t>
            </w:r>
            <w:r>
              <w:rPr>
                <w:rFonts w:hint="eastAsia"/>
                <w:sz w:val="21"/>
                <w:szCs w:val="21"/>
              </w:rPr>
              <w:t>；鸡粪日产日清，不设置鸡粪暂存间，委托四川省田宝生物科技有限公司转运后用于有机肥生产。</w:t>
            </w:r>
          </w:p>
        </w:tc>
        <w:tc>
          <w:tcPr>
            <w:tcW w:w="904" w:type="dxa"/>
            <w:vAlign w:val="center"/>
          </w:tcPr>
          <w:p w14:paraId="150E31E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符合</w:t>
            </w:r>
          </w:p>
        </w:tc>
      </w:tr>
    </w:tbl>
    <w:p w14:paraId="716A3909" w14:textId="77777777" w:rsidR="00544649" w:rsidRDefault="00000000">
      <w:pPr>
        <w:adjustRightInd w:val="0"/>
        <w:snapToGrid w:val="0"/>
        <w:spacing w:after="0"/>
        <w:ind w:firstLine="480"/>
        <w:rPr>
          <w:kern w:val="21"/>
        </w:rPr>
      </w:pPr>
      <w:r>
        <w:rPr>
          <w:rFonts w:hint="eastAsia"/>
          <w:kern w:val="21"/>
        </w:rPr>
        <w:t>综上所述，</w:t>
      </w:r>
      <w:r>
        <w:rPr>
          <w:kern w:val="21"/>
        </w:rPr>
        <w:t>本项目选址符合《畜禽规模养殖污染防治条例》中要求。</w:t>
      </w:r>
    </w:p>
    <w:p w14:paraId="131B08B5" w14:textId="77777777" w:rsidR="00544649" w:rsidRDefault="00000000">
      <w:pPr>
        <w:keepNext/>
        <w:keepLines/>
        <w:numPr>
          <w:ilvl w:val="3"/>
          <w:numId w:val="2"/>
        </w:numPr>
        <w:adjustRightInd w:val="0"/>
        <w:snapToGrid w:val="0"/>
        <w:spacing w:after="0"/>
        <w:ind w:firstLineChars="0"/>
        <w:outlineLvl w:val="3"/>
        <w:rPr>
          <w:b/>
          <w:bCs/>
          <w:kern w:val="21"/>
        </w:rPr>
      </w:pPr>
      <w:r>
        <w:rPr>
          <w:rFonts w:hint="eastAsia"/>
          <w:b/>
          <w:bCs/>
          <w:kern w:val="21"/>
        </w:rPr>
        <w:t>与</w:t>
      </w:r>
      <w:r>
        <w:rPr>
          <w:b/>
          <w:bCs/>
          <w:kern w:val="21"/>
        </w:rPr>
        <w:t>《畜禽养殖业污染防治技术规范》（</w:t>
      </w:r>
      <w:r>
        <w:rPr>
          <w:rFonts w:hint="eastAsia"/>
          <w:b/>
          <w:bCs/>
          <w:kern w:val="21"/>
        </w:rPr>
        <w:t>HJ/T81-2001</w:t>
      </w:r>
      <w:r>
        <w:rPr>
          <w:b/>
          <w:bCs/>
          <w:kern w:val="21"/>
        </w:rPr>
        <w:t>）</w:t>
      </w:r>
      <w:r>
        <w:rPr>
          <w:rFonts w:hint="eastAsia"/>
          <w:b/>
          <w:bCs/>
          <w:kern w:val="21"/>
        </w:rPr>
        <w:t>选址相符性分析</w:t>
      </w:r>
    </w:p>
    <w:p w14:paraId="0F29B3BD" w14:textId="77777777" w:rsidR="00544649" w:rsidRDefault="00000000">
      <w:pPr>
        <w:adjustRightInd w:val="0"/>
        <w:snapToGrid w:val="0"/>
        <w:spacing w:after="0"/>
        <w:ind w:firstLine="480"/>
        <w:rPr>
          <w:kern w:val="21"/>
        </w:rPr>
      </w:pPr>
      <w:r>
        <w:rPr>
          <w:kern w:val="21"/>
        </w:rPr>
        <w:t>对照《畜禽养殖业污染防治技术规范》（</w:t>
      </w:r>
      <w:r>
        <w:rPr>
          <w:rFonts w:hint="eastAsia"/>
          <w:kern w:val="21"/>
        </w:rPr>
        <w:t>HJ/T81-2001</w:t>
      </w:r>
      <w:r>
        <w:rPr>
          <w:kern w:val="21"/>
        </w:rPr>
        <w:t>）</w:t>
      </w:r>
      <w:r>
        <w:rPr>
          <w:rFonts w:hint="eastAsia"/>
          <w:kern w:val="21"/>
        </w:rPr>
        <w:t>中选址相关</w:t>
      </w:r>
      <w:r>
        <w:rPr>
          <w:kern w:val="21"/>
        </w:rPr>
        <w:t>要求，</w:t>
      </w:r>
      <w:r>
        <w:rPr>
          <w:rFonts w:hint="eastAsia"/>
          <w:kern w:val="21"/>
        </w:rPr>
        <w:t>本项目</w:t>
      </w:r>
      <w:r>
        <w:rPr>
          <w:rFonts w:hint="eastAsia"/>
          <w:kern w:val="21"/>
        </w:rPr>
        <w:lastRenderedPageBreak/>
        <w:t>选址与其符合性分析见下表。</w:t>
      </w:r>
    </w:p>
    <w:p w14:paraId="4DE1250A"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与</w:t>
      </w:r>
      <w:r>
        <w:rPr>
          <w:b/>
          <w:bCs/>
          <w:kern w:val="21"/>
          <w:sz w:val="21"/>
          <w:szCs w:val="21"/>
        </w:rPr>
        <w:t>《畜禽养殖业污染防治技术规范》</w:t>
      </w:r>
      <w:r>
        <w:rPr>
          <w:rFonts w:cs="Times New Roman"/>
          <w:b/>
          <w:bCs/>
          <w:kern w:val="21"/>
          <w:sz w:val="21"/>
          <w:szCs w:val="21"/>
        </w:rPr>
        <w:t>选址要求符合性</w:t>
      </w:r>
      <w:r>
        <w:rPr>
          <w:rFonts w:cs="Times New Roman" w:hint="eastAsia"/>
          <w:b/>
          <w:bCs/>
          <w:kern w:val="21"/>
          <w:sz w:val="21"/>
          <w:szCs w:val="21"/>
        </w:rPr>
        <w:t>分析</w:t>
      </w:r>
    </w:p>
    <w:tbl>
      <w:tblPr>
        <w:tblStyle w:val="afc"/>
        <w:tblW w:w="9055" w:type="dxa"/>
        <w:jc w:val="center"/>
        <w:tblLayout w:type="fixed"/>
        <w:tblLook w:val="04A0" w:firstRow="1" w:lastRow="0" w:firstColumn="1" w:lastColumn="0" w:noHBand="0" w:noVBand="1"/>
      </w:tblPr>
      <w:tblGrid>
        <w:gridCol w:w="4035"/>
        <w:gridCol w:w="4086"/>
        <w:gridCol w:w="934"/>
      </w:tblGrid>
      <w:tr w:rsidR="00544649" w14:paraId="01A57BFC" w14:textId="77777777">
        <w:trPr>
          <w:tblHeader/>
          <w:jc w:val="center"/>
        </w:trPr>
        <w:tc>
          <w:tcPr>
            <w:tcW w:w="4035" w:type="dxa"/>
            <w:vAlign w:val="center"/>
          </w:tcPr>
          <w:p w14:paraId="5156C022" w14:textId="77777777" w:rsidR="00544649" w:rsidRDefault="00000000">
            <w:pPr>
              <w:pStyle w:val="aff7"/>
              <w:adjustRightInd w:val="0"/>
              <w:snapToGrid w:val="0"/>
              <w:spacing w:before="62" w:after="62"/>
              <w:rPr>
                <w:rFonts w:cs="Times New Roman"/>
                <w:b/>
                <w:bCs/>
                <w:kern w:val="21"/>
              </w:rPr>
            </w:pPr>
            <w:r>
              <w:rPr>
                <w:rFonts w:cs="Times New Roman"/>
                <w:b/>
                <w:bCs/>
                <w:kern w:val="21"/>
              </w:rPr>
              <w:t>相关要求</w:t>
            </w:r>
          </w:p>
        </w:tc>
        <w:tc>
          <w:tcPr>
            <w:tcW w:w="4086" w:type="dxa"/>
            <w:vAlign w:val="center"/>
          </w:tcPr>
          <w:p w14:paraId="0815A77B" w14:textId="77777777" w:rsidR="00544649" w:rsidRDefault="00000000">
            <w:pPr>
              <w:pStyle w:val="aff7"/>
              <w:adjustRightInd w:val="0"/>
              <w:snapToGrid w:val="0"/>
              <w:spacing w:before="62" w:after="62"/>
              <w:rPr>
                <w:rFonts w:cs="Times New Roman"/>
                <w:b/>
                <w:bCs/>
                <w:kern w:val="21"/>
              </w:rPr>
            </w:pPr>
            <w:r>
              <w:rPr>
                <w:rFonts w:cs="Times New Roman"/>
                <w:b/>
                <w:bCs/>
                <w:kern w:val="21"/>
              </w:rPr>
              <w:t>本项目情况</w:t>
            </w:r>
          </w:p>
        </w:tc>
        <w:tc>
          <w:tcPr>
            <w:tcW w:w="934" w:type="dxa"/>
            <w:vAlign w:val="center"/>
          </w:tcPr>
          <w:p w14:paraId="41C6C5F7" w14:textId="77777777" w:rsidR="00544649" w:rsidRDefault="00000000">
            <w:pPr>
              <w:pStyle w:val="aff7"/>
              <w:adjustRightInd w:val="0"/>
              <w:snapToGrid w:val="0"/>
              <w:spacing w:before="62" w:after="62"/>
              <w:rPr>
                <w:rFonts w:cs="Times New Roman"/>
                <w:b/>
                <w:bCs/>
                <w:kern w:val="21"/>
              </w:rPr>
            </w:pPr>
            <w:r>
              <w:rPr>
                <w:rFonts w:cs="Times New Roman" w:hint="eastAsia"/>
                <w:b/>
                <w:bCs/>
                <w:kern w:val="21"/>
              </w:rPr>
              <w:t>符合性</w:t>
            </w:r>
          </w:p>
        </w:tc>
      </w:tr>
      <w:tr w:rsidR="00544649" w14:paraId="774EB527" w14:textId="77777777">
        <w:trPr>
          <w:jc w:val="center"/>
        </w:trPr>
        <w:tc>
          <w:tcPr>
            <w:tcW w:w="4035" w:type="dxa"/>
            <w:vAlign w:val="center"/>
          </w:tcPr>
          <w:p w14:paraId="44923190" w14:textId="77777777" w:rsidR="00544649" w:rsidRDefault="00000000">
            <w:pPr>
              <w:pStyle w:val="aff7"/>
              <w:adjustRightInd w:val="0"/>
              <w:snapToGrid w:val="0"/>
              <w:spacing w:before="62" w:after="62"/>
              <w:rPr>
                <w:rFonts w:cs="Times New Roman"/>
                <w:kern w:val="21"/>
              </w:rPr>
            </w:pPr>
            <w:r>
              <w:rPr>
                <w:rFonts w:cs="Times New Roman"/>
                <w:kern w:val="21"/>
              </w:rPr>
              <w:t>禁止在城市和城镇居民区，包括文教科研区、医疗区、商业区、工业区、</w:t>
            </w:r>
            <w:proofErr w:type="gramStart"/>
            <w:r>
              <w:rPr>
                <w:rFonts w:cs="Times New Roman"/>
                <w:kern w:val="21"/>
              </w:rPr>
              <w:t>浏览区</w:t>
            </w:r>
            <w:proofErr w:type="gramEnd"/>
            <w:r>
              <w:rPr>
                <w:rFonts w:cs="Times New Roman"/>
                <w:kern w:val="21"/>
              </w:rPr>
              <w:t>等人口集中地区建设畜禽养殖场</w:t>
            </w:r>
            <w:r>
              <w:rPr>
                <w:rFonts w:cs="Times New Roman" w:hint="eastAsia"/>
                <w:kern w:val="21"/>
              </w:rPr>
              <w:t>。</w:t>
            </w:r>
          </w:p>
        </w:tc>
        <w:tc>
          <w:tcPr>
            <w:tcW w:w="4086" w:type="dxa"/>
            <w:vAlign w:val="center"/>
          </w:tcPr>
          <w:p w14:paraId="378431F0" w14:textId="77777777" w:rsidR="00544649" w:rsidRDefault="00000000">
            <w:pPr>
              <w:pStyle w:val="aff7"/>
              <w:adjustRightInd w:val="0"/>
              <w:snapToGrid w:val="0"/>
              <w:spacing w:before="62" w:after="62"/>
              <w:rPr>
                <w:rFonts w:cs="Times New Roman"/>
                <w:kern w:val="21"/>
              </w:rPr>
            </w:pPr>
            <w:r>
              <w:rPr>
                <w:rFonts w:cs="Times New Roman"/>
                <w:kern w:val="21"/>
              </w:rPr>
              <w:t>本项目选址</w:t>
            </w:r>
            <w:r>
              <w:rPr>
                <w:rFonts w:cs="Times New Roman" w:hint="eastAsia"/>
                <w:kern w:val="21"/>
              </w:rPr>
              <w:t>位于广元</w:t>
            </w:r>
            <w:r>
              <w:rPr>
                <w:rFonts w:cs="Times New Roman"/>
                <w:kern w:val="21"/>
              </w:rPr>
              <w:t>市</w:t>
            </w:r>
            <w:r>
              <w:rPr>
                <w:rFonts w:cs="Times New Roman" w:hint="eastAsia"/>
                <w:kern w:val="21"/>
              </w:rPr>
              <w:t>剑阁县剑门关镇新龙村六组、双鱼村七组</w:t>
            </w:r>
            <w:r>
              <w:rPr>
                <w:rFonts w:cs="Times New Roman"/>
                <w:kern w:val="21"/>
              </w:rPr>
              <w:t>，地处农村，不涉及文教科研区、医疗区、商业区、工业区、</w:t>
            </w:r>
            <w:proofErr w:type="gramStart"/>
            <w:r>
              <w:rPr>
                <w:rFonts w:cs="Times New Roman"/>
                <w:kern w:val="21"/>
              </w:rPr>
              <w:t>浏览区</w:t>
            </w:r>
            <w:proofErr w:type="gramEnd"/>
            <w:r>
              <w:rPr>
                <w:rFonts w:cs="Times New Roman"/>
                <w:kern w:val="21"/>
              </w:rPr>
              <w:t>等。</w:t>
            </w:r>
          </w:p>
        </w:tc>
        <w:tc>
          <w:tcPr>
            <w:tcW w:w="934" w:type="dxa"/>
            <w:vAlign w:val="center"/>
          </w:tcPr>
          <w:p w14:paraId="657C9435" w14:textId="77777777" w:rsidR="00544649" w:rsidRDefault="00000000">
            <w:pPr>
              <w:pStyle w:val="aff7"/>
              <w:adjustRightInd w:val="0"/>
              <w:snapToGrid w:val="0"/>
              <w:spacing w:before="62" w:after="62"/>
              <w:rPr>
                <w:rFonts w:cs="Times New Roman"/>
                <w:kern w:val="21"/>
              </w:rPr>
            </w:pPr>
            <w:r>
              <w:rPr>
                <w:rFonts w:cs="Times New Roman"/>
                <w:kern w:val="21"/>
              </w:rPr>
              <w:t>符合</w:t>
            </w:r>
          </w:p>
        </w:tc>
      </w:tr>
      <w:tr w:rsidR="00544649" w14:paraId="55C1FC86" w14:textId="77777777">
        <w:trPr>
          <w:jc w:val="center"/>
        </w:trPr>
        <w:tc>
          <w:tcPr>
            <w:tcW w:w="4035" w:type="dxa"/>
            <w:vAlign w:val="center"/>
          </w:tcPr>
          <w:p w14:paraId="21889BB2" w14:textId="77777777" w:rsidR="00544649" w:rsidRDefault="00000000">
            <w:pPr>
              <w:pStyle w:val="aff7"/>
              <w:adjustRightInd w:val="0"/>
              <w:snapToGrid w:val="0"/>
              <w:spacing w:before="62" w:after="62"/>
              <w:rPr>
                <w:rFonts w:cs="Times New Roman"/>
                <w:kern w:val="21"/>
              </w:rPr>
            </w:pPr>
            <w:r>
              <w:rPr>
                <w:rFonts w:cs="Times New Roman"/>
                <w:kern w:val="21"/>
              </w:rPr>
              <w:t>禁止在生活饮用水水源保护区、风景名胜区、自然保护区的核心区及缓冲区建设畜禽养殖场</w:t>
            </w:r>
            <w:r>
              <w:rPr>
                <w:rFonts w:cs="Times New Roman" w:hint="eastAsia"/>
                <w:kern w:val="21"/>
              </w:rPr>
              <w:t>。</w:t>
            </w:r>
          </w:p>
        </w:tc>
        <w:tc>
          <w:tcPr>
            <w:tcW w:w="4086" w:type="dxa"/>
            <w:vAlign w:val="center"/>
          </w:tcPr>
          <w:p w14:paraId="10C9BF54" w14:textId="77777777" w:rsidR="00544649" w:rsidRDefault="00000000">
            <w:pPr>
              <w:pStyle w:val="aff7"/>
              <w:adjustRightInd w:val="0"/>
              <w:snapToGrid w:val="0"/>
              <w:spacing w:before="62" w:after="62"/>
              <w:rPr>
                <w:rFonts w:cs="Times New Roman"/>
                <w:kern w:val="21"/>
              </w:rPr>
            </w:pPr>
            <w:r>
              <w:rPr>
                <w:rFonts w:cs="Times New Roman"/>
                <w:kern w:val="21"/>
              </w:rPr>
              <w:t>本项目</w:t>
            </w:r>
            <w:r>
              <w:rPr>
                <w:rFonts w:cs="Times New Roman" w:hint="eastAsia"/>
                <w:kern w:val="21"/>
              </w:rPr>
              <w:t>用地范围内不涉及</w:t>
            </w:r>
            <w:r>
              <w:rPr>
                <w:rFonts w:cs="Times New Roman"/>
                <w:kern w:val="21"/>
              </w:rPr>
              <w:t>无饮用水水源保护区、风景名胜区、自然保护区的核心区及缓冲区。</w:t>
            </w:r>
          </w:p>
        </w:tc>
        <w:tc>
          <w:tcPr>
            <w:tcW w:w="934" w:type="dxa"/>
            <w:vAlign w:val="center"/>
          </w:tcPr>
          <w:p w14:paraId="26BDADD1" w14:textId="77777777" w:rsidR="00544649" w:rsidRDefault="00000000">
            <w:pPr>
              <w:pStyle w:val="aff7"/>
              <w:adjustRightInd w:val="0"/>
              <w:snapToGrid w:val="0"/>
              <w:spacing w:before="62" w:after="62"/>
              <w:rPr>
                <w:rFonts w:cs="Times New Roman"/>
                <w:kern w:val="21"/>
              </w:rPr>
            </w:pPr>
            <w:r>
              <w:rPr>
                <w:rFonts w:cs="Times New Roman"/>
                <w:kern w:val="21"/>
              </w:rPr>
              <w:t>符合</w:t>
            </w:r>
          </w:p>
        </w:tc>
      </w:tr>
      <w:tr w:rsidR="00544649" w14:paraId="35088420" w14:textId="77777777">
        <w:trPr>
          <w:jc w:val="center"/>
        </w:trPr>
        <w:tc>
          <w:tcPr>
            <w:tcW w:w="4035" w:type="dxa"/>
            <w:vAlign w:val="center"/>
          </w:tcPr>
          <w:p w14:paraId="0E01731B" w14:textId="77777777" w:rsidR="00544649" w:rsidRDefault="00000000">
            <w:pPr>
              <w:pStyle w:val="aff7"/>
              <w:adjustRightInd w:val="0"/>
              <w:snapToGrid w:val="0"/>
              <w:spacing w:before="62" w:after="62"/>
              <w:rPr>
                <w:rFonts w:cs="Times New Roman"/>
                <w:kern w:val="21"/>
              </w:rPr>
            </w:pPr>
            <w:r>
              <w:rPr>
                <w:rFonts w:cs="Times New Roman"/>
                <w:kern w:val="21"/>
              </w:rPr>
              <w:t>禁止在县级人民政府依法划定的禁养区域建设畜禽养殖场</w:t>
            </w:r>
            <w:r>
              <w:rPr>
                <w:rFonts w:cs="Times New Roman" w:hint="eastAsia"/>
                <w:kern w:val="21"/>
              </w:rPr>
              <w:t>。</w:t>
            </w:r>
          </w:p>
        </w:tc>
        <w:tc>
          <w:tcPr>
            <w:tcW w:w="4086" w:type="dxa"/>
            <w:vAlign w:val="center"/>
          </w:tcPr>
          <w:p w14:paraId="68A97ECA" w14:textId="77777777" w:rsidR="00544649" w:rsidRDefault="00000000">
            <w:pPr>
              <w:pStyle w:val="aff7"/>
              <w:adjustRightInd w:val="0"/>
              <w:snapToGrid w:val="0"/>
              <w:spacing w:before="62" w:after="62"/>
              <w:rPr>
                <w:rFonts w:cs="Times New Roman"/>
                <w:kern w:val="21"/>
              </w:rPr>
            </w:pPr>
            <w:r>
              <w:rPr>
                <w:rFonts w:cs="Times New Roman"/>
                <w:kern w:val="21"/>
              </w:rPr>
              <w:t>本项目所在地不属于县级人民政府依法划定的禁养区</w:t>
            </w:r>
            <w:r>
              <w:rPr>
                <w:rFonts w:cs="Times New Roman" w:hint="eastAsia"/>
                <w:kern w:val="21"/>
              </w:rPr>
              <w:t>。</w:t>
            </w:r>
          </w:p>
        </w:tc>
        <w:tc>
          <w:tcPr>
            <w:tcW w:w="934" w:type="dxa"/>
            <w:vAlign w:val="center"/>
          </w:tcPr>
          <w:p w14:paraId="4971FD20" w14:textId="77777777" w:rsidR="00544649" w:rsidRDefault="00000000">
            <w:pPr>
              <w:pStyle w:val="aff7"/>
              <w:adjustRightInd w:val="0"/>
              <w:snapToGrid w:val="0"/>
              <w:spacing w:before="62" w:after="62"/>
              <w:rPr>
                <w:rFonts w:cs="Times New Roman"/>
                <w:kern w:val="21"/>
              </w:rPr>
            </w:pPr>
            <w:r>
              <w:rPr>
                <w:rFonts w:cs="Times New Roman"/>
                <w:kern w:val="21"/>
              </w:rPr>
              <w:t>符合</w:t>
            </w:r>
          </w:p>
        </w:tc>
      </w:tr>
      <w:tr w:rsidR="00544649" w14:paraId="7D4E6613" w14:textId="77777777">
        <w:trPr>
          <w:jc w:val="center"/>
        </w:trPr>
        <w:tc>
          <w:tcPr>
            <w:tcW w:w="4035" w:type="dxa"/>
            <w:vAlign w:val="center"/>
          </w:tcPr>
          <w:p w14:paraId="22C18EC0" w14:textId="77777777" w:rsidR="00544649" w:rsidRDefault="00000000">
            <w:pPr>
              <w:pStyle w:val="aff7"/>
              <w:adjustRightInd w:val="0"/>
              <w:snapToGrid w:val="0"/>
              <w:spacing w:before="62" w:after="62"/>
              <w:rPr>
                <w:rFonts w:cs="Times New Roman"/>
                <w:kern w:val="21"/>
              </w:rPr>
            </w:pPr>
            <w:r>
              <w:rPr>
                <w:rFonts w:cs="Times New Roman"/>
                <w:kern w:val="21"/>
              </w:rPr>
              <w:t>禁止在国家或地方法律、法规规定需特殊保护的其它区域建设畜禽养殖场</w:t>
            </w:r>
            <w:r>
              <w:rPr>
                <w:rFonts w:cs="Times New Roman" w:hint="eastAsia"/>
                <w:kern w:val="21"/>
              </w:rPr>
              <w:t>。</w:t>
            </w:r>
          </w:p>
        </w:tc>
        <w:tc>
          <w:tcPr>
            <w:tcW w:w="4086" w:type="dxa"/>
            <w:vAlign w:val="center"/>
          </w:tcPr>
          <w:p w14:paraId="768E2E65" w14:textId="77777777" w:rsidR="00544649" w:rsidRDefault="00000000">
            <w:pPr>
              <w:pStyle w:val="aff7"/>
              <w:adjustRightInd w:val="0"/>
              <w:snapToGrid w:val="0"/>
              <w:spacing w:before="62" w:after="62"/>
              <w:rPr>
                <w:rFonts w:cs="Times New Roman"/>
                <w:kern w:val="21"/>
              </w:rPr>
            </w:pPr>
            <w:r>
              <w:rPr>
                <w:rFonts w:cs="Times New Roman"/>
                <w:kern w:val="21"/>
              </w:rPr>
              <w:t>本项目所在地不属于国家或地方法律、法规规定需特殊保护的其他地区</w:t>
            </w:r>
            <w:r>
              <w:rPr>
                <w:rFonts w:cs="Times New Roman" w:hint="eastAsia"/>
                <w:kern w:val="21"/>
              </w:rPr>
              <w:t>。</w:t>
            </w:r>
          </w:p>
        </w:tc>
        <w:tc>
          <w:tcPr>
            <w:tcW w:w="934" w:type="dxa"/>
            <w:vAlign w:val="center"/>
          </w:tcPr>
          <w:p w14:paraId="4796BFF1" w14:textId="77777777" w:rsidR="00544649" w:rsidRDefault="00000000">
            <w:pPr>
              <w:pStyle w:val="aff7"/>
              <w:adjustRightInd w:val="0"/>
              <w:snapToGrid w:val="0"/>
              <w:spacing w:before="62" w:after="62"/>
              <w:rPr>
                <w:rFonts w:cs="Times New Roman"/>
                <w:kern w:val="21"/>
              </w:rPr>
            </w:pPr>
            <w:r>
              <w:rPr>
                <w:rFonts w:cs="Times New Roman"/>
                <w:kern w:val="21"/>
              </w:rPr>
              <w:t>符合</w:t>
            </w:r>
          </w:p>
        </w:tc>
      </w:tr>
      <w:tr w:rsidR="00544649" w14:paraId="38BA67AF" w14:textId="77777777">
        <w:trPr>
          <w:jc w:val="center"/>
        </w:trPr>
        <w:tc>
          <w:tcPr>
            <w:tcW w:w="4035" w:type="dxa"/>
            <w:vAlign w:val="center"/>
          </w:tcPr>
          <w:p w14:paraId="43AEEBD3" w14:textId="77777777" w:rsidR="00544649" w:rsidRDefault="00000000">
            <w:pPr>
              <w:pStyle w:val="aff7"/>
              <w:adjustRightInd w:val="0"/>
              <w:snapToGrid w:val="0"/>
              <w:spacing w:before="62" w:after="62"/>
              <w:rPr>
                <w:rFonts w:cs="Times New Roman"/>
                <w:kern w:val="21"/>
              </w:rPr>
            </w:pPr>
            <w:r>
              <w:rPr>
                <w:rFonts w:cs="Times New Roman"/>
                <w:kern w:val="21"/>
              </w:rPr>
              <w:t>贮存设施的位置必须远离各类功能地表水体（距离不得小于</w:t>
            </w:r>
            <w:r>
              <w:rPr>
                <w:rFonts w:cs="Times New Roman"/>
                <w:kern w:val="21"/>
              </w:rPr>
              <w:t>400m</w:t>
            </w:r>
            <w:r>
              <w:rPr>
                <w:rFonts w:cs="Times New Roman"/>
                <w:kern w:val="21"/>
              </w:rPr>
              <w:t>），并应设在养殖场生产及生活管理区的常年主导风向的下风向或侧风向处</w:t>
            </w:r>
            <w:r>
              <w:rPr>
                <w:rFonts w:cs="Times New Roman" w:hint="eastAsia"/>
                <w:kern w:val="21"/>
              </w:rPr>
              <w:t>。</w:t>
            </w:r>
          </w:p>
        </w:tc>
        <w:tc>
          <w:tcPr>
            <w:tcW w:w="4086" w:type="dxa"/>
            <w:vAlign w:val="center"/>
          </w:tcPr>
          <w:p w14:paraId="2899E07C" w14:textId="77777777" w:rsidR="00544649" w:rsidRDefault="00000000">
            <w:pPr>
              <w:pStyle w:val="aff7"/>
              <w:adjustRightInd w:val="0"/>
              <w:snapToGrid w:val="0"/>
              <w:spacing w:before="62" w:after="62"/>
              <w:rPr>
                <w:rFonts w:cs="Times New Roman"/>
                <w:kern w:val="21"/>
              </w:rPr>
            </w:pPr>
            <w:r>
              <w:rPr>
                <w:rFonts w:cs="Times New Roman"/>
                <w:kern w:val="21"/>
              </w:rPr>
              <w:t>本项目距离最近的主要水体为</w:t>
            </w:r>
            <w:r>
              <w:rPr>
                <w:rFonts w:cs="Times New Roman" w:hint="eastAsia"/>
                <w:kern w:val="21"/>
              </w:rPr>
              <w:t>项目东侧嘉陵江</w:t>
            </w:r>
            <w:r>
              <w:rPr>
                <w:rFonts w:cs="Times New Roman"/>
                <w:kern w:val="21"/>
              </w:rPr>
              <w:t>，距离约</w:t>
            </w:r>
            <w:r>
              <w:rPr>
                <w:rFonts w:cs="Times New Roman" w:hint="eastAsia"/>
                <w:kern w:val="21"/>
              </w:rPr>
              <w:t>6.1k</w:t>
            </w:r>
            <w:r>
              <w:rPr>
                <w:rFonts w:cs="Times New Roman"/>
                <w:kern w:val="21"/>
              </w:rPr>
              <w:t>m</w:t>
            </w:r>
            <w:r>
              <w:rPr>
                <w:rFonts w:cs="Times New Roman"/>
                <w:kern w:val="21"/>
              </w:rPr>
              <w:t>；本项目</w:t>
            </w:r>
            <w:proofErr w:type="gramStart"/>
            <w:r>
              <w:rPr>
                <w:rFonts w:cs="Times New Roman" w:hint="eastAsia"/>
                <w:kern w:val="21"/>
              </w:rPr>
              <w:t>育雏场</w:t>
            </w:r>
            <w:proofErr w:type="gramEnd"/>
            <w:r>
              <w:rPr>
                <w:rFonts w:cs="Times New Roman" w:hint="eastAsia"/>
                <w:kern w:val="21"/>
              </w:rPr>
              <w:t>及蛋鸡场污水处理设施均</w:t>
            </w:r>
            <w:r>
              <w:rPr>
                <w:rFonts w:cs="Times New Roman"/>
                <w:kern w:val="21"/>
              </w:rPr>
              <w:t>位于生产及生活管理区的常年主导风向的</w:t>
            </w:r>
            <w:r>
              <w:rPr>
                <w:rFonts w:cs="Times New Roman" w:hint="eastAsia"/>
                <w:kern w:val="21"/>
              </w:rPr>
              <w:t>下</w:t>
            </w:r>
            <w:r>
              <w:rPr>
                <w:rFonts w:cs="Times New Roman"/>
                <w:kern w:val="21"/>
              </w:rPr>
              <w:t>风向</w:t>
            </w:r>
            <w:r>
              <w:rPr>
                <w:rFonts w:cs="Times New Roman" w:hint="eastAsia"/>
                <w:kern w:val="21"/>
              </w:rPr>
              <w:t>，本项目鸡粪日产日清，不在厂内暂存</w:t>
            </w:r>
            <w:r>
              <w:rPr>
                <w:rFonts w:cs="Times New Roman"/>
                <w:kern w:val="21"/>
              </w:rPr>
              <w:t>。</w:t>
            </w:r>
          </w:p>
        </w:tc>
        <w:tc>
          <w:tcPr>
            <w:tcW w:w="934" w:type="dxa"/>
            <w:vAlign w:val="center"/>
          </w:tcPr>
          <w:p w14:paraId="3245BEED" w14:textId="77777777" w:rsidR="00544649" w:rsidRDefault="00000000">
            <w:pPr>
              <w:pStyle w:val="aff7"/>
              <w:adjustRightInd w:val="0"/>
              <w:snapToGrid w:val="0"/>
              <w:spacing w:before="62" w:after="62"/>
              <w:rPr>
                <w:rFonts w:cs="Times New Roman"/>
                <w:kern w:val="21"/>
              </w:rPr>
            </w:pPr>
            <w:r>
              <w:rPr>
                <w:rFonts w:cs="Times New Roman"/>
                <w:kern w:val="21"/>
              </w:rPr>
              <w:t>符合</w:t>
            </w:r>
          </w:p>
        </w:tc>
      </w:tr>
    </w:tbl>
    <w:p w14:paraId="62287964" w14:textId="77777777" w:rsidR="00544649" w:rsidRDefault="00000000">
      <w:pPr>
        <w:adjustRightInd w:val="0"/>
        <w:snapToGrid w:val="0"/>
        <w:spacing w:after="0"/>
        <w:ind w:firstLine="480"/>
        <w:rPr>
          <w:rFonts w:ascii="宋体" w:hAnsi="宋体" w:cs="宋体" w:hint="eastAsia"/>
          <w:b/>
          <w:bCs/>
          <w:kern w:val="21"/>
          <w:szCs w:val="24"/>
        </w:rPr>
      </w:pPr>
      <w:r>
        <w:rPr>
          <w:rFonts w:cs="Times New Roman"/>
          <w:kern w:val="21"/>
        </w:rPr>
        <w:t>本项目选址位于</w:t>
      </w:r>
      <w:r>
        <w:rPr>
          <w:rFonts w:hint="eastAsia"/>
          <w:kern w:val="21"/>
        </w:rPr>
        <w:t>四川省广元市剑阁县剑门关镇新龙村六组、双鱼村七组，</w:t>
      </w:r>
      <w:r>
        <w:rPr>
          <w:rFonts w:cs="Times New Roman" w:hint="eastAsia"/>
          <w:kern w:val="21"/>
        </w:rPr>
        <w:t>本项目</w:t>
      </w:r>
      <w:proofErr w:type="gramStart"/>
      <w:r>
        <w:rPr>
          <w:rFonts w:cs="Times New Roman" w:hint="eastAsia"/>
          <w:kern w:val="21"/>
        </w:rPr>
        <w:t>育雏场距离</w:t>
      </w:r>
      <w:proofErr w:type="gramEnd"/>
      <w:r>
        <w:rPr>
          <w:rFonts w:cs="Times New Roman" w:hint="eastAsia"/>
          <w:kern w:val="21"/>
        </w:rPr>
        <w:t>西侧“剑门蜀道国家级风景名胜区”最近距离为</w:t>
      </w:r>
      <w:r>
        <w:rPr>
          <w:rFonts w:cs="Times New Roman" w:hint="eastAsia"/>
          <w:kern w:val="21"/>
        </w:rPr>
        <w:t>1.34km</w:t>
      </w:r>
      <w:r>
        <w:rPr>
          <w:rFonts w:cs="Times New Roman" w:hint="eastAsia"/>
          <w:kern w:val="21"/>
        </w:rPr>
        <w:t>，</w:t>
      </w:r>
      <w:proofErr w:type="gramStart"/>
      <w:r>
        <w:rPr>
          <w:rFonts w:cs="Times New Roman" w:hint="eastAsia"/>
          <w:kern w:val="21"/>
        </w:rPr>
        <w:t>育雏场距离</w:t>
      </w:r>
      <w:proofErr w:type="gramEnd"/>
      <w:r>
        <w:rPr>
          <w:rFonts w:cs="Times New Roman" w:hint="eastAsia"/>
          <w:kern w:val="21"/>
        </w:rPr>
        <w:t>北侧“剑门关地质公园”最近距离为</w:t>
      </w:r>
      <w:r>
        <w:rPr>
          <w:rFonts w:cs="Times New Roman" w:hint="eastAsia"/>
          <w:kern w:val="21"/>
        </w:rPr>
        <w:t>2.36km</w:t>
      </w:r>
      <w:r>
        <w:rPr>
          <w:rFonts w:cs="Times New Roman" w:hint="eastAsia"/>
          <w:kern w:val="21"/>
        </w:rPr>
        <w:t>。</w:t>
      </w:r>
      <w:r>
        <w:rPr>
          <w:rFonts w:cs="Times New Roman"/>
          <w:kern w:val="21"/>
        </w:rPr>
        <w:t>周边无饮用水水源保护区、城镇居民区、永久基本农田保护红线、文化教育科学研究人口集中区域、江河、湖库、渠道等环境敏感区</w:t>
      </w:r>
      <w:r>
        <w:rPr>
          <w:rFonts w:cs="Times New Roman" w:hint="eastAsia"/>
          <w:kern w:val="21"/>
        </w:rPr>
        <w:t>。</w:t>
      </w:r>
      <w:r>
        <w:rPr>
          <w:rFonts w:cs="Times New Roman"/>
          <w:kern w:val="21"/>
        </w:rPr>
        <w:t>符合《畜禽养殖业污染防治技术规范》</w:t>
      </w:r>
      <w:r>
        <w:rPr>
          <w:rFonts w:cs="Times New Roman" w:hint="eastAsia"/>
          <w:kern w:val="21"/>
        </w:rPr>
        <w:t>的项目选址要求</w:t>
      </w:r>
      <w:r>
        <w:rPr>
          <w:rFonts w:cs="Times New Roman"/>
          <w:kern w:val="21"/>
        </w:rPr>
        <w:t>。</w:t>
      </w:r>
    </w:p>
    <w:p w14:paraId="45C5E2D8" w14:textId="77777777" w:rsidR="00544649" w:rsidRDefault="00000000">
      <w:pPr>
        <w:numPr>
          <w:ilvl w:val="2"/>
          <w:numId w:val="2"/>
        </w:numPr>
        <w:adjustRightInd w:val="0"/>
        <w:snapToGrid w:val="0"/>
        <w:spacing w:after="0"/>
        <w:ind w:firstLineChars="0"/>
        <w:outlineLvl w:val="2"/>
        <w:rPr>
          <w:b/>
          <w:bCs/>
          <w:kern w:val="21"/>
          <w:sz w:val="28"/>
          <w:szCs w:val="24"/>
        </w:rPr>
      </w:pPr>
      <w:bookmarkStart w:id="184" w:name="_Toc195009824"/>
      <w:r>
        <w:rPr>
          <w:rFonts w:hint="eastAsia"/>
          <w:b/>
          <w:bCs/>
          <w:kern w:val="21"/>
          <w:sz w:val="28"/>
          <w:szCs w:val="24"/>
        </w:rPr>
        <w:t>项目周边影响因素分析</w:t>
      </w:r>
      <w:bookmarkEnd w:id="184"/>
    </w:p>
    <w:p w14:paraId="539C596D" w14:textId="77777777" w:rsidR="00544649" w:rsidRDefault="00000000">
      <w:pPr>
        <w:numPr>
          <w:ilvl w:val="3"/>
          <w:numId w:val="2"/>
        </w:numPr>
        <w:adjustRightInd w:val="0"/>
        <w:snapToGrid w:val="0"/>
        <w:spacing w:after="0"/>
        <w:ind w:firstLineChars="0"/>
        <w:outlineLvl w:val="3"/>
        <w:rPr>
          <w:rFonts w:cs="Times New Roman"/>
          <w:b/>
          <w:bCs/>
          <w:kern w:val="21"/>
        </w:rPr>
      </w:pPr>
      <w:r>
        <w:rPr>
          <w:rFonts w:hint="eastAsia"/>
          <w:b/>
          <w:bCs/>
          <w:kern w:val="21"/>
        </w:rPr>
        <w:t>与</w:t>
      </w:r>
      <w:r>
        <w:rPr>
          <w:rFonts w:cs="Times New Roman" w:hint="eastAsia"/>
          <w:b/>
          <w:bCs/>
          <w:kern w:val="21"/>
        </w:rPr>
        <w:t>周边环境相容性分析</w:t>
      </w:r>
    </w:p>
    <w:p w14:paraId="301F8616" w14:textId="77777777" w:rsidR="00544649" w:rsidRDefault="00000000">
      <w:pPr>
        <w:adjustRightInd w:val="0"/>
        <w:snapToGrid w:val="0"/>
        <w:spacing w:after="0"/>
        <w:ind w:firstLine="480"/>
        <w:rPr>
          <w:rFonts w:cs="Times New Roman"/>
          <w:kern w:val="21"/>
        </w:rPr>
      </w:pPr>
      <w:r>
        <w:rPr>
          <w:rFonts w:cs="Times New Roman" w:hint="eastAsia"/>
          <w:kern w:val="21"/>
        </w:rPr>
        <w:t>本项目位于</w:t>
      </w:r>
      <w:r>
        <w:rPr>
          <w:rFonts w:hint="eastAsia"/>
          <w:kern w:val="21"/>
        </w:rPr>
        <w:t>广元市剑阁县剑门关镇新龙村六组、双鱼村七组</w:t>
      </w:r>
      <w:r>
        <w:rPr>
          <w:rFonts w:cs="Times New Roman" w:hint="eastAsia"/>
          <w:kern w:val="21"/>
        </w:rPr>
        <w:t>，</w:t>
      </w:r>
      <w:r>
        <w:rPr>
          <w:kern w:val="21"/>
        </w:rPr>
        <w:t>根据现场踏勘</w:t>
      </w:r>
      <w:r>
        <w:rPr>
          <w:rFonts w:hint="eastAsia"/>
          <w:kern w:val="21"/>
        </w:rPr>
        <w:t>，</w:t>
      </w:r>
      <w:r>
        <w:rPr>
          <w:kern w:val="21"/>
        </w:rPr>
        <w:t>1km</w:t>
      </w:r>
      <w:r>
        <w:rPr>
          <w:kern w:val="21"/>
        </w:rPr>
        <w:t>范围内无场镇建成区、学校、医院等环境敏感点</w:t>
      </w:r>
      <w:r>
        <w:rPr>
          <w:rFonts w:hint="eastAsia"/>
          <w:kern w:val="21"/>
        </w:rPr>
        <w:t>，</w:t>
      </w:r>
      <w:r>
        <w:rPr>
          <w:rFonts w:cs="Times New Roman" w:hint="eastAsia"/>
          <w:kern w:val="21"/>
        </w:rPr>
        <w:t>本项目产生的恶臭气体经治理后对周边散户居民影响较小。项目周围</w:t>
      </w:r>
      <w:r>
        <w:rPr>
          <w:rFonts w:cs="Times New Roman" w:hint="eastAsia"/>
          <w:kern w:val="21"/>
        </w:rPr>
        <w:t>500m</w:t>
      </w:r>
      <w:r>
        <w:rPr>
          <w:rFonts w:cs="Times New Roman" w:hint="eastAsia"/>
          <w:kern w:val="21"/>
        </w:rPr>
        <w:t>范围主要为西侧和北侧分布少量散户，项目以养殖鸡舍、污水处理站为边界外延</w:t>
      </w:r>
      <w:r>
        <w:rPr>
          <w:rFonts w:cs="Times New Roman" w:hint="eastAsia"/>
          <w:kern w:val="21"/>
        </w:rPr>
        <w:t>200m</w:t>
      </w:r>
      <w:r>
        <w:rPr>
          <w:rFonts w:cs="Times New Roman" w:hint="eastAsia"/>
          <w:kern w:val="21"/>
        </w:rPr>
        <w:t>的范围内为卫生防护距离，卫生防护距离内有</w:t>
      </w:r>
      <w:r>
        <w:rPr>
          <w:rFonts w:cs="Times New Roman" w:hint="eastAsia"/>
          <w:kern w:val="21"/>
        </w:rPr>
        <w:t>1</w:t>
      </w:r>
      <w:r>
        <w:rPr>
          <w:rFonts w:cs="Times New Roman" w:hint="eastAsia"/>
          <w:kern w:val="21"/>
        </w:rPr>
        <w:t>户居民，项目租赁为管理用房。综上所述，本项目的建设与周边环境相容。</w:t>
      </w:r>
    </w:p>
    <w:p w14:paraId="4467CB84" w14:textId="77777777" w:rsidR="00544649" w:rsidRDefault="00000000">
      <w:pPr>
        <w:numPr>
          <w:ilvl w:val="3"/>
          <w:numId w:val="2"/>
        </w:numPr>
        <w:adjustRightInd w:val="0"/>
        <w:snapToGrid w:val="0"/>
        <w:spacing w:after="0"/>
        <w:ind w:firstLineChars="0"/>
        <w:outlineLvl w:val="3"/>
        <w:rPr>
          <w:rFonts w:cs="Times New Roman"/>
          <w:b/>
          <w:bCs/>
          <w:kern w:val="21"/>
        </w:rPr>
      </w:pPr>
      <w:r>
        <w:rPr>
          <w:rFonts w:cs="Times New Roman" w:hint="eastAsia"/>
          <w:b/>
          <w:bCs/>
          <w:kern w:val="21"/>
        </w:rPr>
        <w:t>基础设施依托合理性分析</w:t>
      </w:r>
    </w:p>
    <w:p w14:paraId="5CF75268" w14:textId="77777777" w:rsidR="00544649" w:rsidRDefault="00000000">
      <w:pPr>
        <w:adjustRightInd w:val="0"/>
        <w:snapToGrid w:val="0"/>
        <w:spacing w:after="0"/>
        <w:ind w:firstLine="480"/>
        <w:rPr>
          <w:rFonts w:cs="Times New Roman"/>
          <w:kern w:val="21"/>
        </w:rPr>
      </w:pPr>
      <w:r>
        <w:rPr>
          <w:rFonts w:cs="Times New Roman" w:hint="eastAsia"/>
          <w:kern w:val="21"/>
        </w:rPr>
        <w:t>项目四周有乡道，道路路面均为混凝土路面，路况较好，区域交通条件较好，项目选址交通便利；本项目供电由市政电网供电，且本项目备有柴油发电机，故本项目的供电得到保障。综上，本项目场址从区域配套基础设施分析，其选址具有合理性。</w:t>
      </w:r>
    </w:p>
    <w:p w14:paraId="17213640" w14:textId="77777777" w:rsidR="00544649" w:rsidRDefault="00000000">
      <w:pPr>
        <w:numPr>
          <w:ilvl w:val="3"/>
          <w:numId w:val="2"/>
        </w:numPr>
        <w:adjustRightInd w:val="0"/>
        <w:snapToGrid w:val="0"/>
        <w:spacing w:after="0"/>
        <w:ind w:firstLineChars="0"/>
        <w:outlineLvl w:val="3"/>
        <w:rPr>
          <w:rFonts w:cs="Times New Roman"/>
          <w:b/>
          <w:bCs/>
          <w:kern w:val="21"/>
        </w:rPr>
      </w:pPr>
      <w:r>
        <w:rPr>
          <w:rFonts w:cs="Times New Roman" w:hint="eastAsia"/>
          <w:b/>
          <w:bCs/>
          <w:kern w:val="21"/>
        </w:rPr>
        <w:t>场址周边制约性因素分析</w:t>
      </w:r>
    </w:p>
    <w:p w14:paraId="702B0040" w14:textId="77777777" w:rsidR="00544649" w:rsidRDefault="00000000">
      <w:pPr>
        <w:adjustRightInd w:val="0"/>
        <w:snapToGrid w:val="0"/>
        <w:spacing w:after="0"/>
        <w:ind w:firstLine="480"/>
        <w:rPr>
          <w:rFonts w:cs="Times New Roman"/>
          <w:kern w:val="21"/>
        </w:rPr>
      </w:pPr>
      <w:r>
        <w:rPr>
          <w:rFonts w:cs="Times New Roman" w:hint="eastAsia"/>
          <w:kern w:val="21"/>
        </w:rPr>
        <w:lastRenderedPageBreak/>
        <w:t>本项目选址位于</w:t>
      </w:r>
      <w:r>
        <w:rPr>
          <w:rFonts w:hint="eastAsia"/>
          <w:kern w:val="21"/>
        </w:rPr>
        <w:t>广元市剑阁县剑门关镇新龙村六组、双鱼村七组</w:t>
      </w:r>
      <w:r>
        <w:rPr>
          <w:rFonts w:cs="Times New Roman" w:hint="eastAsia"/>
          <w:kern w:val="21"/>
        </w:rPr>
        <w:t>，周边主要为散居的农户，根据生态环境部“关于畜禽养殖业选址问题的回复”，村屯居民区不属于城市和城镇居民区，不属于《畜禽养殖业污染防治技术规范》（</w:t>
      </w:r>
      <w:r>
        <w:rPr>
          <w:rFonts w:cs="Times New Roman" w:hint="eastAsia"/>
          <w:kern w:val="21"/>
        </w:rPr>
        <w:t>HJT81-2001</w:t>
      </w:r>
      <w:r>
        <w:rPr>
          <w:rFonts w:cs="Times New Roman" w:hint="eastAsia"/>
          <w:kern w:val="21"/>
        </w:rPr>
        <w:t>）中</w:t>
      </w:r>
      <w:r>
        <w:rPr>
          <w:rFonts w:cs="Times New Roman" w:hint="eastAsia"/>
          <w:kern w:val="21"/>
        </w:rPr>
        <w:t>3.1.2</w:t>
      </w:r>
      <w:r>
        <w:rPr>
          <w:rFonts w:cs="Times New Roman" w:hint="eastAsia"/>
          <w:kern w:val="21"/>
        </w:rPr>
        <w:t>规定的人口集中区，对于养殖场与农村散户之间的距离，养殖场应在建设时应开展环境影响评价，根据当地的地理、环境及气象等因素确定与居民区之间的距离。</w:t>
      </w:r>
    </w:p>
    <w:p w14:paraId="3CB590A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noProof/>
          <w:kern w:val="21"/>
          <w:sz w:val="21"/>
        </w:rPr>
        <mc:AlternateContent>
          <mc:Choice Requires="wps">
            <w:drawing>
              <wp:anchor distT="0" distB="0" distL="114300" distR="114300" simplePos="0" relativeHeight="251662336" behindDoc="0" locked="0" layoutInCell="1" allowOverlap="1" wp14:anchorId="563D81C9" wp14:editId="10A8E226">
                <wp:simplePos x="0" y="0"/>
                <wp:positionH relativeFrom="column">
                  <wp:posOffset>342900</wp:posOffset>
                </wp:positionH>
                <wp:positionV relativeFrom="paragraph">
                  <wp:posOffset>3566160</wp:posOffset>
                </wp:positionV>
                <wp:extent cx="5029200" cy="891540"/>
                <wp:effectExtent l="9525" t="9525" r="9525" b="13335"/>
                <wp:wrapNone/>
                <wp:docPr id="11" name="矩形 11"/>
                <wp:cNvGraphicFramePr/>
                <a:graphic xmlns:a="http://schemas.openxmlformats.org/drawingml/2006/main">
                  <a:graphicData uri="http://schemas.microsoft.com/office/word/2010/wordprocessingShape">
                    <wps:wsp>
                      <wps:cNvSpPr/>
                      <wps:spPr>
                        <a:xfrm>
                          <a:off x="1315085" y="5591175"/>
                          <a:ext cx="5029200" cy="89154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7pt;margin-top:280.8pt;height:70.2pt;width:396pt;z-index:251662336;v-text-anchor:middle;mso-width-relative:page;mso-height-relative:page;" filled="f" stroked="t" coordsize="21600,21600" o:gfxdata="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MQ/K/ZAAAACgEAAA8AAAAAAAAAAQAgAAAAIgAAAGRy&#10;cy9kb3ducmV2LnhtbFBLAQIUABQAAAAIAIdO4kCCn0yZdgIAANkEAAAOAAAAAAAAAAEAIAAAACgB&#10;AABkcnMvZTJvRG9jLnhtbFBLBQYAAAAABgAGAFkBAAAQBgAAAAA=&#10;">
                <v:fill on="f" focussize="0,0"/>
                <v:stroke weight="1.5pt" color="#FF0000 [2404]" miterlimit="8" joinstyle="miter"/>
                <v:imagedata o:title=""/>
                <o:lock v:ext="edit" aspectratio="f"/>
              </v:rect>
            </w:pict>
          </mc:Fallback>
        </mc:AlternateContent>
      </w:r>
      <w:r>
        <w:rPr>
          <w:noProof/>
          <w:kern w:val="21"/>
          <w:sz w:val="21"/>
          <w:szCs w:val="21"/>
        </w:rPr>
        <w:drawing>
          <wp:inline distT="0" distB="0" distL="114300" distR="114300" wp14:anchorId="39F89563" wp14:editId="1087B8AE">
            <wp:extent cx="5415280" cy="4961255"/>
            <wp:effectExtent l="0" t="0" r="13970" b="10795"/>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pic:cNvPicPr>
                  </pic:nvPicPr>
                  <pic:blipFill>
                    <a:blip r:embed="rId37"/>
                    <a:srcRect b="5782"/>
                    <a:stretch>
                      <a:fillRect/>
                    </a:stretch>
                  </pic:blipFill>
                  <pic:spPr>
                    <a:xfrm>
                      <a:off x="0" y="0"/>
                      <a:ext cx="5415280" cy="4961255"/>
                    </a:xfrm>
                    <a:prstGeom prst="rect">
                      <a:avLst/>
                    </a:prstGeom>
                    <a:noFill/>
                    <a:ln>
                      <a:noFill/>
                    </a:ln>
                  </pic:spPr>
                </pic:pic>
              </a:graphicData>
            </a:graphic>
          </wp:inline>
        </w:drawing>
      </w:r>
    </w:p>
    <w:p w14:paraId="1C7A7A95" w14:textId="77777777" w:rsidR="00544649" w:rsidRDefault="00000000">
      <w:pPr>
        <w:numPr>
          <w:ilvl w:val="0"/>
          <w:numId w:val="14"/>
        </w:numPr>
        <w:adjustRightInd w:val="0"/>
        <w:snapToGrid w:val="0"/>
        <w:spacing w:beforeLines="20" w:before="62" w:afterLines="20" w:after="62" w:line="240" w:lineRule="auto"/>
        <w:ind w:left="0" w:firstLineChars="0" w:firstLine="0"/>
        <w:jc w:val="center"/>
        <w:rPr>
          <w:rFonts w:cs="Times New Roman"/>
          <w:b/>
          <w:bCs/>
          <w:kern w:val="21"/>
          <w:sz w:val="21"/>
          <w:szCs w:val="21"/>
        </w:rPr>
      </w:pPr>
      <w:r>
        <w:rPr>
          <w:rFonts w:cs="Times New Roman" w:hint="eastAsia"/>
          <w:b/>
          <w:bCs/>
          <w:kern w:val="21"/>
          <w:sz w:val="21"/>
          <w:szCs w:val="21"/>
        </w:rPr>
        <w:t>生态环境部关于畜禽养殖业选址问题的回复</w:t>
      </w:r>
    </w:p>
    <w:p w14:paraId="21BD76E7" w14:textId="77777777" w:rsidR="00544649" w:rsidRDefault="00000000">
      <w:pPr>
        <w:adjustRightInd w:val="0"/>
        <w:snapToGrid w:val="0"/>
        <w:spacing w:after="0"/>
        <w:ind w:firstLine="480"/>
        <w:rPr>
          <w:rFonts w:cs="Times New Roman"/>
          <w:kern w:val="21"/>
        </w:rPr>
      </w:pPr>
      <w:r>
        <w:rPr>
          <w:rFonts w:hint="eastAsia"/>
          <w:kern w:val="21"/>
        </w:rPr>
        <w:t>本项目</w:t>
      </w:r>
      <w:r>
        <w:rPr>
          <w:rFonts w:cs="Times New Roman" w:hint="eastAsia"/>
          <w:kern w:val="21"/>
        </w:rPr>
        <w:t>建成后对周边敏感点的影响主要体现在恶臭、噪声方面。</w:t>
      </w:r>
      <w:r>
        <w:rPr>
          <w:rFonts w:hint="eastAsia"/>
          <w:kern w:val="21"/>
        </w:rPr>
        <w:t>项目鸡舍恶臭通过采取鸡粪日产日清、合理配置饲料、定期喷洒除臭剂、加强鸡舍通风、在鸡舍周围种植绿化等措施来减少恶臭的产生；项目噪声主要为设备噪声，通过选用低噪声设备，设备基础减振，厂房隔声等措施进行治理。</w:t>
      </w:r>
      <w:r>
        <w:rPr>
          <w:rFonts w:cs="Times New Roman" w:hint="eastAsia"/>
          <w:kern w:val="21"/>
        </w:rPr>
        <w:t>同时，为减小恶臭对周边居民的影响，本项目以养殖鸡舍、污水处理站划定</w:t>
      </w:r>
      <w:r>
        <w:rPr>
          <w:rFonts w:cs="Times New Roman" w:hint="eastAsia"/>
          <w:kern w:val="21"/>
        </w:rPr>
        <w:t>200m</w:t>
      </w:r>
      <w:r>
        <w:rPr>
          <w:rFonts w:cs="Times New Roman" w:hint="eastAsia"/>
          <w:kern w:val="21"/>
        </w:rPr>
        <w:t>卫生防护距离，通过对卫生防护距离范围内的农户进行功能置换后（项目周围</w:t>
      </w:r>
      <w:r>
        <w:rPr>
          <w:rFonts w:cs="Times New Roman" w:hint="eastAsia"/>
          <w:kern w:val="21"/>
        </w:rPr>
        <w:t>200m</w:t>
      </w:r>
      <w:r>
        <w:rPr>
          <w:rFonts w:cs="Times New Roman" w:hint="eastAsia"/>
          <w:kern w:val="21"/>
        </w:rPr>
        <w:t>范围主要为西侧</w:t>
      </w:r>
      <w:r>
        <w:rPr>
          <w:rFonts w:cs="Times New Roman" w:hint="eastAsia"/>
          <w:kern w:val="21"/>
        </w:rPr>
        <w:t>1</w:t>
      </w:r>
      <w:r>
        <w:rPr>
          <w:rFonts w:cs="Times New Roman" w:hint="eastAsia"/>
          <w:kern w:val="21"/>
        </w:rPr>
        <w:t>户农户，项目租用为管理用房），</w:t>
      </w:r>
      <w:r>
        <w:rPr>
          <w:rFonts w:hint="eastAsia"/>
          <w:kern w:val="21"/>
        </w:rPr>
        <w:t>用于公司员工办公、休息。本项目地块周围树木茂密，养殖场产生的恶臭经过树林阻拦、净化、空气稀释后，可有效降低对周围农户的正常生活和工作产生的影</w:t>
      </w:r>
      <w:r>
        <w:rPr>
          <w:rFonts w:hint="eastAsia"/>
          <w:kern w:val="21"/>
        </w:rPr>
        <w:lastRenderedPageBreak/>
        <w:t>响。本项目卫生防护距离内无其他学校、居民等大气环境敏感点</w:t>
      </w:r>
      <w:r>
        <w:rPr>
          <w:kern w:val="21"/>
        </w:rPr>
        <w:t>。为使卫生防护距离有效，保证恶臭排放能够满足要求，应</w:t>
      </w:r>
      <w:r>
        <w:rPr>
          <w:rFonts w:hint="eastAsia"/>
          <w:kern w:val="21"/>
        </w:rPr>
        <w:t>做到鸡粪日产日清，</w:t>
      </w:r>
      <w:r>
        <w:rPr>
          <w:kern w:val="21"/>
        </w:rPr>
        <w:t>定时对</w:t>
      </w:r>
      <w:r>
        <w:rPr>
          <w:rFonts w:hint="eastAsia"/>
          <w:kern w:val="21"/>
        </w:rPr>
        <w:t>鸡舍</w:t>
      </w:r>
      <w:r>
        <w:rPr>
          <w:kern w:val="21"/>
        </w:rPr>
        <w:t>进行清理、清扫，定期消毒。环评要求：在卫生防护距离范围内不得新建学校、医院和集中式居民住宅等恶臭敏感点及食品、医药等敏感企业。</w:t>
      </w:r>
      <w:r>
        <w:rPr>
          <w:rFonts w:hint="eastAsia"/>
          <w:kern w:val="21"/>
        </w:rPr>
        <w:t>采取上述措施后，本项目产生的恶臭和噪声对周围居民产生的影响较小，项目选址通过从环保角度是可行的。</w:t>
      </w:r>
    </w:p>
    <w:p w14:paraId="7C874E69" w14:textId="77777777" w:rsidR="00544649" w:rsidRDefault="00000000">
      <w:pPr>
        <w:adjustRightInd w:val="0"/>
        <w:snapToGrid w:val="0"/>
        <w:spacing w:after="0"/>
        <w:ind w:firstLine="480"/>
        <w:rPr>
          <w:rFonts w:cs="Times New Roman"/>
          <w:kern w:val="21"/>
        </w:rPr>
      </w:pPr>
      <w:r>
        <w:rPr>
          <w:rFonts w:cs="Times New Roman" w:hint="eastAsia"/>
          <w:kern w:val="21"/>
        </w:rPr>
        <w:t>本项目周围属农村环境，不属于禁止畜禽规模养殖区，生态环境良好，人口较稀疏，不涉及水源保护区、风景名胜区、自然保护区等环境敏感区。本项目选址不在划定的畜禽养殖禁养区范围内，与《畜禽养殖业污染防治技术规范》</w:t>
      </w:r>
      <w:r>
        <w:rPr>
          <w:kern w:val="21"/>
        </w:rPr>
        <w:t>（</w:t>
      </w:r>
      <w:r>
        <w:rPr>
          <w:rFonts w:hint="eastAsia"/>
          <w:kern w:val="21"/>
        </w:rPr>
        <w:t>HJ/T81-2001</w:t>
      </w:r>
      <w:r>
        <w:rPr>
          <w:kern w:val="21"/>
        </w:rPr>
        <w:t>）</w:t>
      </w:r>
      <w:r>
        <w:rPr>
          <w:rFonts w:hint="eastAsia"/>
          <w:kern w:val="21"/>
        </w:rPr>
        <w:t>、</w:t>
      </w:r>
      <w:r>
        <w:rPr>
          <w:rFonts w:cs="Times New Roman"/>
          <w:kern w:val="21"/>
          <w:szCs w:val="24"/>
        </w:rPr>
        <w:t>《畜禽养殖业污染防治条例》</w:t>
      </w:r>
      <w:r>
        <w:rPr>
          <w:rFonts w:cs="Times New Roman" w:hint="eastAsia"/>
          <w:kern w:val="21"/>
        </w:rPr>
        <w:t>等规范相符。</w:t>
      </w:r>
    </w:p>
    <w:p w14:paraId="6DD811D2" w14:textId="77777777" w:rsidR="00544649" w:rsidRDefault="00000000">
      <w:pPr>
        <w:adjustRightInd w:val="0"/>
        <w:snapToGrid w:val="0"/>
        <w:spacing w:after="0"/>
        <w:ind w:firstLine="482"/>
        <w:rPr>
          <w:rFonts w:cs="Times New Roman"/>
          <w:kern w:val="21"/>
        </w:rPr>
      </w:pPr>
      <w:r>
        <w:rPr>
          <w:rFonts w:cs="Times New Roman" w:hint="eastAsia"/>
          <w:b/>
          <w:bCs/>
          <w:kern w:val="21"/>
          <w:szCs w:val="24"/>
        </w:rPr>
        <w:t>综上所述，项目选址主要受周边散户居民的限制，在采取以上治理措施后，对周围环境影响较小，因此，项目选址合理。</w:t>
      </w:r>
    </w:p>
    <w:p w14:paraId="153092E9" w14:textId="77777777" w:rsidR="00544649" w:rsidRDefault="00000000">
      <w:pPr>
        <w:pStyle w:val="2"/>
        <w:adjustRightInd w:val="0"/>
        <w:snapToGrid w:val="0"/>
        <w:spacing w:after="0"/>
        <w:rPr>
          <w:rFonts w:cs="Times New Roman"/>
          <w:kern w:val="21"/>
        </w:rPr>
      </w:pPr>
      <w:bookmarkStart w:id="185" w:name="_Toc195009825"/>
      <w:r>
        <w:rPr>
          <w:rFonts w:cs="Times New Roman"/>
          <w:kern w:val="21"/>
        </w:rPr>
        <w:t>1.12</w:t>
      </w:r>
      <w:r>
        <w:rPr>
          <w:rFonts w:cs="Times New Roman"/>
          <w:kern w:val="21"/>
        </w:rPr>
        <w:t>小结</w:t>
      </w:r>
      <w:bookmarkEnd w:id="185"/>
    </w:p>
    <w:p w14:paraId="0380C499" w14:textId="77777777" w:rsidR="00544649" w:rsidRDefault="00000000">
      <w:pPr>
        <w:adjustRightInd w:val="0"/>
        <w:snapToGrid w:val="0"/>
        <w:spacing w:after="0"/>
        <w:ind w:firstLine="480"/>
        <w:rPr>
          <w:rFonts w:cs="Times New Roman"/>
          <w:kern w:val="21"/>
          <w:szCs w:val="24"/>
        </w:rPr>
      </w:pPr>
      <w:r>
        <w:rPr>
          <w:rFonts w:cs="Times New Roman"/>
          <w:kern w:val="21"/>
          <w:szCs w:val="24"/>
        </w:rPr>
        <w:t>根据分析，确定本项目各环境要素的评价工作等级及评价范围汇总见下表。</w:t>
      </w:r>
    </w:p>
    <w:p w14:paraId="7E02CDC9" w14:textId="77777777" w:rsidR="00544649" w:rsidRDefault="00000000">
      <w:pPr>
        <w:widowControl/>
        <w:numPr>
          <w:ilvl w:val="0"/>
          <w:numId w:val="13"/>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评价工作等级和评价范围汇总表</w:t>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575"/>
        <w:gridCol w:w="6250"/>
      </w:tblGrid>
      <w:tr w:rsidR="00544649" w14:paraId="2112180B" w14:textId="77777777">
        <w:trPr>
          <w:tblHeader/>
          <w:jc w:val="center"/>
        </w:trPr>
        <w:tc>
          <w:tcPr>
            <w:tcW w:w="1231" w:type="dxa"/>
            <w:shd w:val="clear" w:color="auto" w:fill="auto"/>
            <w:vAlign w:val="center"/>
          </w:tcPr>
          <w:p w14:paraId="4C9D9EAA"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环境要素</w:t>
            </w:r>
          </w:p>
        </w:tc>
        <w:tc>
          <w:tcPr>
            <w:tcW w:w="1575" w:type="dxa"/>
            <w:shd w:val="clear" w:color="auto" w:fill="auto"/>
            <w:vAlign w:val="center"/>
          </w:tcPr>
          <w:p w14:paraId="55DCC955"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评价工作等级</w:t>
            </w:r>
          </w:p>
        </w:tc>
        <w:tc>
          <w:tcPr>
            <w:tcW w:w="6250" w:type="dxa"/>
            <w:shd w:val="clear" w:color="auto" w:fill="auto"/>
            <w:vAlign w:val="center"/>
          </w:tcPr>
          <w:p w14:paraId="12249919"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评价范围</w:t>
            </w:r>
          </w:p>
        </w:tc>
      </w:tr>
      <w:tr w:rsidR="00544649" w14:paraId="34B018A0" w14:textId="77777777">
        <w:trPr>
          <w:trHeight w:val="311"/>
          <w:jc w:val="center"/>
        </w:trPr>
        <w:tc>
          <w:tcPr>
            <w:tcW w:w="1231" w:type="dxa"/>
            <w:shd w:val="clear" w:color="auto" w:fill="auto"/>
            <w:vAlign w:val="center"/>
          </w:tcPr>
          <w:p w14:paraId="4E312E2B"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大气环境</w:t>
            </w:r>
          </w:p>
        </w:tc>
        <w:tc>
          <w:tcPr>
            <w:tcW w:w="1575" w:type="dxa"/>
            <w:shd w:val="clear" w:color="auto" w:fill="auto"/>
            <w:vAlign w:val="center"/>
          </w:tcPr>
          <w:p w14:paraId="4FC50F19" w14:textId="77777777" w:rsidR="00544649" w:rsidRDefault="00000000">
            <w:pPr>
              <w:pStyle w:val="aff9"/>
              <w:autoSpaceDE/>
              <w:autoSpaceDN/>
              <w:snapToGrid w:val="0"/>
              <w:spacing w:beforeLines="20" w:before="62" w:afterLines="20" w:after="62"/>
              <w:textAlignment w:val="auto"/>
              <w:rPr>
                <w:rFonts w:cs="Times New Roman"/>
                <w:color w:val="auto"/>
                <w:kern w:val="21"/>
                <w:szCs w:val="21"/>
              </w:rPr>
            </w:pPr>
            <w:r>
              <w:rPr>
                <w:rFonts w:cs="Times New Roman"/>
                <w:color w:val="auto"/>
                <w:kern w:val="21"/>
                <w:szCs w:val="21"/>
              </w:rPr>
              <w:t>二级</w:t>
            </w:r>
          </w:p>
        </w:tc>
        <w:tc>
          <w:tcPr>
            <w:tcW w:w="6250" w:type="dxa"/>
            <w:shd w:val="clear" w:color="auto" w:fill="auto"/>
            <w:vAlign w:val="center"/>
          </w:tcPr>
          <w:p w14:paraId="55E10600" w14:textId="77777777" w:rsidR="00544649" w:rsidRDefault="00000000">
            <w:pPr>
              <w:pStyle w:val="aff9"/>
              <w:autoSpaceDE/>
              <w:autoSpaceDN/>
              <w:snapToGrid w:val="0"/>
              <w:spacing w:beforeLines="20" w:before="62" w:afterLines="20" w:after="62"/>
              <w:textAlignment w:val="auto"/>
              <w:rPr>
                <w:rFonts w:cs="Times New Roman"/>
                <w:color w:val="auto"/>
                <w:kern w:val="21"/>
                <w:szCs w:val="21"/>
              </w:rPr>
            </w:pPr>
            <w:r>
              <w:rPr>
                <w:rFonts w:cs="Times New Roman"/>
                <w:color w:val="auto"/>
                <w:kern w:val="21"/>
                <w:szCs w:val="21"/>
              </w:rPr>
              <w:t>以本项目场界为中心，以</w:t>
            </w:r>
            <w:r>
              <w:rPr>
                <w:rFonts w:cs="Times New Roman"/>
                <w:color w:val="auto"/>
                <w:kern w:val="21"/>
                <w:szCs w:val="21"/>
              </w:rPr>
              <w:t>5km</w:t>
            </w:r>
            <w:r>
              <w:rPr>
                <w:rFonts w:cs="Times New Roman"/>
                <w:color w:val="auto"/>
                <w:kern w:val="21"/>
                <w:szCs w:val="21"/>
              </w:rPr>
              <w:t>为边长的矩形区域</w:t>
            </w:r>
          </w:p>
        </w:tc>
      </w:tr>
      <w:tr w:rsidR="00544649" w14:paraId="524EA8E1" w14:textId="77777777">
        <w:trPr>
          <w:jc w:val="center"/>
        </w:trPr>
        <w:tc>
          <w:tcPr>
            <w:tcW w:w="1231" w:type="dxa"/>
            <w:shd w:val="clear" w:color="auto" w:fill="auto"/>
            <w:vAlign w:val="center"/>
          </w:tcPr>
          <w:p w14:paraId="62AD77CE"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地表水</w:t>
            </w:r>
          </w:p>
        </w:tc>
        <w:tc>
          <w:tcPr>
            <w:tcW w:w="1575" w:type="dxa"/>
            <w:shd w:val="clear" w:color="auto" w:fill="auto"/>
            <w:vAlign w:val="center"/>
          </w:tcPr>
          <w:p w14:paraId="33DA1731" w14:textId="77777777" w:rsidR="00544649" w:rsidRDefault="00000000">
            <w:pPr>
              <w:pStyle w:val="aff9"/>
              <w:autoSpaceDE/>
              <w:autoSpaceDN/>
              <w:snapToGrid w:val="0"/>
              <w:spacing w:beforeLines="20" w:before="62" w:afterLines="20" w:after="62"/>
              <w:textAlignment w:val="auto"/>
              <w:rPr>
                <w:rFonts w:cs="Times New Roman"/>
                <w:color w:val="auto"/>
                <w:kern w:val="21"/>
                <w:szCs w:val="21"/>
              </w:rPr>
            </w:pPr>
            <w:r>
              <w:rPr>
                <w:rFonts w:cs="Times New Roman"/>
                <w:color w:val="auto"/>
                <w:kern w:val="21"/>
                <w:szCs w:val="21"/>
              </w:rPr>
              <w:t>三级</w:t>
            </w:r>
            <w:r>
              <w:rPr>
                <w:rFonts w:cs="Times New Roman"/>
                <w:color w:val="auto"/>
                <w:kern w:val="21"/>
                <w:szCs w:val="21"/>
              </w:rPr>
              <w:t>B</w:t>
            </w:r>
          </w:p>
        </w:tc>
        <w:tc>
          <w:tcPr>
            <w:tcW w:w="6250" w:type="dxa"/>
            <w:shd w:val="clear" w:color="auto" w:fill="auto"/>
            <w:vAlign w:val="center"/>
          </w:tcPr>
          <w:p w14:paraId="50B88838" w14:textId="77777777" w:rsidR="00544649" w:rsidRDefault="00000000">
            <w:pPr>
              <w:pStyle w:val="aff9"/>
              <w:autoSpaceDE/>
              <w:autoSpaceDN/>
              <w:snapToGrid w:val="0"/>
              <w:spacing w:beforeLines="20" w:before="62" w:afterLines="20" w:after="62"/>
              <w:textAlignment w:val="auto"/>
              <w:rPr>
                <w:rFonts w:cs="Times New Roman"/>
                <w:color w:val="auto"/>
                <w:kern w:val="21"/>
                <w:szCs w:val="21"/>
              </w:rPr>
            </w:pPr>
            <w:r>
              <w:rPr>
                <w:rFonts w:cs="Times New Roman"/>
                <w:color w:val="auto"/>
                <w:kern w:val="21"/>
                <w:szCs w:val="21"/>
              </w:rPr>
              <w:t>本项目废水不外排，</w:t>
            </w:r>
            <w:proofErr w:type="gramStart"/>
            <w:r>
              <w:rPr>
                <w:rFonts w:cs="Times New Roman"/>
                <w:color w:val="auto"/>
                <w:kern w:val="21"/>
                <w:szCs w:val="21"/>
              </w:rPr>
              <w:t>本评价仅</w:t>
            </w:r>
            <w:proofErr w:type="gramEnd"/>
            <w:r>
              <w:rPr>
                <w:rFonts w:cs="Times New Roman"/>
                <w:color w:val="auto"/>
                <w:kern w:val="21"/>
                <w:szCs w:val="21"/>
              </w:rPr>
              <w:t>就项目建成后废水对地表水环境的影响做简要分析</w:t>
            </w:r>
          </w:p>
        </w:tc>
      </w:tr>
      <w:tr w:rsidR="00544649" w14:paraId="2B652D5B" w14:textId="77777777">
        <w:trPr>
          <w:trHeight w:val="90"/>
          <w:jc w:val="center"/>
        </w:trPr>
        <w:tc>
          <w:tcPr>
            <w:tcW w:w="1231" w:type="dxa"/>
            <w:shd w:val="clear" w:color="auto" w:fill="auto"/>
            <w:vAlign w:val="center"/>
          </w:tcPr>
          <w:p w14:paraId="2EB1A617"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地下水</w:t>
            </w:r>
          </w:p>
        </w:tc>
        <w:tc>
          <w:tcPr>
            <w:tcW w:w="1575" w:type="dxa"/>
            <w:shd w:val="clear" w:color="auto" w:fill="auto"/>
            <w:vAlign w:val="center"/>
          </w:tcPr>
          <w:p w14:paraId="703D9ED6" w14:textId="77777777" w:rsidR="00544649" w:rsidRDefault="00000000">
            <w:pPr>
              <w:pStyle w:val="aff9"/>
              <w:autoSpaceDE/>
              <w:autoSpaceDN/>
              <w:snapToGrid w:val="0"/>
              <w:spacing w:beforeLines="20" w:before="62" w:afterLines="20" w:after="62"/>
              <w:textAlignment w:val="auto"/>
              <w:rPr>
                <w:rFonts w:cs="Times New Roman"/>
                <w:color w:val="auto"/>
                <w:kern w:val="21"/>
                <w:szCs w:val="21"/>
              </w:rPr>
            </w:pPr>
            <w:r>
              <w:rPr>
                <w:rFonts w:cs="Times New Roman"/>
                <w:color w:val="auto"/>
                <w:kern w:val="21"/>
                <w:szCs w:val="21"/>
              </w:rPr>
              <w:t>三级</w:t>
            </w:r>
          </w:p>
        </w:tc>
        <w:tc>
          <w:tcPr>
            <w:tcW w:w="6250" w:type="dxa"/>
            <w:shd w:val="clear" w:color="auto" w:fill="auto"/>
            <w:vAlign w:val="center"/>
          </w:tcPr>
          <w:p w14:paraId="070379D2" w14:textId="77777777" w:rsidR="00544649" w:rsidRDefault="00000000">
            <w:pPr>
              <w:pStyle w:val="aff9"/>
              <w:autoSpaceDE/>
              <w:autoSpaceDN/>
              <w:snapToGrid w:val="0"/>
              <w:spacing w:beforeLines="20" w:before="62" w:afterLines="20" w:after="62"/>
              <w:textAlignment w:val="auto"/>
              <w:rPr>
                <w:rFonts w:cs="Times New Roman"/>
                <w:color w:val="auto"/>
                <w:kern w:val="21"/>
                <w:szCs w:val="21"/>
              </w:rPr>
            </w:pPr>
            <w:r>
              <w:rPr>
                <w:rFonts w:cs="Times New Roman"/>
                <w:color w:val="auto"/>
                <w:kern w:val="21"/>
                <w:szCs w:val="21"/>
              </w:rPr>
              <w:t>以</w:t>
            </w:r>
            <w:r>
              <w:rPr>
                <w:rFonts w:cs="Times New Roman" w:hint="eastAsia"/>
                <w:color w:val="auto"/>
                <w:kern w:val="21"/>
                <w:szCs w:val="21"/>
              </w:rPr>
              <w:t>项目所在水文地质单元内上下游约</w:t>
            </w:r>
            <w:r>
              <w:rPr>
                <w:rFonts w:cs="Times New Roman" w:hint="eastAsia"/>
                <w:color w:val="auto"/>
                <w:kern w:val="21"/>
                <w:szCs w:val="21"/>
              </w:rPr>
              <w:t>6km</w:t>
            </w:r>
            <w:r>
              <w:rPr>
                <w:rFonts w:cs="Times New Roman" w:hint="eastAsia"/>
                <w:color w:val="auto"/>
                <w:kern w:val="21"/>
                <w:szCs w:val="21"/>
                <w:vertAlign w:val="superscript"/>
              </w:rPr>
              <w:t>2</w:t>
            </w:r>
            <w:r>
              <w:rPr>
                <w:rFonts w:cs="Times New Roman" w:hint="eastAsia"/>
                <w:color w:val="auto"/>
                <w:kern w:val="21"/>
                <w:szCs w:val="21"/>
              </w:rPr>
              <w:t>范围内</w:t>
            </w:r>
          </w:p>
        </w:tc>
      </w:tr>
      <w:tr w:rsidR="00544649" w14:paraId="722040B4" w14:textId="77777777">
        <w:trPr>
          <w:jc w:val="center"/>
        </w:trPr>
        <w:tc>
          <w:tcPr>
            <w:tcW w:w="1231" w:type="dxa"/>
            <w:shd w:val="clear" w:color="auto" w:fill="auto"/>
            <w:vAlign w:val="center"/>
          </w:tcPr>
          <w:p w14:paraId="6389BB25"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土壤环境</w:t>
            </w:r>
          </w:p>
        </w:tc>
        <w:tc>
          <w:tcPr>
            <w:tcW w:w="1575" w:type="dxa"/>
            <w:shd w:val="clear" w:color="auto" w:fill="auto"/>
            <w:vAlign w:val="center"/>
          </w:tcPr>
          <w:p w14:paraId="35DD7866" w14:textId="77777777" w:rsidR="00544649" w:rsidRDefault="00000000">
            <w:pPr>
              <w:pStyle w:val="aff9"/>
              <w:autoSpaceDE/>
              <w:autoSpaceDN/>
              <w:snapToGrid w:val="0"/>
              <w:spacing w:beforeLines="20" w:before="62" w:afterLines="20" w:after="62"/>
              <w:textAlignment w:val="auto"/>
              <w:rPr>
                <w:rFonts w:cs="Times New Roman"/>
                <w:color w:val="auto"/>
                <w:kern w:val="21"/>
                <w:szCs w:val="21"/>
              </w:rPr>
            </w:pPr>
            <w:r>
              <w:rPr>
                <w:rFonts w:cs="Times New Roman" w:hint="eastAsia"/>
                <w:color w:val="auto"/>
                <w:kern w:val="21"/>
                <w:szCs w:val="21"/>
              </w:rPr>
              <w:t>三级</w:t>
            </w:r>
          </w:p>
        </w:tc>
        <w:tc>
          <w:tcPr>
            <w:tcW w:w="6250" w:type="dxa"/>
            <w:shd w:val="clear" w:color="auto" w:fill="auto"/>
            <w:vAlign w:val="center"/>
          </w:tcPr>
          <w:p w14:paraId="0C60A17F" w14:textId="77777777" w:rsidR="00544649" w:rsidRDefault="00000000">
            <w:pPr>
              <w:pStyle w:val="aff9"/>
              <w:autoSpaceDE/>
              <w:autoSpaceDN/>
              <w:snapToGrid w:val="0"/>
              <w:spacing w:beforeLines="20" w:before="62" w:afterLines="20" w:after="62"/>
              <w:textAlignment w:val="auto"/>
              <w:rPr>
                <w:rFonts w:cs="Times New Roman"/>
                <w:color w:val="auto"/>
                <w:kern w:val="21"/>
                <w:szCs w:val="21"/>
              </w:rPr>
            </w:pPr>
            <w:r>
              <w:rPr>
                <w:rFonts w:cs="Times New Roman" w:hint="eastAsia"/>
                <w:color w:val="auto"/>
                <w:kern w:val="21"/>
                <w:szCs w:val="21"/>
              </w:rPr>
              <w:t>项目所在地及周边</w:t>
            </w:r>
            <w:r>
              <w:rPr>
                <w:rFonts w:cs="Times New Roman" w:hint="eastAsia"/>
                <w:color w:val="auto"/>
                <w:kern w:val="21"/>
                <w:szCs w:val="21"/>
              </w:rPr>
              <w:t>0.05km</w:t>
            </w:r>
            <w:r>
              <w:rPr>
                <w:rFonts w:cs="Times New Roman" w:hint="eastAsia"/>
                <w:color w:val="auto"/>
                <w:kern w:val="21"/>
                <w:szCs w:val="21"/>
              </w:rPr>
              <w:t>的范围内</w:t>
            </w:r>
          </w:p>
        </w:tc>
      </w:tr>
      <w:tr w:rsidR="00544649" w14:paraId="05F16183" w14:textId="77777777">
        <w:trPr>
          <w:jc w:val="center"/>
        </w:trPr>
        <w:tc>
          <w:tcPr>
            <w:tcW w:w="1231" w:type="dxa"/>
            <w:shd w:val="clear" w:color="auto" w:fill="auto"/>
            <w:vAlign w:val="center"/>
          </w:tcPr>
          <w:p w14:paraId="5A5F22BD"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声环境</w:t>
            </w:r>
          </w:p>
        </w:tc>
        <w:tc>
          <w:tcPr>
            <w:tcW w:w="1575" w:type="dxa"/>
            <w:shd w:val="clear" w:color="auto" w:fill="auto"/>
            <w:vAlign w:val="center"/>
          </w:tcPr>
          <w:p w14:paraId="0EC4957D" w14:textId="77777777" w:rsidR="00544649" w:rsidRDefault="00000000">
            <w:pPr>
              <w:pStyle w:val="aff9"/>
              <w:autoSpaceDE/>
              <w:autoSpaceDN/>
              <w:snapToGrid w:val="0"/>
              <w:spacing w:beforeLines="20" w:before="62" w:afterLines="20" w:after="62"/>
              <w:textAlignment w:val="auto"/>
              <w:rPr>
                <w:rFonts w:cs="Times New Roman"/>
                <w:color w:val="auto"/>
                <w:kern w:val="21"/>
                <w:szCs w:val="21"/>
              </w:rPr>
            </w:pPr>
            <w:r>
              <w:rPr>
                <w:rFonts w:cs="Times New Roman"/>
                <w:color w:val="auto"/>
                <w:kern w:val="21"/>
                <w:szCs w:val="21"/>
              </w:rPr>
              <w:t>二级</w:t>
            </w:r>
          </w:p>
        </w:tc>
        <w:tc>
          <w:tcPr>
            <w:tcW w:w="6250" w:type="dxa"/>
            <w:shd w:val="clear" w:color="auto" w:fill="auto"/>
            <w:vAlign w:val="center"/>
          </w:tcPr>
          <w:p w14:paraId="26A7944F" w14:textId="77777777" w:rsidR="00544649" w:rsidRDefault="00000000">
            <w:pPr>
              <w:pStyle w:val="aff9"/>
              <w:autoSpaceDE/>
              <w:autoSpaceDN/>
              <w:snapToGrid w:val="0"/>
              <w:spacing w:beforeLines="20" w:before="62" w:afterLines="20" w:after="62"/>
              <w:textAlignment w:val="auto"/>
              <w:rPr>
                <w:rFonts w:cs="Times New Roman"/>
                <w:color w:val="auto"/>
                <w:kern w:val="21"/>
                <w:szCs w:val="21"/>
              </w:rPr>
            </w:pPr>
            <w:r>
              <w:rPr>
                <w:rFonts w:cs="Times New Roman"/>
                <w:color w:val="auto"/>
                <w:kern w:val="21"/>
                <w:szCs w:val="21"/>
              </w:rPr>
              <w:t>场界外延</w:t>
            </w:r>
            <w:r>
              <w:rPr>
                <w:rFonts w:cs="Times New Roman"/>
                <w:color w:val="auto"/>
                <w:kern w:val="21"/>
                <w:szCs w:val="21"/>
              </w:rPr>
              <w:t>200m</w:t>
            </w:r>
            <w:r>
              <w:rPr>
                <w:rFonts w:cs="Times New Roman"/>
                <w:color w:val="auto"/>
                <w:kern w:val="21"/>
                <w:szCs w:val="21"/>
              </w:rPr>
              <w:t>范围内</w:t>
            </w:r>
          </w:p>
        </w:tc>
      </w:tr>
      <w:tr w:rsidR="00544649" w14:paraId="530249C9" w14:textId="77777777">
        <w:trPr>
          <w:jc w:val="center"/>
        </w:trPr>
        <w:tc>
          <w:tcPr>
            <w:tcW w:w="1231" w:type="dxa"/>
            <w:shd w:val="clear" w:color="auto" w:fill="auto"/>
            <w:vAlign w:val="center"/>
          </w:tcPr>
          <w:p w14:paraId="183684A8"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生态环境</w:t>
            </w:r>
          </w:p>
        </w:tc>
        <w:tc>
          <w:tcPr>
            <w:tcW w:w="1575" w:type="dxa"/>
            <w:shd w:val="clear" w:color="auto" w:fill="auto"/>
            <w:vAlign w:val="center"/>
          </w:tcPr>
          <w:p w14:paraId="7E8BDEFE" w14:textId="77777777" w:rsidR="00544649" w:rsidRDefault="00000000">
            <w:pPr>
              <w:pStyle w:val="aff9"/>
              <w:autoSpaceDE/>
              <w:autoSpaceDN/>
              <w:snapToGrid w:val="0"/>
              <w:spacing w:beforeLines="20" w:before="62" w:afterLines="20" w:after="62"/>
              <w:textAlignment w:val="auto"/>
              <w:rPr>
                <w:rFonts w:cs="Times New Roman"/>
                <w:color w:val="auto"/>
                <w:kern w:val="21"/>
                <w:szCs w:val="21"/>
              </w:rPr>
            </w:pPr>
            <w:r>
              <w:rPr>
                <w:rFonts w:cs="Times New Roman" w:hint="eastAsia"/>
                <w:color w:val="auto"/>
                <w:kern w:val="21"/>
                <w:szCs w:val="21"/>
              </w:rPr>
              <w:t>三级</w:t>
            </w:r>
          </w:p>
        </w:tc>
        <w:tc>
          <w:tcPr>
            <w:tcW w:w="6250" w:type="dxa"/>
            <w:shd w:val="clear" w:color="auto" w:fill="auto"/>
            <w:vAlign w:val="center"/>
          </w:tcPr>
          <w:p w14:paraId="56F6BECB" w14:textId="77777777" w:rsidR="00544649" w:rsidRDefault="00000000">
            <w:pPr>
              <w:pStyle w:val="aff9"/>
              <w:autoSpaceDE/>
              <w:autoSpaceDN/>
              <w:snapToGrid w:val="0"/>
              <w:spacing w:beforeLines="20" w:before="62" w:afterLines="20" w:after="62"/>
              <w:textAlignment w:val="auto"/>
              <w:rPr>
                <w:rFonts w:cs="Times New Roman"/>
                <w:color w:val="auto"/>
                <w:kern w:val="21"/>
                <w:szCs w:val="21"/>
              </w:rPr>
            </w:pPr>
            <w:r>
              <w:rPr>
                <w:rFonts w:cs="Times New Roman"/>
                <w:color w:val="auto"/>
                <w:kern w:val="21"/>
                <w:szCs w:val="21"/>
              </w:rPr>
              <w:t>以本项目厂址为中心，</w:t>
            </w:r>
            <w:proofErr w:type="gramStart"/>
            <w:r>
              <w:rPr>
                <w:rFonts w:cs="Times New Roman"/>
                <w:color w:val="auto"/>
                <w:kern w:val="21"/>
                <w:szCs w:val="21"/>
              </w:rPr>
              <w:t>各侧外扩</w:t>
            </w:r>
            <w:proofErr w:type="gramEnd"/>
            <w:r>
              <w:rPr>
                <w:rFonts w:cs="Times New Roman"/>
                <w:color w:val="auto"/>
                <w:kern w:val="21"/>
                <w:szCs w:val="21"/>
              </w:rPr>
              <w:t>200m</w:t>
            </w:r>
            <w:r>
              <w:rPr>
                <w:rFonts w:cs="Times New Roman"/>
                <w:color w:val="auto"/>
                <w:kern w:val="21"/>
                <w:szCs w:val="21"/>
              </w:rPr>
              <w:t>范围内</w:t>
            </w:r>
          </w:p>
        </w:tc>
      </w:tr>
      <w:tr w:rsidR="00544649" w14:paraId="00492D4F" w14:textId="77777777">
        <w:trPr>
          <w:trHeight w:val="168"/>
          <w:jc w:val="center"/>
        </w:trPr>
        <w:tc>
          <w:tcPr>
            <w:tcW w:w="1231" w:type="dxa"/>
            <w:shd w:val="clear" w:color="auto" w:fill="auto"/>
            <w:vAlign w:val="center"/>
          </w:tcPr>
          <w:p w14:paraId="19D58E45" w14:textId="77777777" w:rsidR="00544649" w:rsidRDefault="00000000">
            <w:pPr>
              <w:adjustRightInd w:val="0"/>
              <w:snapToGrid w:val="0"/>
              <w:spacing w:beforeLines="20" w:before="62" w:afterLines="20" w:after="62" w:line="240" w:lineRule="auto"/>
              <w:ind w:firstLineChars="0" w:firstLine="0"/>
              <w:jc w:val="center"/>
              <w:rPr>
                <w:rFonts w:cs="Times New Roman"/>
                <w:bCs/>
                <w:kern w:val="21"/>
                <w:sz w:val="21"/>
                <w:szCs w:val="21"/>
              </w:rPr>
            </w:pPr>
            <w:r>
              <w:rPr>
                <w:rFonts w:cs="Times New Roman"/>
                <w:bCs/>
                <w:kern w:val="21"/>
                <w:sz w:val="21"/>
                <w:szCs w:val="21"/>
              </w:rPr>
              <w:t>风险评价</w:t>
            </w:r>
          </w:p>
        </w:tc>
        <w:tc>
          <w:tcPr>
            <w:tcW w:w="1575" w:type="dxa"/>
            <w:shd w:val="clear" w:color="auto" w:fill="auto"/>
            <w:vAlign w:val="center"/>
          </w:tcPr>
          <w:p w14:paraId="30BFB646" w14:textId="77777777" w:rsidR="00544649" w:rsidRDefault="00000000">
            <w:pPr>
              <w:pStyle w:val="aff9"/>
              <w:autoSpaceDE/>
              <w:autoSpaceDN/>
              <w:snapToGrid w:val="0"/>
              <w:spacing w:beforeLines="20" w:before="62" w:afterLines="20" w:after="62"/>
              <w:textAlignment w:val="auto"/>
              <w:rPr>
                <w:rFonts w:cs="Times New Roman"/>
                <w:color w:val="auto"/>
                <w:kern w:val="21"/>
                <w:szCs w:val="21"/>
              </w:rPr>
            </w:pPr>
            <w:r>
              <w:rPr>
                <w:rFonts w:cs="Times New Roman"/>
                <w:color w:val="auto"/>
                <w:kern w:val="21"/>
                <w:szCs w:val="21"/>
              </w:rPr>
              <w:t>简单分析</w:t>
            </w:r>
          </w:p>
        </w:tc>
        <w:tc>
          <w:tcPr>
            <w:tcW w:w="6250" w:type="dxa"/>
            <w:shd w:val="clear" w:color="auto" w:fill="auto"/>
            <w:vAlign w:val="center"/>
          </w:tcPr>
          <w:p w14:paraId="45C060AA" w14:textId="77777777" w:rsidR="00544649" w:rsidRDefault="00000000">
            <w:pPr>
              <w:pStyle w:val="aff9"/>
              <w:autoSpaceDE/>
              <w:autoSpaceDN/>
              <w:snapToGrid w:val="0"/>
              <w:spacing w:beforeLines="20" w:before="62" w:afterLines="20" w:after="62"/>
              <w:textAlignment w:val="auto"/>
              <w:rPr>
                <w:rFonts w:cs="Times New Roman"/>
                <w:color w:val="auto"/>
                <w:kern w:val="21"/>
                <w:szCs w:val="21"/>
              </w:rPr>
            </w:pPr>
            <w:r>
              <w:rPr>
                <w:rFonts w:cs="Times New Roman"/>
                <w:color w:val="auto"/>
                <w:kern w:val="21"/>
                <w:szCs w:val="21"/>
              </w:rPr>
              <w:t>/</w:t>
            </w:r>
          </w:p>
        </w:tc>
      </w:tr>
    </w:tbl>
    <w:p w14:paraId="125BD11F" w14:textId="77777777" w:rsidR="00544649" w:rsidRDefault="00000000">
      <w:pPr>
        <w:pStyle w:val="2"/>
        <w:adjustRightInd w:val="0"/>
        <w:snapToGrid w:val="0"/>
        <w:spacing w:after="0"/>
        <w:rPr>
          <w:rFonts w:cs="Times New Roman"/>
          <w:kern w:val="21"/>
        </w:rPr>
      </w:pPr>
      <w:bookmarkStart w:id="186" w:name="_Toc10296"/>
      <w:bookmarkStart w:id="187" w:name="_Toc195009826"/>
      <w:r>
        <w:rPr>
          <w:rFonts w:cs="Times New Roman"/>
          <w:kern w:val="21"/>
        </w:rPr>
        <w:t>1.13</w:t>
      </w:r>
      <w:r>
        <w:rPr>
          <w:rFonts w:cs="Times New Roman"/>
          <w:kern w:val="21"/>
        </w:rPr>
        <w:t>评价工作程序</w:t>
      </w:r>
      <w:bookmarkEnd w:id="186"/>
      <w:bookmarkEnd w:id="187"/>
    </w:p>
    <w:p w14:paraId="67724630" w14:textId="77777777" w:rsidR="00544649" w:rsidRDefault="00000000">
      <w:pPr>
        <w:adjustRightInd w:val="0"/>
        <w:snapToGrid w:val="0"/>
        <w:spacing w:after="0"/>
        <w:ind w:firstLine="480"/>
        <w:rPr>
          <w:rFonts w:cs="Times New Roman"/>
          <w:kern w:val="21"/>
          <w:szCs w:val="24"/>
        </w:rPr>
      </w:pPr>
      <w:r>
        <w:rPr>
          <w:rFonts w:cs="Times New Roman"/>
          <w:kern w:val="21"/>
          <w:szCs w:val="24"/>
        </w:rPr>
        <w:t>本项目环境影响评价工作程序按照《环境影响评价技术导则总纲》（</w:t>
      </w:r>
      <w:r>
        <w:rPr>
          <w:rFonts w:cs="Times New Roman"/>
          <w:kern w:val="21"/>
          <w:szCs w:val="24"/>
        </w:rPr>
        <w:t>HJ2.1-2016</w:t>
      </w:r>
      <w:r>
        <w:rPr>
          <w:rFonts w:cs="Times New Roman"/>
          <w:kern w:val="21"/>
          <w:szCs w:val="24"/>
        </w:rPr>
        <w:t>）要求，将工作程序划分为前期准备、调研和工作方案阶段，分析论证和预测评价阶段和环境影响评价文件编制阶段。</w:t>
      </w:r>
    </w:p>
    <w:p w14:paraId="25FB82ED"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1</w:t>
      </w:r>
      <w:r>
        <w:rPr>
          <w:rFonts w:cs="Times New Roman"/>
          <w:kern w:val="21"/>
          <w:szCs w:val="24"/>
        </w:rPr>
        <w:t>）前期准备、调研和工作方案阶段：接受环境影响评价委托后，首先是研究国家和地方有关环境保护的法规、政策、标准及相关规划等文件，确定环境影响评价文件类型。在研究相关技术文件和其他有关文件的基础上，进行初步的工程分析，同时开展初步的环境状况调查。结合初步工程分析结果和环境现状资料，可以识别建设项目的环境影响因素，筛选主要的环境影响评价因子，明确评价重点和环境保护目标，</w:t>
      </w:r>
      <w:r>
        <w:rPr>
          <w:rFonts w:cs="Times New Roman"/>
          <w:kern w:val="21"/>
          <w:szCs w:val="24"/>
        </w:rPr>
        <w:lastRenderedPageBreak/>
        <w:t>确定环境影响评价的范围，评价工作等级和评价标准，最后制定工作方案。</w:t>
      </w:r>
    </w:p>
    <w:p w14:paraId="3CDA81D5"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2</w:t>
      </w:r>
      <w:r>
        <w:rPr>
          <w:rFonts w:cs="Times New Roman"/>
          <w:kern w:val="21"/>
          <w:szCs w:val="24"/>
        </w:rPr>
        <w:t>）分析论证和预测评价阶段：主要工作内容为进一步做好工程分析，进行充分的环境现状调查、监测并开展环境质量现状评价，之后根据污染源强和环境资料进行建设项目的环境影响预测，评价建设项目的环境影响。</w:t>
      </w:r>
    </w:p>
    <w:p w14:paraId="25B3AA03"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3</w:t>
      </w:r>
      <w:r>
        <w:rPr>
          <w:rFonts w:cs="Times New Roman"/>
          <w:kern w:val="21"/>
          <w:szCs w:val="24"/>
        </w:rPr>
        <w:t>）环境影响评价文件编制阶段：主要工作内容是汇总、分析第二阶段工作所得各种资料、数据，根据建设项目的环境影响、法律法规和标准等的要求以及公众的意愿提出减少环境污染和生态影响的环境管理措施和工程措施。从环境保护的角度确定项目建设的可行性，给出评价结论和提出进一步减缓环境影响的建议，并最终完成环境影响报告书编写。</w:t>
      </w:r>
    </w:p>
    <w:p w14:paraId="788E0290" w14:textId="77777777" w:rsidR="00544649" w:rsidRDefault="00544649">
      <w:pPr>
        <w:adjustRightInd w:val="0"/>
        <w:snapToGrid w:val="0"/>
        <w:spacing w:beforeLines="20" w:before="62" w:afterLines="20" w:after="62" w:line="240" w:lineRule="auto"/>
        <w:ind w:firstLineChars="0" w:firstLine="0"/>
        <w:jc w:val="center"/>
        <w:rPr>
          <w:rFonts w:cs="Times New Roman"/>
          <w:b/>
          <w:bCs/>
          <w:kern w:val="21"/>
          <w:sz w:val="21"/>
          <w:szCs w:val="21"/>
        </w:rPr>
        <w:sectPr w:rsidR="00544649">
          <w:footerReference w:type="default" r:id="rId38"/>
          <w:pgSz w:w="11906" w:h="16838"/>
          <w:pgMar w:top="1134" w:right="1531" w:bottom="1134" w:left="1531" w:header="851" w:footer="794" w:gutter="0"/>
          <w:cols w:space="425"/>
          <w:docGrid w:type="lines" w:linePitch="312"/>
        </w:sectPr>
      </w:pPr>
    </w:p>
    <w:p w14:paraId="7B054778" w14:textId="77777777" w:rsidR="00544649" w:rsidRDefault="00000000">
      <w:pPr>
        <w:keepNext/>
        <w:keepLines/>
        <w:pageBreakBefore/>
        <w:numPr>
          <w:ilvl w:val="0"/>
          <w:numId w:val="9"/>
        </w:numPr>
        <w:adjustRightInd w:val="0"/>
        <w:snapToGrid w:val="0"/>
        <w:spacing w:after="0"/>
        <w:ind w:firstLineChars="0"/>
        <w:outlineLvl w:val="0"/>
        <w:rPr>
          <w:rFonts w:cs="Times New Roman"/>
          <w:b/>
          <w:kern w:val="21"/>
          <w:sz w:val="36"/>
          <w:szCs w:val="36"/>
        </w:rPr>
      </w:pPr>
      <w:bookmarkStart w:id="188" w:name="_Toc195009827"/>
      <w:bookmarkStart w:id="189" w:name="_Toc19385"/>
      <w:r>
        <w:rPr>
          <w:rFonts w:cs="Times New Roman" w:hint="eastAsia"/>
          <w:b/>
          <w:kern w:val="21"/>
          <w:sz w:val="36"/>
          <w:szCs w:val="36"/>
        </w:rPr>
        <w:lastRenderedPageBreak/>
        <w:t>项目概况</w:t>
      </w:r>
      <w:bookmarkEnd w:id="188"/>
    </w:p>
    <w:p w14:paraId="1493BBDC" w14:textId="77777777" w:rsidR="00544649" w:rsidRDefault="00000000">
      <w:pPr>
        <w:numPr>
          <w:ilvl w:val="1"/>
          <w:numId w:val="9"/>
        </w:numPr>
        <w:adjustRightInd w:val="0"/>
        <w:snapToGrid w:val="0"/>
        <w:spacing w:after="0"/>
        <w:ind w:firstLineChars="0"/>
        <w:outlineLvl w:val="1"/>
        <w:rPr>
          <w:rFonts w:cs="Times New Roman"/>
          <w:b/>
          <w:bCs/>
          <w:kern w:val="21"/>
          <w:sz w:val="32"/>
          <w:szCs w:val="32"/>
        </w:rPr>
      </w:pPr>
      <w:bookmarkStart w:id="190" w:name="_Toc27106"/>
      <w:bookmarkStart w:id="191" w:name="_Toc488"/>
      <w:bookmarkStart w:id="192" w:name="_Toc195009828"/>
      <w:bookmarkEnd w:id="189"/>
      <w:r>
        <w:rPr>
          <w:rFonts w:cs="Times New Roman"/>
          <w:b/>
          <w:bCs/>
          <w:kern w:val="21"/>
          <w:sz w:val="32"/>
          <w:szCs w:val="32"/>
        </w:rPr>
        <w:t>建设项目概况</w:t>
      </w:r>
      <w:bookmarkEnd w:id="190"/>
      <w:bookmarkEnd w:id="191"/>
      <w:bookmarkEnd w:id="192"/>
    </w:p>
    <w:p w14:paraId="029AA4BE" w14:textId="77777777" w:rsidR="00544649" w:rsidRDefault="00000000">
      <w:pPr>
        <w:numPr>
          <w:ilvl w:val="2"/>
          <w:numId w:val="9"/>
        </w:numPr>
        <w:adjustRightInd w:val="0"/>
        <w:snapToGrid w:val="0"/>
        <w:spacing w:after="0"/>
        <w:ind w:firstLineChars="0"/>
        <w:outlineLvl w:val="2"/>
        <w:rPr>
          <w:rFonts w:cs="Times New Roman"/>
          <w:b/>
          <w:bCs/>
          <w:kern w:val="21"/>
          <w:sz w:val="28"/>
          <w:szCs w:val="28"/>
        </w:rPr>
      </w:pPr>
      <w:bookmarkStart w:id="193" w:name="_Toc25434"/>
      <w:bookmarkStart w:id="194" w:name="_Toc2431"/>
      <w:bookmarkStart w:id="195" w:name="_Toc195009829"/>
      <w:r>
        <w:rPr>
          <w:rFonts w:cs="Times New Roman"/>
          <w:b/>
          <w:bCs/>
          <w:kern w:val="21"/>
          <w:sz w:val="28"/>
          <w:szCs w:val="28"/>
        </w:rPr>
        <w:t>项目基本情况</w:t>
      </w:r>
      <w:bookmarkEnd w:id="193"/>
      <w:bookmarkEnd w:id="194"/>
      <w:bookmarkEnd w:id="195"/>
    </w:p>
    <w:p w14:paraId="01AEBAE2" w14:textId="77777777" w:rsidR="00544649" w:rsidRDefault="00000000">
      <w:pPr>
        <w:adjustRightInd w:val="0"/>
        <w:snapToGrid w:val="0"/>
        <w:spacing w:after="0"/>
        <w:ind w:firstLine="482"/>
        <w:rPr>
          <w:rFonts w:cs="Times New Roman"/>
          <w:kern w:val="21"/>
        </w:rPr>
      </w:pPr>
      <w:r>
        <w:rPr>
          <w:rFonts w:cs="Times New Roman"/>
          <w:b/>
          <w:bCs/>
          <w:kern w:val="21"/>
        </w:rPr>
        <w:t>项目名称</w:t>
      </w:r>
      <w:r>
        <w:rPr>
          <w:rFonts w:cs="Times New Roman"/>
          <w:kern w:val="21"/>
        </w:rPr>
        <w:t>：</w:t>
      </w:r>
      <w:bookmarkStart w:id="196" w:name="_Hlk193968298"/>
      <w:r>
        <w:rPr>
          <w:rFonts w:cs="Times New Roman" w:hint="eastAsia"/>
          <w:kern w:val="21"/>
        </w:rPr>
        <w:t>剑阁非笼养蛋鸡产业链项目</w:t>
      </w:r>
      <w:bookmarkEnd w:id="196"/>
    </w:p>
    <w:p w14:paraId="274429E0" w14:textId="77777777" w:rsidR="00544649" w:rsidRDefault="00000000">
      <w:pPr>
        <w:adjustRightInd w:val="0"/>
        <w:snapToGrid w:val="0"/>
        <w:spacing w:after="0"/>
        <w:ind w:firstLine="482"/>
        <w:rPr>
          <w:rFonts w:cs="Times New Roman"/>
          <w:kern w:val="21"/>
        </w:rPr>
      </w:pPr>
      <w:r>
        <w:rPr>
          <w:rFonts w:cs="Times New Roman"/>
          <w:b/>
          <w:bCs/>
          <w:kern w:val="21"/>
        </w:rPr>
        <w:t>建设单位</w:t>
      </w:r>
      <w:r>
        <w:rPr>
          <w:rFonts w:cs="Times New Roman"/>
          <w:kern w:val="21"/>
        </w:rPr>
        <w:t>：</w:t>
      </w:r>
      <w:bookmarkStart w:id="197" w:name="_Hlk193968314"/>
      <w:r>
        <w:rPr>
          <w:rFonts w:cs="Times New Roman" w:hint="eastAsia"/>
          <w:kern w:val="21"/>
        </w:rPr>
        <w:t>四川剑门圣迪乐村生态科技有限公司</w:t>
      </w:r>
      <w:bookmarkEnd w:id="197"/>
    </w:p>
    <w:p w14:paraId="7D074292" w14:textId="77777777" w:rsidR="00544649" w:rsidRDefault="00000000">
      <w:pPr>
        <w:adjustRightInd w:val="0"/>
        <w:snapToGrid w:val="0"/>
        <w:spacing w:after="0"/>
        <w:ind w:firstLine="482"/>
        <w:rPr>
          <w:rFonts w:cs="Times New Roman"/>
          <w:kern w:val="21"/>
        </w:rPr>
      </w:pPr>
      <w:r>
        <w:rPr>
          <w:rFonts w:cs="Times New Roman"/>
          <w:b/>
          <w:bCs/>
          <w:kern w:val="21"/>
        </w:rPr>
        <w:t>建设性质</w:t>
      </w:r>
      <w:r>
        <w:rPr>
          <w:rFonts w:cs="Times New Roman"/>
          <w:kern w:val="21"/>
        </w:rPr>
        <w:t>：</w:t>
      </w:r>
      <w:r>
        <w:rPr>
          <w:rFonts w:cs="Times New Roman" w:hint="eastAsia"/>
          <w:kern w:val="21"/>
        </w:rPr>
        <w:t>新建</w:t>
      </w:r>
    </w:p>
    <w:p w14:paraId="1A91C930" w14:textId="77777777" w:rsidR="00544649" w:rsidRDefault="00000000">
      <w:pPr>
        <w:adjustRightInd w:val="0"/>
        <w:snapToGrid w:val="0"/>
        <w:spacing w:after="0"/>
        <w:ind w:firstLine="482"/>
        <w:rPr>
          <w:rFonts w:cs="Times New Roman"/>
          <w:kern w:val="21"/>
        </w:rPr>
      </w:pPr>
      <w:r>
        <w:rPr>
          <w:rFonts w:cs="Times New Roman"/>
          <w:b/>
          <w:bCs/>
          <w:kern w:val="21"/>
        </w:rPr>
        <w:t>行业类别</w:t>
      </w:r>
      <w:r>
        <w:rPr>
          <w:rFonts w:cs="Times New Roman"/>
          <w:kern w:val="21"/>
        </w:rPr>
        <w:t>：</w:t>
      </w:r>
      <w:r>
        <w:rPr>
          <w:rFonts w:cs="Times New Roman"/>
          <w:kern w:val="21"/>
        </w:rPr>
        <w:t>A0321</w:t>
      </w:r>
      <w:r>
        <w:rPr>
          <w:rFonts w:cs="Times New Roman"/>
          <w:kern w:val="21"/>
        </w:rPr>
        <w:t>鸡的饲养</w:t>
      </w:r>
    </w:p>
    <w:p w14:paraId="65DFEA83" w14:textId="77777777" w:rsidR="00544649" w:rsidRDefault="00000000">
      <w:pPr>
        <w:adjustRightInd w:val="0"/>
        <w:snapToGrid w:val="0"/>
        <w:spacing w:after="0"/>
        <w:ind w:firstLine="482"/>
        <w:rPr>
          <w:rFonts w:cs="Times New Roman"/>
          <w:kern w:val="21"/>
        </w:rPr>
      </w:pPr>
      <w:r>
        <w:rPr>
          <w:rFonts w:cs="Times New Roman"/>
          <w:b/>
          <w:bCs/>
          <w:kern w:val="21"/>
        </w:rPr>
        <w:t>建设地点</w:t>
      </w:r>
      <w:r>
        <w:rPr>
          <w:rFonts w:cs="Times New Roman"/>
          <w:kern w:val="21"/>
        </w:rPr>
        <w:t>：</w:t>
      </w:r>
      <w:r>
        <w:rPr>
          <w:rFonts w:cs="Times New Roman" w:hint="eastAsia"/>
          <w:kern w:val="21"/>
        </w:rPr>
        <w:t>剑门关镇新龙村六组、双鱼村七组；</w:t>
      </w:r>
      <w:proofErr w:type="gramStart"/>
      <w:r>
        <w:rPr>
          <w:rFonts w:cs="Times New Roman" w:hint="eastAsia"/>
          <w:kern w:val="21"/>
        </w:rPr>
        <w:t>育雏场</w:t>
      </w:r>
      <w:proofErr w:type="gramEnd"/>
      <w:r>
        <w:rPr>
          <w:rFonts w:cs="Times New Roman" w:hint="eastAsia"/>
          <w:kern w:val="21"/>
        </w:rPr>
        <w:t>坐标</w:t>
      </w:r>
      <w:r>
        <w:rPr>
          <w:rFonts w:cs="Times New Roman"/>
          <w:kern w:val="21"/>
        </w:rPr>
        <w:t>（</w:t>
      </w:r>
      <w:bookmarkStart w:id="198" w:name="OLE_LINK8"/>
      <w:r>
        <w:rPr>
          <w:rFonts w:cs="Times New Roman"/>
          <w:kern w:val="21"/>
          <w:lang w:bidi="ar"/>
        </w:rPr>
        <w:t>E105.605376°</w:t>
      </w:r>
      <w:r>
        <w:rPr>
          <w:rFonts w:cs="Times New Roman"/>
          <w:kern w:val="21"/>
          <w:lang w:bidi="ar"/>
        </w:rPr>
        <w:t>，</w:t>
      </w:r>
      <w:r>
        <w:rPr>
          <w:rFonts w:cs="Times New Roman"/>
          <w:kern w:val="21"/>
          <w:lang w:bidi="ar"/>
        </w:rPr>
        <w:t>N</w:t>
      </w:r>
      <w:bookmarkStart w:id="199" w:name="OLE_LINK6"/>
      <w:r>
        <w:rPr>
          <w:rFonts w:cs="Times New Roman"/>
          <w:kern w:val="21"/>
          <w:lang w:bidi="ar"/>
        </w:rPr>
        <w:t>32.176412°</w:t>
      </w:r>
      <w:bookmarkEnd w:id="198"/>
      <w:bookmarkEnd w:id="199"/>
      <w:r>
        <w:rPr>
          <w:rFonts w:cs="Times New Roman"/>
          <w:kern w:val="21"/>
        </w:rPr>
        <w:t>）</w:t>
      </w:r>
      <w:r>
        <w:rPr>
          <w:rFonts w:cs="Times New Roman" w:hint="eastAsia"/>
          <w:kern w:val="21"/>
        </w:rPr>
        <w:t>、</w:t>
      </w:r>
      <w:bookmarkStart w:id="200" w:name="OLE_LINK5"/>
      <w:r>
        <w:rPr>
          <w:rFonts w:cs="Times New Roman" w:hint="eastAsia"/>
          <w:kern w:val="21"/>
        </w:rPr>
        <w:t>蛋鸡场坐标</w:t>
      </w:r>
      <w:r>
        <w:rPr>
          <w:rFonts w:cs="Times New Roman"/>
          <w:kern w:val="21"/>
        </w:rPr>
        <w:t>（</w:t>
      </w:r>
      <w:r>
        <w:rPr>
          <w:rFonts w:hint="eastAsia"/>
        </w:rPr>
        <w:t>E</w:t>
      </w:r>
      <w:bookmarkStart w:id="201" w:name="OLE_LINK9"/>
      <w:r>
        <w:rPr>
          <w:rFonts w:hint="eastAsia"/>
        </w:rPr>
        <w:t>105.611314</w:t>
      </w:r>
      <w:r>
        <w:rPr>
          <w:rFonts w:cs="Times New Roman"/>
          <w:kern w:val="21"/>
          <w:lang w:bidi="ar"/>
        </w:rPr>
        <w:t>°</w:t>
      </w:r>
      <w:r>
        <w:rPr>
          <w:rFonts w:hint="eastAsia"/>
        </w:rPr>
        <w:t>，</w:t>
      </w:r>
      <w:r>
        <w:rPr>
          <w:rFonts w:hint="eastAsia"/>
        </w:rPr>
        <w:t>N32.162185</w:t>
      </w:r>
      <w:r>
        <w:rPr>
          <w:rFonts w:cs="Times New Roman"/>
          <w:kern w:val="21"/>
          <w:lang w:bidi="ar"/>
        </w:rPr>
        <w:t>°</w:t>
      </w:r>
      <w:bookmarkEnd w:id="201"/>
      <w:r>
        <w:rPr>
          <w:rFonts w:cs="Times New Roman"/>
          <w:kern w:val="21"/>
        </w:rPr>
        <w:t>）</w:t>
      </w:r>
      <w:bookmarkEnd w:id="200"/>
    </w:p>
    <w:p w14:paraId="5A3486A5" w14:textId="77777777" w:rsidR="00544649" w:rsidRDefault="00000000">
      <w:pPr>
        <w:adjustRightInd w:val="0"/>
        <w:snapToGrid w:val="0"/>
        <w:spacing w:after="0"/>
        <w:ind w:firstLine="482"/>
        <w:rPr>
          <w:rFonts w:cs="Times New Roman"/>
          <w:kern w:val="21"/>
        </w:rPr>
      </w:pPr>
      <w:r>
        <w:rPr>
          <w:rFonts w:cs="Times New Roman"/>
          <w:b/>
          <w:bCs/>
          <w:kern w:val="21"/>
        </w:rPr>
        <w:t>项目总投资</w:t>
      </w:r>
      <w:r>
        <w:rPr>
          <w:rFonts w:cs="Times New Roman"/>
          <w:kern w:val="21"/>
        </w:rPr>
        <w:t>：</w:t>
      </w:r>
      <w:r>
        <w:rPr>
          <w:rFonts w:cs="Times New Roman" w:hint="eastAsia"/>
          <w:kern w:val="21"/>
        </w:rPr>
        <w:t>10000</w:t>
      </w:r>
      <w:r>
        <w:rPr>
          <w:rFonts w:cs="Times New Roman"/>
          <w:kern w:val="21"/>
        </w:rPr>
        <w:t>万元</w:t>
      </w:r>
    </w:p>
    <w:p w14:paraId="2C1E46BA" w14:textId="77777777" w:rsidR="00544649" w:rsidRDefault="00000000">
      <w:pPr>
        <w:adjustRightInd w:val="0"/>
        <w:snapToGrid w:val="0"/>
        <w:spacing w:after="0"/>
        <w:ind w:firstLine="482"/>
        <w:rPr>
          <w:rFonts w:cs="Times New Roman"/>
          <w:kern w:val="21"/>
        </w:rPr>
      </w:pPr>
      <w:r>
        <w:rPr>
          <w:rFonts w:cs="Times New Roman"/>
          <w:b/>
          <w:bCs/>
          <w:kern w:val="21"/>
        </w:rPr>
        <w:t>建设内容及规模</w:t>
      </w:r>
      <w:r>
        <w:rPr>
          <w:rFonts w:cs="Times New Roman"/>
          <w:kern w:val="21"/>
        </w:rPr>
        <w:t>：</w:t>
      </w:r>
      <w:r>
        <w:rPr>
          <w:rFonts w:cs="Times New Roman" w:hint="eastAsia"/>
          <w:kern w:val="21"/>
        </w:rPr>
        <w:t>本项目总占地面积约</w:t>
      </w:r>
      <w:r>
        <w:rPr>
          <w:rFonts w:cs="Times New Roman" w:hint="eastAsia"/>
          <w:kern w:val="21"/>
        </w:rPr>
        <w:t>168</w:t>
      </w:r>
      <w:r>
        <w:rPr>
          <w:rFonts w:cs="Times New Roman" w:hint="eastAsia"/>
          <w:kern w:val="21"/>
        </w:rPr>
        <w:t>亩，建设存栏规模为</w:t>
      </w:r>
      <w:r>
        <w:rPr>
          <w:rFonts w:cs="Times New Roman" w:hint="eastAsia"/>
          <w:kern w:val="21"/>
        </w:rPr>
        <w:t>30</w:t>
      </w:r>
      <w:r>
        <w:rPr>
          <w:rFonts w:cs="Times New Roman" w:hint="eastAsia"/>
          <w:kern w:val="21"/>
        </w:rPr>
        <w:t>万羽的</w:t>
      </w:r>
      <w:proofErr w:type="gramStart"/>
      <w:r>
        <w:rPr>
          <w:rFonts w:cs="Times New Roman" w:hint="eastAsia"/>
          <w:kern w:val="21"/>
        </w:rPr>
        <w:t>高端非</w:t>
      </w:r>
      <w:proofErr w:type="gramEnd"/>
      <w:r>
        <w:rPr>
          <w:rFonts w:cs="Times New Roman" w:hint="eastAsia"/>
          <w:kern w:val="21"/>
        </w:rPr>
        <w:t>笼养福利蛋鸡养殖示范基地。主要内容包括：养殖鸡舍、隔离带、场区内通道及辅助设施（粪污处理、清洗池、供水供电设施、管理用房）、挡墙等。</w:t>
      </w:r>
    </w:p>
    <w:p w14:paraId="208C1ECB" w14:textId="77777777" w:rsidR="00544649" w:rsidRDefault="00000000">
      <w:pPr>
        <w:adjustRightInd w:val="0"/>
        <w:snapToGrid w:val="0"/>
        <w:spacing w:after="0"/>
        <w:ind w:firstLine="482"/>
        <w:rPr>
          <w:rFonts w:cs="Times New Roman"/>
          <w:b/>
          <w:bCs/>
          <w:kern w:val="21"/>
        </w:rPr>
      </w:pPr>
      <w:r>
        <w:rPr>
          <w:rFonts w:cs="Times New Roman"/>
          <w:b/>
          <w:bCs/>
          <w:kern w:val="21"/>
        </w:rPr>
        <w:t>劳动定员</w:t>
      </w:r>
      <w:r>
        <w:rPr>
          <w:rFonts w:cs="Times New Roman" w:hint="eastAsia"/>
          <w:b/>
          <w:bCs/>
          <w:kern w:val="21"/>
        </w:rPr>
        <w:t>：</w:t>
      </w:r>
      <w:r>
        <w:rPr>
          <w:rFonts w:cs="Times New Roman" w:hint="eastAsia"/>
          <w:kern w:val="21"/>
        </w:rPr>
        <w:t>本项目</w:t>
      </w:r>
      <w:r>
        <w:rPr>
          <w:rFonts w:cs="Times New Roman"/>
          <w:kern w:val="21"/>
        </w:rPr>
        <w:t>劳动定员</w:t>
      </w:r>
      <w:r>
        <w:rPr>
          <w:rFonts w:cs="Times New Roman" w:hint="eastAsia"/>
          <w:kern w:val="21"/>
        </w:rPr>
        <w:t>33</w:t>
      </w:r>
      <w:r>
        <w:rPr>
          <w:rFonts w:cs="Times New Roman"/>
          <w:kern w:val="21"/>
        </w:rPr>
        <w:t>人</w:t>
      </w:r>
      <w:r>
        <w:rPr>
          <w:rFonts w:cs="Times New Roman" w:hint="eastAsia"/>
          <w:kern w:val="21"/>
        </w:rPr>
        <w:t>。</w:t>
      </w:r>
    </w:p>
    <w:p w14:paraId="3A8627B1" w14:textId="77777777" w:rsidR="00544649" w:rsidRDefault="00000000">
      <w:pPr>
        <w:adjustRightInd w:val="0"/>
        <w:snapToGrid w:val="0"/>
        <w:spacing w:after="0"/>
        <w:ind w:firstLine="482"/>
        <w:rPr>
          <w:rFonts w:cs="Times New Roman"/>
          <w:kern w:val="21"/>
        </w:rPr>
      </w:pPr>
      <w:r>
        <w:rPr>
          <w:rFonts w:cs="Times New Roman"/>
          <w:b/>
          <w:bCs/>
          <w:kern w:val="21"/>
        </w:rPr>
        <w:t>工作制度</w:t>
      </w:r>
      <w:r>
        <w:rPr>
          <w:rFonts w:cs="Times New Roman"/>
          <w:kern w:val="21"/>
        </w:rPr>
        <w:t>：全年工作时间</w:t>
      </w:r>
      <w:r>
        <w:rPr>
          <w:rFonts w:cs="Times New Roman"/>
          <w:kern w:val="21"/>
        </w:rPr>
        <w:t>365</w:t>
      </w:r>
      <w:r>
        <w:rPr>
          <w:rFonts w:cs="Times New Roman"/>
          <w:kern w:val="21"/>
        </w:rPr>
        <w:t>天</w:t>
      </w:r>
      <w:r>
        <w:rPr>
          <w:rFonts w:cs="Times New Roman" w:hint="eastAsia"/>
          <w:kern w:val="21"/>
        </w:rPr>
        <w:t>，工作制度均实行一班制，每天工作</w:t>
      </w:r>
      <w:r>
        <w:rPr>
          <w:rFonts w:cs="Times New Roman" w:hint="eastAsia"/>
          <w:kern w:val="21"/>
        </w:rPr>
        <w:t>12</w:t>
      </w:r>
      <w:r>
        <w:rPr>
          <w:rFonts w:cs="Times New Roman" w:hint="eastAsia"/>
          <w:kern w:val="21"/>
        </w:rPr>
        <w:t>小时。</w:t>
      </w:r>
    </w:p>
    <w:p w14:paraId="47AD71E4" w14:textId="77777777" w:rsidR="00544649" w:rsidRDefault="00000000">
      <w:pPr>
        <w:numPr>
          <w:ilvl w:val="2"/>
          <w:numId w:val="9"/>
        </w:numPr>
        <w:adjustRightInd w:val="0"/>
        <w:snapToGrid w:val="0"/>
        <w:spacing w:after="0"/>
        <w:ind w:firstLineChars="0"/>
        <w:outlineLvl w:val="2"/>
        <w:rPr>
          <w:rFonts w:cs="Times New Roman"/>
          <w:b/>
          <w:bCs/>
          <w:kern w:val="21"/>
          <w:sz w:val="28"/>
          <w:szCs w:val="24"/>
        </w:rPr>
      </w:pPr>
      <w:bookmarkStart w:id="202" w:name="_Toc195009830"/>
      <w:r>
        <w:rPr>
          <w:rFonts w:cs="Times New Roman"/>
          <w:b/>
          <w:bCs/>
          <w:kern w:val="21"/>
          <w:sz w:val="28"/>
          <w:szCs w:val="24"/>
        </w:rPr>
        <w:t>养殖规模及</w:t>
      </w:r>
      <w:r>
        <w:rPr>
          <w:rFonts w:cs="Times New Roman" w:hint="eastAsia"/>
          <w:b/>
          <w:bCs/>
          <w:kern w:val="21"/>
          <w:sz w:val="28"/>
          <w:szCs w:val="24"/>
        </w:rPr>
        <w:t>产品方案</w:t>
      </w:r>
      <w:bookmarkEnd w:id="202"/>
    </w:p>
    <w:p w14:paraId="63F70155" w14:textId="77777777" w:rsidR="00544649" w:rsidRDefault="00000000">
      <w:pPr>
        <w:adjustRightInd w:val="0"/>
        <w:snapToGrid w:val="0"/>
        <w:spacing w:after="0"/>
        <w:ind w:firstLine="480"/>
        <w:rPr>
          <w:rFonts w:cs="Times New Roman"/>
          <w:kern w:val="21"/>
        </w:rPr>
      </w:pPr>
      <w:r>
        <w:rPr>
          <w:rFonts w:cs="Times New Roman" w:hint="eastAsia"/>
          <w:kern w:val="21"/>
        </w:rPr>
        <w:t>本项目建设一个育雏鸡场及一个产蛋鸡场，根据建设单位提供的饲养计划，</w:t>
      </w:r>
      <w:r>
        <w:rPr>
          <w:rFonts w:cs="Times New Roman"/>
          <w:kern w:val="21"/>
        </w:rPr>
        <w:t>本项目不进行小鸡孵化及雏鸡育雏</w:t>
      </w:r>
      <w:r>
        <w:rPr>
          <w:rFonts w:cs="Times New Roman" w:hint="eastAsia"/>
          <w:kern w:val="21"/>
        </w:rPr>
        <w:t>。</w:t>
      </w:r>
      <w:bookmarkStart w:id="203" w:name="OLE_LINK11"/>
      <w:r>
        <w:rPr>
          <w:rFonts w:hint="eastAsia"/>
          <w:kern w:val="21"/>
        </w:rPr>
        <w:t>本项目建设存栏规模为</w:t>
      </w:r>
      <w:r>
        <w:rPr>
          <w:rFonts w:hint="eastAsia"/>
          <w:kern w:val="21"/>
        </w:rPr>
        <w:t>30</w:t>
      </w:r>
      <w:r>
        <w:rPr>
          <w:rFonts w:hint="eastAsia"/>
          <w:kern w:val="21"/>
        </w:rPr>
        <w:t>万羽的</w:t>
      </w:r>
      <w:proofErr w:type="gramStart"/>
      <w:r>
        <w:rPr>
          <w:rFonts w:hint="eastAsia"/>
          <w:kern w:val="21"/>
        </w:rPr>
        <w:t>高端非</w:t>
      </w:r>
      <w:proofErr w:type="gramEnd"/>
      <w:r>
        <w:rPr>
          <w:rFonts w:hint="eastAsia"/>
          <w:kern w:val="21"/>
        </w:rPr>
        <w:t>笼养福利蛋鸡，其中育雏鸡养殖鸡舍</w:t>
      </w:r>
      <w:r>
        <w:rPr>
          <w:rFonts w:hint="eastAsia"/>
          <w:kern w:val="21"/>
        </w:rPr>
        <w:t>2</w:t>
      </w:r>
      <w:r>
        <w:rPr>
          <w:rFonts w:hint="eastAsia"/>
          <w:kern w:val="21"/>
        </w:rPr>
        <w:t>栋，青年蛋鸡存栏规模</w:t>
      </w:r>
      <w:r>
        <w:rPr>
          <w:rFonts w:hint="eastAsia"/>
          <w:kern w:val="21"/>
        </w:rPr>
        <w:t>7.5</w:t>
      </w:r>
      <w:r>
        <w:rPr>
          <w:rFonts w:hint="eastAsia"/>
          <w:kern w:val="21"/>
        </w:rPr>
        <w:t>万羽，外购鸡苗</w:t>
      </w:r>
      <w:r>
        <w:rPr>
          <w:rFonts w:cs="Times New Roman" w:hint="eastAsia"/>
          <w:kern w:val="21"/>
        </w:rPr>
        <w:t>（</w:t>
      </w:r>
      <w:r>
        <w:rPr>
          <w:rFonts w:cs="Times New Roman" w:hint="eastAsia"/>
          <w:kern w:val="21"/>
        </w:rPr>
        <w:t>1</w:t>
      </w:r>
      <w:r>
        <w:rPr>
          <w:rFonts w:cs="Times New Roman" w:hint="eastAsia"/>
          <w:kern w:val="21"/>
        </w:rPr>
        <w:t>日龄）</w:t>
      </w:r>
      <w:r>
        <w:rPr>
          <w:rFonts w:hint="eastAsia"/>
          <w:kern w:val="21"/>
        </w:rPr>
        <w:t>经育雏舍饲养</w:t>
      </w:r>
      <w:r>
        <w:rPr>
          <w:rFonts w:hint="eastAsia"/>
          <w:kern w:val="21"/>
        </w:rPr>
        <w:t>105</w:t>
      </w:r>
      <w:r>
        <w:rPr>
          <w:rFonts w:hint="eastAsia"/>
          <w:kern w:val="21"/>
        </w:rPr>
        <w:t>天后育成青年鸡，转运至蛋鸡舍进行产蛋。本项目建设蛋鸡养殖鸡舍</w:t>
      </w:r>
      <w:r>
        <w:rPr>
          <w:rFonts w:hint="eastAsia"/>
          <w:kern w:val="21"/>
        </w:rPr>
        <w:t>6</w:t>
      </w:r>
      <w:r>
        <w:rPr>
          <w:rFonts w:hint="eastAsia"/>
          <w:kern w:val="21"/>
        </w:rPr>
        <w:t>栋，存栏规模</w:t>
      </w:r>
      <w:r>
        <w:rPr>
          <w:rFonts w:hint="eastAsia"/>
          <w:kern w:val="21"/>
        </w:rPr>
        <w:t>22.5</w:t>
      </w:r>
      <w:r>
        <w:rPr>
          <w:rFonts w:hint="eastAsia"/>
          <w:kern w:val="21"/>
        </w:rPr>
        <w:t>万羽，蛋鸡舍经过约</w:t>
      </w:r>
      <w:r>
        <w:rPr>
          <w:rFonts w:hint="eastAsia"/>
          <w:kern w:val="21"/>
        </w:rPr>
        <w:t>390</w:t>
      </w:r>
      <w:r>
        <w:rPr>
          <w:rFonts w:hint="eastAsia"/>
          <w:kern w:val="21"/>
        </w:rPr>
        <w:t>天的产蛋期后作为淘汰蛋鸡外售。</w:t>
      </w:r>
    </w:p>
    <w:bookmarkEnd w:id="203"/>
    <w:p w14:paraId="15FAFAFD" w14:textId="77777777" w:rsidR="00544649" w:rsidRDefault="00000000">
      <w:pPr>
        <w:adjustRightInd w:val="0"/>
        <w:snapToGrid w:val="0"/>
        <w:spacing w:after="0"/>
        <w:ind w:firstLine="480"/>
        <w:rPr>
          <w:rFonts w:cs="Times New Roman"/>
          <w:kern w:val="21"/>
        </w:rPr>
      </w:pPr>
      <w:r>
        <w:rPr>
          <w:rFonts w:cs="Times New Roman"/>
          <w:kern w:val="21"/>
        </w:rPr>
        <w:t>本项目</w:t>
      </w:r>
      <w:proofErr w:type="gramStart"/>
      <w:r>
        <w:rPr>
          <w:rFonts w:cs="Times New Roman" w:hint="eastAsia"/>
          <w:kern w:val="21"/>
        </w:rPr>
        <w:t>育雏鸡及蛋鸡</w:t>
      </w:r>
      <w:proofErr w:type="gramEnd"/>
      <w:r>
        <w:rPr>
          <w:rFonts w:cs="Times New Roman" w:hint="eastAsia"/>
          <w:kern w:val="21"/>
        </w:rPr>
        <w:t>批次匹配性情况见下表</w:t>
      </w:r>
      <w:r>
        <w:rPr>
          <w:rFonts w:cs="Times New Roman"/>
          <w:kern w:val="21"/>
        </w:rPr>
        <w:t>。</w:t>
      </w:r>
    </w:p>
    <w:p w14:paraId="587B7EF8" w14:textId="77777777" w:rsidR="00544649" w:rsidRDefault="00000000">
      <w:pPr>
        <w:numPr>
          <w:ilvl w:val="0"/>
          <w:numId w:val="21"/>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hint="eastAsia"/>
          <w:b/>
          <w:bCs/>
          <w:kern w:val="21"/>
          <w:sz w:val="21"/>
          <w:szCs w:val="21"/>
        </w:rPr>
        <w:t>育雏和蛋鸡养殖批次匹配情况一览表</w:t>
      </w:r>
    </w:p>
    <w:tbl>
      <w:tblPr>
        <w:tblStyle w:val="afc"/>
        <w:tblW w:w="9060" w:type="dxa"/>
        <w:jc w:val="center"/>
        <w:tblLayout w:type="fixed"/>
        <w:tblLook w:val="04A0" w:firstRow="1" w:lastRow="0" w:firstColumn="1" w:lastColumn="0" w:noHBand="0" w:noVBand="1"/>
      </w:tblPr>
      <w:tblGrid>
        <w:gridCol w:w="705"/>
        <w:gridCol w:w="834"/>
        <w:gridCol w:w="837"/>
        <w:gridCol w:w="857"/>
        <w:gridCol w:w="1129"/>
        <w:gridCol w:w="850"/>
        <w:gridCol w:w="1134"/>
        <w:gridCol w:w="2714"/>
      </w:tblGrid>
      <w:tr w:rsidR="00544649" w14:paraId="2D9DA2E7" w14:textId="77777777">
        <w:trPr>
          <w:tblHeader/>
          <w:jc w:val="center"/>
        </w:trPr>
        <w:tc>
          <w:tcPr>
            <w:tcW w:w="705" w:type="dxa"/>
            <w:vAlign w:val="center"/>
          </w:tcPr>
          <w:p w14:paraId="14C2DFBD"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b/>
                <w:bCs/>
                <w:kern w:val="21"/>
                <w:sz w:val="21"/>
                <w:szCs w:val="21"/>
              </w:rPr>
              <w:t>阶段</w:t>
            </w:r>
          </w:p>
        </w:tc>
        <w:tc>
          <w:tcPr>
            <w:tcW w:w="834" w:type="dxa"/>
            <w:vAlign w:val="center"/>
          </w:tcPr>
          <w:p w14:paraId="130E21DE"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b/>
                <w:bCs/>
                <w:kern w:val="21"/>
                <w:sz w:val="21"/>
                <w:szCs w:val="21"/>
              </w:rPr>
              <w:t>体重</w:t>
            </w:r>
          </w:p>
        </w:tc>
        <w:tc>
          <w:tcPr>
            <w:tcW w:w="837" w:type="dxa"/>
            <w:vAlign w:val="center"/>
          </w:tcPr>
          <w:p w14:paraId="2035EAB6"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b/>
                <w:bCs/>
                <w:kern w:val="21"/>
                <w:sz w:val="21"/>
                <w:szCs w:val="21"/>
              </w:rPr>
              <w:t>养殖规模</w:t>
            </w:r>
          </w:p>
        </w:tc>
        <w:tc>
          <w:tcPr>
            <w:tcW w:w="857" w:type="dxa"/>
            <w:vAlign w:val="center"/>
          </w:tcPr>
          <w:p w14:paraId="4F7A1046"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b/>
                <w:bCs/>
                <w:kern w:val="21"/>
                <w:sz w:val="21"/>
                <w:szCs w:val="21"/>
              </w:rPr>
              <w:t>饲养周期</w:t>
            </w:r>
          </w:p>
        </w:tc>
        <w:tc>
          <w:tcPr>
            <w:tcW w:w="1129" w:type="dxa"/>
            <w:vAlign w:val="center"/>
          </w:tcPr>
          <w:p w14:paraId="18CF2433"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b/>
                <w:bCs/>
                <w:kern w:val="21"/>
                <w:sz w:val="21"/>
                <w:szCs w:val="21"/>
              </w:rPr>
              <w:t>每批次淘汰后消毒时间</w:t>
            </w:r>
          </w:p>
        </w:tc>
        <w:tc>
          <w:tcPr>
            <w:tcW w:w="850" w:type="dxa"/>
            <w:vAlign w:val="center"/>
          </w:tcPr>
          <w:p w14:paraId="5DAC790A"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b/>
                <w:bCs/>
                <w:kern w:val="21"/>
                <w:sz w:val="21"/>
                <w:szCs w:val="21"/>
              </w:rPr>
              <w:t>每年最大淘汰批次</w:t>
            </w:r>
          </w:p>
        </w:tc>
        <w:tc>
          <w:tcPr>
            <w:tcW w:w="1134" w:type="dxa"/>
            <w:vAlign w:val="center"/>
          </w:tcPr>
          <w:p w14:paraId="3CAC5D88"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b/>
                <w:bCs/>
                <w:kern w:val="21"/>
                <w:sz w:val="21"/>
                <w:szCs w:val="21"/>
              </w:rPr>
              <w:t>饲养场所</w:t>
            </w:r>
          </w:p>
        </w:tc>
        <w:tc>
          <w:tcPr>
            <w:tcW w:w="2714" w:type="dxa"/>
            <w:vAlign w:val="center"/>
          </w:tcPr>
          <w:p w14:paraId="3B8D0FA3"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b/>
                <w:bCs/>
                <w:kern w:val="21"/>
                <w:sz w:val="21"/>
                <w:szCs w:val="21"/>
              </w:rPr>
              <w:t>备注</w:t>
            </w:r>
          </w:p>
        </w:tc>
      </w:tr>
      <w:tr w:rsidR="00544649" w14:paraId="09F4AD8E" w14:textId="77777777">
        <w:trPr>
          <w:tblHeader/>
          <w:jc w:val="center"/>
        </w:trPr>
        <w:tc>
          <w:tcPr>
            <w:tcW w:w="705" w:type="dxa"/>
            <w:vAlign w:val="center"/>
          </w:tcPr>
          <w:p w14:paraId="137F44B9"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kern w:val="21"/>
                <w:sz w:val="21"/>
                <w:szCs w:val="21"/>
              </w:rPr>
              <w:t>蛋鸡育成期</w:t>
            </w:r>
          </w:p>
        </w:tc>
        <w:tc>
          <w:tcPr>
            <w:tcW w:w="834" w:type="dxa"/>
            <w:vAlign w:val="center"/>
          </w:tcPr>
          <w:p w14:paraId="147C27A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w:t>
            </w:r>
          </w:p>
        </w:tc>
        <w:tc>
          <w:tcPr>
            <w:tcW w:w="837" w:type="dxa"/>
            <w:vAlign w:val="center"/>
          </w:tcPr>
          <w:p w14:paraId="7A09FF37"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kern w:val="21"/>
                <w:sz w:val="21"/>
                <w:szCs w:val="21"/>
              </w:rPr>
              <w:t>7.5</w:t>
            </w:r>
            <w:r>
              <w:rPr>
                <w:rFonts w:cs="Times New Roman"/>
                <w:kern w:val="21"/>
                <w:sz w:val="21"/>
                <w:szCs w:val="21"/>
              </w:rPr>
              <w:t>万</w:t>
            </w:r>
            <w:r>
              <w:rPr>
                <w:rFonts w:cs="Times New Roman" w:hint="eastAsia"/>
                <w:kern w:val="21"/>
                <w:sz w:val="21"/>
                <w:szCs w:val="21"/>
              </w:rPr>
              <w:t>羽</w:t>
            </w:r>
            <w:r>
              <w:rPr>
                <w:rFonts w:cs="Times New Roman" w:hint="eastAsia"/>
                <w:kern w:val="21"/>
                <w:sz w:val="21"/>
                <w:szCs w:val="21"/>
              </w:rPr>
              <w:t>/</w:t>
            </w:r>
            <w:r>
              <w:rPr>
                <w:rFonts w:cs="Times New Roman" w:hint="eastAsia"/>
                <w:kern w:val="21"/>
                <w:sz w:val="21"/>
                <w:szCs w:val="21"/>
              </w:rPr>
              <w:t>批次</w:t>
            </w:r>
          </w:p>
        </w:tc>
        <w:tc>
          <w:tcPr>
            <w:tcW w:w="857" w:type="dxa"/>
            <w:vAlign w:val="center"/>
          </w:tcPr>
          <w:p w14:paraId="6C90E11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105d</w:t>
            </w:r>
          </w:p>
        </w:tc>
        <w:tc>
          <w:tcPr>
            <w:tcW w:w="1129" w:type="dxa"/>
            <w:vAlign w:val="center"/>
          </w:tcPr>
          <w:p w14:paraId="0D18BA0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30d</w:t>
            </w:r>
          </w:p>
        </w:tc>
        <w:tc>
          <w:tcPr>
            <w:tcW w:w="850" w:type="dxa"/>
            <w:vAlign w:val="center"/>
          </w:tcPr>
          <w:p w14:paraId="08A563B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3</w:t>
            </w:r>
          </w:p>
        </w:tc>
        <w:tc>
          <w:tcPr>
            <w:tcW w:w="1134" w:type="dxa"/>
            <w:vAlign w:val="center"/>
          </w:tcPr>
          <w:p w14:paraId="4BEEBCF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育雏舍</w:t>
            </w:r>
          </w:p>
        </w:tc>
        <w:tc>
          <w:tcPr>
            <w:tcW w:w="2714" w:type="dxa"/>
            <w:vAlign w:val="center"/>
          </w:tcPr>
          <w:p w14:paraId="20D4420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外购鸡苗饲养</w:t>
            </w:r>
            <w:r>
              <w:rPr>
                <w:rFonts w:cs="Times New Roman" w:hint="eastAsia"/>
                <w:kern w:val="21"/>
                <w:sz w:val="21"/>
                <w:szCs w:val="21"/>
              </w:rPr>
              <w:t>105</w:t>
            </w:r>
            <w:r>
              <w:rPr>
                <w:rFonts w:cs="Times New Roman" w:hint="eastAsia"/>
                <w:kern w:val="21"/>
                <w:sz w:val="21"/>
                <w:szCs w:val="21"/>
              </w:rPr>
              <w:t>天后转入蛋鸡舍，</w:t>
            </w:r>
            <w:r>
              <w:rPr>
                <w:rFonts w:cs="Times New Roman" w:hint="eastAsia"/>
                <w:kern w:val="21"/>
                <w:sz w:val="21"/>
                <w:szCs w:val="21"/>
              </w:rPr>
              <w:t>22.5</w:t>
            </w:r>
            <w:r>
              <w:rPr>
                <w:rFonts w:cs="Times New Roman" w:hint="eastAsia"/>
                <w:kern w:val="21"/>
                <w:sz w:val="21"/>
                <w:szCs w:val="21"/>
              </w:rPr>
              <w:t>万羽蛋鸡育成所需时间共计</w:t>
            </w:r>
            <w:r>
              <w:rPr>
                <w:rFonts w:cs="Times New Roman" w:hint="eastAsia"/>
                <w:kern w:val="21"/>
                <w:sz w:val="21"/>
                <w:szCs w:val="21"/>
              </w:rPr>
              <w:t>405</w:t>
            </w:r>
            <w:r>
              <w:rPr>
                <w:rFonts w:cs="Times New Roman" w:hint="eastAsia"/>
                <w:kern w:val="21"/>
                <w:sz w:val="21"/>
                <w:szCs w:val="21"/>
              </w:rPr>
              <w:t>天</w:t>
            </w:r>
          </w:p>
        </w:tc>
      </w:tr>
      <w:tr w:rsidR="00544649" w14:paraId="0BBE1982" w14:textId="77777777">
        <w:trPr>
          <w:jc w:val="center"/>
        </w:trPr>
        <w:tc>
          <w:tcPr>
            <w:tcW w:w="705" w:type="dxa"/>
            <w:vAlign w:val="center"/>
          </w:tcPr>
          <w:p w14:paraId="0AB2D2D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蛋鸡</w:t>
            </w:r>
            <w:r>
              <w:rPr>
                <w:rFonts w:cs="Times New Roman" w:hint="eastAsia"/>
                <w:kern w:val="21"/>
                <w:sz w:val="21"/>
                <w:szCs w:val="21"/>
              </w:rPr>
              <w:t>产蛋阶段</w:t>
            </w:r>
          </w:p>
        </w:tc>
        <w:tc>
          <w:tcPr>
            <w:tcW w:w="834" w:type="dxa"/>
            <w:vAlign w:val="center"/>
          </w:tcPr>
          <w:p w14:paraId="09503D8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1.8kg/</w:t>
            </w:r>
            <w:r>
              <w:rPr>
                <w:rFonts w:cs="Times New Roman" w:hint="eastAsia"/>
                <w:kern w:val="21"/>
                <w:sz w:val="21"/>
                <w:szCs w:val="21"/>
              </w:rPr>
              <w:t>羽</w:t>
            </w:r>
          </w:p>
        </w:tc>
        <w:tc>
          <w:tcPr>
            <w:tcW w:w="837" w:type="dxa"/>
            <w:vAlign w:val="center"/>
          </w:tcPr>
          <w:p w14:paraId="66563F2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22.5</w:t>
            </w:r>
            <w:r>
              <w:rPr>
                <w:rFonts w:cs="Times New Roman"/>
                <w:kern w:val="21"/>
                <w:sz w:val="21"/>
                <w:szCs w:val="21"/>
              </w:rPr>
              <w:t>万</w:t>
            </w:r>
            <w:r>
              <w:rPr>
                <w:rFonts w:cs="Times New Roman" w:hint="eastAsia"/>
                <w:kern w:val="21"/>
                <w:sz w:val="21"/>
                <w:szCs w:val="21"/>
              </w:rPr>
              <w:t>羽</w:t>
            </w:r>
            <w:r>
              <w:rPr>
                <w:rFonts w:cs="Times New Roman" w:hint="eastAsia"/>
                <w:kern w:val="21"/>
                <w:sz w:val="21"/>
                <w:szCs w:val="21"/>
              </w:rPr>
              <w:t>/</w:t>
            </w:r>
            <w:r>
              <w:rPr>
                <w:rFonts w:cs="Times New Roman" w:hint="eastAsia"/>
                <w:kern w:val="21"/>
                <w:sz w:val="21"/>
                <w:szCs w:val="21"/>
              </w:rPr>
              <w:t>批次</w:t>
            </w:r>
          </w:p>
        </w:tc>
        <w:tc>
          <w:tcPr>
            <w:tcW w:w="857" w:type="dxa"/>
            <w:vAlign w:val="center"/>
          </w:tcPr>
          <w:p w14:paraId="15C2DCA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390d</w:t>
            </w:r>
          </w:p>
        </w:tc>
        <w:tc>
          <w:tcPr>
            <w:tcW w:w="1129" w:type="dxa"/>
            <w:vAlign w:val="center"/>
          </w:tcPr>
          <w:p w14:paraId="6F9869D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15d</w:t>
            </w:r>
          </w:p>
        </w:tc>
        <w:tc>
          <w:tcPr>
            <w:tcW w:w="850" w:type="dxa"/>
            <w:vAlign w:val="center"/>
          </w:tcPr>
          <w:p w14:paraId="4521D95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1</w:t>
            </w:r>
          </w:p>
        </w:tc>
        <w:tc>
          <w:tcPr>
            <w:tcW w:w="1134" w:type="dxa"/>
            <w:vAlign w:val="center"/>
          </w:tcPr>
          <w:p w14:paraId="3E9ABB7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蛋鸡舍</w:t>
            </w:r>
          </w:p>
        </w:tc>
        <w:tc>
          <w:tcPr>
            <w:tcW w:w="2714" w:type="dxa"/>
            <w:vAlign w:val="center"/>
          </w:tcPr>
          <w:p w14:paraId="511773B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hint="eastAsia"/>
                <w:sz w:val="21"/>
                <w:szCs w:val="21"/>
              </w:rPr>
              <w:t>每批次蛋鸡</w:t>
            </w:r>
            <w:r>
              <w:rPr>
                <w:sz w:val="21"/>
                <w:szCs w:val="21"/>
              </w:rPr>
              <w:t>养殖</w:t>
            </w:r>
            <w:r>
              <w:rPr>
                <w:rFonts w:hint="eastAsia"/>
                <w:sz w:val="21"/>
                <w:szCs w:val="21"/>
              </w:rPr>
              <w:t>390</w:t>
            </w:r>
            <w:r>
              <w:rPr>
                <w:rFonts w:hint="eastAsia"/>
                <w:sz w:val="21"/>
                <w:szCs w:val="21"/>
              </w:rPr>
              <w:t>天</w:t>
            </w:r>
            <w:r>
              <w:rPr>
                <w:sz w:val="21"/>
                <w:szCs w:val="21"/>
              </w:rPr>
              <w:t>后，</w:t>
            </w:r>
            <w:r>
              <w:rPr>
                <w:rFonts w:hint="eastAsia"/>
                <w:sz w:val="21"/>
                <w:szCs w:val="21"/>
              </w:rPr>
              <w:t>按照各栋鸡舍转入时间顺序逐级淘汰，每淘汰</w:t>
            </w:r>
            <w:r>
              <w:rPr>
                <w:rFonts w:hint="eastAsia"/>
                <w:sz w:val="21"/>
                <w:szCs w:val="21"/>
              </w:rPr>
              <w:t>7.5</w:t>
            </w:r>
            <w:r>
              <w:rPr>
                <w:rFonts w:hint="eastAsia"/>
                <w:sz w:val="21"/>
                <w:szCs w:val="21"/>
              </w:rPr>
              <w:t>万羽蛋鸡后，则从育雏</w:t>
            </w:r>
            <w:r>
              <w:rPr>
                <w:rFonts w:hint="eastAsia"/>
                <w:sz w:val="21"/>
                <w:szCs w:val="21"/>
              </w:rPr>
              <w:lastRenderedPageBreak/>
              <w:t>舍转入</w:t>
            </w:r>
            <w:r>
              <w:rPr>
                <w:rFonts w:hint="eastAsia"/>
                <w:sz w:val="21"/>
                <w:szCs w:val="21"/>
              </w:rPr>
              <w:t>7.5</w:t>
            </w:r>
            <w:r>
              <w:rPr>
                <w:rFonts w:hint="eastAsia"/>
                <w:sz w:val="21"/>
                <w:szCs w:val="21"/>
              </w:rPr>
              <w:t>万羽蛋鸡，</w:t>
            </w:r>
            <w:r>
              <w:rPr>
                <w:rFonts w:hint="eastAsia"/>
                <w:sz w:val="21"/>
                <w:szCs w:val="21"/>
              </w:rPr>
              <w:t>22.5</w:t>
            </w:r>
            <w:r>
              <w:rPr>
                <w:rFonts w:hint="eastAsia"/>
                <w:sz w:val="21"/>
                <w:szCs w:val="21"/>
              </w:rPr>
              <w:t>万羽蛋鸡淘汰所需时间共计</w:t>
            </w:r>
            <w:r>
              <w:rPr>
                <w:rFonts w:hint="eastAsia"/>
                <w:sz w:val="21"/>
                <w:szCs w:val="21"/>
              </w:rPr>
              <w:t>405</w:t>
            </w:r>
            <w:r>
              <w:rPr>
                <w:rFonts w:hint="eastAsia"/>
                <w:sz w:val="21"/>
                <w:szCs w:val="21"/>
              </w:rPr>
              <w:t>天。</w:t>
            </w:r>
          </w:p>
        </w:tc>
      </w:tr>
    </w:tbl>
    <w:p w14:paraId="16E5394A" w14:textId="77777777" w:rsidR="00544649" w:rsidRDefault="00000000">
      <w:pPr>
        <w:adjustRightInd w:val="0"/>
        <w:snapToGrid w:val="0"/>
        <w:spacing w:after="0"/>
        <w:ind w:firstLine="480"/>
        <w:rPr>
          <w:rFonts w:cs="Times New Roman"/>
          <w:kern w:val="21"/>
        </w:rPr>
      </w:pPr>
      <w:r>
        <w:rPr>
          <w:rFonts w:cs="Times New Roman" w:hint="eastAsia"/>
          <w:kern w:val="21"/>
        </w:rPr>
        <w:lastRenderedPageBreak/>
        <w:t>本项目年存栏蛋鸡共</w:t>
      </w:r>
      <w:r>
        <w:rPr>
          <w:rFonts w:cs="Times New Roman" w:hint="eastAsia"/>
          <w:kern w:val="21"/>
        </w:rPr>
        <w:t>30</w:t>
      </w:r>
      <w:r>
        <w:rPr>
          <w:rFonts w:cs="Times New Roman" w:hint="eastAsia"/>
          <w:kern w:val="21"/>
        </w:rPr>
        <w:t>万羽，其中育雏舍存栏青年蛋鸡</w:t>
      </w:r>
      <w:r>
        <w:rPr>
          <w:rFonts w:cs="Times New Roman" w:hint="eastAsia"/>
          <w:kern w:val="21"/>
        </w:rPr>
        <w:t>7.5</w:t>
      </w:r>
      <w:r>
        <w:rPr>
          <w:rFonts w:cs="Times New Roman" w:hint="eastAsia"/>
          <w:kern w:val="21"/>
        </w:rPr>
        <w:t>万羽，蛋鸡舍存栏</w:t>
      </w:r>
      <w:r>
        <w:rPr>
          <w:rFonts w:cs="Times New Roman" w:hint="eastAsia"/>
          <w:kern w:val="21"/>
        </w:rPr>
        <w:t>22.5</w:t>
      </w:r>
      <w:r>
        <w:rPr>
          <w:rFonts w:cs="Times New Roman" w:hint="eastAsia"/>
          <w:kern w:val="21"/>
        </w:rPr>
        <w:t>万羽。年产鸡蛋</w:t>
      </w:r>
      <w:r>
        <w:rPr>
          <w:rFonts w:cs="Times New Roman" w:hint="eastAsia"/>
          <w:kern w:val="21"/>
        </w:rPr>
        <w:t>3375</w:t>
      </w:r>
      <w:r>
        <w:rPr>
          <w:rFonts w:cs="Times New Roman" w:hint="eastAsia"/>
          <w:kern w:val="21"/>
        </w:rPr>
        <w:t>吨。本项目产品方案见下表。</w:t>
      </w:r>
    </w:p>
    <w:p w14:paraId="72D39409" w14:textId="77777777" w:rsidR="00544649" w:rsidRDefault="00000000">
      <w:pPr>
        <w:numPr>
          <w:ilvl w:val="0"/>
          <w:numId w:val="21"/>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hint="eastAsia"/>
          <w:b/>
          <w:bCs/>
          <w:kern w:val="21"/>
          <w:sz w:val="21"/>
          <w:szCs w:val="21"/>
        </w:rPr>
        <w:t>本项目产品方案一览表</w:t>
      </w:r>
    </w:p>
    <w:tbl>
      <w:tblPr>
        <w:tblStyle w:val="afc"/>
        <w:tblW w:w="9056" w:type="dxa"/>
        <w:jc w:val="center"/>
        <w:tblLayout w:type="fixed"/>
        <w:tblLook w:val="04A0" w:firstRow="1" w:lastRow="0" w:firstColumn="1" w:lastColumn="0" w:noHBand="0" w:noVBand="1"/>
      </w:tblPr>
      <w:tblGrid>
        <w:gridCol w:w="670"/>
        <w:gridCol w:w="1110"/>
        <w:gridCol w:w="1268"/>
        <w:gridCol w:w="6008"/>
      </w:tblGrid>
      <w:tr w:rsidR="00544649" w14:paraId="7E112FC2" w14:textId="77777777">
        <w:trPr>
          <w:tblHeader/>
          <w:jc w:val="center"/>
        </w:trPr>
        <w:tc>
          <w:tcPr>
            <w:tcW w:w="670" w:type="dxa"/>
            <w:vAlign w:val="center"/>
          </w:tcPr>
          <w:p w14:paraId="39E31A67"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b/>
                <w:bCs/>
                <w:kern w:val="21"/>
                <w:sz w:val="21"/>
                <w:szCs w:val="21"/>
              </w:rPr>
              <w:t>序号</w:t>
            </w:r>
          </w:p>
        </w:tc>
        <w:tc>
          <w:tcPr>
            <w:tcW w:w="1110" w:type="dxa"/>
            <w:vAlign w:val="center"/>
          </w:tcPr>
          <w:p w14:paraId="5878A214"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b/>
                <w:bCs/>
                <w:kern w:val="21"/>
                <w:sz w:val="21"/>
                <w:szCs w:val="21"/>
              </w:rPr>
              <w:t>产品方案</w:t>
            </w:r>
          </w:p>
        </w:tc>
        <w:tc>
          <w:tcPr>
            <w:tcW w:w="1268" w:type="dxa"/>
            <w:vAlign w:val="center"/>
          </w:tcPr>
          <w:p w14:paraId="26EED01B"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b/>
                <w:bCs/>
                <w:kern w:val="21"/>
                <w:sz w:val="21"/>
                <w:szCs w:val="21"/>
              </w:rPr>
              <w:t>产能</w:t>
            </w:r>
          </w:p>
        </w:tc>
        <w:tc>
          <w:tcPr>
            <w:tcW w:w="6008" w:type="dxa"/>
            <w:vAlign w:val="center"/>
          </w:tcPr>
          <w:p w14:paraId="32B2526F"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b/>
                <w:bCs/>
                <w:kern w:val="21"/>
                <w:sz w:val="21"/>
                <w:szCs w:val="21"/>
              </w:rPr>
              <w:t>备注</w:t>
            </w:r>
          </w:p>
        </w:tc>
      </w:tr>
      <w:tr w:rsidR="00544649" w14:paraId="7F9236D2" w14:textId="77777777">
        <w:trPr>
          <w:jc w:val="center"/>
        </w:trPr>
        <w:tc>
          <w:tcPr>
            <w:tcW w:w="670" w:type="dxa"/>
            <w:vAlign w:val="center"/>
          </w:tcPr>
          <w:p w14:paraId="7462119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1</w:t>
            </w:r>
          </w:p>
        </w:tc>
        <w:tc>
          <w:tcPr>
            <w:tcW w:w="1110" w:type="dxa"/>
            <w:vAlign w:val="center"/>
          </w:tcPr>
          <w:p w14:paraId="7149F89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鸡蛋</w:t>
            </w:r>
          </w:p>
        </w:tc>
        <w:tc>
          <w:tcPr>
            <w:tcW w:w="1268" w:type="dxa"/>
            <w:vAlign w:val="center"/>
          </w:tcPr>
          <w:p w14:paraId="3DD39DB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bookmarkStart w:id="204" w:name="OLE_LINK24"/>
            <w:r>
              <w:rPr>
                <w:rFonts w:cs="Times New Roman" w:hint="eastAsia"/>
                <w:kern w:val="21"/>
                <w:sz w:val="21"/>
                <w:szCs w:val="21"/>
              </w:rPr>
              <w:t>3375</w:t>
            </w:r>
            <w:bookmarkEnd w:id="204"/>
            <w:r>
              <w:rPr>
                <w:rFonts w:cs="Times New Roman" w:hint="eastAsia"/>
                <w:kern w:val="21"/>
                <w:sz w:val="21"/>
                <w:szCs w:val="21"/>
              </w:rPr>
              <w:t>t/a</w:t>
            </w:r>
          </w:p>
        </w:tc>
        <w:tc>
          <w:tcPr>
            <w:tcW w:w="6008" w:type="dxa"/>
            <w:vAlign w:val="center"/>
          </w:tcPr>
          <w:p w14:paraId="7A573B7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本项目单只</w:t>
            </w:r>
            <w:proofErr w:type="gramStart"/>
            <w:r>
              <w:rPr>
                <w:rFonts w:cs="Times New Roman" w:hint="eastAsia"/>
                <w:kern w:val="21"/>
                <w:sz w:val="21"/>
                <w:szCs w:val="21"/>
              </w:rPr>
              <w:t>蛋鸡每</w:t>
            </w:r>
            <w:proofErr w:type="gramEnd"/>
            <w:r>
              <w:rPr>
                <w:rFonts w:cs="Times New Roman" w:hint="eastAsia"/>
                <w:kern w:val="21"/>
                <w:sz w:val="21"/>
                <w:szCs w:val="21"/>
              </w:rPr>
              <w:t>年产蛋约</w:t>
            </w:r>
            <w:r>
              <w:rPr>
                <w:rFonts w:cs="Times New Roman" w:hint="eastAsia"/>
                <w:kern w:val="21"/>
                <w:sz w:val="21"/>
                <w:szCs w:val="21"/>
              </w:rPr>
              <w:t>15kg</w:t>
            </w:r>
            <w:r>
              <w:rPr>
                <w:rFonts w:cs="Times New Roman" w:hint="eastAsia"/>
                <w:kern w:val="21"/>
                <w:sz w:val="21"/>
                <w:szCs w:val="21"/>
              </w:rPr>
              <w:t>，蛋鸡存栏共</w:t>
            </w:r>
            <w:r>
              <w:rPr>
                <w:rFonts w:cs="Times New Roman" w:hint="eastAsia"/>
                <w:kern w:val="21"/>
                <w:sz w:val="21"/>
                <w:szCs w:val="21"/>
              </w:rPr>
              <w:t>22.5</w:t>
            </w:r>
            <w:r>
              <w:rPr>
                <w:rFonts w:cs="Times New Roman" w:hint="eastAsia"/>
                <w:kern w:val="21"/>
                <w:sz w:val="21"/>
                <w:szCs w:val="21"/>
              </w:rPr>
              <w:t>万羽</w:t>
            </w:r>
          </w:p>
        </w:tc>
      </w:tr>
      <w:tr w:rsidR="00544649" w14:paraId="4C5F0CDC" w14:textId="77777777">
        <w:trPr>
          <w:jc w:val="center"/>
        </w:trPr>
        <w:tc>
          <w:tcPr>
            <w:tcW w:w="670" w:type="dxa"/>
            <w:vAlign w:val="center"/>
          </w:tcPr>
          <w:p w14:paraId="274E25C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2</w:t>
            </w:r>
          </w:p>
        </w:tc>
        <w:tc>
          <w:tcPr>
            <w:tcW w:w="1110" w:type="dxa"/>
            <w:vAlign w:val="center"/>
          </w:tcPr>
          <w:p w14:paraId="7C0C172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淘汰蛋鸡</w:t>
            </w:r>
          </w:p>
        </w:tc>
        <w:tc>
          <w:tcPr>
            <w:tcW w:w="1268" w:type="dxa"/>
            <w:vAlign w:val="center"/>
          </w:tcPr>
          <w:p w14:paraId="76E07D5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7.5</w:t>
            </w:r>
            <w:r>
              <w:rPr>
                <w:rFonts w:cs="Times New Roman" w:hint="eastAsia"/>
                <w:kern w:val="21"/>
                <w:sz w:val="21"/>
                <w:szCs w:val="21"/>
              </w:rPr>
              <w:t>万羽</w:t>
            </w:r>
            <w:r>
              <w:rPr>
                <w:rFonts w:cs="Times New Roman" w:hint="eastAsia"/>
                <w:kern w:val="21"/>
                <w:sz w:val="21"/>
                <w:szCs w:val="21"/>
              </w:rPr>
              <w:t>/</w:t>
            </w:r>
            <w:r>
              <w:rPr>
                <w:rFonts w:cs="Times New Roman" w:hint="eastAsia"/>
                <w:kern w:val="21"/>
                <w:sz w:val="21"/>
                <w:szCs w:val="21"/>
              </w:rPr>
              <w:t>批</w:t>
            </w:r>
          </w:p>
        </w:tc>
        <w:tc>
          <w:tcPr>
            <w:tcW w:w="6008" w:type="dxa"/>
            <w:vAlign w:val="center"/>
          </w:tcPr>
          <w:p w14:paraId="1D366F7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单只淘汰蛋鸡体重约</w:t>
            </w:r>
            <w:r>
              <w:rPr>
                <w:rFonts w:cs="Times New Roman" w:hint="eastAsia"/>
                <w:kern w:val="21"/>
                <w:sz w:val="21"/>
                <w:szCs w:val="21"/>
              </w:rPr>
              <w:t>1.8kg/</w:t>
            </w:r>
            <w:r>
              <w:rPr>
                <w:rFonts w:cs="Times New Roman" w:hint="eastAsia"/>
                <w:kern w:val="21"/>
                <w:sz w:val="21"/>
                <w:szCs w:val="21"/>
              </w:rPr>
              <w:t>羽，本项目年淘汰蛋鸡最大为</w:t>
            </w:r>
            <w:r>
              <w:rPr>
                <w:rFonts w:cs="Times New Roman" w:hint="eastAsia"/>
                <w:kern w:val="21"/>
                <w:sz w:val="21"/>
                <w:szCs w:val="21"/>
              </w:rPr>
              <w:t>3</w:t>
            </w:r>
            <w:r>
              <w:rPr>
                <w:rFonts w:cs="Times New Roman" w:hint="eastAsia"/>
                <w:kern w:val="21"/>
                <w:sz w:val="21"/>
                <w:szCs w:val="21"/>
              </w:rPr>
              <w:t>个批次</w:t>
            </w:r>
          </w:p>
        </w:tc>
      </w:tr>
    </w:tbl>
    <w:p w14:paraId="757D2B96" w14:textId="77777777" w:rsidR="00544649" w:rsidRDefault="00000000">
      <w:pPr>
        <w:numPr>
          <w:ilvl w:val="2"/>
          <w:numId w:val="9"/>
        </w:numPr>
        <w:adjustRightInd w:val="0"/>
        <w:snapToGrid w:val="0"/>
        <w:spacing w:after="0"/>
        <w:ind w:firstLineChars="0"/>
        <w:outlineLvl w:val="2"/>
        <w:rPr>
          <w:rFonts w:cs="Times New Roman"/>
          <w:b/>
          <w:bCs/>
          <w:kern w:val="21"/>
          <w:sz w:val="28"/>
          <w:szCs w:val="24"/>
        </w:rPr>
      </w:pPr>
      <w:bookmarkStart w:id="205" w:name="_Toc195009831"/>
      <w:r>
        <w:rPr>
          <w:rFonts w:cs="Times New Roman" w:hint="eastAsia"/>
          <w:b/>
          <w:bCs/>
          <w:kern w:val="21"/>
          <w:sz w:val="28"/>
          <w:szCs w:val="24"/>
        </w:rPr>
        <w:t>建设内容及组成</w:t>
      </w:r>
      <w:bookmarkEnd w:id="205"/>
    </w:p>
    <w:p w14:paraId="5DFE0743" w14:textId="77777777" w:rsidR="00544649" w:rsidRDefault="00000000">
      <w:pPr>
        <w:adjustRightInd w:val="0"/>
        <w:snapToGrid w:val="0"/>
        <w:spacing w:after="0"/>
        <w:ind w:firstLine="480"/>
        <w:rPr>
          <w:rFonts w:cs="Times New Roman"/>
          <w:kern w:val="21"/>
        </w:rPr>
      </w:pPr>
      <w:r>
        <w:rPr>
          <w:rFonts w:cs="Times New Roman"/>
          <w:kern w:val="21"/>
        </w:rPr>
        <w:t>本次</w:t>
      </w:r>
      <w:r>
        <w:rPr>
          <w:rFonts w:cs="Times New Roman" w:hint="eastAsia"/>
          <w:kern w:val="21"/>
        </w:rPr>
        <w:t>新建设存栏规模为</w:t>
      </w:r>
      <w:r>
        <w:rPr>
          <w:rFonts w:cs="Times New Roman" w:hint="eastAsia"/>
          <w:kern w:val="21"/>
        </w:rPr>
        <w:t>30</w:t>
      </w:r>
      <w:r>
        <w:rPr>
          <w:rFonts w:cs="Times New Roman" w:hint="eastAsia"/>
          <w:kern w:val="21"/>
        </w:rPr>
        <w:t>万羽的</w:t>
      </w:r>
      <w:proofErr w:type="gramStart"/>
      <w:r>
        <w:rPr>
          <w:rFonts w:cs="Times New Roman" w:hint="eastAsia"/>
          <w:kern w:val="21"/>
        </w:rPr>
        <w:t>高端非</w:t>
      </w:r>
      <w:proofErr w:type="gramEnd"/>
      <w:r>
        <w:rPr>
          <w:rFonts w:cs="Times New Roman" w:hint="eastAsia"/>
          <w:kern w:val="21"/>
        </w:rPr>
        <w:t>笼养福利蛋鸡养殖示范基地</w:t>
      </w:r>
      <w:r>
        <w:rPr>
          <w:rFonts w:cs="Times New Roman"/>
          <w:kern w:val="21"/>
        </w:rPr>
        <w:t>，项目建设</w:t>
      </w:r>
      <w:r>
        <w:rPr>
          <w:rFonts w:cs="Times New Roman" w:hint="eastAsia"/>
          <w:kern w:val="21"/>
        </w:rPr>
        <w:t>主要内容包括：养殖鸡舍、隔离带、场区内通道及辅助设施（粪污处理、疫病检验、清洗池、供水供电设施、管理用房）、挡墙等。</w:t>
      </w:r>
      <w:r>
        <w:rPr>
          <w:rFonts w:cs="Times New Roman"/>
          <w:kern w:val="21"/>
        </w:rPr>
        <w:t>项目组成及主要环境问题见下表。</w:t>
      </w:r>
    </w:p>
    <w:p w14:paraId="75697339" w14:textId="77777777" w:rsidR="00544649" w:rsidRDefault="00000000">
      <w:pPr>
        <w:numPr>
          <w:ilvl w:val="0"/>
          <w:numId w:val="21"/>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项目组成及主要环境问题一览表</w:t>
      </w:r>
    </w:p>
    <w:tbl>
      <w:tblPr>
        <w:tblStyle w:val="afc"/>
        <w:tblW w:w="9060" w:type="dxa"/>
        <w:jc w:val="center"/>
        <w:tblLayout w:type="fixed"/>
        <w:tblLook w:val="04A0" w:firstRow="1" w:lastRow="0" w:firstColumn="1" w:lastColumn="0" w:noHBand="0" w:noVBand="1"/>
      </w:tblPr>
      <w:tblGrid>
        <w:gridCol w:w="441"/>
        <w:gridCol w:w="141"/>
        <w:gridCol w:w="286"/>
        <w:gridCol w:w="993"/>
        <w:gridCol w:w="4932"/>
        <w:gridCol w:w="694"/>
        <w:gridCol w:w="1131"/>
        <w:gridCol w:w="442"/>
      </w:tblGrid>
      <w:tr w:rsidR="00544649" w14:paraId="0279875C" w14:textId="77777777">
        <w:trPr>
          <w:trHeight w:val="90"/>
          <w:tblHeader/>
          <w:jc w:val="center"/>
        </w:trPr>
        <w:tc>
          <w:tcPr>
            <w:tcW w:w="1861" w:type="dxa"/>
            <w:gridSpan w:val="4"/>
            <w:vMerge w:val="restart"/>
            <w:vAlign w:val="center"/>
          </w:tcPr>
          <w:p w14:paraId="69764266" w14:textId="77777777" w:rsidR="00544649" w:rsidRDefault="00000000">
            <w:pPr>
              <w:pStyle w:val="aff7"/>
              <w:adjustRightInd w:val="0"/>
              <w:snapToGrid w:val="0"/>
              <w:spacing w:beforeLines="0" w:before="0" w:afterLines="0" w:after="0"/>
              <w:rPr>
                <w:rFonts w:cs="Times New Roman"/>
                <w:b/>
                <w:bCs/>
                <w:kern w:val="21"/>
                <w:szCs w:val="21"/>
              </w:rPr>
            </w:pPr>
            <w:r>
              <w:rPr>
                <w:rFonts w:cs="Times New Roman"/>
                <w:b/>
                <w:bCs/>
                <w:kern w:val="21"/>
                <w:szCs w:val="21"/>
              </w:rPr>
              <w:t>项目组成</w:t>
            </w:r>
          </w:p>
        </w:tc>
        <w:tc>
          <w:tcPr>
            <w:tcW w:w="4932" w:type="dxa"/>
            <w:vMerge w:val="restart"/>
            <w:vAlign w:val="center"/>
          </w:tcPr>
          <w:p w14:paraId="78DE2415" w14:textId="77777777" w:rsidR="00544649" w:rsidRDefault="00000000">
            <w:pPr>
              <w:pStyle w:val="aff7"/>
              <w:adjustRightInd w:val="0"/>
              <w:snapToGrid w:val="0"/>
              <w:spacing w:beforeLines="0" w:before="0" w:afterLines="0" w:after="0"/>
              <w:rPr>
                <w:rFonts w:cs="Times New Roman"/>
                <w:b/>
                <w:bCs/>
                <w:kern w:val="21"/>
                <w:szCs w:val="21"/>
              </w:rPr>
            </w:pPr>
            <w:r>
              <w:rPr>
                <w:rFonts w:cs="Times New Roman"/>
                <w:b/>
                <w:bCs/>
                <w:kern w:val="21"/>
                <w:szCs w:val="21"/>
              </w:rPr>
              <w:t>建设内容及规模</w:t>
            </w:r>
          </w:p>
        </w:tc>
        <w:tc>
          <w:tcPr>
            <w:tcW w:w="1825" w:type="dxa"/>
            <w:gridSpan w:val="2"/>
            <w:vAlign w:val="center"/>
          </w:tcPr>
          <w:p w14:paraId="7D1B4272" w14:textId="77777777" w:rsidR="00544649" w:rsidRDefault="00000000">
            <w:pPr>
              <w:pStyle w:val="aff7"/>
              <w:adjustRightInd w:val="0"/>
              <w:snapToGrid w:val="0"/>
              <w:spacing w:beforeLines="0" w:before="0" w:afterLines="0" w:after="0"/>
              <w:rPr>
                <w:rFonts w:cs="Times New Roman"/>
                <w:b/>
                <w:bCs/>
                <w:kern w:val="21"/>
                <w:szCs w:val="21"/>
              </w:rPr>
            </w:pPr>
            <w:r>
              <w:rPr>
                <w:rFonts w:cs="Times New Roman"/>
                <w:b/>
                <w:bCs/>
                <w:kern w:val="21"/>
                <w:szCs w:val="21"/>
              </w:rPr>
              <w:t>主要环境问题</w:t>
            </w:r>
          </w:p>
        </w:tc>
        <w:tc>
          <w:tcPr>
            <w:tcW w:w="442" w:type="dxa"/>
            <w:vMerge w:val="restart"/>
            <w:vAlign w:val="center"/>
          </w:tcPr>
          <w:p w14:paraId="19D10355" w14:textId="77777777" w:rsidR="00544649" w:rsidRDefault="00000000">
            <w:pPr>
              <w:pStyle w:val="aff7"/>
              <w:adjustRightInd w:val="0"/>
              <w:snapToGrid w:val="0"/>
              <w:spacing w:beforeLines="0" w:before="0" w:afterLines="0" w:after="0"/>
              <w:rPr>
                <w:rFonts w:cs="Times New Roman"/>
                <w:b/>
                <w:bCs/>
                <w:kern w:val="21"/>
                <w:szCs w:val="21"/>
              </w:rPr>
            </w:pPr>
            <w:r>
              <w:rPr>
                <w:rFonts w:cs="Times New Roman"/>
                <w:b/>
                <w:bCs/>
                <w:kern w:val="21"/>
                <w:szCs w:val="21"/>
              </w:rPr>
              <w:t>备注</w:t>
            </w:r>
          </w:p>
        </w:tc>
      </w:tr>
      <w:tr w:rsidR="00544649" w14:paraId="78B26CA5" w14:textId="77777777">
        <w:trPr>
          <w:trHeight w:val="90"/>
          <w:tblHeader/>
          <w:jc w:val="center"/>
        </w:trPr>
        <w:tc>
          <w:tcPr>
            <w:tcW w:w="1861" w:type="dxa"/>
            <w:gridSpan w:val="4"/>
            <w:vMerge/>
          </w:tcPr>
          <w:p w14:paraId="0B4A7FBC" w14:textId="77777777" w:rsidR="00544649" w:rsidRDefault="00544649">
            <w:pPr>
              <w:pStyle w:val="aff7"/>
              <w:adjustRightInd w:val="0"/>
              <w:snapToGrid w:val="0"/>
              <w:spacing w:beforeLines="0" w:before="0" w:afterLines="0" w:after="0"/>
              <w:rPr>
                <w:rFonts w:cs="Times New Roman"/>
                <w:b/>
                <w:bCs/>
                <w:kern w:val="21"/>
                <w:szCs w:val="21"/>
              </w:rPr>
            </w:pPr>
          </w:p>
        </w:tc>
        <w:tc>
          <w:tcPr>
            <w:tcW w:w="4932" w:type="dxa"/>
            <w:vMerge/>
            <w:vAlign w:val="center"/>
          </w:tcPr>
          <w:p w14:paraId="44130253" w14:textId="77777777" w:rsidR="00544649" w:rsidRDefault="00544649">
            <w:pPr>
              <w:pStyle w:val="aff7"/>
              <w:adjustRightInd w:val="0"/>
              <w:snapToGrid w:val="0"/>
              <w:spacing w:beforeLines="0" w:before="0" w:afterLines="0" w:after="0"/>
              <w:jc w:val="both"/>
              <w:rPr>
                <w:rFonts w:cs="Times New Roman"/>
                <w:b/>
                <w:bCs/>
                <w:kern w:val="21"/>
                <w:szCs w:val="21"/>
              </w:rPr>
            </w:pPr>
          </w:p>
        </w:tc>
        <w:tc>
          <w:tcPr>
            <w:tcW w:w="694" w:type="dxa"/>
            <w:vAlign w:val="center"/>
          </w:tcPr>
          <w:p w14:paraId="284D0F5F" w14:textId="77777777" w:rsidR="00544649" w:rsidRDefault="00000000">
            <w:pPr>
              <w:pStyle w:val="aff7"/>
              <w:adjustRightInd w:val="0"/>
              <w:snapToGrid w:val="0"/>
              <w:spacing w:beforeLines="0" w:before="0" w:afterLines="0" w:after="0"/>
              <w:rPr>
                <w:rFonts w:cs="Times New Roman"/>
                <w:b/>
                <w:bCs/>
                <w:kern w:val="21"/>
                <w:szCs w:val="21"/>
              </w:rPr>
            </w:pPr>
            <w:r>
              <w:rPr>
                <w:rFonts w:cs="Times New Roman"/>
                <w:b/>
                <w:bCs/>
                <w:kern w:val="21"/>
                <w:szCs w:val="21"/>
              </w:rPr>
              <w:t>施工期</w:t>
            </w:r>
          </w:p>
        </w:tc>
        <w:tc>
          <w:tcPr>
            <w:tcW w:w="1131" w:type="dxa"/>
            <w:vAlign w:val="center"/>
          </w:tcPr>
          <w:p w14:paraId="2F538947" w14:textId="77777777" w:rsidR="00544649" w:rsidRDefault="00000000">
            <w:pPr>
              <w:pStyle w:val="aff7"/>
              <w:adjustRightInd w:val="0"/>
              <w:snapToGrid w:val="0"/>
              <w:spacing w:beforeLines="0" w:before="0" w:afterLines="0" w:after="0"/>
              <w:rPr>
                <w:rFonts w:cs="Times New Roman"/>
                <w:b/>
                <w:bCs/>
                <w:kern w:val="21"/>
                <w:szCs w:val="21"/>
              </w:rPr>
            </w:pPr>
            <w:r>
              <w:rPr>
                <w:rFonts w:cs="Times New Roman"/>
                <w:b/>
                <w:bCs/>
                <w:kern w:val="21"/>
                <w:szCs w:val="21"/>
              </w:rPr>
              <w:t>运营期</w:t>
            </w:r>
          </w:p>
        </w:tc>
        <w:tc>
          <w:tcPr>
            <w:tcW w:w="442" w:type="dxa"/>
            <w:vMerge/>
            <w:vAlign w:val="center"/>
          </w:tcPr>
          <w:p w14:paraId="32C6337F" w14:textId="77777777" w:rsidR="00544649" w:rsidRDefault="00544649">
            <w:pPr>
              <w:pStyle w:val="aff7"/>
              <w:adjustRightInd w:val="0"/>
              <w:snapToGrid w:val="0"/>
              <w:spacing w:beforeLines="0" w:before="0" w:afterLines="0" w:after="0"/>
              <w:rPr>
                <w:rFonts w:cs="Times New Roman"/>
                <w:b/>
                <w:bCs/>
                <w:kern w:val="21"/>
                <w:szCs w:val="21"/>
              </w:rPr>
            </w:pPr>
          </w:p>
        </w:tc>
      </w:tr>
      <w:tr w:rsidR="00544649" w14:paraId="5F8BF733" w14:textId="77777777">
        <w:trPr>
          <w:trHeight w:val="90"/>
          <w:jc w:val="center"/>
        </w:trPr>
        <w:tc>
          <w:tcPr>
            <w:tcW w:w="441" w:type="dxa"/>
            <w:vMerge w:val="restart"/>
            <w:vAlign w:val="center"/>
          </w:tcPr>
          <w:p w14:paraId="6FFEEA27"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主体工程</w:t>
            </w:r>
          </w:p>
        </w:tc>
        <w:tc>
          <w:tcPr>
            <w:tcW w:w="1420" w:type="dxa"/>
            <w:gridSpan w:val="3"/>
            <w:vAlign w:val="center"/>
          </w:tcPr>
          <w:p w14:paraId="2169CFE2" w14:textId="77777777" w:rsidR="00544649" w:rsidRDefault="00000000">
            <w:pPr>
              <w:pStyle w:val="aff7"/>
              <w:adjustRightInd w:val="0"/>
              <w:snapToGrid w:val="0"/>
              <w:spacing w:beforeLines="0" w:before="0" w:afterLines="0" w:after="0"/>
              <w:rPr>
                <w:rFonts w:cs="Times New Roman"/>
                <w:kern w:val="21"/>
                <w:szCs w:val="21"/>
              </w:rPr>
            </w:pPr>
            <w:proofErr w:type="gramStart"/>
            <w:r>
              <w:rPr>
                <w:rFonts w:cs="Times New Roman" w:hint="eastAsia"/>
                <w:kern w:val="21"/>
                <w:szCs w:val="21"/>
              </w:rPr>
              <w:t>育雏场</w:t>
            </w:r>
            <w:proofErr w:type="gramEnd"/>
          </w:p>
        </w:tc>
        <w:tc>
          <w:tcPr>
            <w:tcW w:w="4932" w:type="dxa"/>
            <w:vAlign w:val="center"/>
          </w:tcPr>
          <w:p w14:paraId="7358D25C"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kern w:val="21"/>
                <w:szCs w:val="21"/>
              </w:rPr>
              <w:t>本项目</w:t>
            </w:r>
            <w:proofErr w:type="gramStart"/>
            <w:r>
              <w:rPr>
                <w:rFonts w:cs="Times New Roman" w:hint="eastAsia"/>
                <w:kern w:val="21"/>
                <w:szCs w:val="21"/>
              </w:rPr>
              <w:t>育雏场</w:t>
            </w:r>
            <w:proofErr w:type="gramEnd"/>
            <w:r>
              <w:rPr>
                <w:rFonts w:cs="Times New Roman" w:hint="eastAsia"/>
                <w:kern w:val="21"/>
                <w:szCs w:val="21"/>
              </w:rPr>
              <w:t>总面积约</w:t>
            </w:r>
            <w:r>
              <w:rPr>
                <w:rFonts w:cs="Times New Roman" w:hint="eastAsia"/>
                <w:kern w:val="21"/>
                <w:szCs w:val="21"/>
              </w:rPr>
              <w:t>15</w:t>
            </w:r>
            <w:r>
              <w:rPr>
                <w:rFonts w:hint="eastAsia"/>
                <w:kern w:val="21"/>
              </w:rPr>
              <w:t>300</w:t>
            </w:r>
            <w:r>
              <w:rPr>
                <w:rFonts w:cs="Times New Roman"/>
                <w:kern w:val="21"/>
                <w:szCs w:val="21"/>
              </w:rPr>
              <w:t>m</w:t>
            </w:r>
            <w:r>
              <w:rPr>
                <w:rFonts w:cs="Times New Roman"/>
                <w:kern w:val="21"/>
                <w:szCs w:val="21"/>
                <w:vertAlign w:val="superscript"/>
              </w:rPr>
              <w:t>2</w:t>
            </w:r>
            <w:r>
              <w:rPr>
                <w:rStyle w:val="aff"/>
                <w:rFonts w:cs="Times New Roman"/>
                <w:kern w:val="21"/>
              </w:rPr>
              <w:t>，</w:t>
            </w:r>
            <w:r>
              <w:rPr>
                <w:rFonts w:cs="Times New Roman" w:hint="eastAsia"/>
                <w:kern w:val="21"/>
                <w:szCs w:val="21"/>
              </w:rPr>
              <w:t>主要建设内容包括鸡舍、消毒池、车辆消毒棚、人员办公生活区、配电室、蓄水池、污水处理区等。</w:t>
            </w:r>
          </w:p>
        </w:tc>
        <w:tc>
          <w:tcPr>
            <w:tcW w:w="694" w:type="dxa"/>
            <w:vMerge w:val="restart"/>
            <w:vAlign w:val="center"/>
          </w:tcPr>
          <w:p w14:paraId="318B1BA5"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施工废水、施工废气、施工噪声、施工固废</w:t>
            </w:r>
          </w:p>
        </w:tc>
        <w:tc>
          <w:tcPr>
            <w:tcW w:w="1131" w:type="dxa"/>
            <w:vAlign w:val="center"/>
          </w:tcPr>
          <w:p w14:paraId="40B0451C" w14:textId="77777777" w:rsidR="00544649" w:rsidRDefault="00000000">
            <w:pPr>
              <w:pStyle w:val="aff7"/>
              <w:adjustRightInd w:val="0"/>
              <w:snapToGrid w:val="0"/>
              <w:spacing w:beforeLines="0" w:before="0" w:afterLines="0" w:after="0"/>
              <w:rPr>
                <w:rFonts w:cs="Times New Roman"/>
                <w:kern w:val="21"/>
                <w:szCs w:val="21"/>
              </w:rPr>
            </w:pPr>
            <w:bookmarkStart w:id="206" w:name="OLE_LINK37"/>
            <w:r>
              <w:rPr>
                <w:rFonts w:cs="Times New Roman"/>
                <w:kern w:val="21"/>
                <w:szCs w:val="21"/>
              </w:rPr>
              <w:t>恶臭、鸡叫声、鸡粪</w:t>
            </w:r>
            <w:bookmarkEnd w:id="206"/>
          </w:p>
        </w:tc>
        <w:tc>
          <w:tcPr>
            <w:tcW w:w="442" w:type="dxa"/>
            <w:vAlign w:val="center"/>
          </w:tcPr>
          <w:p w14:paraId="4558178B"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4E11F86F" w14:textId="77777777">
        <w:trPr>
          <w:trHeight w:val="90"/>
          <w:jc w:val="center"/>
        </w:trPr>
        <w:tc>
          <w:tcPr>
            <w:tcW w:w="441" w:type="dxa"/>
            <w:vMerge/>
            <w:vAlign w:val="center"/>
          </w:tcPr>
          <w:p w14:paraId="17975937" w14:textId="77777777" w:rsidR="00544649" w:rsidRDefault="00544649">
            <w:pPr>
              <w:pStyle w:val="aff7"/>
              <w:adjustRightInd w:val="0"/>
              <w:snapToGrid w:val="0"/>
              <w:spacing w:beforeLines="0" w:before="0" w:afterLines="0" w:after="0"/>
              <w:rPr>
                <w:rFonts w:cs="Times New Roman"/>
                <w:kern w:val="21"/>
                <w:szCs w:val="21"/>
              </w:rPr>
            </w:pPr>
          </w:p>
        </w:tc>
        <w:tc>
          <w:tcPr>
            <w:tcW w:w="427" w:type="dxa"/>
            <w:gridSpan w:val="2"/>
            <w:vAlign w:val="center"/>
          </w:tcPr>
          <w:p w14:paraId="244645DC"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其中</w:t>
            </w:r>
          </w:p>
        </w:tc>
        <w:tc>
          <w:tcPr>
            <w:tcW w:w="993" w:type="dxa"/>
            <w:vAlign w:val="center"/>
          </w:tcPr>
          <w:p w14:paraId="36F2C936"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育雏鸡舍</w:t>
            </w:r>
          </w:p>
        </w:tc>
        <w:tc>
          <w:tcPr>
            <w:tcW w:w="4932" w:type="dxa"/>
            <w:vAlign w:val="center"/>
          </w:tcPr>
          <w:p w14:paraId="1B1DF09D" w14:textId="77777777" w:rsidR="00544649" w:rsidRDefault="00000000">
            <w:pPr>
              <w:pStyle w:val="aff7"/>
              <w:adjustRightInd w:val="0"/>
              <w:snapToGrid w:val="0"/>
              <w:spacing w:before="62" w:after="62"/>
              <w:jc w:val="both"/>
              <w:rPr>
                <w:rFonts w:cs="Times New Roman"/>
                <w:kern w:val="21"/>
                <w:szCs w:val="21"/>
              </w:rPr>
            </w:pPr>
            <w:bookmarkStart w:id="207" w:name="OLE_LINK27"/>
            <w:r>
              <w:rPr>
                <w:rFonts w:cs="Times New Roman" w:hint="eastAsia"/>
                <w:kern w:val="21"/>
                <w:szCs w:val="21"/>
              </w:rPr>
              <w:t>新建</w:t>
            </w:r>
            <w:r>
              <w:rPr>
                <w:rFonts w:cs="Times New Roman" w:hint="eastAsia"/>
                <w:kern w:val="21"/>
                <w:szCs w:val="21"/>
              </w:rPr>
              <w:t>2</w:t>
            </w:r>
            <w:r>
              <w:rPr>
                <w:rFonts w:cs="Times New Roman"/>
                <w:kern w:val="21"/>
                <w:szCs w:val="21"/>
              </w:rPr>
              <w:t>栋</w:t>
            </w:r>
            <w:r>
              <w:rPr>
                <w:rFonts w:cs="Times New Roman" w:hint="eastAsia"/>
                <w:kern w:val="21"/>
                <w:szCs w:val="21"/>
              </w:rPr>
              <w:t>育雏</w:t>
            </w:r>
            <w:r>
              <w:rPr>
                <w:rFonts w:cs="Times New Roman"/>
                <w:kern w:val="21"/>
                <w:szCs w:val="21"/>
              </w:rPr>
              <w:t>鸡舍，</w:t>
            </w:r>
            <w:r>
              <w:rPr>
                <w:rFonts w:cs="Times New Roman" w:hint="eastAsia"/>
                <w:kern w:val="21"/>
                <w:szCs w:val="21"/>
              </w:rPr>
              <w:t>总</w:t>
            </w:r>
            <w:r>
              <w:rPr>
                <w:rFonts w:cs="Times New Roman"/>
                <w:kern w:val="21"/>
                <w:szCs w:val="21"/>
              </w:rPr>
              <w:t>建筑面积</w:t>
            </w:r>
            <w:bookmarkStart w:id="208" w:name="OLE_LINK26"/>
            <w:r>
              <w:rPr>
                <w:rFonts w:cs="Times New Roman" w:hint="eastAsia"/>
                <w:kern w:val="21"/>
                <w:szCs w:val="21"/>
              </w:rPr>
              <w:t>210</w:t>
            </w:r>
            <w:r>
              <w:rPr>
                <w:rFonts w:hint="eastAsia"/>
                <w:kern w:val="21"/>
              </w:rPr>
              <w:t>8</w:t>
            </w:r>
            <w:r>
              <w:rPr>
                <w:rFonts w:cs="Times New Roman"/>
                <w:kern w:val="21"/>
                <w:szCs w:val="21"/>
              </w:rPr>
              <w:t>m</w:t>
            </w:r>
            <w:r>
              <w:rPr>
                <w:rFonts w:cs="Times New Roman"/>
                <w:kern w:val="21"/>
                <w:szCs w:val="21"/>
                <w:vertAlign w:val="superscript"/>
              </w:rPr>
              <w:t>2</w:t>
            </w:r>
            <w:bookmarkEnd w:id="208"/>
            <w:r>
              <w:rPr>
                <w:rStyle w:val="aff"/>
                <w:rFonts w:cs="Times New Roman"/>
                <w:kern w:val="21"/>
              </w:rPr>
              <w:t>，</w:t>
            </w:r>
            <w:r>
              <w:rPr>
                <w:rStyle w:val="aff"/>
                <w:rFonts w:cs="Times New Roman" w:hint="eastAsia"/>
                <w:kern w:val="21"/>
              </w:rPr>
              <w:t>单栋鸡舍建筑面积</w:t>
            </w:r>
            <w:r>
              <w:rPr>
                <w:rStyle w:val="aff"/>
                <w:rFonts w:cs="Times New Roman" w:hint="eastAsia"/>
                <w:kern w:val="21"/>
              </w:rPr>
              <w:t>1054</w:t>
            </w:r>
            <w:r>
              <w:rPr>
                <w:rFonts w:cs="Times New Roman"/>
                <w:kern w:val="21"/>
                <w:szCs w:val="21"/>
              </w:rPr>
              <w:t>m</w:t>
            </w:r>
            <w:r>
              <w:rPr>
                <w:rFonts w:cs="Times New Roman"/>
                <w:kern w:val="21"/>
                <w:szCs w:val="21"/>
                <w:vertAlign w:val="superscript"/>
              </w:rPr>
              <w:t>2</w:t>
            </w:r>
            <w:r>
              <w:rPr>
                <w:rStyle w:val="aff"/>
                <w:rFonts w:hint="eastAsia"/>
              </w:rPr>
              <w:t>，单栋鸡舍设计养殖规模</w:t>
            </w:r>
            <w:r>
              <w:rPr>
                <w:rStyle w:val="aff"/>
                <w:rFonts w:hint="eastAsia"/>
              </w:rPr>
              <w:t>3.75</w:t>
            </w:r>
            <w:r>
              <w:rPr>
                <w:rStyle w:val="aff"/>
                <w:rFonts w:hint="eastAsia"/>
              </w:rPr>
              <w:t>万羽。鸡舍尺</w:t>
            </w:r>
            <w:r>
              <w:rPr>
                <w:rStyle w:val="aff"/>
                <w:rFonts w:cs="Times New Roman"/>
              </w:rPr>
              <w:t>寸</w:t>
            </w:r>
            <w:r>
              <w:rPr>
                <w:rStyle w:val="aff"/>
                <w:rFonts w:cs="Times New Roman" w:hint="eastAsia"/>
              </w:rPr>
              <w:t>约</w:t>
            </w:r>
            <w:r>
              <w:rPr>
                <w:rStyle w:val="aff"/>
                <w:rFonts w:cs="Times New Roman"/>
              </w:rPr>
              <w:t>为</w:t>
            </w:r>
            <w:r>
              <w:rPr>
                <w:rStyle w:val="aff"/>
                <w:rFonts w:cs="Times New Roman" w:hint="eastAsia"/>
              </w:rPr>
              <w:t>85</w:t>
            </w:r>
            <w:r>
              <w:rPr>
                <w:rStyle w:val="aff"/>
                <w:rFonts w:cs="Times New Roman" w:hint="eastAsia"/>
              </w:rPr>
              <w:t>（长）</w:t>
            </w:r>
            <w:r>
              <w:rPr>
                <w:rStyle w:val="aff"/>
                <w:rFonts w:cs="Times New Roman"/>
              </w:rPr>
              <w:t>×</w:t>
            </w:r>
            <w:r>
              <w:rPr>
                <w:rStyle w:val="aff"/>
                <w:rFonts w:cs="Times New Roman" w:hint="eastAsia"/>
              </w:rPr>
              <w:t>12.4</w:t>
            </w:r>
            <w:r>
              <w:rPr>
                <w:rStyle w:val="aff"/>
                <w:rFonts w:cs="Times New Roman" w:hint="eastAsia"/>
              </w:rPr>
              <w:t>（宽）</w:t>
            </w:r>
            <w:r>
              <w:rPr>
                <w:rStyle w:val="aff"/>
                <w:rFonts w:cs="Times New Roman"/>
              </w:rPr>
              <w:t>×</w:t>
            </w:r>
            <w:r>
              <w:rPr>
                <w:rStyle w:val="aff"/>
                <w:rFonts w:cs="Times New Roman" w:hint="eastAsia"/>
              </w:rPr>
              <w:t>3.</w:t>
            </w:r>
            <w:r>
              <w:rPr>
                <w:rStyle w:val="aff"/>
                <w:rFonts w:hint="eastAsia"/>
              </w:rPr>
              <w:t>4</w:t>
            </w:r>
            <w:r>
              <w:rPr>
                <w:rStyle w:val="aff"/>
                <w:rFonts w:cs="Times New Roman" w:hint="eastAsia"/>
              </w:rPr>
              <w:t>（高），每栋</w:t>
            </w:r>
            <w:proofErr w:type="gramStart"/>
            <w:r>
              <w:rPr>
                <w:rStyle w:val="aff"/>
                <w:rFonts w:cs="Times New Roman" w:hint="eastAsia"/>
              </w:rPr>
              <w:t>舍设置</w:t>
            </w:r>
            <w:proofErr w:type="gramEnd"/>
            <w:r>
              <w:rPr>
                <w:rStyle w:val="aff"/>
                <w:rFonts w:cs="Times New Roman" w:hint="eastAsia"/>
              </w:rPr>
              <w:t>3</w:t>
            </w:r>
            <w:r>
              <w:rPr>
                <w:rStyle w:val="aff"/>
                <w:rFonts w:cs="Times New Roman" w:hint="eastAsia"/>
              </w:rPr>
              <w:t>列笼架，每列</w:t>
            </w:r>
            <w:r>
              <w:rPr>
                <w:rStyle w:val="aff"/>
                <w:rFonts w:cs="Times New Roman" w:hint="eastAsia"/>
              </w:rPr>
              <w:t>31</w:t>
            </w:r>
            <w:r>
              <w:rPr>
                <w:rStyle w:val="aff"/>
                <w:rFonts w:cs="Times New Roman" w:hint="eastAsia"/>
              </w:rPr>
              <w:t>组笼架，每栋舍饲养</w:t>
            </w:r>
            <w:r>
              <w:rPr>
                <w:rStyle w:val="aff"/>
                <w:rFonts w:cs="Times New Roman" w:hint="eastAsia"/>
              </w:rPr>
              <w:t>37500</w:t>
            </w:r>
            <w:r>
              <w:rPr>
                <w:rStyle w:val="aff"/>
                <w:rFonts w:cs="Times New Roman" w:hint="eastAsia"/>
              </w:rPr>
              <w:t>羽，两个鸡舍合计</w:t>
            </w:r>
            <w:r>
              <w:rPr>
                <w:rStyle w:val="aff"/>
                <w:rFonts w:cs="Times New Roman" w:hint="eastAsia"/>
              </w:rPr>
              <w:t>7.5</w:t>
            </w:r>
            <w:r>
              <w:rPr>
                <w:rStyle w:val="aff"/>
                <w:rFonts w:cs="Times New Roman" w:hint="eastAsia"/>
              </w:rPr>
              <w:t>万羽。</w:t>
            </w:r>
            <w:r>
              <w:rPr>
                <w:rStyle w:val="aff"/>
                <w:rFonts w:cs="Times New Roman"/>
                <w:kern w:val="21"/>
              </w:rPr>
              <w:t>建筑使用隔热、防火材料，地面硬化，</w:t>
            </w:r>
            <w:r>
              <w:rPr>
                <w:rFonts w:cs="Times New Roman"/>
                <w:kern w:val="21"/>
                <w:szCs w:val="21"/>
              </w:rPr>
              <w:t>内设笼架，并配置喂料系统、饮水系统、自动清粪带及风机等配套设备。</w:t>
            </w:r>
            <w:bookmarkEnd w:id="207"/>
            <w:r>
              <w:rPr>
                <w:rFonts w:cs="Times New Roman" w:hint="eastAsia"/>
                <w:kern w:val="21"/>
                <w:szCs w:val="21"/>
              </w:rPr>
              <w:t>采用</w:t>
            </w:r>
            <w:proofErr w:type="gramStart"/>
            <w:r>
              <w:rPr>
                <w:rFonts w:cs="Times New Roman" w:hint="eastAsia"/>
                <w:kern w:val="21"/>
                <w:szCs w:val="21"/>
              </w:rPr>
              <w:t>封闭式带窗结构</w:t>
            </w:r>
            <w:proofErr w:type="gramEnd"/>
            <w:r>
              <w:rPr>
                <w:rFonts w:cs="Times New Roman" w:hint="eastAsia"/>
                <w:kern w:val="21"/>
                <w:szCs w:val="21"/>
              </w:rPr>
              <w:t>，下部砖混，</w:t>
            </w:r>
            <w:proofErr w:type="gramStart"/>
            <w:r>
              <w:rPr>
                <w:rFonts w:cs="Times New Roman" w:hint="eastAsia"/>
                <w:kern w:val="21"/>
                <w:szCs w:val="21"/>
              </w:rPr>
              <w:t>舍顶采用彩</w:t>
            </w:r>
            <w:proofErr w:type="gramEnd"/>
            <w:r>
              <w:rPr>
                <w:rFonts w:cs="Times New Roman" w:hint="eastAsia"/>
                <w:kern w:val="21"/>
                <w:szCs w:val="21"/>
              </w:rPr>
              <w:t>钢结构，上设保温层吊顶。</w:t>
            </w:r>
          </w:p>
        </w:tc>
        <w:tc>
          <w:tcPr>
            <w:tcW w:w="694" w:type="dxa"/>
            <w:vMerge/>
            <w:vAlign w:val="center"/>
          </w:tcPr>
          <w:p w14:paraId="66A48243"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50262C44"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恶臭、鸡叫声、鸡粪</w:t>
            </w:r>
          </w:p>
        </w:tc>
        <w:tc>
          <w:tcPr>
            <w:tcW w:w="442" w:type="dxa"/>
            <w:vAlign w:val="center"/>
          </w:tcPr>
          <w:p w14:paraId="637D0411"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696994CF" w14:textId="77777777">
        <w:trPr>
          <w:trHeight w:val="90"/>
          <w:jc w:val="center"/>
        </w:trPr>
        <w:tc>
          <w:tcPr>
            <w:tcW w:w="441" w:type="dxa"/>
            <w:vMerge/>
            <w:vAlign w:val="center"/>
          </w:tcPr>
          <w:p w14:paraId="2274A89F" w14:textId="77777777" w:rsidR="00544649" w:rsidRDefault="00544649">
            <w:pPr>
              <w:pStyle w:val="aff7"/>
              <w:adjustRightInd w:val="0"/>
              <w:snapToGrid w:val="0"/>
              <w:spacing w:beforeLines="0" w:before="0" w:afterLines="0" w:after="0"/>
              <w:rPr>
                <w:rFonts w:cs="Times New Roman"/>
                <w:kern w:val="21"/>
                <w:szCs w:val="21"/>
              </w:rPr>
            </w:pPr>
          </w:p>
        </w:tc>
        <w:tc>
          <w:tcPr>
            <w:tcW w:w="1420" w:type="dxa"/>
            <w:gridSpan w:val="3"/>
            <w:vAlign w:val="center"/>
          </w:tcPr>
          <w:p w14:paraId="70759D9F"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蛋鸡场</w:t>
            </w:r>
          </w:p>
        </w:tc>
        <w:tc>
          <w:tcPr>
            <w:tcW w:w="4932" w:type="dxa"/>
            <w:vAlign w:val="center"/>
          </w:tcPr>
          <w:p w14:paraId="6B2CD000"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kern w:val="21"/>
                <w:szCs w:val="21"/>
              </w:rPr>
              <w:t>本项目蛋鸡场总面积约</w:t>
            </w:r>
            <w:r>
              <w:rPr>
                <w:rFonts w:cs="Times New Roman" w:hint="eastAsia"/>
                <w:kern w:val="21"/>
                <w:szCs w:val="21"/>
              </w:rPr>
              <w:t>96500</w:t>
            </w:r>
            <w:r>
              <w:rPr>
                <w:rFonts w:cs="Times New Roman"/>
                <w:kern w:val="21"/>
                <w:szCs w:val="21"/>
              </w:rPr>
              <w:t>m</w:t>
            </w:r>
            <w:r>
              <w:rPr>
                <w:rFonts w:cs="Times New Roman"/>
                <w:kern w:val="21"/>
                <w:szCs w:val="21"/>
                <w:vertAlign w:val="superscript"/>
              </w:rPr>
              <w:t>2</w:t>
            </w:r>
            <w:r>
              <w:rPr>
                <w:rStyle w:val="aff"/>
                <w:rFonts w:cs="Times New Roman"/>
                <w:kern w:val="21"/>
              </w:rPr>
              <w:t>，</w:t>
            </w:r>
            <w:r>
              <w:rPr>
                <w:rFonts w:cs="Times New Roman" w:hint="eastAsia"/>
                <w:kern w:val="21"/>
                <w:szCs w:val="21"/>
              </w:rPr>
              <w:t>主要建设内容包括鸡舍、蛋品车间、消毒池、车辆消毒棚、人员办公生活区、配电室、蓄水池、污水处理区等。</w:t>
            </w:r>
          </w:p>
        </w:tc>
        <w:tc>
          <w:tcPr>
            <w:tcW w:w="694" w:type="dxa"/>
            <w:vMerge/>
            <w:vAlign w:val="center"/>
          </w:tcPr>
          <w:p w14:paraId="313477ED"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44E9968A"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恶臭、鸡叫声、鸡粪</w:t>
            </w:r>
          </w:p>
        </w:tc>
        <w:tc>
          <w:tcPr>
            <w:tcW w:w="442" w:type="dxa"/>
            <w:vAlign w:val="center"/>
          </w:tcPr>
          <w:p w14:paraId="504104FF"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0D3693E4" w14:textId="77777777">
        <w:trPr>
          <w:trHeight w:val="120"/>
          <w:jc w:val="center"/>
        </w:trPr>
        <w:tc>
          <w:tcPr>
            <w:tcW w:w="441" w:type="dxa"/>
            <w:vMerge/>
            <w:vAlign w:val="center"/>
          </w:tcPr>
          <w:p w14:paraId="127EB1CD" w14:textId="77777777" w:rsidR="00544649" w:rsidRDefault="00544649">
            <w:pPr>
              <w:pStyle w:val="aff7"/>
              <w:adjustRightInd w:val="0"/>
              <w:snapToGrid w:val="0"/>
              <w:spacing w:beforeLines="0" w:before="0" w:afterLines="0" w:after="0"/>
              <w:rPr>
                <w:rFonts w:cs="Times New Roman"/>
                <w:kern w:val="21"/>
                <w:szCs w:val="21"/>
              </w:rPr>
            </w:pPr>
          </w:p>
        </w:tc>
        <w:tc>
          <w:tcPr>
            <w:tcW w:w="427" w:type="dxa"/>
            <w:gridSpan w:val="2"/>
            <w:vMerge w:val="restart"/>
            <w:vAlign w:val="center"/>
          </w:tcPr>
          <w:p w14:paraId="2177CED4"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其中</w:t>
            </w:r>
          </w:p>
        </w:tc>
        <w:tc>
          <w:tcPr>
            <w:tcW w:w="993" w:type="dxa"/>
            <w:vAlign w:val="center"/>
          </w:tcPr>
          <w:p w14:paraId="0C466E31"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蛋鸡舍</w:t>
            </w:r>
          </w:p>
        </w:tc>
        <w:tc>
          <w:tcPr>
            <w:tcW w:w="4932" w:type="dxa"/>
            <w:vAlign w:val="center"/>
          </w:tcPr>
          <w:p w14:paraId="04FDF2BF"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kern w:val="21"/>
                <w:szCs w:val="21"/>
              </w:rPr>
              <w:t>新建</w:t>
            </w:r>
            <w:r>
              <w:rPr>
                <w:rFonts w:cs="Times New Roman" w:hint="eastAsia"/>
                <w:kern w:val="21"/>
                <w:szCs w:val="21"/>
              </w:rPr>
              <w:t>6</w:t>
            </w:r>
            <w:r>
              <w:rPr>
                <w:rFonts w:cs="Times New Roman"/>
                <w:kern w:val="21"/>
                <w:szCs w:val="21"/>
              </w:rPr>
              <w:t>栋</w:t>
            </w:r>
            <w:r>
              <w:rPr>
                <w:rFonts w:cs="Times New Roman" w:hint="eastAsia"/>
                <w:kern w:val="21"/>
                <w:szCs w:val="21"/>
              </w:rPr>
              <w:t>蛋</w:t>
            </w:r>
            <w:r>
              <w:rPr>
                <w:rFonts w:cs="Times New Roman"/>
                <w:kern w:val="21"/>
                <w:szCs w:val="21"/>
              </w:rPr>
              <w:t>鸡舍，</w:t>
            </w:r>
            <w:r>
              <w:rPr>
                <w:rFonts w:cs="Times New Roman" w:hint="eastAsia"/>
                <w:kern w:val="21"/>
                <w:szCs w:val="21"/>
              </w:rPr>
              <w:t>总</w:t>
            </w:r>
            <w:r>
              <w:rPr>
                <w:rFonts w:cs="Times New Roman"/>
                <w:kern w:val="21"/>
                <w:szCs w:val="21"/>
              </w:rPr>
              <w:t>建筑面积</w:t>
            </w:r>
            <w:r>
              <w:rPr>
                <w:rFonts w:cs="Times New Roman" w:hint="eastAsia"/>
                <w:kern w:val="21"/>
                <w:szCs w:val="21"/>
              </w:rPr>
              <w:t>142</w:t>
            </w:r>
            <w:r>
              <w:rPr>
                <w:rFonts w:hint="eastAsia"/>
                <w:kern w:val="21"/>
              </w:rPr>
              <w:t>56</w:t>
            </w:r>
            <w:r>
              <w:rPr>
                <w:rFonts w:cs="Times New Roman"/>
                <w:kern w:val="21"/>
                <w:szCs w:val="21"/>
              </w:rPr>
              <w:t>m</w:t>
            </w:r>
            <w:r>
              <w:rPr>
                <w:rFonts w:cs="Times New Roman"/>
                <w:kern w:val="21"/>
                <w:szCs w:val="21"/>
                <w:vertAlign w:val="superscript"/>
              </w:rPr>
              <w:t>2</w:t>
            </w:r>
            <w:r>
              <w:rPr>
                <w:rStyle w:val="aff"/>
                <w:rFonts w:cs="Times New Roman"/>
                <w:kern w:val="21"/>
              </w:rPr>
              <w:t>，</w:t>
            </w:r>
            <w:r>
              <w:rPr>
                <w:rStyle w:val="aff"/>
                <w:rFonts w:cs="Times New Roman" w:hint="eastAsia"/>
                <w:kern w:val="21"/>
              </w:rPr>
              <w:t>单个鸡舍建筑面积</w:t>
            </w:r>
            <w:r>
              <w:rPr>
                <w:rStyle w:val="aff"/>
                <w:rFonts w:cs="Times New Roman" w:hint="eastAsia"/>
                <w:kern w:val="21"/>
              </w:rPr>
              <w:t>2376</w:t>
            </w:r>
            <w:r>
              <w:rPr>
                <w:rFonts w:cs="Times New Roman"/>
                <w:kern w:val="21"/>
                <w:szCs w:val="21"/>
              </w:rPr>
              <w:t>m</w:t>
            </w:r>
            <w:r>
              <w:rPr>
                <w:rFonts w:cs="Times New Roman"/>
                <w:kern w:val="21"/>
                <w:szCs w:val="21"/>
                <w:vertAlign w:val="superscript"/>
              </w:rPr>
              <w:t>2</w:t>
            </w:r>
            <w:r>
              <w:rPr>
                <w:rStyle w:val="aff"/>
                <w:rFonts w:hint="eastAsia"/>
              </w:rPr>
              <w:t>，单栋鸡舍设计养殖规模</w:t>
            </w:r>
            <w:r>
              <w:rPr>
                <w:rStyle w:val="aff"/>
                <w:rFonts w:hint="eastAsia"/>
              </w:rPr>
              <w:t>3.75</w:t>
            </w:r>
            <w:r>
              <w:rPr>
                <w:rStyle w:val="aff"/>
                <w:rFonts w:hint="eastAsia"/>
              </w:rPr>
              <w:t>万羽。单栋鸡舍尺寸约为</w:t>
            </w:r>
            <w:r>
              <w:rPr>
                <w:rStyle w:val="aff"/>
                <w:rFonts w:cs="Times New Roman" w:hint="eastAsia"/>
              </w:rPr>
              <w:t>99</w:t>
            </w:r>
            <w:r>
              <w:rPr>
                <w:rStyle w:val="aff"/>
                <w:rFonts w:cs="Times New Roman" w:hint="eastAsia"/>
              </w:rPr>
              <w:t>（长）</w:t>
            </w:r>
            <w:r>
              <w:rPr>
                <w:rStyle w:val="aff"/>
                <w:rFonts w:cs="Times New Roman"/>
              </w:rPr>
              <w:t>×</w:t>
            </w:r>
            <w:r>
              <w:rPr>
                <w:rStyle w:val="aff"/>
                <w:rFonts w:cs="Times New Roman" w:hint="eastAsia"/>
              </w:rPr>
              <w:t>2</w:t>
            </w:r>
            <w:r>
              <w:rPr>
                <w:rStyle w:val="aff"/>
                <w:rFonts w:hint="eastAsia"/>
              </w:rPr>
              <w:t>4</w:t>
            </w:r>
            <w:r>
              <w:rPr>
                <w:rStyle w:val="aff"/>
                <w:rFonts w:cs="Times New Roman" w:hint="eastAsia"/>
              </w:rPr>
              <w:t>（宽）</w:t>
            </w:r>
            <w:r>
              <w:rPr>
                <w:rStyle w:val="aff"/>
                <w:rFonts w:cs="Times New Roman"/>
              </w:rPr>
              <w:t>×</w:t>
            </w:r>
            <w:r>
              <w:rPr>
                <w:rStyle w:val="aff"/>
                <w:rFonts w:cs="Times New Roman" w:hint="eastAsia"/>
              </w:rPr>
              <w:t>8.5</w:t>
            </w:r>
            <w:r>
              <w:rPr>
                <w:rStyle w:val="aff"/>
                <w:rFonts w:cs="Times New Roman" w:hint="eastAsia"/>
              </w:rPr>
              <w:t>（高），每栋鸡舍设置笼架</w:t>
            </w:r>
            <w:r>
              <w:rPr>
                <w:rStyle w:val="aff"/>
                <w:rFonts w:cs="Times New Roman" w:hint="eastAsia"/>
              </w:rPr>
              <w:t>2</w:t>
            </w:r>
            <w:r>
              <w:rPr>
                <w:rStyle w:val="aff"/>
                <w:rFonts w:hint="eastAsia"/>
              </w:rPr>
              <w:t>层</w:t>
            </w:r>
            <w:r>
              <w:rPr>
                <w:rStyle w:val="aff"/>
                <w:rFonts w:hint="eastAsia"/>
              </w:rPr>
              <w:t>2</w:t>
            </w:r>
            <w:r>
              <w:rPr>
                <w:rStyle w:val="aff"/>
                <w:rFonts w:hint="eastAsia"/>
              </w:rPr>
              <w:t>列，每列</w:t>
            </w:r>
            <w:r>
              <w:rPr>
                <w:rStyle w:val="aff"/>
                <w:rFonts w:hint="eastAsia"/>
              </w:rPr>
              <w:t>35</w:t>
            </w:r>
            <w:r>
              <w:rPr>
                <w:rStyle w:val="aff"/>
                <w:rFonts w:hint="eastAsia"/>
              </w:rPr>
              <w:t>组笼架，每栋</w:t>
            </w:r>
            <w:r>
              <w:rPr>
                <w:rStyle w:val="aff"/>
                <w:rFonts w:hint="eastAsia"/>
              </w:rPr>
              <w:lastRenderedPageBreak/>
              <w:t>舍饲养</w:t>
            </w:r>
            <w:r>
              <w:rPr>
                <w:rStyle w:val="aff"/>
                <w:rFonts w:hint="eastAsia"/>
              </w:rPr>
              <w:t>37500</w:t>
            </w:r>
            <w:r>
              <w:rPr>
                <w:rStyle w:val="aff"/>
                <w:rFonts w:hint="eastAsia"/>
              </w:rPr>
              <w:t>羽；</w:t>
            </w:r>
            <w:r>
              <w:rPr>
                <w:rStyle w:val="aff"/>
                <w:rFonts w:hint="eastAsia"/>
              </w:rPr>
              <w:t>6</w:t>
            </w:r>
            <w:r>
              <w:rPr>
                <w:rStyle w:val="aff"/>
                <w:rFonts w:hint="eastAsia"/>
              </w:rPr>
              <w:t>栋蛋鸡舍合计</w:t>
            </w:r>
            <w:r>
              <w:rPr>
                <w:rStyle w:val="aff"/>
                <w:rFonts w:hint="eastAsia"/>
              </w:rPr>
              <w:t>22.5</w:t>
            </w:r>
            <w:r>
              <w:rPr>
                <w:rStyle w:val="aff"/>
                <w:rFonts w:hint="eastAsia"/>
              </w:rPr>
              <w:t>万羽。</w:t>
            </w:r>
            <w:r>
              <w:rPr>
                <w:rStyle w:val="aff"/>
                <w:rFonts w:cs="Times New Roman"/>
                <w:kern w:val="21"/>
              </w:rPr>
              <w:t>建筑使用隔热、防火材料，地面硬化，</w:t>
            </w:r>
            <w:r>
              <w:rPr>
                <w:rFonts w:cs="Times New Roman"/>
                <w:kern w:val="21"/>
                <w:szCs w:val="21"/>
              </w:rPr>
              <w:t>内设笼架，并配置喂料系统、饮水系统、自动清粪带及风机等配套设备。</w:t>
            </w:r>
            <w:r>
              <w:rPr>
                <w:rFonts w:cs="Times New Roman" w:hint="eastAsia"/>
                <w:kern w:val="21"/>
                <w:szCs w:val="21"/>
              </w:rPr>
              <w:t>采用</w:t>
            </w:r>
            <w:proofErr w:type="gramStart"/>
            <w:r>
              <w:rPr>
                <w:rFonts w:cs="Times New Roman" w:hint="eastAsia"/>
                <w:kern w:val="21"/>
                <w:szCs w:val="21"/>
              </w:rPr>
              <w:t>封闭式带窗结构</w:t>
            </w:r>
            <w:proofErr w:type="gramEnd"/>
            <w:r>
              <w:rPr>
                <w:rFonts w:cs="Times New Roman" w:hint="eastAsia"/>
                <w:kern w:val="21"/>
                <w:szCs w:val="21"/>
              </w:rPr>
              <w:t>，下部砖混，</w:t>
            </w:r>
            <w:proofErr w:type="gramStart"/>
            <w:r>
              <w:rPr>
                <w:rFonts w:cs="Times New Roman" w:hint="eastAsia"/>
                <w:kern w:val="21"/>
                <w:szCs w:val="21"/>
              </w:rPr>
              <w:t>舍顶采用彩</w:t>
            </w:r>
            <w:proofErr w:type="gramEnd"/>
            <w:r>
              <w:rPr>
                <w:rFonts w:cs="Times New Roman" w:hint="eastAsia"/>
                <w:kern w:val="21"/>
                <w:szCs w:val="21"/>
              </w:rPr>
              <w:t>钢结构，上设保温层吊顶。</w:t>
            </w:r>
          </w:p>
          <w:p w14:paraId="1D562B8E"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kern w:val="21"/>
                <w:szCs w:val="21"/>
              </w:rPr>
              <w:t>蛋鸡活动场地：每个鸡舍两侧分别配套设置</w:t>
            </w:r>
            <w:r>
              <w:rPr>
                <w:rFonts w:cs="Times New Roman" w:hint="eastAsia"/>
                <w:kern w:val="21"/>
                <w:szCs w:val="21"/>
              </w:rPr>
              <w:t>1200m</w:t>
            </w:r>
            <w:r>
              <w:rPr>
                <w:rFonts w:cs="Times New Roman" w:hint="eastAsia"/>
                <w:kern w:val="21"/>
                <w:szCs w:val="21"/>
                <w:vertAlign w:val="superscript"/>
              </w:rPr>
              <w:t>2</w:t>
            </w:r>
            <w:r>
              <w:rPr>
                <w:rFonts w:cs="Times New Roman" w:hint="eastAsia"/>
                <w:kern w:val="21"/>
                <w:szCs w:val="21"/>
              </w:rPr>
              <w:t>的自由活动区，为蛋鸡白天活动区域。蛋鸡活动区四周设置防护网，蛋鸡活动区地面硬化，地面上方铺设</w:t>
            </w:r>
            <w:r>
              <w:rPr>
                <w:rFonts w:cs="Times New Roman" w:hint="eastAsia"/>
                <w:kern w:val="21"/>
                <w:szCs w:val="21"/>
              </w:rPr>
              <w:t>10cm</w:t>
            </w:r>
            <w:r>
              <w:rPr>
                <w:rFonts w:cs="Times New Roman" w:hint="eastAsia"/>
                <w:kern w:val="21"/>
                <w:szCs w:val="21"/>
              </w:rPr>
              <w:t>厚的木屑，上部为透明透光的玻璃顶棚。</w:t>
            </w:r>
          </w:p>
        </w:tc>
        <w:tc>
          <w:tcPr>
            <w:tcW w:w="694" w:type="dxa"/>
            <w:vMerge/>
            <w:vAlign w:val="center"/>
          </w:tcPr>
          <w:p w14:paraId="0DD1B9D6"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41D2F2A6"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恶臭、鸡叫声、鸡粪</w:t>
            </w:r>
          </w:p>
        </w:tc>
        <w:tc>
          <w:tcPr>
            <w:tcW w:w="442" w:type="dxa"/>
            <w:vAlign w:val="center"/>
          </w:tcPr>
          <w:p w14:paraId="54B3B514"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37DB8CAC" w14:textId="77777777">
        <w:trPr>
          <w:trHeight w:val="120"/>
          <w:jc w:val="center"/>
        </w:trPr>
        <w:tc>
          <w:tcPr>
            <w:tcW w:w="441" w:type="dxa"/>
            <w:vMerge/>
            <w:vAlign w:val="center"/>
          </w:tcPr>
          <w:p w14:paraId="01D43A38" w14:textId="77777777" w:rsidR="00544649" w:rsidRDefault="00544649">
            <w:pPr>
              <w:pStyle w:val="aff7"/>
              <w:adjustRightInd w:val="0"/>
              <w:snapToGrid w:val="0"/>
              <w:spacing w:beforeLines="0" w:before="0" w:afterLines="0" w:after="0"/>
              <w:rPr>
                <w:rFonts w:cs="Times New Roman"/>
                <w:kern w:val="21"/>
                <w:szCs w:val="21"/>
              </w:rPr>
            </w:pPr>
          </w:p>
        </w:tc>
        <w:tc>
          <w:tcPr>
            <w:tcW w:w="427" w:type="dxa"/>
            <w:gridSpan w:val="2"/>
            <w:vMerge/>
            <w:vAlign w:val="center"/>
          </w:tcPr>
          <w:p w14:paraId="45CA2626" w14:textId="77777777" w:rsidR="00544649" w:rsidRDefault="00544649">
            <w:pPr>
              <w:pStyle w:val="aff7"/>
              <w:adjustRightInd w:val="0"/>
              <w:snapToGrid w:val="0"/>
              <w:spacing w:beforeLines="0" w:before="0" w:afterLines="0" w:after="0"/>
              <w:rPr>
                <w:rFonts w:cs="Times New Roman"/>
                <w:kern w:val="21"/>
                <w:szCs w:val="21"/>
              </w:rPr>
            </w:pPr>
          </w:p>
        </w:tc>
        <w:tc>
          <w:tcPr>
            <w:tcW w:w="993" w:type="dxa"/>
            <w:vAlign w:val="center"/>
          </w:tcPr>
          <w:p w14:paraId="7726554C"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蛋品车间</w:t>
            </w:r>
          </w:p>
        </w:tc>
        <w:tc>
          <w:tcPr>
            <w:tcW w:w="4932" w:type="dxa"/>
            <w:vAlign w:val="center"/>
          </w:tcPr>
          <w:p w14:paraId="14A33F1F"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kern w:val="21"/>
                <w:szCs w:val="21"/>
              </w:rPr>
              <w:t>蛋鸡场建设蛋品车间，建筑面积约为</w:t>
            </w:r>
            <w:r>
              <w:rPr>
                <w:rFonts w:cs="Times New Roman" w:hint="eastAsia"/>
                <w:kern w:val="21"/>
                <w:szCs w:val="21"/>
              </w:rPr>
              <w:t>1250</w:t>
            </w:r>
            <w:r>
              <w:rPr>
                <w:rFonts w:cs="Times New Roman"/>
                <w:kern w:val="21"/>
                <w:szCs w:val="21"/>
              </w:rPr>
              <w:t>m</w:t>
            </w:r>
            <w:r>
              <w:rPr>
                <w:rFonts w:cs="Times New Roman"/>
                <w:kern w:val="21"/>
                <w:szCs w:val="21"/>
                <w:vertAlign w:val="superscript"/>
              </w:rPr>
              <w:t>2</w:t>
            </w:r>
            <w:r>
              <w:rPr>
                <w:rFonts w:cs="Times New Roman"/>
                <w:kern w:val="21"/>
                <w:szCs w:val="21"/>
              </w:rPr>
              <w:t>，位于</w:t>
            </w:r>
            <w:r>
              <w:rPr>
                <w:rFonts w:cs="Times New Roman" w:hint="eastAsia"/>
                <w:kern w:val="21"/>
                <w:szCs w:val="21"/>
              </w:rPr>
              <w:t>厂区北侧，用于鸡蛋清洗、包装。</w:t>
            </w:r>
          </w:p>
        </w:tc>
        <w:tc>
          <w:tcPr>
            <w:tcW w:w="694" w:type="dxa"/>
            <w:vMerge/>
            <w:vAlign w:val="center"/>
          </w:tcPr>
          <w:p w14:paraId="55B93B23"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3E1E945E"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蛋品清洗废水、噪声、废包装材料</w:t>
            </w:r>
          </w:p>
        </w:tc>
        <w:tc>
          <w:tcPr>
            <w:tcW w:w="442" w:type="dxa"/>
            <w:vAlign w:val="center"/>
          </w:tcPr>
          <w:p w14:paraId="362EAE25"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103DA7F2" w14:textId="77777777">
        <w:trPr>
          <w:trHeight w:val="1486"/>
          <w:jc w:val="center"/>
        </w:trPr>
        <w:tc>
          <w:tcPr>
            <w:tcW w:w="582" w:type="dxa"/>
            <w:gridSpan w:val="2"/>
            <w:vMerge w:val="restart"/>
            <w:vAlign w:val="center"/>
          </w:tcPr>
          <w:p w14:paraId="7CB0640B"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辅助工程</w:t>
            </w:r>
          </w:p>
        </w:tc>
        <w:tc>
          <w:tcPr>
            <w:tcW w:w="1279" w:type="dxa"/>
            <w:gridSpan w:val="2"/>
            <w:vAlign w:val="center"/>
          </w:tcPr>
          <w:p w14:paraId="15FAF7BB"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清粪系统</w:t>
            </w:r>
          </w:p>
        </w:tc>
        <w:tc>
          <w:tcPr>
            <w:tcW w:w="4932" w:type="dxa"/>
            <w:vAlign w:val="center"/>
          </w:tcPr>
          <w:p w14:paraId="57FE6C9E"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育雏场：</w:t>
            </w:r>
            <w:r>
              <w:rPr>
                <w:rFonts w:cs="Times New Roman" w:hint="eastAsia"/>
                <w:kern w:val="21"/>
                <w:szCs w:val="21"/>
              </w:rPr>
              <w:t>设置</w:t>
            </w:r>
            <w:r>
              <w:rPr>
                <w:rFonts w:cs="Times New Roman"/>
                <w:kern w:val="21"/>
                <w:szCs w:val="21"/>
              </w:rPr>
              <w:t>一套清粪系统，在鸡舍</w:t>
            </w:r>
            <w:proofErr w:type="gramStart"/>
            <w:r>
              <w:rPr>
                <w:rFonts w:cs="Times New Roman"/>
                <w:kern w:val="21"/>
                <w:szCs w:val="21"/>
              </w:rPr>
              <w:t>笼</w:t>
            </w:r>
            <w:proofErr w:type="gramEnd"/>
            <w:r>
              <w:rPr>
                <w:rFonts w:cs="Times New Roman"/>
                <w:kern w:val="21"/>
                <w:szCs w:val="21"/>
              </w:rPr>
              <w:t>架下设置皮带传输机，鸡粪通过</w:t>
            </w:r>
            <w:r>
              <w:rPr>
                <w:rStyle w:val="aff"/>
                <w:rFonts w:cs="Times New Roman"/>
                <w:kern w:val="21"/>
              </w:rPr>
              <w:t>皮带</w:t>
            </w:r>
            <w:r>
              <w:rPr>
                <w:rFonts w:cs="Times New Roman"/>
                <w:kern w:val="21"/>
                <w:szCs w:val="21"/>
              </w:rPr>
              <w:t>传输机传送至鸡舍</w:t>
            </w:r>
            <w:r>
              <w:rPr>
                <w:rFonts w:cs="Times New Roman" w:hint="eastAsia"/>
                <w:kern w:val="21"/>
                <w:szCs w:val="21"/>
              </w:rPr>
              <w:t>北</w:t>
            </w:r>
            <w:r>
              <w:rPr>
                <w:rFonts w:cs="Times New Roman"/>
                <w:kern w:val="21"/>
                <w:szCs w:val="21"/>
              </w:rPr>
              <w:t>侧</w:t>
            </w:r>
            <w:r>
              <w:rPr>
                <w:rFonts w:cs="Times New Roman" w:hint="eastAsia"/>
                <w:kern w:val="21"/>
                <w:szCs w:val="21"/>
              </w:rPr>
              <w:t>鸡粪转运区</w:t>
            </w:r>
            <w:r>
              <w:rPr>
                <w:rFonts w:cs="Times New Roman"/>
                <w:kern w:val="21"/>
                <w:szCs w:val="21"/>
              </w:rPr>
              <w:t>停放的密闭鸡粪转运车中，鸡粪日产日清，鸡舍外皮带输送</w:t>
            </w:r>
            <w:r>
              <w:rPr>
                <w:rFonts w:cs="Times New Roman" w:hint="eastAsia"/>
                <w:kern w:val="21"/>
                <w:szCs w:val="21"/>
              </w:rPr>
              <w:t>带</w:t>
            </w:r>
            <w:r>
              <w:rPr>
                <w:rFonts w:cs="Times New Roman"/>
                <w:kern w:val="21"/>
                <w:szCs w:val="21"/>
              </w:rPr>
              <w:t>密闭。</w:t>
            </w:r>
          </w:p>
          <w:p w14:paraId="5699BF44"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蛋鸡场：</w:t>
            </w:r>
            <w:r>
              <w:rPr>
                <w:rFonts w:cs="Times New Roman" w:hint="eastAsia"/>
                <w:kern w:val="21"/>
                <w:szCs w:val="21"/>
              </w:rPr>
              <w:t>设置</w:t>
            </w:r>
            <w:r>
              <w:rPr>
                <w:rFonts w:cs="Times New Roman"/>
                <w:kern w:val="21"/>
                <w:szCs w:val="21"/>
              </w:rPr>
              <w:t>一套清粪系统，在鸡舍</w:t>
            </w:r>
            <w:proofErr w:type="gramStart"/>
            <w:r>
              <w:rPr>
                <w:rFonts w:cs="Times New Roman"/>
                <w:kern w:val="21"/>
                <w:szCs w:val="21"/>
              </w:rPr>
              <w:t>笼</w:t>
            </w:r>
            <w:proofErr w:type="gramEnd"/>
            <w:r>
              <w:rPr>
                <w:rFonts w:cs="Times New Roman"/>
                <w:kern w:val="21"/>
                <w:szCs w:val="21"/>
              </w:rPr>
              <w:t>架下设置皮带传输机，鸡粪通过</w:t>
            </w:r>
            <w:r>
              <w:rPr>
                <w:rStyle w:val="aff"/>
                <w:rFonts w:cs="Times New Roman"/>
                <w:kern w:val="21"/>
              </w:rPr>
              <w:t>皮带</w:t>
            </w:r>
            <w:r>
              <w:rPr>
                <w:rFonts w:cs="Times New Roman"/>
                <w:kern w:val="21"/>
                <w:szCs w:val="21"/>
              </w:rPr>
              <w:t>传输机传送至鸡舍</w:t>
            </w:r>
            <w:r>
              <w:rPr>
                <w:rFonts w:cs="Times New Roman" w:hint="eastAsia"/>
                <w:kern w:val="21"/>
                <w:szCs w:val="21"/>
              </w:rPr>
              <w:t>北</w:t>
            </w:r>
            <w:r>
              <w:rPr>
                <w:rFonts w:cs="Times New Roman"/>
                <w:kern w:val="21"/>
                <w:szCs w:val="21"/>
              </w:rPr>
              <w:t>侧</w:t>
            </w:r>
            <w:r>
              <w:rPr>
                <w:rFonts w:cs="Times New Roman" w:hint="eastAsia"/>
                <w:kern w:val="21"/>
                <w:szCs w:val="21"/>
              </w:rPr>
              <w:t>鸡粪转运区</w:t>
            </w:r>
            <w:r>
              <w:rPr>
                <w:rFonts w:cs="Times New Roman"/>
                <w:kern w:val="21"/>
                <w:szCs w:val="21"/>
              </w:rPr>
              <w:t>停放的密闭鸡粪转运车中，鸡粪日产日清，鸡舍外皮带输送</w:t>
            </w:r>
            <w:r>
              <w:rPr>
                <w:rFonts w:cs="Times New Roman" w:hint="eastAsia"/>
                <w:kern w:val="21"/>
                <w:szCs w:val="21"/>
              </w:rPr>
              <w:t>带</w:t>
            </w:r>
            <w:r>
              <w:rPr>
                <w:rFonts w:cs="Times New Roman"/>
                <w:kern w:val="21"/>
                <w:szCs w:val="21"/>
              </w:rPr>
              <w:t>密闭。</w:t>
            </w:r>
            <w:r>
              <w:rPr>
                <w:rFonts w:cs="Times New Roman" w:hint="eastAsia"/>
                <w:kern w:val="21"/>
                <w:szCs w:val="21"/>
              </w:rPr>
              <w:t>蛋鸡活动场地粪便及垫料每批次淘汰后进行人工清理。</w:t>
            </w:r>
          </w:p>
        </w:tc>
        <w:tc>
          <w:tcPr>
            <w:tcW w:w="694" w:type="dxa"/>
            <w:vMerge/>
            <w:vAlign w:val="center"/>
          </w:tcPr>
          <w:p w14:paraId="634B73AF"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60A1F490"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恶臭、鸡粪</w:t>
            </w:r>
            <w:r>
              <w:rPr>
                <w:rFonts w:cs="Times New Roman" w:hint="eastAsia"/>
                <w:kern w:val="21"/>
                <w:szCs w:val="21"/>
              </w:rPr>
              <w:t>、淸</w:t>
            </w:r>
            <w:proofErr w:type="gramStart"/>
            <w:r>
              <w:rPr>
                <w:rFonts w:cs="Times New Roman" w:hint="eastAsia"/>
                <w:kern w:val="21"/>
                <w:szCs w:val="21"/>
              </w:rPr>
              <w:t>粪设备</w:t>
            </w:r>
            <w:proofErr w:type="gramEnd"/>
            <w:r>
              <w:rPr>
                <w:rFonts w:cs="Times New Roman" w:hint="eastAsia"/>
                <w:kern w:val="21"/>
                <w:szCs w:val="21"/>
              </w:rPr>
              <w:t>噪声</w:t>
            </w:r>
          </w:p>
        </w:tc>
        <w:tc>
          <w:tcPr>
            <w:tcW w:w="442" w:type="dxa"/>
            <w:vAlign w:val="center"/>
          </w:tcPr>
          <w:p w14:paraId="4030190C"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新建</w:t>
            </w:r>
          </w:p>
        </w:tc>
      </w:tr>
      <w:tr w:rsidR="00544649" w14:paraId="0748D576" w14:textId="77777777">
        <w:trPr>
          <w:trHeight w:val="90"/>
          <w:jc w:val="center"/>
        </w:trPr>
        <w:tc>
          <w:tcPr>
            <w:tcW w:w="582" w:type="dxa"/>
            <w:gridSpan w:val="2"/>
            <w:vMerge/>
            <w:vAlign w:val="center"/>
          </w:tcPr>
          <w:p w14:paraId="2860A670" w14:textId="77777777" w:rsidR="00544649" w:rsidRDefault="00544649">
            <w:pPr>
              <w:pStyle w:val="aff7"/>
              <w:adjustRightInd w:val="0"/>
              <w:snapToGrid w:val="0"/>
              <w:spacing w:beforeLines="0" w:before="0" w:afterLines="0" w:after="0"/>
              <w:rPr>
                <w:rFonts w:cs="Times New Roman"/>
                <w:kern w:val="21"/>
                <w:szCs w:val="21"/>
              </w:rPr>
            </w:pPr>
          </w:p>
        </w:tc>
        <w:tc>
          <w:tcPr>
            <w:tcW w:w="1279" w:type="dxa"/>
            <w:gridSpan w:val="2"/>
            <w:vAlign w:val="center"/>
          </w:tcPr>
          <w:p w14:paraId="1EDDE105"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消毒</w:t>
            </w:r>
            <w:r>
              <w:rPr>
                <w:rFonts w:cs="Times New Roman" w:hint="eastAsia"/>
                <w:kern w:val="21"/>
                <w:szCs w:val="21"/>
              </w:rPr>
              <w:t>池</w:t>
            </w:r>
          </w:p>
        </w:tc>
        <w:tc>
          <w:tcPr>
            <w:tcW w:w="4932" w:type="dxa"/>
            <w:vAlign w:val="center"/>
          </w:tcPr>
          <w:p w14:paraId="410E377C" w14:textId="77777777" w:rsidR="00544649" w:rsidRDefault="00000000">
            <w:pPr>
              <w:pStyle w:val="aff7"/>
              <w:adjustRightInd w:val="0"/>
              <w:snapToGrid w:val="0"/>
              <w:spacing w:beforeLines="0" w:before="0" w:afterLines="0" w:after="0"/>
              <w:jc w:val="both"/>
              <w:rPr>
                <w:szCs w:val="21"/>
              </w:rPr>
            </w:pPr>
            <w:r>
              <w:rPr>
                <w:rFonts w:hint="eastAsia"/>
                <w:b/>
                <w:bCs/>
                <w:szCs w:val="21"/>
              </w:rPr>
              <w:t>育雏场：</w:t>
            </w:r>
            <w:r>
              <w:rPr>
                <w:szCs w:val="21"/>
              </w:rPr>
              <w:t>项目道路进出口设有车辆消毒区，</w:t>
            </w:r>
            <w:proofErr w:type="gramStart"/>
            <w:r>
              <w:rPr>
                <w:rFonts w:hint="eastAsia"/>
                <w:szCs w:val="21"/>
              </w:rPr>
              <w:t>厂区主</w:t>
            </w:r>
            <w:proofErr w:type="gramEnd"/>
            <w:r>
              <w:rPr>
                <w:rFonts w:hint="eastAsia"/>
                <w:szCs w:val="21"/>
              </w:rPr>
              <w:t>入口处设置消毒池</w:t>
            </w:r>
            <w:r>
              <w:rPr>
                <w:rFonts w:hint="eastAsia"/>
                <w:szCs w:val="21"/>
              </w:rPr>
              <w:t>1</w:t>
            </w:r>
            <w:r>
              <w:rPr>
                <w:rFonts w:hint="eastAsia"/>
              </w:rPr>
              <w:t>个，</w:t>
            </w:r>
            <w:r>
              <w:rPr>
                <w:rFonts w:hint="eastAsia"/>
                <w:szCs w:val="21"/>
              </w:rPr>
              <w:t>位于厂区东北侧</w:t>
            </w:r>
            <w:r>
              <w:rPr>
                <w:rFonts w:hint="eastAsia"/>
              </w:rPr>
              <w:t>；</w:t>
            </w:r>
            <w:proofErr w:type="gramStart"/>
            <w:r>
              <w:rPr>
                <w:rFonts w:hint="eastAsia"/>
              </w:rPr>
              <w:t>厂区污道出入</w:t>
            </w:r>
            <w:proofErr w:type="gramEnd"/>
            <w:r>
              <w:rPr>
                <w:rFonts w:hint="eastAsia"/>
              </w:rPr>
              <w:t>处设置消毒池</w:t>
            </w:r>
            <w:r>
              <w:rPr>
                <w:rFonts w:hint="eastAsia"/>
              </w:rPr>
              <w:t>1</w:t>
            </w:r>
            <w:r>
              <w:rPr>
                <w:rFonts w:hint="eastAsia"/>
              </w:rPr>
              <w:t>个，</w:t>
            </w:r>
            <w:r>
              <w:rPr>
                <w:rFonts w:hint="eastAsia"/>
                <w:szCs w:val="21"/>
              </w:rPr>
              <w:t>位于</w:t>
            </w:r>
            <w:proofErr w:type="gramStart"/>
            <w:r>
              <w:rPr>
                <w:rFonts w:hint="eastAsia"/>
                <w:szCs w:val="21"/>
              </w:rPr>
              <w:t>厂区西</w:t>
            </w:r>
            <w:proofErr w:type="gramEnd"/>
            <w:r>
              <w:rPr>
                <w:rFonts w:hint="eastAsia"/>
                <w:szCs w:val="21"/>
              </w:rPr>
              <w:t>北侧；鸡舍东北侧设置消毒池</w:t>
            </w:r>
            <w:r>
              <w:rPr>
                <w:rFonts w:hint="eastAsia"/>
                <w:szCs w:val="21"/>
              </w:rPr>
              <w:t>1</w:t>
            </w:r>
            <w:r>
              <w:rPr>
                <w:rFonts w:hint="eastAsia"/>
              </w:rPr>
              <w:t>个，各消毒池容积约</w:t>
            </w:r>
            <w:r>
              <w:rPr>
                <w:rFonts w:hint="eastAsia"/>
              </w:rPr>
              <w:t>5m</w:t>
            </w:r>
            <w:r>
              <w:rPr>
                <w:rFonts w:hint="eastAsia"/>
                <w:vertAlign w:val="superscript"/>
              </w:rPr>
              <w:t>3</w:t>
            </w:r>
            <w:r>
              <w:rPr>
                <w:szCs w:val="21"/>
              </w:rPr>
              <w:t>。</w:t>
            </w:r>
            <w:r>
              <w:rPr>
                <w:rFonts w:hint="eastAsia"/>
                <w:szCs w:val="21"/>
              </w:rPr>
              <w:t>进出场内的车辆须经过消毒池进行消毒进入场内。场内人员、饲料物资车辆由</w:t>
            </w:r>
            <w:proofErr w:type="gramStart"/>
            <w:r>
              <w:rPr>
                <w:rFonts w:hint="eastAsia"/>
                <w:szCs w:val="21"/>
              </w:rPr>
              <w:t>东北侧主出入口</w:t>
            </w:r>
            <w:proofErr w:type="gramEnd"/>
            <w:r>
              <w:rPr>
                <w:rFonts w:hint="eastAsia"/>
                <w:szCs w:val="21"/>
              </w:rPr>
              <w:t>进入，鸡粪、病死鸡转运车辆由西</w:t>
            </w:r>
            <w:proofErr w:type="gramStart"/>
            <w:r>
              <w:rPr>
                <w:rFonts w:hint="eastAsia"/>
                <w:szCs w:val="21"/>
              </w:rPr>
              <w:t>北侧污道出入口</w:t>
            </w:r>
            <w:proofErr w:type="gramEnd"/>
            <w:r>
              <w:rPr>
                <w:rFonts w:hint="eastAsia"/>
                <w:szCs w:val="21"/>
              </w:rPr>
              <w:t>进出。</w:t>
            </w:r>
          </w:p>
          <w:p w14:paraId="59737280" w14:textId="77777777" w:rsidR="00544649" w:rsidRDefault="00000000">
            <w:pPr>
              <w:pStyle w:val="aff7"/>
              <w:adjustRightInd w:val="0"/>
              <w:snapToGrid w:val="0"/>
              <w:spacing w:beforeLines="0" w:before="0" w:afterLines="0" w:after="0"/>
              <w:jc w:val="both"/>
              <w:rPr>
                <w:szCs w:val="21"/>
              </w:rPr>
            </w:pPr>
            <w:r>
              <w:rPr>
                <w:rFonts w:hint="eastAsia"/>
                <w:b/>
                <w:bCs/>
                <w:szCs w:val="21"/>
              </w:rPr>
              <w:t>蛋鸡场：</w:t>
            </w:r>
            <w:r>
              <w:rPr>
                <w:rFonts w:hint="eastAsia"/>
                <w:szCs w:val="21"/>
              </w:rPr>
              <w:t>项目蛋鸡场大门入口处设置消毒池</w:t>
            </w:r>
            <w:r>
              <w:rPr>
                <w:rFonts w:hint="eastAsia"/>
                <w:szCs w:val="21"/>
              </w:rPr>
              <w:t>1</w:t>
            </w:r>
            <w:r>
              <w:rPr>
                <w:rFonts w:hint="eastAsia"/>
                <w:szCs w:val="21"/>
              </w:rPr>
              <w:t>个，用于车辆消毒，位于蛋鸡场北侧；项目厂区粪污、</w:t>
            </w:r>
            <w:proofErr w:type="gramStart"/>
            <w:r>
              <w:rPr>
                <w:rFonts w:hint="eastAsia"/>
                <w:szCs w:val="21"/>
              </w:rPr>
              <w:t>淘鸡出入口</w:t>
            </w:r>
            <w:proofErr w:type="gramEnd"/>
            <w:r>
              <w:rPr>
                <w:rFonts w:hint="eastAsia"/>
                <w:szCs w:val="21"/>
              </w:rPr>
              <w:t>设置消毒池</w:t>
            </w:r>
            <w:r>
              <w:rPr>
                <w:rFonts w:hint="eastAsia"/>
                <w:szCs w:val="21"/>
              </w:rPr>
              <w:t>1</w:t>
            </w:r>
            <w:r>
              <w:rPr>
                <w:rFonts w:hint="eastAsia"/>
                <w:szCs w:val="21"/>
              </w:rPr>
              <w:t>个，</w:t>
            </w:r>
            <w:r>
              <w:rPr>
                <w:rFonts w:hint="eastAsia"/>
              </w:rPr>
              <w:t>各消毒池容积约</w:t>
            </w:r>
            <w:r>
              <w:rPr>
                <w:rFonts w:hint="eastAsia"/>
              </w:rPr>
              <w:t>5m</w:t>
            </w:r>
            <w:r>
              <w:rPr>
                <w:rFonts w:hint="eastAsia"/>
                <w:vertAlign w:val="superscript"/>
              </w:rPr>
              <w:t>3</w:t>
            </w:r>
            <w:r>
              <w:rPr>
                <w:szCs w:val="21"/>
              </w:rPr>
              <w:t>。</w:t>
            </w:r>
            <w:r>
              <w:rPr>
                <w:rFonts w:hint="eastAsia"/>
                <w:szCs w:val="21"/>
              </w:rPr>
              <w:t>进出场内的车辆须经过消毒池进行消毒进入场内。场内人员及饲料、蛋库物资车辆出入口位于场区东北侧；项目鸡粪、病死鸡转运通道出入口位于场区西南侧。</w:t>
            </w:r>
          </w:p>
        </w:tc>
        <w:tc>
          <w:tcPr>
            <w:tcW w:w="694" w:type="dxa"/>
            <w:vMerge/>
            <w:vAlign w:val="center"/>
          </w:tcPr>
          <w:p w14:paraId="3CFC8C44"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3F9DD888"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w:t>
            </w:r>
          </w:p>
        </w:tc>
        <w:tc>
          <w:tcPr>
            <w:tcW w:w="442" w:type="dxa"/>
            <w:vAlign w:val="center"/>
          </w:tcPr>
          <w:p w14:paraId="2588AC5B"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10C511A6" w14:textId="77777777">
        <w:trPr>
          <w:trHeight w:val="90"/>
          <w:jc w:val="center"/>
        </w:trPr>
        <w:tc>
          <w:tcPr>
            <w:tcW w:w="582" w:type="dxa"/>
            <w:gridSpan w:val="2"/>
            <w:vMerge/>
            <w:vAlign w:val="center"/>
          </w:tcPr>
          <w:p w14:paraId="1031BE67" w14:textId="77777777" w:rsidR="00544649" w:rsidRDefault="00544649">
            <w:pPr>
              <w:pStyle w:val="aff7"/>
              <w:adjustRightInd w:val="0"/>
              <w:snapToGrid w:val="0"/>
              <w:spacing w:beforeLines="0" w:before="0" w:afterLines="0" w:after="0"/>
              <w:rPr>
                <w:rFonts w:cs="Times New Roman"/>
                <w:kern w:val="21"/>
                <w:szCs w:val="21"/>
              </w:rPr>
            </w:pPr>
          </w:p>
        </w:tc>
        <w:tc>
          <w:tcPr>
            <w:tcW w:w="1279" w:type="dxa"/>
            <w:gridSpan w:val="2"/>
            <w:vAlign w:val="center"/>
          </w:tcPr>
          <w:p w14:paraId="5F62212D"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车辆消毒棚</w:t>
            </w:r>
          </w:p>
        </w:tc>
        <w:tc>
          <w:tcPr>
            <w:tcW w:w="4932" w:type="dxa"/>
            <w:vAlign w:val="center"/>
          </w:tcPr>
          <w:p w14:paraId="529F982F"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蛋鸡场：</w:t>
            </w:r>
            <w:r>
              <w:rPr>
                <w:rFonts w:hint="eastAsia"/>
                <w:szCs w:val="21"/>
              </w:rPr>
              <w:t>建设车辆消毒棚</w:t>
            </w:r>
            <w:r>
              <w:rPr>
                <w:rFonts w:hint="eastAsia"/>
                <w:szCs w:val="21"/>
              </w:rPr>
              <w:t>1</w:t>
            </w:r>
            <w:r>
              <w:rPr>
                <w:rFonts w:hint="eastAsia"/>
                <w:szCs w:val="21"/>
              </w:rPr>
              <w:t>间，用于车辆消毒，建筑面积约为</w:t>
            </w:r>
            <w:r>
              <w:rPr>
                <w:rFonts w:hint="eastAsia"/>
                <w:szCs w:val="21"/>
              </w:rPr>
              <w:t>92</w:t>
            </w:r>
            <w:r>
              <w:rPr>
                <w:rFonts w:cs="Times New Roman"/>
                <w:kern w:val="21"/>
                <w:szCs w:val="21"/>
              </w:rPr>
              <w:t>m</w:t>
            </w:r>
            <w:r>
              <w:rPr>
                <w:rFonts w:cs="Times New Roman"/>
                <w:kern w:val="21"/>
                <w:szCs w:val="21"/>
                <w:vertAlign w:val="superscript"/>
              </w:rPr>
              <w:t>2</w:t>
            </w:r>
            <w:r>
              <w:rPr>
                <w:rFonts w:cs="Times New Roman"/>
                <w:kern w:val="21"/>
                <w:szCs w:val="21"/>
              </w:rPr>
              <w:t>，位于</w:t>
            </w:r>
            <w:r>
              <w:rPr>
                <w:rFonts w:cs="Times New Roman" w:hint="eastAsia"/>
                <w:kern w:val="21"/>
                <w:szCs w:val="21"/>
              </w:rPr>
              <w:t>厂区东北</w:t>
            </w:r>
            <w:r>
              <w:rPr>
                <w:rFonts w:cs="Times New Roman"/>
                <w:kern w:val="21"/>
                <w:szCs w:val="21"/>
              </w:rPr>
              <w:t>侧</w:t>
            </w:r>
            <w:r>
              <w:rPr>
                <w:rFonts w:cs="Times New Roman" w:hint="eastAsia"/>
                <w:kern w:val="21"/>
                <w:szCs w:val="21"/>
              </w:rPr>
              <w:t>蛋库饲料主出入口。</w:t>
            </w:r>
          </w:p>
        </w:tc>
        <w:tc>
          <w:tcPr>
            <w:tcW w:w="694" w:type="dxa"/>
            <w:vMerge/>
            <w:vAlign w:val="center"/>
          </w:tcPr>
          <w:p w14:paraId="4F9E1EF0"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0015AB31"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w:t>
            </w:r>
          </w:p>
        </w:tc>
        <w:tc>
          <w:tcPr>
            <w:tcW w:w="442" w:type="dxa"/>
            <w:vAlign w:val="center"/>
          </w:tcPr>
          <w:p w14:paraId="5A552DA6"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23495CA7" w14:textId="77777777">
        <w:trPr>
          <w:trHeight w:val="90"/>
          <w:jc w:val="center"/>
        </w:trPr>
        <w:tc>
          <w:tcPr>
            <w:tcW w:w="582" w:type="dxa"/>
            <w:gridSpan w:val="2"/>
            <w:vMerge/>
            <w:vAlign w:val="center"/>
          </w:tcPr>
          <w:p w14:paraId="7342D455" w14:textId="77777777" w:rsidR="00544649" w:rsidRDefault="00544649">
            <w:pPr>
              <w:pStyle w:val="aff7"/>
              <w:adjustRightInd w:val="0"/>
              <w:snapToGrid w:val="0"/>
              <w:spacing w:beforeLines="0" w:before="0" w:afterLines="0" w:after="0"/>
              <w:rPr>
                <w:rFonts w:cs="Times New Roman"/>
                <w:kern w:val="21"/>
                <w:szCs w:val="21"/>
              </w:rPr>
            </w:pPr>
          </w:p>
        </w:tc>
        <w:tc>
          <w:tcPr>
            <w:tcW w:w="1279" w:type="dxa"/>
            <w:gridSpan w:val="2"/>
            <w:vAlign w:val="center"/>
          </w:tcPr>
          <w:p w14:paraId="65D8C892"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病检办公房</w:t>
            </w:r>
          </w:p>
        </w:tc>
        <w:tc>
          <w:tcPr>
            <w:tcW w:w="4932" w:type="dxa"/>
            <w:vAlign w:val="center"/>
          </w:tcPr>
          <w:p w14:paraId="48938771" w14:textId="77777777" w:rsidR="00544649" w:rsidRDefault="00000000">
            <w:pPr>
              <w:pStyle w:val="aff7"/>
              <w:adjustRightInd w:val="0"/>
              <w:snapToGrid w:val="0"/>
              <w:spacing w:beforeLines="0" w:before="0" w:afterLines="0" w:after="0"/>
              <w:jc w:val="both"/>
              <w:rPr>
                <w:rFonts w:cs="Times New Roman"/>
                <w:b/>
                <w:bCs/>
                <w:kern w:val="21"/>
                <w:szCs w:val="21"/>
              </w:rPr>
            </w:pPr>
            <w:r>
              <w:rPr>
                <w:rFonts w:cs="Times New Roman" w:hint="eastAsia"/>
                <w:b/>
                <w:bCs/>
                <w:kern w:val="21"/>
                <w:szCs w:val="21"/>
              </w:rPr>
              <w:t>育雏场：</w:t>
            </w:r>
            <w:r>
              <w:rPr>
                <w:rFonts w:cs="Times New Roman" w:hint="eastAsia"/>
                <w:kern w:val="21"/>
                <w:szCs w:val="21"/>
              </w:rPr>
              <w:t>设置</w:t>
            </w:r>
            <w:proofErr w:type="gramStart"/>
            <w:r>
              <w:rPr>
                <w:rFonts w:cs="Times New Roman" w:hint="eastAsia"/>
                <w:kern w:val="21"/>
                <w:szCs w:val="21"/>
              </w:rPr>
              <w:t>病检室</w:t>
            </w:r>
            <w:r>
              <w:rPr>
                <w:rFonts w:cs="Times New Roman" w:hint="eastAsia"/>
                <w:kern w:val="21"/>
                <w:szCs w:val="21"/>
              </w:rPr>
              <w:t>1</w:t>
            </w:r>
            <w:r>
              <w:rPr>
                <w:rFonts w:cs="Times New Roman" w:hint="eastAsia"/>
                <w:kern w:val="21"/>
                <w:szCs w:val="21"/>
              </w:rPr>
              <w:t>间</w:t>
            </w:r>
            <w:proofErr w:type="gramEnd"/>
            <w:r>
              <w:rPr>
                <w:rFonts w:cs="Times New Roman" w:hint="eastAsia"/>
                <w:kern w:val="21"/>
                <w:szCs w:val="21"/>
              </w:rPr>
              <w:t>，建筑面积约</w:t>
            </w:r>
            <w:r>
              <w:rPr>
                <w:rFonts w:cs="Times New Roman" w:hint="eastAsia"/>
                <w:kern w:val="21"/>
                <w:szCs w:val="21"/>
              </w:rPr>
              <w:t>20m</w:t>
            </w:r>
            <w:r>
              <w:rPr>
                <w:rFonts w:cs="Times New Roman" w:hint="eastAsia"/>
                <w:kern w:val="21"/>
                <w:szCs w:val="21"/>
                <w:vertAlign w:val="superscript"/>
              </w:rPr>
              <w:t>2</w:t>
            </w:r>
            <w:r>
              <w:rPr>
                <w:rFonts w:cs="Times New Roman" w:hint="eastAsia"/>
                <w:kern w:val="21"/>
                <w:szCs w:val="21"/>
              </w:rPr>
              <w:t>，位于</w:t>
            </w:r>
            <w:proofErr w:type="gramStart"/>
            <w:r>
              <w:rPr>
                <w:rFonts w:cs="Times New Roman" w:hint="eastAsia"/>
                <w:kern w:val="21"/>
                <w:szCs w:val="21"/>
              </w:rPr>
              <w:t>厂区西</w:t>
            </w:r>
            <w:proofErr w:type="gramEnd"/>
            <w:r>
              <w:rPr>
                <w:rFonts w:cs="Times New Roman" w:hint="eastAsia"/>
                <w:kern w:val="21"/>
                <w:szCs w:val="21"/>
              </w:rPr>
              <w:t>北侧，病检房内设置冰柜，病死鸡暂存于冰柜内。</w:t>
            </w:r>
          </w:p>
          <w:p w14:paraId="5EBFE44C"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蛋鸡场：</w:t>
            </w:r>
            <w:r>
              <w:rPr>
                <w:rFonts w:cs="Times New Roman" w:hint="eastAsia"/>
                <w:kern w:val="21"/>
                <w:szCs w:val="21"/>
              </w:rPr>
              <w:t>设置病检及办公房</w:t>
            </w:r>
            <w:r>
              <w:rPr>
                <w:rFonts w:cs="Times New Roman"/>
                <w:kern w:val="21"/>
                <w:szCs w:val="21"/>
              </w:rPr>
              <w:t>1</w:t>
            </w:r>
            <w:r>
              <w:rPr>
                <w:rFonts w:cs="Times New Roman" w:hint="eastAsia"/>
                <w:kern w:val="21"/>
                <w:szCs w:val="21"/>
              </w:rPr>
              <w:t>间</w:t>
            </w:r>
            <w:r>
              <w:rPr>
                <w:rFonts w:cs="Times New Roman"/>
                <w:kern w:val="21"/>
                <w:szCs w:val="21"/>
              </w:rPr>
              <w:t>，</w:t>
            </w:r>
            <w:r>
              <w:rPr>
                <w:rFonts w:cs="Times New Roman" w:hint="eastAsia"/>
                <w:kern w:val="21"/>
                <w:szCs w:val="21"/>
              </w:rPr>
              <w:t>建筑面积约</w:t>
            </w:r>
            <w:r>
              <w:rPr>
                <w:rFonts w:cs="Times New Roman" w:hint="eastAsia"/>
                <w:kern w:val="21"/>
                <w:szCs w:val="21"/>
              </w:rPr>
              <w:t>125</w:t>
            </w:r>
            <w:r>
              <w:rPr>
                <w:rFonts w:cs="Times New Roman"/>
                <w:kern w:val="21"/>
                <w:szCs w:val="21"/>
              </w:rPr>
              <w:t>m</w:t>
            </w:r>
            <w:r>
              <w:rPr>
                <w:rFonts w:cs="Times New Roman"/>
                <w:kern w:val="21"/>
                <w:szCs w:val="21"/>
                <w:vertAlign w:val="superscript"/>
              </w:rPr>
              <w:t>2</w:t>
            </w:r>
            <w:r>
              <w:rPr>
                <w:rFonts w:cs="Times New Roman"/>
                <w:kern w:val="21"/>
                <w:szCs w:val="21"/>
              </w:rPr>
              <w:t>，位于</w:t>
            </w:r>
            <w:proofErr w:type="gramStart"/>
            <w:r>
              <w:rPr>
                <w:rFonts w:cs="Times New Roman" w:hint="eastAsia"/>
                <w:kern w:val="21"/>
                <w:szCs w:val="21"/>
              </w:rPr>
              <w:t>厂区西</w:t>
            </w:r>
            <w:proofErr w:type="gramEnd"/>
            <w:r>
              <w:rPr>
                <w:rFonts w:cs="Times New Roman" w:hint="eastAsia"/>
                <w:kern w:val="21"/>
                <w:szCs w:val="21"/>
              </w:rPr>
              <w:t>南</w:t>
            </w:r>
            <w:r>
              <w:rPr>
                <w:rFonts w:cs="Times New Roman"/>
                <w:kern w:val="21"/>
                <w:szCs w:val="21"/>
              </w:rPr>
              <w:t>侧，用</w:t>
            </w:r>
            <w:r>
              <w:rPr>
                <w:rFonts w:cs="Times New Roman" w:hint="eastAsia"/>
                <w:kern w:val="21"/>
                <w:szCs w:val="21"/>
              </w:rPr>
              <w:t>于办公，病检房内设置冰柜，病死鸡暂存于冰柜内。</w:t>
            </w:r>
          </w:p>
        </w:tc>
        <w:tc>
          <w:tcPr>
            <w:tcW w:w="694" w:type="dxa"/>
            <w:vMerge/>
            <w:vAlign w:val="center"/>
          </w:tcPr>
          <w:p w14:paraId="02A6272F"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3B39D4F2"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生活垃圾</w:t>
            </w:r>
          </w:p>
        </w:tc>
        <w:tc>
          <w:tcPr>
            <w:tcW w:w="442" w:type="dxa"/>
            <w:vAlign w:val="center"/>
          </w:tcPr>
          <w:p w14:paraId="34AB1B76"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00D918F2" w14:textId="77777777">
        <w:trPr>
          <w:trHeight w:val="90"/>
          <w:jc w:val="center"/>
        </w:trPr>
        <w:tc>
          <w:tcPr>
            <w:tcW w:w="582" w:type="dxa"/>
            <w:gridSpan w:val="2"/>
            <w:vMerge/>
            <w:vAlign w:val="center"/>
          </w:tcPr>
          <w:p w14:paraId="507443E4" w14:textId="77777777" w:rsidR="00544649" w:rsidRDefault="00544649">
            <w:pPr>
              <w:pStyle w:val="aff7"/>
              <w:adjustRightInd w:val="0"/>
              <w:snapToGrid w:val="0"/>
              <w:spacing w:beforeLines="0" w:before="0" w:afterLines="0" w:after="0"/>
              <w:rPr>
                <w:rFonts w:cs="Times New Roman"/>
                <w:kern w:val="21"/>
                <w:szCs w:val="21"/>
              </w:rPr>
            </w:pPr>
          </w:p>
        </w:tc>
        <w:tc>
          <w:tcPr>
            <w:tcW w:w="1279" w:type="dxa"/>
            <w:gridSpan w:val="2"/>
            <w:vAlign w:val="center"/>
          </w:tcPr>
          <w:p w14:paraId="175D57C6"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进场</w:t>
            </w:r>
            <w:proofErr w:type="gramStart"/>
            <w:r>
              <w:rPr>
                <w:rFonts w:cs="Times New Roman" w:hint="eastAsia"/>
                <w:kern w:val="21"/>
                <w:szCs w:val="21"/>
              </w:rPr>
              <w:t>洗消间</w:t>
            </w:r>
            <w:proofErr w:type="gramEnd"/>
          </w:p>
        </w:tc>
        <w:tc>
          <w:tcPr>
            <w:tcW w:w="4932" w:type="dxa"/>
            <w:vAlign w:val="center"/>
          </w:tcPr>
          <w:p w14:paraId="72FD0784"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育雏场：</w:t>
            </w:r>
            <w:r>
              <w:rPr>
                <w:rFonts w:cs="Times New Roman" w:hint="eastAsia"/>
                <w:kern w:val="21"/>
                <w:szCs w:val="21"/>
              </w:rPr>
              <w:t>设置进场洗消间，建筑面积约为</w:t>
            </w:r>
            <w:r>
              <w:rPr>
                <w:rFonts w:cs="Times New Roman" w:hint="eastAsia"/>
                <w:kern w:val="21"/>
                <w:szCs w:val="21"/>
              </w:rPr>
              <w:t>50</w:t>
            </w:r>
            <w:r>
              <w:rPr>
                <w:rFonts w:cs="Times New Roman"/>
                <w:kern w:val="21"/>
                <w:szCs w:val="21"/>
              </w:rPr>
              <w:t>m</w:t>
            </w:r>
            <w:r>
              <w:rPr>
                <w:rFonts w:cs="Times New Roman"/>
                <w:kern w:val="21"/>
                <w:szCs w:val="21"/>
                <w:vertAlign w:val="superscript"/>
              </w:rPr>
              <w:t>2</w:t>
            </w:r>
            <w:r>
              <w:rPr>
                <w:rFonts w:cs="Times New Roman"/>
                <w:kern w:val="21"/>
                <w:szCs w:val="21"/>
              </w:rPr>
              <w:t>，位于</w:t>
            </w:r>
            <w:r>
              <w:rPr>
                <w:rFonts w:cs="Times New Roman" w:hint="eastAsia"/>
                <w:kern w:val="21"/>
                <w:szCs w:val="21"/>
              </w:rPr>
              <w:t>鸡舍东</w:t>
            </w:r>
            <w:r>
              <w:rPr>
                <w:rFonts w:cs="Times New Roman"/>
                <w:kern w:val="21"/>
                <w:szCs w:val="21"/>
              </w:rPr>
              <w:t>侧</w:t>
            </w:r>
            <w:r>
              <w:rPr>
                <w:rFonts w:cs="Times New Roman" w:hint="eastAsia"/>
                <w:kern w:val="21"/>
                <w:szCs w:val="21"/>
              </w:rPr>
              <w:t>，用于人员洗澡消毒。</w:t>
            </w:r>
          </w:p>
        </w:tc>
        <w:tc>
          <w:tcPr>
            <w:tcW w:w="694" w:type="dxa"/>
            <w:vMerge/>
            <w:vAlign w:val="center"/>
          </w:tcPr>
          <w:p w14:paraId="701642D2"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210E5379"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废水</w:t>
            </w:r>
          </w:p>
        </w:tc>
        <w:tc>
          <w:tcPr>
            <w:tcW w:w="442" w:type="dxa"/>
            <w:vAlign w:val="center"/>
          </w:tcPr>
          <w:p w14:paraId="3DA51310"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1B473360" w14:textId="77777777">
        <w:trPr>
          <w:trHeight w:val="90"/>
          <w:jc w:val="center"/>
        </w:trPr>
        <w:tc>
          <w:tcPr>
            <w:tcW w:w="582" w:type="dxa"/>
            <w:gridSpan w:val="2"/>
            <w:vMerge/>
            <w:vAlign w:val="center"/>
          </w:tcPr>
          <w:p w14:paraId="239E9E02" w14:textId="77777777" w:rsidR="00544649" w:rsidRDefault="00544649">
            <w:pPr>
              <w:pStyle w:val="aff7"/>
              <w:adjustRightInd w:val="0"/>
              <w:snapToGrid w:val="0"/>
              <w:spacing w:beforeLines="0" w:before="0" w:afterLines="0" w:after="0"/>
              <w:rPr>
                <w:rFonts w:cs="Times New Roman"/>
                <w:kern w:val="21"/>
                <w:szCs w:val="21"/>
              </w:rPr>
            </w:pPr>
          </w:p>
        </w:tc>
        <w:tc>
          <w:tcPr>
            <w:tcW w:w="1279" w:type="dxa"/>
            <w:gridSpan w:val="2"/>
            <w:vAlign w:val="center"/>
          </w:tcPr>
          <w:p w14:paraId="17207F02"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门卫室</w:t>
            </w:r>
          </w:p>
        </w:tc>
        <w:tc>
          <w:tcPr>
            <w:tcW w:w="4932" w:type="dxa"/>
            <w:vAlign w:val="center"/>
          </w:tcPr>
          <w:p w14:paraId="54B52B42"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育雏场：</w:t>
            </w:r>
            <w:r>
              <w:rPr>
                <w:rFonts w:cs="Times New Roman" w:hint="eastAsia"/>
                <w:kern w:val="21"/>
                <w:szCs w:val="21"/>
              </w:rPr>
              <w:t>设置门卫室</w:t>
            </w:r>
            <w:r>
              <w:rPr>
                <w:rFonts w:cs="Times New Roman" w:hint="eastAsia"/>
                <w:kern w:val="21"/>
                <w:szCs w:val="21"/>
              </w:rPr>
              <w:t>1</w:t>
            </w:r>
            <w:r>
              <w:rPr>
                <w:rFonts w:cs="Times New Roman" w:hint="eastAsia"/>
                <w:kern w:val="21"/>
                <w:szCs w:val="21"/>
              </w:rPr>
              <w:t>间，建筑面积</w:t>
            </w:r>
            <w:r>
              <w:rPr>
                <w:rFonts w:cs="Times New Roman" w:hint="eastAsia"/>
                <w:kern w:val="21"/>
                <w:szCs w:val="21"/>
              </w:rPr>
              <w:t>35</w:t>
            </w:r>
            <w:r>
              <w:rPr>
                <w:rFonts w:cs="Times New Roman"/>
                <w:kern w:val="21"/>
                <w:szCs w:val="21"/>
              </w:rPr>
              <w:t>m</w:t>
            </w:r>
            <w:r>
              <w:rPr>
                <w:rFonts w:cs="Times New Roman"/>
                <w:kern w:val="21"/>
                <w:szCs w:val="21"/>
                <w:vertAlign w:val="superscript"/>
              </w:rPr>
              <w:t>2</w:t>
            </w:r>
            <w:r>
              <w:rPr>
                <w:rFonts w:cs="Times New Roman"/>
                <w:kern w:val="21"/>
                <w:szCs w:val="21"/>
              </w:rPr>
              <w:t>，</w:t>
            </w:r>
            <w:r>
              <w:rPr>
                <w:rFonts w:cs="Times New Roman" w:hint="eastAsia"/>
                <w:kern w:val="21"/>
                <w:szCs w:val="21"/>
              </w:rPr>
              <w:t>位于场区东北侧。</w:t>
            </w:r>
          </w:p>
        </w:tc>
        <w:tc>
          <w:tcPr>
            <w:tcW w:w="694" w:type="dxa"/>
            <w:vMerge/>
            <w:vAlign w:val="center"/>
          </w:tcPr>
          <w:p w14:paraId="454955A9"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29680BEA"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生活垃圾</w:t>
            </w:r>
          </w:p>
        </w:tc>
        <w:tc>
          <w:tcPr>
            <w:tcW w:w="442" w:type="dxa"/>
            <w:vAlign w:val="center"/>
          </w:tcPr>
          <w:p w14:paraId="179DC97B"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363C4E42" w14:textId="77777777">
        <w:trPr>
          <w:trHeight w:val="90"/>
          <w:jc w:val="center"/>
        </w:trPr>
        <w:tc>
          <w:tcPr>
            <w:tcW w:w="582" w:type="dxa"/>
            <w:gridSpan w:val="2"/>
            <w:vMerge/>
            <w:vAlign w:val="center"/>
          </w:tcPr>
          <w:p w14:paraId="158AAC7D" w14:textId="77777777" w:rsidR="00544649" w:rsidRDefault="00544649">
            <w:pPr>
              <w:pStyle w:val="aff7"/>
              <w:adjustRightInd w:val="0"/>
              <w:snapToGrid w:val="0"/>
              <w:spacing w:beforeLines="0" w:before="0" w:afterLines="0" w:after="0"/>
              <w:rPr>
                <w:rFonts w:cs="Times New Roman"/>
                <w:kern w:val="21"/>
                <w:szCs w:val="21"/>
              </w:rPr>
            </w:pPr>
          </w:p>
        </w:tc>
        <w:tc>
          <w:tcPr>
            <w:tcW w:w="1279" w:type="dxa"/>
            <w:gridSpan w:val="2"/>
            <w:vAlign w:val="center"/>
          </w:tcPr>
          <w:p w14:paraId="0407FD3F"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锅炉</w:t>
            </w:r>
          </w:p>
        </w:tc>
        <w:tc>
          <w:tcPr>
            <w:tcW w:w="4932" w:type="dxa"/>
            <w:vAlign w:val="center"/>
          </w:tcPr>
          <w:p w14:paraId="418B1874"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育雏场：</w:t>
            </w:r>
            <w:r>
              <w:rPr>
                <w:rFonts w:cs="Times New Roman" w:hint="eastAsia"/>
                <w:kern w:val="21"/>
                <w:szCs w:val="21"/>
              </w:rPr>
              <w:t>场内设置天然气锅炉</w:t>
            </w:r>
            <w:r>
              <w:rPr>
                <w:rFonts w:cs="Times New Roman" w:hint="eastAsia"/>
                <w:kern w:val="21"/>
                <w:szCs w:val="21"/>
              </w:rPr>
              <w:t>1</w:t>
            </w:r>
            <w:r>
              <w:rPr>
                <w:rFonts w:cs="Times New Roman" w:hint="eastAsia"/>
                <w:kern w:val="21"/>
                <w:szCs w:val="21"/>
              </w:rPr>
              <w:t>个（</w:t>
            </w:r>
            <w:r>
              <w:rPr>
                <w:rFonts w:cs="Times New Roman" w:hint="eastAsia"/>
                <w:kern w:val="21"/>
                <w:szCs w:val="21"/>
              </w:rPr>
              <w:t>50kW</w:t>
            </w:r>
            <w:r>
              <w:rPr>
                <w:rFonts w:cs="Times New Roman" w:hint="eastAsia"/>
                <w:kern w:val="21"/>
                <w:szCs w:val="21"/>
              </w:rPr>
              <w:t>），用于场内人员生活用水供热。</w:t>
            </w:r>
          </w:p>
          <w:p w14:paraId="1035E752"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lastRenderedPageBreak/>
              <w:t>蛋鸡场：</w:t>
            </w:r>
            <w:r>
              <w:rPr>
                <w:rFonts w:cs="Times New Roman" w:hint="eastAsia"/>
                <w:kern w:val="21"/>
                <w:szCs w:val="21"/>
              </w:rPr>
              <w:t>场内设置天然气锅炉</w:t>
            </w:r>
            <w:r>
              <w:rPr>
                <w:rFonts w:cs="Times New Roman" w:hint="eastAsia"/>
                <w:kern w:val="21"/>
                <w:szCs w:val="21"/>
              </w:rPr>
              <w:t>1</w:t>
            </w:r>
            <w:r>
              <w:rPr>
                <w:rFonts w:cs="Times New Roman" w:hint="eastAsia"/>
                <w:kern w:val="21"/>
                <w:szCs w:val="21"/>
              </w:rPr>
              <w:t>个（</w:t>
            </w:r>
            <w:r>
              <w:rPr>
                <w:rFonts w:cs="Times New Roman" w:hint="eastAsia"/>
                <w:kern w:val="21"/>
                <w:szCs w:val="21"/>
              </w:rPr>
              <w:t>140kw</w:t>
            </w:r>
            <w:r>
              <w:rPr>
                <w:rFonts w:cs="Times New Roman" w:hint="eastAsia"/>
                <w:kern w:val="21"/>
                <w:szCs w:val="21"/>
              </w:rPr>
              <w:t>），用于场内人员生活用水及蛋品清洗用水供热。</w:t>
            </w:r>
          </w:p>
        </w:tc>
        <w:tc>
          <w:tcPr>
            <w:tcW w:w="694" w:type="dxa"/>
            <w:vMerge/>
            <w:vAlign w:val="center"/>
          </w:tcPr>
          <w:p w14:paraId="7EF7EBB5"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081A846E"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天然气燃烧废气、</w:t>
            </w:r>
            <w:r>
              <w:rPr>
                <w:rFonts w:cs="Times New Roman"/>
                <w:kern w:val="21"/>
                <w:szCs w:val="21"/>
              </w:rPr>
              <w:lastRenderedPageBreak/>
              <w:t>噪声</w:t>
            </w:r>
          </w:p>
        </w:tc>
        <w:tc>
          <w:tcPr>
            <w:tcW w:w="442" w:type="dxa"/>
            <w:vAlign w:val="center"/>
          </w:tcPr>
          <w:p w14:paraId="7C57253B"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lastRenderedPageBreak/>
              <w:t>新建</w:t>
            </w:r>
          </w:p>
        </w:tc>
      </w:tr>
      <w:tr w:rsidR="00544649" w14:paraId="1E3FA79F" w14:textId="77777777">
        <w:trPr>
          <w:trHeight w:val="90"/>
          <w:jc w:val="center"/>
        </w:trPr>
        <w:tc>
          <w:tcPr>
            <w:tcW w:w="582" w:type="dxa"/>
            <w:gridSpan w:val="2"/>
            <w:vMerge/>
            <w:vAlign w:val="center"/>
          </w:tcPr>
          <w:p w14:paraId="4292FD56" w14:textId="77777777" w:rsidR="00544649" w:rsidRDefault="00544649">
            <w:pPr>
              <w:pStyle w:val="aff7"/>
              <w:adjustRightInd w:val="0"/>
              <w:snapToGrid w:val="0"/>
              <w:spacing w:beforeLines="0" w:before="0" w:afterLines="0" w:after="0"/>
              <w:rPr>
                <w:rFonts w:cs="Times New Roman"/>
                <w:kern w:val="21"/>
                <w:szCs w:val="21"/>
              </w:rPr>
            </w:pPr>
          </w:p>
        </w:tc>
        <w:tc>
          <w:tcPr>
            <w:tcW w:w="1279" w:type="dxa"/>
            <w:gridSpan w:val="2"/>
            <w:vAlign w:val="center"/>
          </w:tcPr>
          <w:p w14:paraId="1C0DB166"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消毒</w:t>
            </w:r>
            <w:r>
              <w:rPr>
                <w:rFonts w:cs="Times New Roman" w:hint="eastAsia"/>
                <w:kern w:val="21"/>
                <w:szCs w:val="21"/>
              </w:rPr>
              <w:t>间</w:t>
            </w:r>
          </w:p>
        </w:tc>
        <w:tc>
          <w:tcPr>
            <w:tcW w:w="4932" w:type="dxa"/>
            <w:vAlign w:val="center"/>
          </w:tcPr>
          <w:p w14:paraId="545B51C6" w14:textId="77777777" w:rsidR="00544649" w:rsidRDefault="00000000">
            <w:pPr>
              <w:pStyle w:val="aff7"/>
              <w:adjustRightInd w:val="0"/>
              <w:snapToGrid w:val="0"/>
              <w:spacing w:beforeLines="0" w:before="0" w:afterLines="0" w:after="0"/>
              <w:jc w:val="both"/>
              <w:rPr>
                <w:b/>
                <w:bCs/>
                <w:szCs w:val="21"/>
              </w:rPr>
            </w:pPr>
            <w:r>
              <w:rPr>
                <w:rFonts w:hint="eastAsia"/>
                <w:b/>
                <w:bCs/>
                <w:szCs w:val="21"/>
              </w:rPr>
              <w:t>育雏场：</w:t>
            </w:r>
            <w:r>
              <w:rPr>
                <w:rFonts w:hint="eastAsia"/>
                <w:szCs w:val="21"/>
              </w:rPr>
              <w:t>厂区东北侧设置有门卫室及人员消毒通道。</w:t>
            </w:r>
          </w:p>
          <w:p w14:paraId="4E5CE9DA" w14:textId="77777777" w:rsidR="00544649" w:rsidRDefault="00000000">
            <w:pPr>
              <w:pStyle w:val="aff7"/>
              <w:adjustRightInd w:val="0"/>
              <w:snapToGrid w:val="0"/>
              <w:spacing w:beforeLines="0" w:before="0" w:afterLines="0" w:after="0"/>
              <w:jc w:val="both"/>
              <w:rPr>
                <w:rFonts w:cs="Times New Roman"/>
                <w:b/>
                <w:bCs/>
                <w:kern w:val="21"/>
                <w:szCs w:val="21"/>
              </w:rPr>
            </w:pPr>
            <w:r>
              <w:rPr>
                <w:rFonts w:hint="eastAsia"/>
                <w:b/>
                <w:bCs/>
                <w:szCs w:val="21"/>
              </w:rPr>
              <w:t>蛋鸡场：</w:t>
            </w:r>
            <w:r>
              <w:rPr>
                <w:szCs w:val="21"/>
              </w:rPr>
              <w:t>项目</w:t>
            </w:r>
            <w:r>
              <w:rPr>
                <w:rFonts w:hint="eastAsia"/>
                <w:szCs w:val="21"/>
              </w:rPr>
              <w:t>厂区东北侧蛋库及饲料出入口设置消毒间，用于进场物资消毒。</w:t>
            </w:r>
          </w:p>
        </w:tc>
        <w:tc>
          <w:tcPr>
            <w:tcW w:w="694" w:type="dxa"/>
            <w:vMerge/>
            <w:vAlign w:val="center"/>
          </w:tcPr>
          <w:p w14:paraId="5D8430A0"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334A6190"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w:t>
            </w:r>
          </w:p>
        </w:tc>
        <w:tc>
          <w:tcPr>
            <w:tcW w:w="442" w:type="dxa"/>
            <w:vAlign w:val="center"/>
          </w:tcPr>
          <w:p w14:paraId="478D9952"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0D30245E" w14:textId="77777777">
        <w:trPr>
          <w:trHeight w:val="90"/>
          <w:jc w:val="center"/>
        </w:trPr>
        <w:tc>
          <w:tcPr>
            <w:tcW w:w="582" w:type="dxa"/>
            <w:gridSpan w:val="2"/>
            <w:vMerge/>
            <w:vAlign w:val="center"/>
          </w:tcPr>
          <w:p w14:paraId="0B0E4785" w14:textId="77777777" w:rsidR="00544649" w:rsidRDefault="00544649">
            <w:pPr>
              <w:pStyle w:val="aff7"/>
              <w:adjustRightInd w:val="0"/>
              <w:snapToGrid w:val="0"/>
              <w:spacing w:beforeLines="0" w:before="0" w:afterLines="0" w:after="0"/>
              <w:rPr>
                <w:rFonts w:cs="Times New Roman"/>
                <w:kern w:val="21"/>
                <w:szCs w:val="21"/>
              </w:rPr>
            </w:pPr>
          </w:p>
        </w:tc>
        <w:tc>
          <w:tcPr>
            <w:tcW w:w="1279" w:type="dxa"/>
            <w:gridSpan w:val="2"/>
            <w:vAlign w:val="center"/>
          </w:tcPr>
          <w:p w14:paraId="3DDA7B1B"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临时库房</w:t>
            </w:r>
          </w:p>
        </w:tc>
        <w:tc>
          <w:tcPr>
            <w:tcW w:w="4932" w:type="dxa"/>
            <w:vAlign w:val="center"/>
          </w:tcPr>
          <w:p w14:paraId="01B180B9"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蛋鸡场：</w:t>
            </w:r>
            <w:r>
              <w:rPr>
                <w:rFonts w:cs="Times New Roman" w:hint="eastAsia"/>
                <w:kern w:val="21"/>
                <w:szCs w:val="21"/>
              </w:rPr>
              <w:t>场内设置临时库房一间，建筑面积约为</w:t>
            </w:r>
            <w:r>
              <w:rPr>
                <w:rFonts w:cs="Times New Roman" w:hint="eastAsia"/>
                <w:kern w:val="21"/>
                <w:szCs w:val="21"/>
              </w:rPr>
              <w:t>1400m</w:t>
            </w:r>
            <w:r>
              <w:rPr>
                <w:rFonts w:cs="Times New Roman" w:hint="eastAsia"/>
                <w:kern w:val="21"/>
                <w:szCs w:val="21"/>
                <w:vertAlign w:val="superscript"/>
              </w:rPr>
              <w:t>2</w:t>
            </w:r>
            <w:r>
              <w:rPr>
                <w:rFonts w:cs="Times New Roman" w:hint="eastAsia"/>
                <w:kern w:val="21"/>
                <w:szCs w:val="21"/>
              </w:rPr>
              <w:t>，用于场内生产、生活物资存放。</w:t>
            </w:r>
          </w:p>
        </w:tc>
        <w:tc>
          <w:tcPr>
            <w:tcW w:w="694" w:type="dxa"/>
            <w:vMerge/>
            <w:vAlign w:val="center"/>
          </w:tcPr>
          <w:p w14:paraId="11A3D861"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55B0CA4B"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w:t>
            </w:r>
          </w:p>
        </w:tc>
        <w:tc>
          <w:tcPr>
            <w:tcW w:w="442" w:type="dxa"/>
            <w:vAlign w:val="center"/>
          </w:tcPr>
          <w:p w14:paraId="7A4D93E8"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0B7DD6E3" w14:textId="77777777">
        <w:trPr>
          <w:jc w:val="center"/>
        </w:trPr>
        <w:tc>
          <w:tcPr>
            <w:tcW w:w="582" w:type="dxa"/>
            <w:gridSpan w:val="2"/>
            <w:vMerge w:val="restart"/>
            <w:vAlign w:val="center"/>
          </w:tcPr>
          <w:p w14:paraId="0AEFF202"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公用工程</w:t>
            </w:r>
          </w:p>
        </w:tc>
        <w:tc>
          <w:tcPr>
            <w:tcW w:w="1279" w:type="dxa"/>
            <w:gridSpan w:val="2"/>
            <w:vAlign w:val="center"/>
          </w:tcPr>
          <w:p w14:paraId="3223F19F"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供电</w:t>
            </w:r>
          </w:p>
        </w:tc>
        <w:tc>
          <w:tcPr>
            <w:tcW w:w="4932" w:type="dxa"/>
            <w:vAlign w:val="center"/>
          </w:tcPr>
          <w:p w14:paraId="27F931C3"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育雏场、蛋鸡场：</w:t>
            </w:r>
            <w:r>
              <w:rPr>
                <w:rFonts w:cs="Times New Roman" w:hint="eastAsia"/>
                <w:kern w:val="21"/>
                <w:szCs w:val="21"/>
              </w:rPr>
              <w:t>场内用电依托当地</w:t>
            </w:r>
            <w:r>
              <w:rPr>
                <w:rFonts w:cs="Times New Roman"/>
                <w:kern w:val="21"/>
                <w:szCs w:val="21"/>
              </w:rPr>
              <w:t>电网</w:t>
            </w:r>
            <w:r>
              <w:rPr>
                <w:rFonts w:cs="Times New Roman" w:hint="eastAsia"/>
                <w:kern w:val="21"/>
                <w:szCs w:val="21"/>
              </w:rPr>
              <w:t>供给</w:t>
            </w:r>
            <w:r>
              <w:rPr>
                <w:rFonts w:cs="Times New Roman"/>
                <w:kern w:val="21"/>
                <w:szCs w:val="21"/>
              </w:rPr>
              <w:t>。</w:t>
            </w:r>
          </w:p>
        </w:tc>
        <w:tc>
          <w:tcPr>
            <w:tcW w:w="694" w:type="dxa"/>
            <w:vMerge/>
            <w:vAlign w:val="center"/>
          </w:tcPr>
          <w:p w14:paraId="1DF6C6E1"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1F3872B1"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w:t>
            </w:r>
          </w:p>
        </w:tc>
        <w:tc>
          <w:tcPr>
            <w:tcW w:w="442" w:type="dxa"/>
            <w:vAlign w:val="center"/>
          </w:tcPr>
          <w:p w14:paraId="5394B8AE"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依托</w:t>
            </w:r>
          </w:p>
        </w:tc>
      </w:tr>
      <w:tr w:rsidR="00544649" w14:paraId="424B7F6A" w14:textId="77777777">
        <w:trPr>
          <w:jc w:val="center"/>
        </w:trPr>
        <w:tc>
          <w:tcPr>
            <w:tcW w:w="582" w:type="dxa"/>
            <w:gridSpan w:val="2"/>
            <w:vMerge/>
            <w:vAlign w:val="center"/>
          </w:tcPr>
          <w:p w14:paraId="75A9769D" w14:textId="77777777" w:rsidR="00544649" w:rsidRDefault="00544649">
            <w:pPr>
              <w:pStyle w:val="aff7"/>
              <w:adjustRightInd w:val="0"/>
              <w:snapToGrid w:val="0"/>
              <w:spacing w:beforeLines="0" w:before="0" w:afterLines="0" w:after="0"/>
              <w:rPr>
                <w:rFonts w:cs="Times New Roman"/>
                <w:kern w:val="21"/>
                <w:szCs w:val="21"/>
              </w:rPr>
            </w:pPr>
          </w:p>
        </w:tc>
        <w:tc>
          <w:tcPr>
            <w:tcW w:w="1279" w:type="dxa"/>
            <w:gridSpan w:val="2"/>
            <w:vAlign w:val="center"/>
          </w:tcPr>
          <w:p w14:paraId="01384F10"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配电房</w:t>
            </w:r>
          </w:p>
        </w:tc>
        <w:tc>
          <w:tcPr>
            <w:tcW w:w="4932" w:type="dxa"/>
            <w:vAlign w:val="center"/>
          </w:tcPr>
          <w:p w14:paraId="683DCD2F"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育雏场：</w:t>
            </w:r>
            <w:r>
              <w:rPr>
                <w:rFonts w:cs="Times New Roman"/>
                <w:kern w:val="21"/>
                <w:szCs w:val="21"/>
              </w:rPr>
              <w:t>场区内</w:t>
            </w:r>
            <w:r>
              <w:rPr>
                <w:rFonts w:cs="Times New Roman" w:hint="eastAsia"/>
                <w:kern w:val="21"/>
                <w:szCs w:val="21"/>
              </w:rPr>
              <w:t>建设配电室</w:t>
            </w:r>
            <w:r>
              <w:rPr>
                <w:rFonts w:cs="Times New Roman" w:hint="eastAsia"/>
                <w:kern w:val="21"/>
                <w:szCs w:val="21"/>
              </w:rPr>
              <w:t>1</w:t>
            </w:r>
            <w:r>
              <w:rPr>
                <w:rFonts w:cs="Times New Roman" w:hint="eastAsia"/>
                <w:kern w:val="21"/>
                <w:szCs w:val="21"/>
              </w:rPr>
              <w:t>间，位于厂区东侧。</w:t>
            </w:r>
          </w:p>
          <w:p w14:paraId="25F58301"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蛋鸡场：</w:t>
            </w:r>
            <w:r>
              <w:rPr>
                <w:rFonts w:cs="Times New Roman" w:hint="eastAsia"/>
                <w:kern w:val="21"/>
                <w:szCs w:val="21"/>
              </w:rPr>
              <w:t>场区内建设配电室</w:t>
            </w:r>
            <w:r>
              <w:rPr>
                <w:rFonts w:cs="Times New Roman" w:hint="eastAsia"/>
                <w:kern w:val="21"/>
                <w:szCs w:val="21"/>
              </w:rPr>
              <w:t>1</w:t>
            </w:r>
            <w:r>
              <w:rPr>
                <w:rFonts w:cs="Times New Roman" w:hint="eastAsia"/>
                <w:kern w:val="21"/>
                <w:szCs w:val="21"/>
              </w:rPr>
              <w:t>间，位于</w:t>
            </w:r>
            <w:proofErr w:type="gramStart"/>
            <w:r>
              <w:rPr>
                <w:rFonts w:cs="Times New Roman" w:hint="eastAsia"/>
                <w:kern w:val="21"/>
                <w:szCs w:val="21"/>
              </w:rPr>
              <w:t>厂区西</w:t>
            </w:r>
            <w:proofErr w:type="gramEnd"/>
            <w:r>
              <w:rPr>
                <w:rFonts w:cs="Times New Roman" w:hint="eastAsia"/>
                <w:kern w:val="21"/>
                <w:szCs w:val="21"/>
              </w:rPr>
              <w:t>北侧。</w:t>
            </w:r>
          </w:p>
        </w:tc>
        <w:tc>
          <w:tcPr>
            <w:tcW w:w="694" w:type="dxa"/>
            <w:vMerge/>
            <w:vAlign w:val="center"/>
          </w:tcPr>
          <w:p w14:paraId="56AF9720"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294597B2"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w:t>
            </w:r>
          </w:p>
        </w:tc>
        <w:tc>
          <w:tcPr>
            <w:tcW w:w="442" w:type="dxa"/>
            <w:vAlign w:val="center"/>
          </w:tcPr>
          <w:p w14:paraId="6DD93ECF"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5DFB6578" w14:textId="77777777">
        <w:trPr>
          <w:jc w:val="center"/>
        </w:trPr>
        <w:tc>
          <w:tcPr>
            <w:tcW w:w="582" w:type="dxa"/>
            <w:gridSpan w:val="2"/>
            <w:vMerge/>
            <w:vAlign w:val="center"/>
          </w:tcPr>
          <w:p w14:paraId="6563D4DB" w14:textId="77777777" w:rsidR="00544649" w:rsidRDefault="00544649">
            <w:pPr>
              <w:pStyle w:val="aff7"/>
              <w:adjustRightInd w:val="0"/>
              <w:snapToGrid w:val="0"/>
              <w:spacing w:beforeLines="0" w:before="0" w:afterLines="0" w:after="0"/>
              <w:rPr>
                <w:rFonts w:cs="Times New Roman"/>
                <w:kern w:val="21"/>
                <w:szCs w:val="21"/>
              </w:rPr>
            </w:pPr>
          </w:p>
        </w:tc>
        <w:tc>
          <w:tcPr>
            <w:tcW w:w="1279" w:type="dxa"/>
            <w:gridSpan w:val="2"/>
            <w:vAlign w:val="center"/>
          </w:tcPr>
          <w:p w14:paraId="41E9BD1C"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发电机房</w:t>
            </w:r>
          </w:p>
        </w:tc>
        <w:tc>
          <w:tcPr>
            <w:tcW w:w="4932" w:type="dxa"/>
            <w:vAlign w:val="center"/>
          </w:tcPr>
          <w:p w14:paraId="3F08B60F"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育雏场：</w:t>
            </w:r>
            <w:r>
              <w:rPr>
                <w:rFonts w:cs="Times New Roman" w:hint="eastAsia"/>
                <w:kern w:val="21"/>
                <w:szCs w:val="21"/>
              </w:rPr>
              <w:t>场内新建备用发电机房一间，位于配电室旁，设置两台备用发电机（</w:t>
            </w:r>
            <w:r>
              <w:rPr>
                <w:rFonts w:cs="Times New Roman" w:hint="eastAsia"/>
                <w:kern w:val="21"/>
                <w:szCs w:val="21"/>
              </w:rPr>
              <w:t>200KW</w:t>
            </w:r>
            <w:r>
              <w:rPr>
                <w:rFonts w:cs="Times New Roman" w:hint="eastAsia"/>
                <w:kern w:val="21"/>
                <w:szCs w:val="21"/>
              </w:rPr>
              <w:t>两台），用于厂区断电时紧急发电。紧邻备用发电机</w:t>
            </w:r>
            <w:proofErr w:type="gramStart"/>
            <w:r>
              <w:rPr>
                <w:rFonts w:cs="Times New Roman" w:hint="eastAsia"/>
                <w:kern w:val="21"/>
                <w:szCs w:val="21"/>
              </w:rPr>
              <w:t>房设置</w:t>
            </w:r>
            <w:proofErr w:type="gramEnd"/>
            <w:r>
              <w:rPr>
                <w:rFonts w:cs="Times New Roman" w:hint="eastAsia"/>
                <w:kern w:val="21"/>
                <w:szCs w:val="21"/>
              </w:rPr>
              <w:t>储油间一个，用于发电机柴油储存。</w:t>
            </w:r>
          </w:p>
          <w:p w14:paraId="4C3D43F3"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蛋鸡场：</w:t>
            </w:r>
            <w:r>
              <w:rPr>
                <w:rFonts w:cs="Times New Roman" w:hint="eastAsia"/>
                <w:kern w:val="21"/>
                <w:szCs w:val="21"/>
              </w:rPr>
              <w:t>场内新建备用发电机房一间，位于配电室旁，设置两台备用发电机（</w:t>
            </w:r>
            <w:r>
              <w:rPr>
                <w:rFonts w:cs="Times New Roman" w:hint="eastAsia"/>
                <w:kern w:val="21"/>
                <w:szCs w:val="21"/>
              </w:rPr>
              <w:t>300KW</w:t>
            </w:r>
            <w:r>
              <w:rPr>
                <w:rFonts w:cs="Times New Roman" w:hint="eastAsia"/>
                <w:kern w:val="21"/>
                <w:szCs w:val="21"/>
              </w:rPr>
              <w:t>两台），用于厂区断电时紧急发电。紧邻备用发电机</w:t>
            </w:r>
            <w:proofErr w:type="gramStart"/>
            <w:r>
              <w:rPr>
                <w:rFonts w:cs="Times New Roman" w:hint="eastAsia"/>
                <w:kern w:val="21"/>
                <w:szCs w:val="21"/>
              </w:rPr>
              <w:t>房设置</w:t>
            </w:r>
            <w:proofErr w:type="gramEnd"/>
            <w:r>
              <w:rPr>
                <w:rFonts w:cs="Times New Roman" w:hint="eastAsia"/>
                <w:kern w:val="21"/>
                <w:szCs w:val="21"/>
              </w:rPr>
              <w:t>储油间一个，用于发电机柴油储存。</w:t>
            </w:r>
          </w:p>
        </w:tc>
        <w:tc>
          <w:tcPr>
            <w:tcW w:w="694" w:type="dxa"/>
            <w:vMerge/>
            <w:vAlign w:val="center"/>
          </w:tcPr>
          <w:p w14:paraId="6564ADB2"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62687F7F"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柴油发电机废气、噪声</w:t>
            </w:r>
          </w:p>
        </w:tc>
        <w:tc>
          <w:tcPr>
            <w:tcW w:w="442" w:type="dxa"/>
            <w:vAlign w:val="center"/>
          </w:tcPr>
          <w:p w14:paraId="5DF01250"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1A575F5F" w14:textId="77777777">
        <w:trPr>
          <w:trHeight w:val="90"/>
          <w:jc w:val="center"/>
        </w:trPr>
        <w:tc>
          <w:tcPr>
            <w:tcW w:w="582" w:type="dxa"/>
            <w:gridSpan w:val="2"/>
            <w:vMerge/>
            <w:vAlign w:val="center"/>
          </w:tcPr>
          <w:p w14:paraId="1070A7B4" w14:textId="77777777" w:rsidR="00544649" w:rsidRDefault="00544649">
            <w:pPr>
              <w:pStyle w:val="aff7"/>
              <w:adjustRightInd w:val="0"/>
              <w:snapToGrid w:val="0"/>
              <w:spacing w:beforeLines="0" w:before="0" w:afterLines="0" w:after="0"/>
              <w:rPr>
                <w:rFonts w:cs="Times New Roman"/>
                <w:kern w:val="21"/>
                <w:szCs w:val="21"/>
              </w:rPr>
            </w:pPr>
          </w:p>
        </w:tc>
        <w:tc>
          <w:tcPr>
            <w:tcW w:w="1279" w:type="dxa"/>
            <w:gridSpan w:val="2"/>
            <w:vAlign w:val="center"/>
          </w:tcPr>
          <w:p w14:paraId="4CDE6893"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暖通</w:t>
            </w:r>
          </w:p>
        </w:tc>
        <w:tc>
          <w:tcPr>
            <w:tcW w:w="4932" w:type="dxa"/>
            <w:vAlign w:val="center"/>
          </w:tcPr>
          <w:p w14:paraId="0B5EB47C"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育雏场：</w:t>
            </w:r>
            <w:r>
              <w:rPr>
                <w:rFonts w:cs="Times New Roman" w:hint="eastAsia"/>
                <w:kern w:val="21"/>
                <w:szCs w:val="21"/>
              </w:rPr>
              <w:t>育雏</w:t>
            </w:r>
            <w:r>
              <w:rPr>
                <w:rFonts w:cs="Times New Roman"/>
                <w:kern w:val="21"/>
                <w:szCs w:val="21"/>
              </w:rPr>
              <w:t>鸡舍通风主要采用机械通风，夏季采用水帘降温并保持鸡舍湿度、温度；冬季</w:t>
            </w:r>
            <w:r>
              <w:rPr>
                <w:rFonts w:cs="Times New Roman" w:hint="eastAsia"/>
                <w:kern w:val="21"/>
                <w:szCs w:val="21"/>
              </w:rPr>
              <w:t>鸡舍供暖</w:t>
            </w:r>
            <w:r>
              <w:rPr>
                <w:rFonts w:cs="Times New Roman"/>
                <w:kern w:val="21"/>
                <w:szCs w:val="21"/>
              </w:rPr>
              <w:t>通过</w:t>
            </w:r>
            <w:r>
              <w:rPr>
                <w:rFonts w:cs="Times New Roman" w:hint="eastAsia"/>
                <w:kern w:val="21"/>
                <w:szCs w:val="21"/>
              </w:rPr>
              <w:t>天然气加热</w:t>
            </w:r>
            <w:r>
              <w:rPr>
                <w:rFonts w:cs="Times New Roman"/>
                <w:kern w:val="21"/>
                <w:szCs w:val="21"/>
              </w:rPr>
              <w:t>保持</w:t>
            </w:r>
            <w:r>
              <w:rPr>
                <w:rFonts w:cs="Times New Roman" w:hint="eastAsia"/>
                <w:kern w:val="21"/>
                <w:szCs w:val="21"/>
              </w:rPr>
              <w:t>育雏</w:t>
            </w:r>
            <w:r>
              <w:rPr>
                <w:rFonts w:cs="Times New Roman"/>
                <w:kern w:val="21"/>
                <w:szCs w:val="21"/>
              </w:rPr>
              <w:t>鸡舍温度</w:t>
            </w:r>
            <w:r>
              <w:rPr>
                <w:rFonts w:cs="Times New Roman" w:hint="eastAsia"/>
                <w:kern w:val="21"/>
                <w:szCs w:val="21"/>
              </w:rPr>
              <w:t>，鸡舍每栋设置</w:t>
            </w:r>
            <w:r>
              <w:rPr>
                <w:rFonts w:cs="Times New Roman" w:hint="eastAsia"/>
                <w:kern w:val="21"/>
                <w:szCs w:val="21"/>
              </w:rPr>
              <w:t>6</w:t>
            </w:r>
            <w:r>
              <w:rPr>
                <w:rFonts w:cs="Times New Roman" w:hint="eastAsia"/>
                <w:kern w:val="21"/>
                <w:szCs w:val="21"/>
              </w:rPr>
              <w:t>台天然气加热设备（天然气为能源物质，燃烧产生热能，由加热设备将热风吹入至鸡舍中达到鸡舍保暖的目的），两栋共计设置</w:t>
            </w:r>
            <w:r>
              <w:rPr>
                <w:rFonts w:cs="Times New Roman" w:hint="eastAsia"/>
                <w:kern w:val="21"/>
                <w:szCs w:val="21"/>
              </w:rPr>
              <w:t>12</w:t>
            </w:r>
            <w:r>
              <w:rPr>
                <w:rFonts w:cs="Times New Roman" w:hint="eastAsia"/>
                <w:kern w:val="21"/>
                <w:szCs w:val="21"/>
              </w:rPr>
              <w:t>台</w:t>
            </w:r>
            <w:r>
              <w:rPr>
                <w:rFonts w:cs="Times New Roman"/>
                <w:kern w:val="21"/>
                <w:szCs w:val="21"/>
              </w:rPr>
              <w:t>。</w:t>
            </w:r>
            <w:r>
              <w:rPr>
                <w:rFonts w:cs="Times New Roman" w:hint="eastAsia"/>
                <w:kern w:val="21"/>
                <w:szCs w:val="21"/>
              </w:rPr>
              <w:t>场内人员生活用热水采用</w:t>
            </w:r>
            <w:r>
              <w:rPr>
                <w:rFonts w:cs="Times New Roman" w:hint="eastAsia"/>
                <w:kern w:val="21"/>
                <w:szCs w:val="21"/>
              </w:rPr>
              <w:t>1</w:t>
            </w:r>
            <w:r>
              <w:rPr>
                <w:rFonts w:cs="Times New Roman" w:hint="eastAsia"/>
                <w:kern w:val="21"/>
                <w:szCs w:val="21"/>
              </w:rPr>
              <w:t>台天然气锅炉供热。</w:t>
            </w:r>
          </w:p>
          <w:p w14:paraId="4B3EADCC"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蛋鸡场：</w:t>
            </w:r>
            <w:r>
              <w:rPr>
                <w:rFonts w:cs="Times New Roman" w:hint="eastAsia"/>
                <w:kern w:val="21"/>
                <w:szCs w:val="21"/>
              </w:rPr>
              <w:t>蛋鸡舍不设置供暖系统，鸡舍通风主要采用机械通风，夏季采用水帘降温并保持鸡舍湿度、温度；冬季鸡舍通过调节风机开启数量调节鸡舍换气风量保持蛋鸡舍温度。场内人员生活用水、鸡蛋清洗用水加热采用</w:t>
            </w:r>
            <w:r>
              <w:rPr>
                <w:rFonts w:cs="Times New Roman" w:hint="eastAsia"/>
                <w:kern w:val="21"/>
                <w:szCs w:val="21"/>
              </w:rPr>
              <w:t>1</w:t>
            </w:r>
            <w:r>
              <w:rPr>
                <w:rFonts w:cs="Times New Roman" w:hint="eastAsia"/>
                <w:kern w:val="21"/>
                <w:szCs w:val="21"/>
              </w:rPr>
              <w:t>台天然气热水锅炉供热。</w:t>
            </w:r>
          </w:p>
        </w:tc>
        <w:tc>
          <w:tcPr>
            <w:tcW w:w="694" w:type="dxa"/>
            <w:vMerge/>
            <w:vAlign w:val="center"/>
          </w:tcPr>
          <w:p w14:paraId="3E9E4027"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580FF83A"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天然气燃烧废气、</w:t>
            </w:r>
            <w:r>
              <w:rPr>
                <w:rFonts w:cs="Times New Roman"/>
                <w:kern w:val="21"/>
                <w:szCs w:val="21"/>
              </w:rPr>
              <w:t>噪声</w:t>
            </w:r>
          </w:p>
        </w:tc>
        <w:tc>
          <w:tcPr>
            <w:tcW w:w="442" w:type="dxa"/>
            <w:vAlign w:val="center"/>
          </w:tcPr>
          <w:p w14:paraId="77B29DA9"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1F74DAFC" w14:textId="77777777">
        <w:trPr>
          <w:trHeight w:val="269"/>
          <w:jc w:val="center"/>
        </w:trPr>
        <w:tc>
          <w:tcPr>
            <w:tcW w:w="582" w:type="dxa"/>
            <w:gridSpan w:val="2"/>
            <w:vMerge/>
            <w:vAlign w:val="center"/>
          </w:tcPr>
          <w:p w14:paraId="24F28679" w14:textId="77777777" w:rsidR="00544649" w:rsidRDefault="00544649">
            <w:pPr>
              <w:pStyle w:val="aff7"/>
              <w:adjustRightInd w:val="0"/>
              <w:snapToGrid w:val="0"/>
              <w:spacing w:beforeLines="0" w:before="0" w:afterLines="0" w:after="0"/>
              <w:rPr>
                <w:rFonts w:cs="Times New Roman"/>
                <w:kern w:val="21"/>
                <w:szCs w:val="21"/>
              </w:rPr>
            </w:pPr>
          </w:p>
        </w:tc>
        <w:tc>
          <w:tcPr>
            <w:tcW w:w="1279" w:type="dxa"/>
            <w:gridSpan w:val="2"/>
            <w:vAlign w:val="center"/>
          </w:tcPr>
          <w:p w14:paraId="071D83F6"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供水系统</w:t>
            </w:r>
          </w:p>
        </w:tc>
        <w:tc>
          <w:tcPr>
            <w:tcW w:w="4932" w:type="dxa"/>
            <w:vAlign w:val="center"/>
          </w:tcPr>
          <w:p w14:paraId="125C2A18" w14:textId="77777777" w:rsidR="00544649" w:rsidRDefault="00000000">
            <w:pPr>
              <w:pStyle w:val="aff7"/>
              <w:adjustRightInd w:val="0"/>
              <w:snapToGrid w:val="0"/>
              <w:spacing w:beforeLines="0" w:before="0" w:afterLines="0" w:after="0"/>
              <w:jc w:val="both"/>
              <w:rPr>
                <w:rFonts w:cs="Times New Roman"/>
                <w:kern w:val="21"/>
                <w:szCs w:val="21"/>
              </w:rPr>
            </w:pPr>
            <w:r>
              <w:rPr>
                <w:rFonts w:hint="eastAsia"/>
                <w:b/>
                <w:bCs/>
                <w:szCs w:val="21"/>
              </w:rPr>
              <w:t>育雏场、蛋鸡场：</w:t>
            </w:r>
            <w:r>
              <w:rPr>
                <w:szCs w:val="21"/>
              </w:rPr>
              <w:t>由当地自来水</w:t>
            </w:r>
            <w:r>
              <w:rPr>
                <w:rFonts w:hint="eastAsia"/>
                <w:szCs w:val="21"/>
              </w:rPr>
              <w:t>管网</w:t>
            </w:r>
            <w:r>
              <w:rPr>
                <w:szCs w:val="21"/>
              </w:rPr>
              <w:t>供水</w:t>
            </w:r>
            <w:r>
              <w:rPr>
                <w:rFonts w:hint="eastAsia"/>
                <w:szCs w:val="21"/>
              </w:rPr>
              <w:t>。</w:t>
            </w:r>
          </w:p>
        </w:tc>
        <w:tc>
          <w:tcPr>
            <w:tcW w:w="694" w:type="dxa"/>
            <w:vMerge/>
            <w:vAlign w:val="center"/>
          </w:tcPr>
          <w:p w14:paraId="74C79742"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2802B630"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w:t>
            </w:r>
          </w:p>
        </w:tc>
        <w:tc>
          <w:tcPr>
            <w:tcW w:w="442" w:type="dxa"/>
            <w:vAlign w:val="center"/>
          </w:tcPr>
          <w:p w14:paraId="0B1428FB"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依托</w:t>
            </w:r>
          </w:p>
        </w:tc>
      </w:tr>
      <w:tr w:rsidR="00544649" w14:paraId="31713A16" w14:textId="77777777">
        <w:trPr>
          <w:trHeight w:val="269"/>
          <w:jc w:val="center"/>
        </w:trPr>
        <w:tc>
          <w:tcPr>
            <w:tcW w:w="582" w:type="dxa"/>
            <w:gridSpan w:val="2"/>
            <w:vMerge/>
            <w:vAlign w:val="center"/>
          </w:tcPr>
          <w:p w14:paraId="6101B90E" w14:textId="77777777" w:rsidR="00544649" w:rsidRDefault="00544649">
            <w:pPr>
              <w:pStyle w:val="aff7"/>
              <w:adjustRightInd w:val="0"/>
              <w:snapToGrid w:val="0"/>
              <w:spacing w:beforeLines="0" w:before="0" w:afterLines="0" w:after="0"/>
              <w:rPr>
                <w:rFonts w:cs="Times New Roman"/>
                <w:kern w:val="21"/>
                <w:szCs w:val="21"/>
              </w:rPr>
            </w:pPr>
          </w:p>
        </w:tc>
        <w:tc>
          <w:tcPr>
            <w:tcW w:w="1279" w:type="dxa"/>
            <w:gridSpan w:val="2"/>
            <w:vAlign w:val="center"/>
          </w:tcPr>
          <w:p w14:paraId="1A25412E"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排水系统</w:t>
            </w:r>
          </w:p>
        </w:tc>
        <w:tc>
          <w:tcPr>
            <w:tcW w:w="4932" w:type="dxa"/>
            <w:vAlign w:val="center"/>
          </w:tcPr>
          <w:p w14:paraId="22423530"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kern w:val="21"/>
                <w:szCs w:val="21"/>
              </w:rPr>
              <w:t>厂区</w:t>
            </w:r>
            <w:r>
              <w:rPr>
                <w:rFonts w:cs="Times New Roman" w:hint="eastAsia"/>
                <w:kern w:val="21"/>
                <w:szCs w:val="21"/>
              </w:rPr>
              <w:t>实行</w:t>
            </w:r>
            <w:r>
              <w:rPr>
                <w:rFonts w:cs="Times New Roman"/>
                <w:kern w:val="21"/>
                <w:szCs w:val="21"/>
              </w:rPr>
              <w:t>雨污分流。</w:t>
            </w:r>
            <w:bookmarkStart w:id="209" w:name="_Hlk194592641"/>
            <w:r>
              <w:rPr>
                <w:rFonts w:cs="Times New Roman" w:hint="eastAsia"/>
                <w:kern w:val="21"/>
                <w:szCs w:val="21"/>
              </w:rPr>
              <w:t>项目</w:t>
            </w:r>
            <w:proofErr w:type="gramStart"/>
            <w:r>
              <w:rPr>
                <w:rFonts w:cs="Times New Roman" w:hint="eastAsia"/>
                <w:kern w:val="21"/>
                <w:szCs w:val="21"/>
              </w:rPr>
              <w:t>育雏场</w:t>
            </w:r>
            <w:proofErr w:type="gramEnd"/>
            <w:r>
              <w:rPr>
                <w:rFonts w:cs="Times New Roman" w:hint="eastAsia"/>
                <w:kern w:val="21"/>
                <w:szCs w:val="21"/>
              </w:rPr>
              <w:t>和蛋鸡场分别设置初期雨水收集池，各养殖场区域初期雨水通过雨水沟收集，进入末端收集池，收集后的初期雨水经自然沉淀处理后，可回用于场区内绿化用水，不外排</w:t>
            </w:r>
            <w:r>
              <w:rPr>
                <w:rFonts w:cs="Times New Roman"/>
                <w:kern w:val="21"/>
                <w:szCs w:val="21"/>
              </w:rPr>
              <w:t>。</w:t>
            </w:r>
            <w:bookmarkEnd w:id="209"/>
          </w:p>
          <w:p w14:paraId="60FF441C"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育雏场：</w:t>
            </w:r>
            <w:r>
              <w:rPr>
                <w:rFonts w:cs="Times New Roman" w:hint="eastAsia"/>
                <w:kern w:val="21"/>
                <w:szCs w:val="21"/>
              </w:rPr>
              <w:t>餐厨废水经隔油处理后与生活污水及鸡舍冲洗废水一并收集进入污水处理站处理后用于厂区周边林地灌溉</w:t>
            </w:r>
            <w:r>
              <w:rPr>
                <w:rFonts w:cs="Times New Roman"/>
                <w:kern w:val="21"/>
                <w:szCs w:val="21"/>
              </w:rPr>
              <w:t>，不外排。</w:t>
            </w:r>
          </w:p>
          <w:p w14:paraId="3BE4BF90"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蛋鸡场：</w:t>
            </w:r>
            <w:r>
              <w:rPr>
                <w:rFonts w:cs="Times New Roman" w:hint="eastAsia"/>
                <w:kern w:val="21"/>
                <w:szCs w:val="21"/>
              </w:rPr>
              <w:t>餐厨废水经隔油处理后与生活污水、鸡舍冲洗废水及蛋品清洗废水一并收集进入污水处理站处理达标后用于厂区周边林地灌溉，不外排。</w:t>
            </w:r>
          </w:p>
        </w:tc>
        <w:tc>
          <w:tcPr>
            <w:tcW w:w="694" w:type="dxa"/>
            <w:vMerge/>
            <w:vAlign w:val="center"/>
          </w:tcPr>
          <w:p w14:paraId="5195C589"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79C80AE2"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w:t>
            </w:r>
          </w:p>
        </w:tc>
        <w:tc>
          <w:tcPr>
            <w:tcW w:w="442" w:type="dxa"/>
            <w:vAlign w:val="center"/>
          </w:tcPr>
          <w:p w14:paraId="0A567272"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12070CFC" w14:textId="77777777">
        <w:trPr>
          <w:trHeight w:val="269"/>
          <w:jc w:val="center"/>
        </w:trPr>
        <w:tc>
          <w:tcPr>
            <w:tcW w:w="582" w:type="dxa"/>
            <w:gridSpan w:val="2"/>
            <w:vMerge/>
            <w:vAlign w:val="center"/>
          </w:tcPr>
          <w:p w14:paraId="5FCE1A15" w14:textId="77777777" w:rsidR="00544649" w:rsidRDefault="00544649">
            <w:pPr>
              <w:pStyle w:val="aff7"/>
              <w:adjustRightInd w:val="0"/>
              <w:snapToGrid w:val="0"/>
              <w:spacing w:beforeLines="0" w:before="0" w:afterLines="0" w:after="0"/>
              <w:rPr>
                <w:rFonts w:cs="Times New Roman"/>
                <w:kern w:val="21"/>
                <w:szCs w:val="21"/>
              </w:rPr>
            </w:pPr>
          </w:p>
        </w:tc>
        <w:tc>
          <w:tcPr>
            <w:tcW w:w="1279" w:type="dxa"/>
            <w:gridSpan w:val="2"/>
            <w:vAlign w:val="center"/>
          </w:tcPr>
          <w:p w14:paraId="00CB8B66"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天然气</w:t>
            </w:r>
          </w:p>
        </w:tc>
        <w:tc>
          <w:tcPr>
            <w:tcW w:w="4932" w:type="dxa"/>
            <w:vAlign w:val="center"/>
          </w:tcPr>
          <w:p w14:paraId="1BAF6D85"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育雏场、蛋鸡场：</w:t>
            </w:r>
            <w:r>
              <w:rPr>
                <w:rFonts w:cs="Times New Roman" w:hint="eastAsia"/>
                <w:kern w:val="21"/>
                <w:szCs w:val="21"/>
              </w:rPr>
              <w:t>由当地天然气管网供应。根据建设单位提供的《关于剑阁非笼养蛋鸡产业链项目天然气管网建设的情况说明函》，本项目所在区域天然气管网由剑阁县金鑫燃气有限公司建设，管网建设时间在本项目投产前。</w:t>
            </w:r>
          </w:p>
        </w:tc>
        <w:tc>
          <w:tcPr>
            <w:tcW w:w="694" w:type="dxa"/>
            <w:vMerge/>
            <w:vAlign w:val="center"/>
          </w:tcPr>
          <w:p w14:paraId="34095A44"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65D8A49A"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w:t>
            </w:r>
          </w:p>
        </w:tc>
        <w:tc>
          <w:tcPr>
            <w:tcW w:w="442" w:type="dxa"/>
            <w:vAlign w:val="center"/>
          </w:tcPr>
          <w:p w14:paraId="432F8B7D"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依托</w:t>
            </w:r>
          </w:p>
        </w:tc>
      </w:tr>
      <w:tr w:rsidR="00544649" w14:paraId="4CA16E49" w14:textId="77777777">
        <w:trPr>
          <w:trHeight w:val="669"/>
          <w:jc w:val="center"/>
        </w:trPr>
        <w:tc>
          <w:tcPr>
            <w:tcW w:w="868" w:type="dxa"/>
            <w:gridSpan w:val="3"/>
            <w:vMerge w:val="restart"/>
            <w:vAlign w:val="center"/>
          </w:tcPr>
          <w:p w14:paraId="3389D97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lastRenderedPageBreak/>
              <w:t>储运工程</w:t>
            </w:r>
          </w:p>
        </w:tc>
        <w:tc>
          <w:tcPr>
            <w:tcW w:w="993" w:type="dxa"/>
            <w:vAlign w:val="center"/>
          </w:tcPr>
          <w:p w14:paraId="4A6893BB"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饲料</w:t>
            </w:r>
            <w:r>
              <w:rPr>
                <w:rFonts w:cs="Times New Roman" w:hint="eastAsia"/>
                <w:kern w:val="21"/>
                <w:szCs w:val="21"/>
              </w:rPr>
              <w:t>塔</w:t>
            </w:r>
          </w:p>
        </w:tc>
        <w:tc>
          <w:tcPr>
            <w:tcW w:w="4932" w:type="dxa"/>
            <w:vAlign w:val="center"/>
          </w:tcPr>
          <w:p w14:paraId="28F83D2F" w14:textId="77777777" w:rsidR="00544649" w:rsidRDefault="00000000">
            <w:pPr>
              <w:pStyle w:val="aff7"/>
              <w:adjustRightInd w:val="0"/>
              <w:snapToGrid w:val="0"/>
              <w:spacing w:before="62" w:after="62"/>
              <w:jc w:val="both"/>
              <w:rPr>
                <w:rFonts w:cs="Times New Roman"/>
                <w:kern w:val="21"/>
                <w:szCs w:val="21"/>
              </w:rPr>
            </w:pPr>
            <w:r>
              <w:rPr>
                <w:rFonts w:cs="Times New Roman" w:hint="eastAsia"/>
                <w:b/>
                <w:bCs/>
                <w:kern w:val="21"/>
                <w:szCs w:val="21"/>
              </w:rPr>
              <w:t>育雏场：</w:t>
            </w:r>
            <w:r>
              <w:rPr>
                <w:rFonts w:cs="Times New Roman" w:hint="eastAsia"/>
                <w:kern w:val="21"/>
                <w:szCs w:val="21"/>
              </w:rPr>
              <w:t>设置饲料塔</w:t>
            </w:r>
            <w:r>
              <w:rPr>
                <w:rFonts w:cs="Times New Roman" w:hint="eastAsia"/>
                <w:kern w:val="21"/>
                <w:szCs w:val="21"/>
              </w:rPr>
              <w:t>2</w:t>
            </w:r>
            <w:r>
              <w:rPr>
                <w:rFonts w:cs="Times New Roman" w:hint="eastAsia"/>
                <w:kern w:val="21"/>
                <w:szCs w:val="21"/>
              </w:rPr>
              <w:t>个，各养殖</w:t>
            </w:r>
            <w:proofErr w:type="gramStart"/>
            <w:r>
              <w:rPr>
                <w:rFonts w:cs="Times New Roman" w:hint="eastAsia"/>
                <w:kern w:val="21"/>
                <w:szCs w:val="21"/>
              </w:rPr>
              <w:t>栋舍前</w:t>
            </w:r>
            <w:proofErr w:type="gramEnd"/>
            <w:r>
              <w:rPr>
                <w:rFonts w:cs="Times New Roman" w:hint="eastAsia"/>
                <w:kern w:val="21"/>
                <w:szCs w:val="21"/>
              </w:rPr>
              <w:t>各设置</w:t>
            </w:r>
            <w:r>
              <w:rPr>
                <w:rFonts w:cs="Times New Roman" w:hint="eastAsia"/>
                <w:kern w:val="21"/>
                <w:szCs w:val="21"/>
              </w:rPr>
              <w:t>1</w:t>
            </w:r>
            <w:r>
              <w:rPr>
                <w:rFonts w:cs="Times New Roman" w:hint="eastAsia"/>
                <w:kern w:val="21"/>
                <w:szCs w:val="21"/>
              </w:rPr>
              <w:t>个，单个饲料塔容量为</w:t>
            </w:r>
            <w:r>
              <w:rPr>
                <w:rFonts w:cs="Times New Roman" w:hint="eastAsia"/>
                <w:kern w:val="21"/>
                <w:szCs w:val="21"/>
              </w:rPr>
              <w:t>16.8m</w:t>
            </w:r>
            <w:r>
              <w:rPr>
                <w:rFonts w:cs="Times New Roman" w:hint="eastAsia"/>
                <w:kern w:val="21"/>
                <w:szCs w:val="21"/>
                <w:vertAlign w:val="superscript"/>
              </w:rPr>
              <w:t>3</w:t>
            </w:r>
            <w:r>
              <w:rPr>
                <w:rFonts w:cs="Times New Roman" w:hint="eastAsia"/>
                <w:kern w:val="21"/>
                <w:szCs w:val="21"/>
              </w:rPr>
              <w:t>（</w:t>
            </w:r>
            <w:r>
              <w:rPr>
                <w:rFonts w:cs="Times New Roman" w:hint="eastAsia"/>
                <w:kern w:val="21"/>
                <w:szCs w:val="21"/>
              </w:rPr>
              <w:t>11</w:t>
            </w:r>
            <w:r>
              <w:rPr>
                <w:rFonts w:cs="Times New Roman" w:hint="eastAsia"/>
                <w:kern w:val="21"/>
                <w:szCs w:val="21"/>
              </w:rPr>
              <w:t>吨），</w:t>
            </w:r>
            <w:r>
              <w:rPr>
                <w:rFonts w:cs="Times New Roman"/>
                <w:kern w:val="21"/>
                <w:szCs w:val="21"/>
              </w:rPr>
              <w:t>用于饲料</w:t>
            </w:r>
            <w:r>
              <w:rPr>
                <w:rFonts w:cs="Times New Roman" w:hint="eastAsia"/>
                <w:kern w:val="21"/>
                <w:szCs w:val="21"/>
              </w:rPr>
              <w:t>存放</w:t>
            </w:r>
            <w:r>
              <w:rPr>
                <w:rFonts w:cs="Times New Roman"/>
                <w:kern w:val="21"/>
                <w:szCs w:val="21"/>
              </w:rPr>
              <w:t>。</w:t>
            </w:r>
          </w:p>
          <w:p w14:paraId="564FFC27" w14:textId="77777777" w:rsidR="00544649" w:rsidRDefault="00000000">
            <w:pPr>
              <w:pStyle w:val="aff7"/>
              <w:adjustRightInd w:val="0"/>
              <w:snapToGrid w:val="0"/>
              <w:spacing w:before="62" w:after="62"/>
              <w:jc w:val="both"/>
              <w:rPr>
                <w:rFonts w:cs="Times New Roman"/>
                <w:kern w:val="21"/>
                <w:szCs w:val="21"/>
              </w:rPr>
            </w:pPr>
            <w:r>
              <w:rPr>
                <w:rFonts w:cs="Times New Roman" w:hint="eastAsia"/>
                <w:b/>
                <w:bCs/>
                <w:kern w:val="21"/>
                <w:szCs w:val="21"/>
              </w:rPr>
              <w:t>蛋鸡场：</w:t>
            </w:r>
            <w:r>
              <w:rPr>
                <w:rFonts w:cs="Times New Roman" w:hint="eastAsia"/>
                <w:kern w:val="21"/>
                <w:szCs w:val="21"/>
              </w:rPr>
              <w:t>设置饲料塔</w:t>
            </w:r>
            <w:r>
              <w:rPr>
                <w:rFonts w:cs="Times New Roman" w:hint="eastAsia"/>
                <w:kern w:val="21"/>
                <w:szCs w:val="21"/>
              </w:rPr>
              <w:t>6</w:t>
            </w:r>
            <w:r>
              <w:rPr>
                <w:rFonts w:cs="Times New Roman" w:hint="eastAsia"/>
                <w:kern w:val="21"/>
                <w:szCs w:val="21"/>
              </w:rPr>
              <w:t>个，各养殖</w:t>
            </w:r>
            <w:proofErr w:type="gramStart"/>
            <w:r>
              <w:rPr>
                <w:rFonts w:cs="Times New Roman" w:hint="eastAsia"/>
                <w:kern w:val="21"/>
                <w:szCs w:val="21"/>
              </w:rPr>
              <w:t>栋舍前</w:t>
            </w:r>
            <w:proofErr w:type="gramEnd"/>
            <w:r>
              <w:rPr>
                <w:rFonts w:cs="Times New Roman" w:hint="eastAsia"/>
                <w:kern w:val="21"/>
                <w:szCs w:val="21"/>
              </w:rPr>
              <w:t>各设置</w:t>
            </w:r>
            <w:r>
              <w:rPr>
                <w:rFonts w:cs="Times New Roman" w:hint="eastAsia"/>
                <w:kern w:val="21"/>
                <w:szCs w:val="21"/>
              </w:rPr>
              <w:t>1</w:t>
            </w:r>
            <w:r>
              <w:rPr>
                <w:rFonts w:cs="Times New Roman" w:hint="eastAsia"/>
                <w:kern w:val="21"/>
                <w:szCs w:val="21"/>
              </w:rPr>
              <w:t>个，</w:t>
            </w:r>
            <w:proofErr w:type="gramStart"/>
            <w:r>
              <w:rPr>
                <w:rFonts w:cs="Times New Roman" w:hint="eastAsia"/>
                <w:kern w:val="21"/>
                <w:szCs w:val="21"/>
              </w:rPr>
              <w:t>单个料塔容量</w:t>
            </w:r>
            <w:proofErr w:type="gramEnd"/>
            <w:r>
              <w:rPr>
                <w:rFonts w:cs="Times New Roman" w:hint="eastAsia"/>
                <w:kern w:val="21"/>
                <w:szCs w:val="21"/>
              </w:rPr>
              <w:t>为</w:t>
            </w:r>
            <w:r>
              <w:rPr>
                <w:rFonts w:cs="Times New Roman" w:hint="eastAsia"/>
                <w:kern w:val="21"/>
                <w:szCs w:val="21"/>
              </w:rPr>
              <w:t>22m</w:t>
            </w:r>
            <w:r>
              <w:rPr>
                <w:rFonts w:cs="Times New Roman" w:hint="eastAsia"/>
                <w:kern w:val="21"/>
                <w:szCs w:val="21"/>
                <w:vertAlign w:val="superscript"/>
              </w:rPr>
              <w:t>3</w:t>
            </w:r>
            <w:r>
              <w:rPr>
                <w:rFonts w:cs="Times New Roman" w:hint="eastAsia"/>
                <w:kern w:val="21"/>
                <w:szCs w:val="21"/>
              </w:rPr>
              <w:t>（</w:t>
            </w:r>
            <w:r>
              <w:rPr>
                <w:rFonts w:cs="Times New Roman" w:hint="eastAsia"/>
                <w:kern w:val="21"/>
                <w:szCs w:val="21"/>
              </w:rPr>
              <w:t>14</w:t>
            </w:r>
            <w:r>
              <w:rPr>
                <w:rFonts w:cs="Times New Roman" w:hint="eastAsia"/>
                <w:kern w:val="21"/>
                <w:szCs w:val="21"/>
              </w:rPr>
              <w:t>吨），</w:t>
            </w:r>
            <w:r>
              <w:rPr>
                <w:rFonts w:cs="Times New Roman"/>
                <w:kern w:val="21"/>
                <w:szCs w:val="21"/>
              </w:rPr>
              <w:t>用于饲料</w:t>
            </w:r>
            <w:r>
              <w:rPr>
                <w:rFonts w:cs="Times New Roman" w:hint="eastAsia"/>
                <w:kern w:val="21"/>
                <w:szCs w:val="21"/>
              </w:rPr>
              <w:t>存放</w:t>
            </w:r>
            <w:r>
              <w:rPr>
                <w:rFonts w:cs="Times New Roman"/>
                <w:kern w:val="21"/>
                <w:szCs w:val="21"/>
              </w:rPr>
              <w:t>。</w:t>
            </w:r>
          </w:p>
        </w:tc>
        <w:tc>
          <w:tcPr>
            <w:tcW w:w="694" w:type="dxa"/>
            <w:vMerge/>
            <w:vAlign w:val="center"/>
          </w:tcPr>
          <w:p w14:paraId="55895A54"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115B3384"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w:t>
            </w:r>
          </w:p>
        </w:tc>
        <w:tc>
          <w:tcPr>
            <w:tcW w:w="442" w:type="dxa"/>
            <w:vAlign w:val="center"/>
          </w:tcPr>
          <w:p w14:paraId="72D4111D"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1"/>
              </w:rPr>
              <w:t>新建</w:t>
            </w:r>
          </w:p>
        </w:tc>
      </w:tr>
      <w:tr w:rsidR="00544649" w14:paraId="16B6BB6B" w14:textId="77777777">
        <w:trPr>
          <w:trHeight w:val="90"/>
          <w:jc w:val="center"/>
        </w:trPr>
        <w:tc>
          <w:tcPr>
            <w:tcW w:w="868" w:type="dxa"/>
            <w:gridSpan w:val="3"/>
            <w:vMerge/>
            <w:vAlign w:val="center"/>
          </w:tcPr>
          <w:p w14:paraId="6810BDF5" w14:textId="77777777" w:rsidR="00544649" w:rsidRDefault="00544649">
            <w:pPr>
              <w:pStyle w:val="aff7"/>
              <w:adjustRightInd w:val="0"/>
              <w:snapToGrid w:val="0"/>
              <w:spacing w:beforeLines="0" w:before="0" w:afterLines="0" w:after="0"/>
              <w:rPr>
                <w:rFonts w:cs="Times New Roman"/>
                <w:kern w:val="21"/>
                <w:szCs w:val="21"/>
              </w:rPr>
            </w:pPr>
          </w:p>
        </w:tc>
        <w:tc>
          <w:tcPr>
            <w:tcW w:w="993" w:type="dxa"/>
            <w:vAlign w:val="center"/>
          </w:tcPr>
          <w:p w14:paraId="65545F3B"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蓄水池</w:t>
            </w:r>
          </w:p>
        </w:tc>
        <w:tc>
          <w:tcPr>
            <w:tcW w:w="4932" w:type="dxa"/>
            <w:vAlign w:val="center"/>
          </w:tcPr>
          <w:p w14:paraId="70D6449B" w14:textId="77777777" w:rsidR="00544649" w:rsidRDefault="00000000">
            <w:pPr>
              <w:pStyle w:val="aff7"/>
              <w:adjustRightInd w:val="0"/>
              <w:snapToGrid w:val="0"/>
              <w:spacing w:beforeLines="0" w:before="0" w:afterLines="0" w:after="0"/>
              <w:jc w:val="both"/>
              <w:rPr>
                <w:szCs w:val="21"/>
              </w:rPr>
            </w:pPr>
            <w:bookmarkStart w:id="210" w:name="OLE_LINK33"/>
            <w:r>
              <w:rPr>
                <w:rFonts w:hint="eastAsia"/>
                <w:b/>
                <w:bCs/>
                <w:szCs w:val="21"/>
              </w:rPr>
              <w:t>育雏场：</w:t>
            </w:r>
            <w:r>
              <w:rPr>
                <w:rFonts w:hint="eastAsia"/>
                <w:szCs w:val="21"/>
              </w:rPr>
              <w:t>场内设置</w:t>
            </w:r>
            <w:r>
              <w:rPr>
                <w:szCs w:val="21"/>
              </w:rPr>
              <w:t>蓄水池</w:t>
            </w:r>
            <w:r>
              <w:rPr>
                <w:szCs w:val="21"/>
              </w:rPr>
              <w:t>1</w:t>
            </w:r>
            <w:r>
              <w:rPr>
                <w:szCs w:val="21"/>
              </w:rPr>
              <w:t>座</w:t>
            </w:r>
            <w:r>
              <w:rPr>
                <w:rFonts w:hint="eastAsia"/>
                <w:szCs w:val="21"/>
              </w:rPr>
              <w:t>（</w:t>
            </w:r>
            <w:r>
              <w:rPr>
                <w:rFonts w:hint="eastAsia"/>
                <w:szCs w:val="21"/>
              </w:rPr>
              <w:t>300m</w:t>
            </w:r>
            <w:r>
              <w:rPr>
                <w:rFonts w:hint="eastAsia"/>
                <w:szCs w:val="21"/>
                <w:vertAlign w:val="superscript"/>
              </w:rPr>
              <w:t>3</w:t>
            </w:r>
            <w:r>
              <w:rPr>
                <w:rFonts w:hint="eastAsia"/>
                <w:szCs w:val="21"/>
              </w:rPr>
              <w:t>），为项目生活用水及鸡只饮水等</w:t>
            </w:r>
            <w:r>
              <w:rPr>
                <w:szCs w:val="21"/>
              </w:rPr>
              <w:t>。</w:t>
            </w:r>
            <w:bookmarkEnd w:id="210"/>
          </w:p>
          <w:p w14:paraId="6712D6E8" w14:textId="77777777" w:rsidR="00544649" w:rsidRDefault="00000000">
            <w:pPr>
              <w:pStyle w:val="aff7"/>
              <w:adjustRightInd w:val="0"/>
              <w:snapToGrid w:val="0"/>
              <w:spacing w:beforeLines="0" w:before="0" w:afterLines="0" w:after="0"/>
              <w:jc w:val="both"/>
              <w:rPr>
                <w:rFonts w:cs="Times New Roman"/>
                <w:kern w:val="21"/>
                <w:szCs w:val="21"/>
              </w:rPr>
            </w:pPr>
            <w:r>
              <w:rPr>
                <w:rFonts w:hint="eastAsia"/>
                <w:b/>
                <w:bCs/>
                <w:szCs w:val="21"/>
              </w:rPr>
              <w:t>蛋鸡场：</w:t>
            </w:r>
            <w:r>
              <w:rPr>
                <w:rFonts w:hint="eastAsia"/>
                <w:szCs w:val="21"/>
              </w:rPr>
              <w:t>场内设置</w:t>
            </w:r>
            <w:r>
              <w:rPr>
                <w:szCs w:val="21"/>
              </w:rPr>
              <w:t>蓄水池</w:t>
            </w:r>
            <w:r>
              <w:rPr>
                <w:szCs w:val="21"/>
              </w:rPr>
              <w:t>1</w:t>
            </w:r>
            <w:r>
              <w:rPr>
                <w:szCs w:val="21"/>
              </w:rPr>
              <w:t>座</w:t>
            </w:r>
            <w:r>
              <w:rPr>
                <w:rFonts w:hint="eastAsia"/>
                <w:szCs w:val="21"/>
              </w:rPr>
              <w:t>（</w:t>
            </w:r>
            <w:r>
              <w:rPr>
                <w:rFonts w:hint="eastAsia"/>
                <w:szCs w:val="21"/>
              </w:rPr>
              <w:t>1000m</w:t>
            </w:r>
            <w:r>
              <w:rPr>
                <w:rFonts w:hint="eastAsia"/>
                <w:szCs w:val="21"/>
                <w:vertAlign w:val="superscript"/>
              </w:rPr>
              <w:t>3</w:t>
            </w:r>
            <w:r>
              <w:rPr>
                <w:rFonts w:hint="eastAsia"/>
                <w:szCs w:val="21"/>
              </w:rPr>
              <w:t>），为项目生活用水及鸡只饮水</w:t>
            </w:r>
            <w:r>
              <w:rPr>
                <w:szCs w:val="21"/>
              </w:rPr>
              <w:t>。</w:t>
            </w:r>
          </w:p>
        </w:tc>
        <w:tc>
          <w:tcPr>
            <w:tcW w:w="694" w:type="dxa"/>
            <w:vMerge/>
            <w:vAlign w:val="center"/>
          </w:tcPr>
          <w:p w14:paraId="58CB7200"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0FE13D2C"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w:t>
            </w:r>
          </w:p>
        </w:tc>
        <w:tc>
          <w:tcPr>
            <w:tcW w:w="442" w:type="dxa"/>
            <w:vAlign w:val="center"/>
          </w:tcPr>
          <w:p w14:paraId="4EF48C49"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3247B06E" w14:textId="77777777">
        <w:trPr>
          <w:trHeight w:val="90"/>
          <w:jc w:val="center"/>
        </w:trPr>
        <w:tc>
          <w:tcPr>
            <w:tcW w:w="441" w:type="dxa"/>
            <w:vMerge w:val="restart"/>
            <w:vAlign w:val="center"/>
          </w:tcPr>
          <w:p w14:paraId="7B40A4C0"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环保工程</w:t>
            </w:r>
          </w:p>
        </w:tc>
        <w:tc>
          <w:tcPr>
            <w:tcW w:w="427" w:type="dxa"/>
            <w:gridSpan w:val="2"/>
            <w:vAlign w:val="center"/>
          </w:tcPr>
          <w:p w14:paraId="79FD5262"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废气治理</w:t>
            </w:r>
          </w:p>
        </w:tc>
        <w:tc>
          <w:tcPr>
            <w:tcW w:w="993" w:type="dxa"/>
            <w:vAlign w:val="center"/>
          </w:tcPr>
          <w:p w14:paraId="064E6487" w14:textId="77777777" w:rsidR="00544649" w:rsidRDefault="00000000">
            <w:pPr>
              <w:pStyle w:val="aff7"/>
              <w:adjustRightInd w:val="0"/>
              <w:snapToGrid w:val="0"/>
              <w:spacing w:beforeLines="0" w:before="0" w:afterLines="0" w:after="0"/>
              <w:rPr>
                <w:rFonts w:cs="Times New Roman"/>
                <w:kern w:val="21"/>
                <w:szCs w:val="21"/>
              </w:rPr>
            </w:pPr>
            <w:proofErr w:type="gramStart"/>
            <w:r>
              <w:rPr>
                <w:rFonts w:cs="Times New Roman" w:hint="eastAsia"/>
                <w:kern w:val="21"/>
                <w:szCs w:val="21"/>
              </w:rPr>
              <w:t>育雏场</w:t>
            </w:r>
            <w:proofErr w:type="gramEnd"/>
            <w:r>
              <w:rPr>
                <w:rFonts w:cs="Times New Roman" w:hint="eastAsia"/>
                <w:kern w:val="21"/>
                <w:szCs w:val="21"/>
              </w:rPr>
              <w:t>及蛋鸡场</w:t>
            </w:r>
          </w:p>
        </w:tc>
        <w:tc>
          <w:tcPr>
            <w:tcW w:w="4932" w:type="dxa"/>
            <w:vAlign w:val="center"/>
          </w:tcPr>
          <w:p w14:paraId="08734A51" w14:textId="77777777" w:rsidR="00544649" w:rsidRDefault="00000000">
            <w:pPr>
              <w:widowControl/>
              <w:adjustRightInd w:val="0"/>
              <w:snapToGrid w:val="0"/>
              <w:spacing w:after="0" w:line="240" w:lineRule="auto"/>
              <w:ind w:firstLineChars="0" w:firstLine="0"/>
              <w:rPr>
                <w:rFonts w:cs="Times New Roman"/>
                <w:kern w:val="21"/>
                <w:sz w:val="21"/>
                <w:szCs w:val="21"/>
                <w:lang w:bidi="ar"/>
              </w:rPr>
            </w:pPr>
            <w:r>
              <w:rPr>
                <w:rFonts w:cs="Times New Roman" w:hint="eastAsia"/>
                <w:b/>
                <w:bCs/>
                <w:kern w:val="21"/>
                <w:sz w:val="21"/>
                <w:szCs w:val="21"/>
                <w:lang w:bidi="ar"/>
              </w:rPr>
              <w:t>1</w:t>
            </w:r>
            <w:r>
              <w:rPr>
                <w:rFonts w:cs="Times New Roman" w:hint="eastAsia"/>
                <w:b/>
                <w:bCs/>
                <w:kern w:val="21"/>
                <w:sz w:val="21"/>
                <w:szCs w:val="21"/>
                <w:lang w:bidi="ar"/>
              </w:rPr>
              <w:t>、鸡舍恶臭：</w:t>
            </w:r>
            <w:r>
              <w:rPr>
                <w:rFonts w:cs="Times New Roman" w:hint="eastAsia"/>
                <w:kern w:val="21"/>
                <w:sz w:val="21"/>
                <w:szCs w:val="21"/>
                <w:lang w:bidi="ar"/>
              </w:rPr>
              <w:t>定期喷洒除臭剂、消毒剂，及时清扫鸡舍、风机通风，加强管理，优化饲料等措施消除恶臭；</w:t>
            </w:r>
          </w:p>
          <w:p w14:paraId="49F6AC8A" w14:textId="77777777" w:rsidR="00544649" w:rsidRDefault="00000000">
            <w:pPr>
              <w:widowControl/>
              <w:adjustRightInd w:val="0"/>
              <w:snapToGrid w:val="0"/>
              <w:spacing w:after="0" w:line="240" w:lineRule="auto"/>
              <w:ind w:firstLineChars="0" w:firstLine="0"/>
              <w:rPr>
                <w:rFonts w:cs="Times New Roman"/>
                <w:kern w:val="21"/>
                <w:sz w:val="21"/>
                <w:szCs w:val="21"/>
                <w:lang w:bidi="ar"/>
              </w:rPr>
            </w:pPr>
            <w:r>
              <w:rPr>
                <w:rFonts w:cs="Times New Roman" w:hint="eastAsia"/>
                <w:b/>
                <w:bCs/>
                <w:kern w:val="21"/>
                <w:sz w:val="21"/>
                <w:szCs w:val="21"/>
                <w:lang w:bidi="ar"/>
              </w:rPr>
              <w:t>2</w:t>
            </w:r>
            <w:r>
              <w:rPr>
                <w:rFonts w:cs="Times New Roman" w:hint="eastAsia"/>
                <w:b/>
                <w:bCs/>
                <w:kern w:val="21"/>
                <w:sz w:val="21"/>
                <w:szCs w:val="21"/>
                <w:lang w:bidi="ar"/>
              </w:rPr>
              <w:t>、厨房油烟：</w:t>
            </w:r>
            <w:r>
              <w:rPr>
                <w:rFonts w:cs="Times New Roman" w:hint="eastAsia"/>
                <w:kern w:val="21"/>
                <w:sz w:val="21"/>
                <w:szCs w:val="21"/>
                <w:lang w:bidi="ar"/>
              </w:rPr>
              <w:t>采用油烟净化器处理后，高于屋顶排放；</w:t>
            </w:r>
          </w:p>
          <w:p w14:paraId="1745FCEE" w14:textId="77777777" w:rsidR="00544649" w:rsidRDefault="00000000">
            <w:pPr>
              <w:widowControl/>
              <w:adjustRightInd w:val="0"/>
              <w:snapToGrid w:val="0"/>
              <w:spacing w:after="0" w:line="240" w:lineRule="auto"/>
              <w:ind w:firstLineChars="0" w:firstLine="0"/>
              <w:rPr>
                <w:rFonts w:cs="Times New Roman"/>
                <w:kern w:val="21"/>
                <w:sz w:val="21"/>
                <w:szCs w:val="21"/>
                <w:lang w:bidi="ar"/>
              </w:rPr>
            </w:pPr>
            <w:r>
              <w:rPr>
                <w:rFonts w:cs="Times New Roman" w:hint="eastAsia"/>
                <w:b/>
                <w:bCs/>
                <w:kern w:val="21"/>
                <w:sz w:val="21"/>
                <w:szCs w:val="21"/>
                <w:lang w:bidi="ar"/>
              </w:rPr>
              <w:t>3</w:t>
            </w:r>
            <w:r>
              <w:rPr>
                <w:rFonts w:cs="Times New Roman" w:hint="eastAsia"/>
                <w:b/>
                <w:bCs/>
                <w:kern w:val="21"/>
                <w:sz w:val="21"/>
                <w:szCs w:val="21"/>
                <w:lang w:bidi="ar"/>
              </w:rPr>
              <w:t>、污水处理区：</w:t>
            </w:r>
            <w:r>
              <w:rPr>
                <w:rFonts w:cs="Times New Roman" w:hint="eastAsia"/>
                <w:kern w:val="21"/>
                <w:sz w:val="21"/>
                <w:szCs w:val="21"/>
                <w:lang w:bidi="ar"/>
              </w:rPr>
              <w:t>采用喷洒除臭剂，加强周边绿化。</w:t>
            </w:r>
          </w:p>
          <w:p w14:paraId="73050548"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b/>
                <w:bCs/>
                <w:kern w:val="21"/>
                <w:sz w:val="21"/>
                <w:szCs w:val="21"/>
              </w:rPr>
              <w:t>4</w:t>
            </w:r>
            <w:r>
              <w:rPr>
                <w:rFonts w:cs="Times New Roman" w:hint="eastAsia"/>
                <w:b/>
                <w:bCs/>
                <w:kern w:val="21"/>
                <w:sz w:val="21"/>
                <w:szCs w:val="21"/>
              </w:rPr>
              <w:t>、</w:t>
            </w:r>
            <w:r>
              <w:rPr>
                <w:rFonts w:cs="Times New Roman"/>
                <w:b/>
                <w:bCs/>
                <w:kern w:val="21"/>
                <w:sz w:val="21"/>
                <w:szCs w:val="21"/>
              </w:rPr>
              <w:t>柴油发电机废气：</w:t>
            </w:r>
            <w:r>
              <w:rPr>
                <w:rFonts w:cs="Times New Roman"/>
                <w:kern w:val="21"/>
                <w:sz w:val="21"/>
                <w:szCs w:val="21"/>
              </w:rPr>
              <w:t>经发电机自带烟气净化装置处理后引至发电机房楼顶排放。</w:t>
            </w:r>
          </w:p>
          <w:p w14:paraId="22A89EA8"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b/>
                <w:bCs/>
                <w:kern w:val="21"/>
                <w:sz w:val="21"/>
                <w:szCs w:val="21"/>
              </w:rPr>
              <w:t>5</w:t>
            </w:r>
            <w:r>
              <w:rPr>
                <w:rFonts w:cs="Times New Roman" w:hint="eastAsia"/>
                <w:b/>
                <w:bCs/>
                <w:kern w:val="21"/>
                <w:sz w:val="21"/>
                <w:szCs w:val="21"/>
              </w:rPr>
              <w:t>、育雏鸡舍加热设备燃烧废气：</w:t>
            </w:r>
            <w:r>
              <w:rPr>
                <w:rFonts w:cs="Times New Roman" w:hint="eastAsia"/>
                <w:kern w:val="21"/>
                <w:sz w:val="21"/>
                <w:szCs w:val="21"/>
              </w:rPr>
              <w:t>冬季育雏鸡舍供暖通过天然气加热保持育雏鸡舍温度，鸡舍每栋设置</w:t>
            </w:r>
            <w:r>
              <w:rPr>
                <w:rFonts w:cs="Times New Roman" w:hint="eastAsia"/>
                <w:kern w:val="21"/>
                <w:sz w:val="21"/>
                <w:szCs w:val="21"/>
              </w:rPr>
              <w:t>6</w:t>
            </w:r>
            <w:r>
              <w:rPr>
                <w:rFonts w:cs="Times New Roman" w:hint="eastAsia"/>
                <w:kern w:val="21"/>
                <w:sz w:val="21"/>
                <w:szCs w:val="21"/>
              </w:rPr>
              <w:t>台天然气加热设备（天然气为能源物质，燃烧产生热能，由加热设备将热风吹入至鸡舍中到达鸡舍保暖的目的），两栋共计设置</w:t>
            </w:r>
            <w:r>
              <w:rPr>
                <w:rFonts w:cs="Times New Roman" w:hint="eastAsia"/>
                <w:kern w:val="21"/>
                <w:sz w:val="21"/>
                <w:szCs w:val="21"/>
              </w:rPr>
              <w:t>12</w:t>
            </w:r>
            <w:r>
              <w:rPr>
                <w:rFonts w:cs="Times New Roman" w:hint="eastAsia"/>
                <w:kern w:val="21"/>
                <w:sz w:val="21"/>
                <w:szCs w:val="21"/>
              </w:rPr>
              <w:t>台。天然气属于清洁能源，且用量较小，育雏舍天然气加热设备燃烧废气（</w:t>
            </w:r>
            <w:r>
              <w:rPr>
                <w:rFonts w:cs="Times New Roman" w:hint="eastAsia"/>
                <w:kern w:val="21"/>
                <w:sz w:val="21"/>
                <w:szCs w:val="21"/>
              </w:rPr>
              <w:t>SO</w:t>
            </w:r>
            <w:r>
              <w:rPr>
                <w:rFonts w:cs="Times New Roman" w:hint="eastAsia"/>
                <w:kern w:val="21"/>
                <w:sz w:val="21"/>
                <w:szCs w:val="21"/>
                <w:vertAlign w:val="subscript"/>
              </w:rPr>
              <w:t>2</w:t>
            </w:r>
            <w:r>
              <w:rPr>
                <w:rFonts w:cs="Times New Roman" w:hint="eastAsia"/>
                <w:kern w:val="21"/>
                <w:sz w:val="21"/>
                <w:szCs w:val="21"/>
              </w:rPr>
              <w:t>、</w:t>
            </w:r>
            <w:r>
              <w:rPr>
                <w:rFonts w:cs="Times New Roman" w:hint="eastAsia"/>
                <w:kern w:val="21"/>
                <w:sz w:val="21"/>
                <w:szCs w:val="21"/>
              </w:rPr>
              <w:t>NOx</w:t>
            </w:r>
            <w:r>
              <w:rPr>
                <w:rFonts w:cs="Times New Roman" w:hint="eastAsia"/>
                <w:kern w:val="21"/>
                <w:sz w:val="21"/>
                <w:szCs w:val="21"/>
              </w:rPr>
              <w:t>、烟尘）通过无组织排放，燃烧产生的废气对项目周围大气环境影响较小。</w:t>
            </w:r>
          </w:p>
          <w:p w14:paraId="39DB647B" w14:textId="77777777" w:rsidR="00544649" w:rsidRDefault="00000000">
            <w:pPr>
              <w:widowControl/>
              <w:adjustRightInd w:val="0"/>
              <w:snapToGrid w:val="0"/>
              <w:spacing w:after="0" w:line="240" w:lineRule="auto"/>
              <w:ind w:firstLineChars="0" w:firstLine="0"/>
              <w:rPr>
                <w:rFonts w:cs="Times New Roman"/>
                <w:kern w:val="21"/>
                <w:sz w:val="21"/>
                <w:szCs w:val="21"/>
              </w:rPr>
            </w:pPr>
            <w:r>
              <w:rPr>
                <w:rFonts w:cs="Times New Roman" w:hint="eastAsia"/>
                <w:b/>
                <w:bCs/>
                <w:kern w:val="21"/>
                <w:sz w:val="21"/>
                <w:szCs w:val="21"/>
              </w:rPr>
              <w:t>6</w:t>
            </w:r>
            <w:r>
              <w:rPr>
                <w:rFonts w:cs="Times New Roman" w:hint="eastAsia"/>
                <w:b/>
                <w:bCs/>
                <w:kern w:val="21"/>
                <w:sz w:val="21"/>
                <w:szCs w:val="21"/>
              </w:rPr>
              <w:t>、锅炉废气：</w:t>
            </w:r>
            <w:proofErr w:type="gramStart"/>
            <w:r>
              <w:rPr>
                <w:rFonts w:cs="Times New Roman" w:hint="eastAsia"/>
                <w:kern w:val="21"/>
                <w:sz w:val="21"/>
                <w:szCs w:val="21"/>
              </w:rPr>
              <w:t>育雏场</w:t>
            </w:r>
            <w:proofErr w:type="gramEnd"/>
            <w:r>
              <w:rPr>
                <w:rFonts w:cs="Times New Roman" w:hint="eastAsia"/>
                <w:kern w:val="21"/>
                <w:sz w:val="21"/>
                <w:szCs w:val="21"/>
              </w:rPr>
              <w:t>天然气锅炉燃烧废气经一根</w:t>
            </w:r>
            <w:r>
              <w:rPr>
                <w:rFonts w:cs="Times New Roman" w:hint="eastAsia"/>
                <w:kern w:val="21"/>
                <w:sz w:val="21"/>
                <w:szCs w:val="21"/>
              </w:rPr>
              <w:t>8m</w:t>
            </w:r>
            <w:r>
              <w:rPr>
                <w:rFonts w:cs="Times New Roman" w:hint="eastAsia"/>
                <w:kern w:val="21"/>
                <w:sz w:val="21"/>
                <w:szCs w:val="21"/>
              </w:rPr>
              <w:t>高排气筒（</w:t>
            </w:r>
            <w:r>
              <w:rPr>
                <w:rFonts w:cs="Times New Roman" w:hint="eastAsia"/>
                <w:kern w:val="21"/>
                <w:sz w:val="21"/>
                <w:szCs w:val="21"/>
              </w:rPr>
              <w:t>DA001</w:t>
            </w:r>
            <w:r>
              <w:rPr>
                <w:rFonts w:cs="Times New Roman" w:hint="eastAsia"/>
                <w:kern w:val="21"/>
                <w:sz w:val="21"/>
                <w:szCs w:val="21"/>
              </w:rPr>
              <w:t>）达标排放；蛋鸡场天然气锅炉废气经一根</w:t>
            </w:r>
            <w:r>
              <w:rPr>
                <w:rFonts w:cs="Times New Roman" w:hint="eastAsia"/>
                <w:kern w:val="21"/>
                <w:sz w:val="21"/>
                <w:szCs w:val="21"/>
              </w:rPr>
              <w:t>12m</w:t>
            </w:r>
            <w:r>
              <w:rPr>
                <w:rFonts w:cs="Times New Roman" w:hint="eastAsia"/>
                <w:kern w:val="21"/>
                <w:sz w:val="21"/>
                <w:szCs w:val="21"/>
              </w:rPr>
              <w:t>高排气筒（</w:t>
            </w:r>
            <w:r>
              <w:rPr>
                <w:rFonts w:cs="Times New Roman" w:hint="eastAsia"/>
                <w:kern w:val="21"/>
                <w:sz w:val="21"/>
                <w:szCs w:val="21"/>
              </w:rPr>
              <w:t>DA002</w:t>
            </w:r>
            <w:r>
              <w:rPr>
                <w:rFonts w:cs="Times New Roman" w:hint="eastAsia"/>
                <w:kern w:val="21"/>
                <w:sz w:val="21"/>
                <w:szCs w:val="21"/>
              </w:rPr>
              <w:t>）达标排放。</w:t>
            </w:r>
          </w:p>
        </w:tc>
        <w:tc>
          <w:tcPr>
            <w:tcW w:w="694" w:type="dxa"/>
            <w:vMerge/>
            <w:vAlign w:val="center"/>
          </w:tcPr>
          <w:p w14:paraId="30AA872B"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19105736"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w:t>
            </w:r>
          </w:p>
        </w:tc>
        <w:tc>
          <w:tcPr>
            <w:tcW w:w="442" w:type="dxa"/>
            <w:vAlign w:val="center"/>
          </w:tcPr>
          <w:p w14:paraId="22EE7D3F"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新建</w:t>
            </w:r>
          </w:p>
        </w:tc>
      </w:tr>
      <w:tr w:rsidR="00544649" w14:paraId="25F21891" w14:textId="77777777">
        <w:trPr>
          <w:trHeight w:val="90"/>
          <w:jc w:val="center"/>
        </w:trPr>
        <w:tc>
          <w:tcPr>
            <w:tcW w:w="441" w:type="dxa"/>
            <w:vMerge/>
            <w:vAlign w:val="center"/>
          </w:tcPr>
          <w:p w14:paraId="03483DF0" w14:textId="77777777" w:rsidR="00544649" w:rsidRDefault="00544649">
            <w:pPr>
              <w:pStyle w:val="aff7"/>
              <w:adjustRightInd w:val="0"/>
              <w:snapToGrid w:val="0"/>
              <w:spacing w:beforeLines="0" w:before="0" w:afterLines="0" w:after="0"/>
              <w:rPr>
                <w:rFonts w:cs="Times New Roman"/>
                <w:kern w:val="21"/>
                <w:szCs w:val="21"/>
              </w:rPr>
            </w:pPr>
          </w:p>
        </w:tc>
        <w:tc>
          <w:tcPr>
            <w:tcW w:w="427" w:type="dxa"/>
            <w:gridSpan w:val="2"/>
            <w:vMerge w:val="restart"/>
            <w:vAlign w:val="center"/>
          </w:tcPr>
          <w:p w14:paraId="057CC8BA"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废水治理</w:t>
            </w:r>
          </w:p>
        </w:tc>
        <w:tc>
          <w:tcPr>
            <w:tcW w:w="993" w:type="dxa"/>
            <w:vMerge w:val="restart"/>
            <w:vAlign w:val="center"/>
          </w:tcPr>
          <w:p w14:paraId="1F2D4551" w14:textId="77777777" w:rsidR="00544649" w:rsidRDefault="00000000">
            <w:pPr>
              <w:pStyle w:val="aff7"/>
              <w:adjustRightInd w:val="0"/>
              <w:snapToGrid w:val="0"/>
              <w:spacing w:beforeLines="0" w:before="0" w:afterLines="0" w:after="0"/>
              <w:rPr>
                <w:rFonts w:cs="Times New Roman"/>
                <w:kern w:val="21"/>
                <w:szCs w:val="21"/>
              </w:rPr>
            </w:pPr>
            <w:proofErr w:type="gramStart"/>
            <w:r>
              <w:rPr>
                <w:rFonts w:cs="Times New Roman" w:hint="eastAsia"/>
                <w:kern w:val="21"/>
                <w:szCs w:val="21"/>
              </w:rPr>
              <w:t>育雏场</w:t>
            </w:r>
            <w:proofErr w:type="gramEnd"/>
          </w:p>
        </w:tc>
        <w:tc>
          <w:tcPr>
            <w:tcW w:w="4932" w:type="dxa"/>
            <w:vMerge w:val="restart"/>
            <w:vAlign w:val="center"/>
          </w:tcPr>
          <w:p w14:paraId="26C8F24F"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b/>
                <w:bCs/>
                <w:kern w:val="21"/>
                <w:szCs w:val="21"/>
              </w:rPr>
              <w:t>生活污水及餐厨废水：</w:t>
            </w:r>
            <w:r>
              <w:rPr>
                <w:rFonts w:cs="Times New Roman"/>
                <w:kern w:val="21"/>
                <w:szCs w:val="21"/>
              </w:rPr>
              <w:t>餐厨废水经隔油装置处理后与生活污水</w:t>
            </w:r>
            <w:proofErr w:type="gramStart"/>
            <w:r>
              <w:rPr>
                <w:rFonts w:cs="Times New Roman"/>
                <w:kern w:val="21"/>
                <w:szCs w:val="21"/>
              </w:rPr>
              <w:t>一并经</w:t>
            </w:r>
            <w:proofErr w:type="gramEnd"/>
            <w:r>
              <w:rPr>
                <w:rFonts w:cs="Times New Roman" w:hint="eastAsia"/>
                <w:kern w:val="21"/>
                <w:szCs w:val="21"/>
              </w:rPr>
              <w:t>污水处理站（处理能力</w:t>
            </w:r>
            <w:r>
              <w:rPr>
                <w:rFonts w:cs="Times New Roman" w:hint="eastAsia"/>
                <w:kern w:val="21"/>
                <w:szCs w:val="21"/>
              </w:rPr>
              <w:t>5m</w:t>
            </w:r>
            <w:r>
              <w:rPr>
                <w:rFonts w:cs="Times New Roman" w:hint="eastAsia"/>
                <w:kern w:val="21"/>
                <w:szCs w:val="21"/>
                <w:vertAlign w:val="superscript"/>
              </w:rPr>
              <w:t>3</w:t>
            </w:r>
            <w:r>
              <w:rPr>
                <w:rFonts w:cs="Times New Roman" w:hint="eastAsia"/>
                <w:kern w:val="21"/>
                <w:szCs w:val="21"/>
              </w:rPr>
              <w:t>/d</w:t>
            </w:r>
            <w:r>
              <w:rPr>
                <w:rFonts w:cs="Times New Roman" w:hint="eastAsia"/>
                <w:kern w:val="21"/>
                <w:szCs w:val="21"/>
              </w:rPr>
              <w:t>）</w:t>
            </w:r>
            <w:r>
              <w:rPr>
                <w:rFonts w:cs="Times New Roman"/>
                <w:kern w:val="21"/>
                <w:szCs w:val="21"/>
              </w:rPr>
              <w:t>处理</w:t>
            </w:r>
            <w:r>
              <w:rPr>
                <w:rFonts w:cs="Times New Roman" w:hint="eastAsia"/>
                <w:kern w:val="21"/>
                <w:szCs w:val="21"/>
              </w:rPr>
              <w:t>达标</w:t>
            </w:r>
            <w:r>
              <w:rPr>
                <w:rFonts w:cs="Times New Roman"/>
                <w:kern w:val="21"/>
                <w:szCs w:val="21"/>
              </w:rPr>
              <w:t>后用于</w:t>
            </w:r>
            <w:r>
              <w:rPr>
                <w:rFonts w:cs="Times New Roman" w:hint="eastAsia"/>
                <w:kern w:val="21"/>
                <w:szCs w:val="21"/>
              </w:rPr>
              <w:t>林地灌溉</w:t>
            </w:r>
            <w:r>
              <w:rPr>
                <w:rFonts w:cs="Times New Roman"/>
                <w:kern w:val="21"/>
                <w:szCs w:val="21"/>
              </w:rPr>
              <w:t>，不外排。</w:t>
            </w:r>
          </w:p>
          <w:p w14:paraId="06048CA5" w14:textId="77777777" w:rsidR="00544649" w:rsidRDefault="00000000">
            <w:pPr>
              <w:pStyle w:val="aff7"/>
              <w:adjustRightInd w:val="0"/>
              <w:snapToGrid w:val="0"/>
              <w:spacing w:before="62" w:after="62"/>
              <w:jc w:val="both"/>
              <w:rPr>
                <w:rFonts w:cs="Times New Roman"/>
                <w:kern w:val="21"/>
                <w:szCs w:val="21"/>
              </w:rPr>
            </w:pPr>
            <w:r>
              <w:rPr>
                <w:rFonts w:cs="Times New Roman" w:hint="eastAsia"/>
                <w:b/>
                <w:bCs/>
                <w:kern w:val="21"/>
                <w:szCs w:val="21"/>
              </w:rPr>
              <w:t>鸡舍冲洗废水：</w:t>
            </w:r>
            <w:r>
              <w:rPr>
                <w:rFonts w:cs="Times New Roman" w:hint="eastAsia"/>
                <w:kern w:val="21"/>
                <w:szCs w:val="21"/>
              </w:rPr>
              <w:t>鸡舍清洗废水经管道收集至场内污水处理站（处理能力</w:t>
            </w:r>
            <w:r>
              <w:rPr>
                <w:rFonts w:cs="Times New Roman" w:hint="eastAsia"/>
                <w:kern w:val="21"/>
                <w:szCs w:val="21"/>
              </w:rPr>
              <w:t>5m</w:t>
            </w:r>
            <w:r>
              <w:rPr>
                <w:rFonts w:cs="Times New Roman" w:hint="eastAsia"/>
                <w:kern w:val="21"/>
                <w:szCs w:val="21"/>
                <w:vertAlign w:val="superscript"/>
              </w:rPr>
              <w:t>3</w:t>
            </w:r>
            <w:r>
              <w:rPr>
                <w:rFonts w:cs="Times New Roman" w:hint="eastAsia"/>
                <w:kern w:val="21"/>
                <w:szCs w:val="21"/>
              </w:rPr>
              <w:t>/d</w:t>
            </w:r>
            <w:r>
              <w:rPr>
                <w:rFonts w:cs="Times New Roman" w:hint="eastAsia"/>
                <w:kern w:val="21"/>
                <w:szCs w:val="21"/>
              </w:rPr>
              <w:t>），经处理达《农田灌溉水质标准》（</w:t>
            </w:r>
            <w:r>
              <w:rPr>
                <w:rFonts w:cs="Times New Roman" w:hint="eastAsia"/>
                <w:kern w:val="21"/>
                <w:szCs w:val="21"/>
              </w:rPr>
              <w:t>GB5084-2021</w:t>
            </w:r>
            <w:r>
              <w:rPr>
                <w:rFonts w:cs="Times New Roman" w:hint="eastAsia"/>
                <w:kern w:val="21"/>
                <w:szCs w:val="21"/>
              </w:rPr>
              <w:t>）</w:t>
            </w:r>
            <w:proofErr w:type="gramStart"/>
            <w:r>
              <w:rPr>
                <w:rFonts w:cs="Times New Roman" w:hint="eastAsia"/>
                <w:kern w:val="21"/>
                <w:szCs w:val="21"/>
              </w:rPr>
              <w:t>中旱作</w:t>
            </w:r>
            <w:proofErr w:type="gramEnd"/>
            <w:r>
              <w:rPr>
                <w:rFonts w:cs="Times New Roman" w:hint="eastAsia"/>
                <w:kern w:val="21"/>
                <w:szCs w:val="21"/>
              </w:rPr>
              <w:t>标准后用于林地灌溉。</w:t>
            </w:r>
          </w:p>
          <w:p w14:paraId="779439CB" w14:textId="77777777" w:rsidR="00544649" w:rsidRDefault="00000000">
            <w:pPr>
              <w:pStyle w:val="aff7"/>
              <w:adjustRightInd w:val="0"/>
              <w:snapToGrid w:val="0"/>
              <w:spacing w:beforeLines="0" w:before="0" w:afterLines="0" w:after="0"/>
              <w:jc w:val="both"/>
              <w:rPr>
                <w:rFonts w:cs="Times New Roman"/>
                <w:kern w:val="21"/>
                <w:szCs w:val="21"/>
              </w:rPr>
            </w:pPr>
            <w:proofErr w:type="gramStart"/>
            <w:r>
              <w:rPr>
                <w:rFonts w:cs="Times New Roman" w:hint="eastAsia"/>
                <w:b/>
                <w:bCs/>
                <w:kern w:val="21"/>
                <w:szCs w:val="21"/>
              </w:rPr>
              <w:t>污水站反冲洗</w:t>
            </w:r>
            <w:proofErr w:type="gramEnd"/>
            <w:r>
              <w:rPr>
                <w:rFonts w:cs="Times New Roman" w:hint="eastAsia"/>
                <w:b/>
                <w:bCs/>
                <w:kern w:val="21"/>
                <w:szCs w:val="21"/>
              </w:rPr>
              <w:t>废水：</w:t>
            </w:r>
            <w:r>
              <w:rPr>
                <w:rFonts w:cs="Times New Roman" w:hint="eastAsia"/>
                <w:kern w:val="21"/>
                <w:szCs w:val="21"/>
              </w:rPr>
              <w:t>反冲洗废水进入污水站处理达《农田灌溉水质标准》（</w:t>
            </w:r>
            <w:r>
              <w:rPr>
                <w:rFonts w:cs="Times New Roman" w:hint="eastAsia"/>
                <w:kern w:val="21"/>
                <w:szCs w:val="21"/>
              </w:rPr>
              <w:t>GB5084-2021</w:t>
            </w:r>
            <w:r>
              <w:rPr>
                <w:rFonts w:cs="Times New Roman" w:hint="eastAsia"/>
                <w:kern w:val="21"/>
                <w:szCs w:val="21"/>
              </w:rPr>
              <w:t>）</w:t>
            </w:r>
            <w:proofErr w:type="gramStart"/>
            <w:r>
              <w:rPr>
                <w:rFonts w:cs="Times New Roman" w:hint="eastAsia"/>
                <w:kern w:val="21"/>
                <w:szCs w:val="21"/>
              </w:rPr>
              <w:t>中旱作</w:t>
            </w:r>
            <w:proofErr w:type="gramEnd"/>
            <w:r>
              <w:rPr>
                <w:rFonts w:cs="Times New Roman" w:hint="eastAsia"/>
                <w:kern w:val="21"/>
                <w:szCs w:val="21"/>
              </w:rPr>
              <w:t>标准后用于林地灌溉。</w:t>
            </w:r>
          </w:p>
        </w:tc>
        <w:tc>
          <w:tcPr>
            <w:tcW w:w="694" w:type="dxa"/>
            <w:vMerge/>
            <w:vAlign w:val="center"/>
          </w:tcPr>
          <w:p w14:paraId="0C7A0A83" w14:textId="77777777" w:rsidR="00544649" w:rsidRDefault="00544649">
            <w:pPr>
              <w:pStyle w:val="aff7"/>
              <w:adjustRightInd w:val="0"/>
              <w:snapToGrid w:val="0"/>
              <w:spacing w:beforeLines="0" w:before="0" w:afterLines="0" w:after="0"/>
              <w:rPr>
                <w:rFonts w:cs="Times New Roman"/>
                <w:kern w:val="21"/>
                <w:szCs w:val="21"/>
              </w:rPr>
            </w:pPr>
          </w:p>
        </w:tc>
        <w:tc>
          <w:tcPr>
            <w:tcW w:w="1131" w:type="dxa"/>
            <w:vMerge w:val="restart"/>
            <w:vAlign w:val="center"/>
          </w:tcPr>
          <w:p w14:paraId="40F1F2B8"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污泥</w:t>
            </w:r>
          </w:p>
        </w:tc>
        <w:tc>
          <w:tcPr>
            <w:tcW w:w="442" w:type="dxa"/>
            <w:vAlign w:val="center"/>
          </w:tcPr>
          <w:p w14:paraId="1CF9605A"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56C00AE0" w14:textId="77777777">
        <w:trPr>
          <w:trHeight w:val="90"/>
          <w:jc w:val="center"/>
        </w:trPr>
        <w:tc>
          <w:tcPr>
            <w:tcW w:w="441" w:type="dxa"/>
            <w:vMerge/>
            <w:vAlign w:val="center"/>
          </w:tcPr>
          <w:p w14:paraId="53A52B2C" w14:textId="77777777" w:rsidR="00544649" w:rsidRDefault="00544649">
            <w:pPr>
              <w:pStyle w:val="aff7"/>
              <w:adjustRightInd w:val="0"/>
              <w:snapToGrid w:val="0"/>
              <w:spacing w:beforeLines="0" w:before="0" w:afterLines="0" w:after="0"/>
              <w:rPr>
                <w:rFonts w:cs="Times New Roman"/>
                <w:kern w:val="21"/>
                <w:szCs w:val="21"/>
              </w:rPr>
            </w:pPr>
          </w:p>
        </w:tc>
        <w:tc>
          <w:tcPr>
            <w:tcW w:w="427" w:type="dxa"/>
            <w:gridSpan w:val="2"/>
            <w:vMerge/>
          </w:tcPr>
          <w:p w14:paraId="02760F2E" w14:textId="77777777" w:rsidR="00544649" w:rsidRDefault="00544649">
            <w:pPr>
              <w:pStyle w:val="aff7"/>
              <w:adjustRightInd w:val="0"/>
              <w:snapToGrid w:val="0"/>
              <w:spacing w:beforeLines="0" w:before="0" w:afterLines="0" w:after="0"/>
              <w:rPr>
                <w:rFonts w:cs="Times New Roman"/>
                <w:kern w:val="21"/>
                <w:szCs w:val="21"/>
              </w:rPr>
            </w:pPr>
          </w:p>
        </w:tc>
        <w:tc>
          <w:tcPr>
            <w:tcW w:w="993" w:type="dxa"/>
            <w:vMerge/>
            <w:vAlign w:val="center"/>
          </w:tcPr>
          <w:p w14:paraId="0631032C" w14:textId="77777777" w:rsidR="00544649" w:rsidRDefault="00544649">
            <w:pPr>
              <w:pStyle w:val="aff7"/>
              <w:adjustRightInd w:val="0"/>
              <w:snapToGrid w:val="0"/>
              <w:spacing w:beforeLines="0" w:before="0" w:afterLines="0" w:after="0"/>
              <w:rPr>
                <w:rFonts w:cs="Times New Roman"/>
                <w:kern w:val="21"/>
                <w:szCs w:val="21"/>
              </w:rPr>
            </w:pPr>
          </w:p>
        </w:tc>
        <w:tc>
          <w:tcPr>
            <w:tcW w:w="4932" w:type="dxa"/>
            <w:vMerge/>
            <w:vAlign w:val="center"/>
          </w:tcPr>
          <w:p w14:paraId="21536FF4" w14:textId="77777777" w:rsidR="00544649" w:rsidRDefault="00544649">
            <w:pPr>
              <w:pStyle w:val="aff7"/>
              <w:adjustRightInd w:val="0"/>
              <w:snapToGrid w:val="0"/>
              <w:spacing w:beforeLines="0" w:before="0" w:afterLines="0" w:after="0"/>
              <w:jc w:val="both"/>
              <w:rPr>
                <w:rFonts w:cs="Times New Roman"/>
                <w:b/>
                <w:bCs/>
                <w:kern w:val="21"/>
                <w:szCs w:val="21"/>
              </w:rPr>
            </w:pPr>
          </w:p>
        </w:tc>
        <w:tc>
          <w:tcPr>
            <w:tcW w:w="694" w:type="dxa"/>
            <w:vMerge/>
            <w:vAlign w:val="center"/>
          </w:tcPr>
          <w:p w14:paraId="18FA9A42" w14:textId="77777777" w:rsidR="00544649" w:rsidRDefault="00544649">
            <w:pPr>
              <w:pStyle w:val="aff7"/>
              <w:adjustRightInd w:val="0"/>
              <w:snapToGrid w:val="0"/>
              <w:spacing w:beforeLines="0" w:before="0" w:afterLines="0" w:after="0"/>
              <w:rPr>
                <w:rFonts w:cs="Times New Roman"/>
                <w:kern w:val="21"/>
                <w:szCs w:val="21"/>
              </w:rPr>
            </w:pPr>
          </w:p>
        </w:tc>
        <w:tc>
          <w:tcPr>
            <w:tcW w:w="1131" w:type="dxa"/>
            <w:vMerge/>
            <w:vAlign w:val="center"/>
          </w:tcPr>
          <w:p w14:paraId="60FC8A2A" w14:textId="77777777" w:rsidR="00544649" w:rsidRDefault="00544649">
            <w:pPr>
              <w:pStyle w:val="aff7"/>
              <w:adjustRightInd w:val="0"/>
              <w:snapToGrid w:val="0"/>
              <w:spacing w:beforeLines="0" w:before="0" w:afterLines="0" w:after="0"/>
              <w:rPr>
                <w:rFonts w:cs="Times New Roman"/>
                <w:kern w:val="21"/>
                <w:szCs w:val="21"/>
              </w:rPr>
            </w:pPr>
          </w:p>
        </w:tc>
        <w:tc>
          <w:tcPr>
            <w:tcW w:w="442" w:type="dxa"/>
            <w:vAlign w:val="center"/>
          </w:tcPr>
          <w:p w14:paraId="534D4795"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785437B3" w14:textId="77777777">
        <w:trPr>
          <w:trHeight w:val="90"/>
          <w:jc w:val="center"/>
        </w:trPr>
        <w:tc>
          <w:tcPr>
            <w:tcW w:w="441" w:type="dxa"/>
            <w:vMerge/>
            <w:vAlign w:val="center"/>
          </w:tcPr>
          <w:p w14:paraId="206E14DC" w14:textId="77777777" w:rsidR="00544649" w:rsidRDefault="00544649">
            <w:pPr>
              <w:pStyle w:val="aff7"/>
              <w:adjustRightInd w:val="0"/>
              <w:snapToGrid w:val="0"/>
              <w:spacing w:beforeLines="0" w:before="0" w:afterLines="0" w:after="0"/>
              <w:rPr>
                <w:rFonts w:cs="Times New Roman"/>
                <w:kern w:val="21"/>
                <w:szCs w:val="21"/>
              </w:rPr>
            </w:pPr>
          </w:p>
        </w:tc>
        <w:tc>
          <w:tcPr>
            <w:tcW w:w="427" w:type="dxa"/>
            <w:gridSpan w:val="2"/>
            <w:vMerge/>
            <w:vAlign w:val="center"/>
          </w:tcPr>
          <w:p w14:paraId="3A22FB76" w14:textId="77777777" w:rsidR="00544649" w:rsidRDefault="00544649">
            <w:pPr>
              <w:pStyle w:val="aff7"/>
              <w:adjustRightInd w:val="0"/>
              <w:snapToGrid w:val="0"/>
              <w:spacing w:beforeLines="0" w:before="0" w:afterLines="0" w:after="0"/>
              <w:rPr>
                <w:rFonts w:cs="Times New Roman"/>
                <w:kern w:val="21"/>
                <w:szCs w:val="21"/>
              </w:rPr>
            </w:pPr>
          </w:p>
        </w:tc>
        <w:tc>
          <w:tcPr>
            <w:tcW w:w="993" w:type="dxa"/>
            <w:vMerge w:val="restart"/>
            <w:vAlign w:val="center"/>
          </w:tcPr>
          <w:p w14:paraId="6B15B8E7"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蛋鸡场</w:t>
            </w:r>
          </w:p>
        </w:tc>
        <w:tc>
          <w:tcPr>
            <w:tcW w:w="4932" w:type="dxa"/>
            <w:vMerge w:val="restart"/>
            <w:vAlign w:val="center"/>
          </w:tcPr>
          <w:p w14:paraId="3B636A5B" w14:textId="77777777" w:rsidR="00544649" w:rsidRDefault="00000000">
            <w:pPr>
              <w:pStyle w:val="aff7"/>
              <w:adjustRightInd w:val="0"/>
              <w:snapToGrid w:val="0"/>
              <w:spacing w:beforeLines="0" w:before="0" w:afterLines="0" w:after="0"/>
              <w:jc w:val="both"/>
              <w:rPr>
                <w:rFonts w:cs="Times New Roman"/>
                <w:b/>
                <w:bCs/>
                <w:kern w:val="21"/>
                <w:szCs w:val="21"/>
              </w:rPr>
            </w:pPr>
            <w:r>
              <w:rPr>
                <w:rFonts w:cs="Times New Roman" w:hint="eastAsia"/>
                <w:b/>
                <w:bCs/>
                <w:kern w:val="21"/>
                <w:szCs w:val="21"/>
              </w:rPr>
              <w:t>生</w:t>
            </w:r>
            <w:r>
              <w:rPr>
                <w:rFonts w:cs="Times New Roman"/>
                <w:b/>
                <w:bCs/>
                <w:kern w:val="21"/>
                <w:szCs w:val="21"/>
              </w:rPr>
              <w:t>活污水及餐厨废水：</w:t>
            </w:r>
            <w:r>
              <w:rPr>
                <w:rFonts w:cs="Times New Roman"/>
                <w:kern w:val="21"/>
                <w:szCs w:val="21"/>
              </w:rPr>
              <w:t>餐厨废水经隔油装置处理后与生活污水</w:t>
            </w:r>
            <w:proofErr w:type="gramStart"/>
            <w:r>
              <w:rPr>
                <w:rFonts w:cs="Times New Roman"/>
                <w:kern w:val="21"/>
                <w:szCs w:val="21"/>
              </w:rPr>
              <w:t>一并经</w:t>
            </w:r>
            <w:proofErr w:type="gramEnd"/>
            <w:r>
              <w:rPr>
                <w:rFonts w:cs="Times New Roman" w:hint="eastAsia"/>
                <w:kern w:val="21"/>
                <w:szCs w:val="21"/>
              </w:rPr>
              <w:t>污水处理站（处理能力</w:t>
            </w:r>
            <w:r>
              <w:rPr>
                <w:rFonts w:cs="Times New Roman" w:hint="eastAsia"/>
                <w:kern w:val="21"/>
                <w:szCs w:val="21"/>
              </w:rPr>
              <w:t>15m</w:t>
            </w:r>
            <w:r>
              <w:rPr>
                <w:rFonts w:cs="Times New Roman" w:hint="eastAsia"/>
                <w:kern w:val="21"/>
                <w:szCs w:val="21"/>
                <w:vertAlign w:val="superscript"/>
              </w:rPr>
              <w:t>3</w:t>
            </w:r>
            <w:r>
              <w:rPr>
                <w:rFonts w:cs="Times New Roman" w:hint="eastAsia"/>
                <w:kern w:val="21"/>
                <w:szCs w:val="21"/>
              </w:rPr>
              <w:t>/d</w:t>
            </w:r>
            <w:r>
              <w:rPr>
                <w:rFonts w:cs="Times New Roman" w:hint="eastAsia"/>
                <w:kern w:val="21"/>
                <w:szCs w:val="21"/>
              </w:rPr>
              <w:t>）</w:t>
            </w:r>
            <w:r>
              <w:rPr>
                <w:rFonts w:cs="Times New Roman"/>
                <w:kern w:val="21"/>
                <w:szCs w:val="21"/>
              </w:rPr>
              <w:t>处理</w:t>
            </w:r>
            <w:r>
              <w:rPr>
                <w:rFonts w:cs="Times New Roman" w:hint="eastAsia"/>
                <w:kern w:val="21"/>
                <w:szCs w:val="21"/>
              </w:rPr>
              <w:t>达标</w:t>
            </w:r>
            <w:r>
              <w:rPr>
                <w:rFonts w:cs="Times New Roman"/>
                <w:kern w:val="21"/>
                <w:szCs w:val="21"/>
              </w:rPr>
              <w:t>后用于</w:t>
            </w:r>
            <w:r>
              <w:rPr>
                <w:rFonts w:cs="Times New Roman" w:hint="eastAsia"/>
                <w:kern w:val="21"/>
                <w:szCs w:val="21"/>
              </w:rPr>
              <w:t>林地灌溉</w:t>
            </w:r>
            <w:r>
              <w:rPr>
                <w:rFonts w:cs="Times New Roman"/>
                <w:kern w:val="21"/>
                <w:szCs w:val="21"/>
              </w:rPr>
              <w:t>，不外排。</w:t>
            </w:r>
          </w:p>
          <w:p w14:paraId="6FF40963"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鸡舍冲洗废水及蛋品清洗废水：</w:t>
            </w:r>
            <w:r>
              <w:rPr>
                <w:rFonts w:cs="Times New Roman" w:hint="eastAsia"/>
                <w:kern w:val="21"/>
                <w:szCs w:val="21"/>
              </w:rPr>
              <w:t>鸡舍冲洗废水及蛋品清洗废水经管道收集至场内污水处理站（处理能力</w:t>
            </w:r>
            <w:r>
              <w:rPr>
                <w:rFonts w:cs="Times New Roman" w:hint="eastAsia"/>
                <w:kern w:val="21"/>
                <w:szCs w:val="21"/>
              </w:rPr>
              <w:t>15m</w:t>
            </w:r>
            <w:r>
              <w:rPr>
                <w:rFonts w:cs="Times New Roman" w:hint="eastAsia"/>
                <w:kern w:val="21"/>
                <w:szCs w:val="21"/>
                <w:vertAlign w:val="superscript"/>
              </w:rPr>
              <w:t>3</w:t>
            </w:r>
            <w:r>
              <w:rPr>
                <w:rFonts w:cs="Times New Roman" w:hint="eastAsia"/>
                <w:kern w:val="21"/>
                <w:szCs w:val="21"/>
              </w:rPr>
              <w:t>/d</w:t>
            </w:r>
            <w:r>
              <w:rPr>
                <w:rFonts w:cs="Times New Roman" w:hint="eastAsia"/>
                <w:kern w:val="21"/>
                <w:szCs w:val="21"/>
              </w:rPr>
              <w:t>），经处理达《农田灌溉水质标准》（</w:t>
            </w:r>
            <w:r>
              <w:rPr>
                <w:rFonts w:cs="Times New Roman" w:hint="eastAsia"/>
                <w:kern w:val="21"/>
                <w:szCs w:val="21"/>
              </w:rPr>
              <w:t>GB5084-2021</w:t>
            </w:r>
            <w:r>
              <w:rPr>
                <w:rFonts w:cs="Times New Roman" w:hint="eastAsia"/>
                <w:kern w:val="21"/>
                <w:szCs w:val="21"/>
              </w:rPr>
              <w:t>）</w:t>
            </w:r>
            <w:proofErr w:type="gramStart"/>
            <w:r>
              <w:rPr>
                <w:rFonts w:cs="Times New Roman" w:hint="eastAsia"/>
                <w:kern w:val="21"/>
                <w:szCs w:val="21"/>
              </w:rPr>
              <w:t>中旱作</w:t>
            </w:r>
            <w:proofErr w:type="gramEnd"/>
            <w:r>
              <w:rPr>
                <w:rFonts w:cs="Times New Roman" w:hint="eastAsia"/>
                <w:kern w:val="21"/>
                <w:szCs w:val="21"/>
              </w:rPr>
              <w:t>标准后用于林地灌溉。</w:t>
            </w:r>
          </w:p>
          <w:p w14:paraId="0018FD20" w14:textId="77777777" w:rsidR="00544649" w:rsidRDefault="00000000">
            <w:pPr>
              <w:pStyle w:val="aff7"/>
              <w:adjustRightInd w:val="0"/>
              <w:snapToGrid w:val="0"/>
              <w:spacing w:beforeLines="0" w:before="0" w:afterLines="0" w:after="0"/>
              <w:jc w:val="both"/>
              <w:rPr>
                <w:rFonts w:cs="Times New Roman"/>
                <w:b/>
                <w:bCs/>
                <w:kern w:val="21"/>
                <w:szCs w:val="21"/>
              </w:rPr>
            </w:pPr>
            <w:proofErr w:type="gramStart"/>
            <w:r>
              <w:rPr>
                <w:rFonts w:cs="Times New Roman" w:hint="eastAsia"/>
                <w:b/>
                <w:bCs/>
                <w:kern w:val="21"/>
                <w:szCs w:val="21"/>
              </w:rPr>
              <w:t>污水站反冲洗</w:t>
            </w:r>
            <w:proofErr w:type="gramEnd"/>
            <w:r>
              <w:rPr>
                <w:rFonts w:cs="Times New Roman" w:hint="eastAsia"/>
                <w:b/>
                <w:bCs/>
                <w:kern w:val="21"/>
                <w:szCs w:val="21"/>
              </w:rPr>
              <w:t>废水：</w:t>
            </w:r>
            <w:r>
              <w:rPr>
                <w:rFonts w:cs="Times New Roman" w:hint="eastAsia"/>
                <w:kern w:val="21"/>
                <w:szCs w:val="21"/>
              </w:rPr>
              <w:t>反冲洗废水进入污水站处理达《农田灌溉水质标准》（</w:t>
            </w:r>
            <w:r>
              <w:rPr>
                <w:rFonts w:cs="Times New Roman" w:hint="eastAsia"/>
                <w:kern w:val="21"/>
                <w:szCs w:val="21"/>
              </w:rPr>
              <w:t>GB5084-2021</w:t>
            </w:r>
            <w:r>
              <w:rPr>
                <w:rFonts w:cs="Times New Roman" w:hint="eastAsia"/>
                <w:kern w:val="21"/>
                <w:szCs w:val="21"/>
              </w:rPr>
              <w:t>）</w:t>
            </w:r>
            <w:proofErr w:type="gramStart"/>
            <w:r>
              <w:rPr>
                <w:rFonts w:cs="Times New Roman" w:hint="eastAsia"/>
                <w:kern w:val="21"/>
                <w:szCs w:val="21"/>
              </w:rPr>
              <w:t>中旱作</w:t>
            </w:r>
            <w:proofErr w:type="gramEnd"/>
            <w:r>
              <w:rPr>
                <w:rFonts w:cs="Times New Roman" w:hint="eastAsia"/>
                <w:kern w:val="21"/>
                <w:szCs w:val="21"/>
              </w:rPr>
              <w:t>标准后用于林地灌溉。</w:t>
            </w:r>
          </w:p>
        </w:tc>
        <w:tc>
          <w:tcPr>
            <w:tcW w:w="694" w:type="dxa"/>
            <w:vMerge/>
            <w:vAlign w:val="center"/>
          </w:tcPr>
          <w:p w14:paraId="59B3664D"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52688239"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恶臭</w:t>
            </w:r>
          </w:p>
        </w:tc>
        <w:tc>
          <w:tcPr>
            <w:tcW w:w="442" w:type="dxa"/>
            <w:vAlign w:val="center"/>
          </w:tcPr>
          <w:p w14:paraId="0E589B8D"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1347AC2D" w14:textId="77777777">
        <w:trPr>
          <w:trHeight w:val="90"/>
          <w:jc w:val="center"/>
        </w:trPr>
        <w:tc>
          <w:tcPr>
            <w:tcW w:w="441" w:type="dxa"/>
            <w:vMerge/>
            <w:vAlign w:val="center"/>
          </w:tcPr>
          <w:p w14:paraId="51E9D92B" w14:textId="77777777" w:rsidR="00544649" w:rsidRDefault="00544649">
            <w:pPr>
              <w:pStyle w:val="aff7"/>
              <w:adjustRightInd w:val="0"/>
              <w:snapToGrid w:val="0"/>
              <w:spacing w:beforeLines="0" w:before="0" w:afterLines="0" w:after="0"/>
              <w:rPr>
                <w:rFonts w:cs="Times New Roman"/>
                <w:kern w:val="21"/>
                <w:szCs w:val="21"/>
              </w:rPr>
            </w:pPr>
          </w:p>
        </w:tc>
        <w:tc>
          <w:tcPr>
            <w:tcW w:w="427" w:type="dxa"/>
            <w:gridSpan w:val="2"/>
            <w:vMerge/>
          </w:tcPr>
          <w:p w14:paraId="133D2C4D" w14:textId="77777777" w:rsidR="00544649" w:rsidRDefault="00544649">
            <w:pPr>
              <w:pStyle w:val="aff7"/>
              <w:adjustRightInd w:val="0"/>
              <w:snapToGrid w:val="0"/>
              <w:spacing w:beforeLines="0" w:before="0" w:afterLines="0" w:after="0"/>
              <w:rPr>
                <w:rFonts w:cs="Times New Roman"/>
                <w:kern w:val="21"/>
                <w:szCs w:val="21"/>
              </w:rPr>
            </w:pPr>
          </w:p>
        </w:tc>
        <w:tc>
          <w:tcPr>
            <w:tcW w:w="993" w:type="dxa"/>
            <w:vMerge/>
            <w:vAlign w:val="center"/>
          </w:tcPr>
          <w:p w14:paraId="2CD94C1B" w14:textId="77777777" w:rsidR="00544649" w:rsidRDefault="00544649">
            <w:pPr>
              <w:pStyle w:val="aff7"/>
              <w:adjustRightInd w:val="0"/>
              <w:snapToGrid w:val="0"/>
              <w:spacing w:beforeLines="0" w:before="0" w:afterLines="0" w:after="0"/>
              <w:rPr>
                <w:rFonts w:cs="Times New Roman"/>
                <w:kern w:val="21"/>
                <w:szCs w:val="21"/>
              </w:rPr>
            </w:pPr>
          </w:p>
        </w:tc>
        <w:tc>
          <w:tcPr>
            <w:tcW w:w="4932" w:type="dxa"/>
            <w:vMerge/>
            <w:vAlign w:val="center"/>
          </w:tcPr>
          <w:p w14:paraId="27498240" w14:textId="77777777" w:rsidR="00544649" w:rsidRDefault="00544649">
            <w:pPr>
              <w:pStyle w:val="aff7"/>
              <w:adjustRightInd w:val="0"/>
              <w:snapToGrid w:val="0"/>
              <w:spacing w:beforeLines="0" w:before="0" w:afterLines="0" w:after="0"/>
              <w:jc w:val="both"/>
              <w:rPr>
                <w:rFonts w:cs="Times New Roman"/>
                <w:b/>
                <w:bCs/>
                <w:kern w:val="21"/>
                <w:szCs w:val="21"/>
              </w:rPr>
            </w:pPr>
          </w:p>
        </w:tc>
        <w:tc>
          <w:tcPr>
            <w:tcW w:w="694" w:type="dxa"/>
            <w:vMerge/>
            <w:vAlign w:val="center"/>
          </w:tcPr>
          <w:p w14:paraId="4A168DF1"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5E503555"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恶臭</w:t>
            </w:r>
          </w:p>
        </w:tc>
        <w:tc>
          <w:tcPr>
            <w:tcW w:w="442" w:type="dxa"/>
            <w:vAlign w:val="center"/>
          </w:tcPr>
          <w:p w14:paraId="461AF577"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新建</w:t>
            </w:r>
          </w:p>
        </w:tc>
      </w:tr>
      <w:tr w:rsidR="00544649" w14:paraId="7C130241" w14:textId="77777777">
        <w:trPr>
          <w:jc w:val="center"/>
        </w:trPr>
        <w:tc>
          <w:tcPr>
            <w:tcW w:w="441" w:type="dxa"/>
            <w:vMerge/>
            <w:vAlign w:val="center"/>
          </w:tcPr>
          <w:p w14:paraId="3FA4FAF0" w14:textId="77777777" w:rsidR="00544649" w:rsidRDefault="00544649">
            <w:pPr>
              <w:pStyle w:val="aff7"/>
              <w:adjustRightInd w:val="0"/>
              <w:snapToGrid w:val="0"/>
              <w:spacing w:beforeLines="0" w:before="0" w:afterLines="0" w:after="0"/>
              <w:rPr>
                <w:rFonts w:cs="Times New Roman"/>
                <w:kern w:val="21"/>
                <w:szCs w:val="21"/>
              </w:rPr>
            </w:pPr>
          </w:p>
        </w:tc>
        <w:tc>
          <w:tcPr>
            <w:tcW w:w="427" w:type="dxa"/>
            <w:gridSpan w:val="2"/>
            <w:vAlign w:val="center"/>
          </w:tcPr>
          <w:p w14:paraId="373B92B1"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kern w:val="21"/>
                <w:szCs w:val="21"/>
              </w:rPr>
              <w:t>噪声治理</w:t>
            </w:r>
          </w:p>
        </w:tc>
        <w:tc>
          <w:tcPr>
            <w:tcW w:w="993" w:type="dxa"/>
            <w:vAlign w:val="center"/>
          </w:tcPr>
          <w:p w14:paraId="03777169"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育雏及蛋鸡场</w:t>
            </w:r>
          </w:p>
        </w:tc>
        <w:tc>
          <w:tcPr>
            <w:tcW w:w="4932" w:type="dxa"/>
            <w:vAlign w:val="center"/>
          </w:tcPr>
          <w:p w14:paraId="18468C35"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kern w:val="21"/>
                <w:szCs w:val="21"/>
              </w:rPr>
              <w:t>选用低噪声设备，设备减震、隔声等，加强厂区绿化。</w:t>
            </w:r>
          </w:p>
        </w:tc>
        <w:tc>
          <w:tcPr>
            <w:tcW w:w="694" w:type="dxa"/>
            <w:vMerge/>
            <w:vAlign w:val="center"/>
          </w:tcPr>
          <w:p w14:paraId="657D9688"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1E04D1F9"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w:t>
            </w:r>
          </w:p>
        </w:tc>
        <w:tc>
          <w:tcPr>
            <w:tcW w:w="442" w:type="dxa"/>
            <w:vAlign w:val="center"/>
          </w:tcPr>
          <w:p w14:paraId="39F80CE2"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新建</w:t>
            </w:r>
          </w:p>
        </w:tc>
      </w:tr>
      <w:tr w:rsidR="00544649" w14:paraId="4669C6C4" w14:textId="77777777">
        <w:trPr>
          <w:trHeight w:val="90"/>
          <w:jc w:val="center"/>
        </w:trPr>
        <w:tc>
          <w:tcPr>
            <w:tcW w:w="441" w:type="dxa"/>
            <w:vMerge/>
            <w:vAlign w:val="center"/>
          </w:tcPr>
          <w:p w14:paraId="004A74BF" w14:textId="77777777" w:rsidR="00544649" w:rsidRDefault="00544649">
            <w:pPr>
              <w:pStyle w:val="aff7"/>
              <w:adjustRightInd w:val="0"/>
              <w:snapToGrid w:val="0"/>
              <w:spacing w:beforeLines="0" w:before="0" w:afterLines="0" w:after="0"/>
              <w:rPr>
                <w:rFonts w:cs="Times New Roman"/>
                <w:kern w:val="21"/>
                <w:szCs w:val="21"/>
              </w:rPr>
            </w:pPr>
          </w:p>
        </w:tc>
        <w:tc>
          <w:tcPr>
            <w:tcW w:w="427" w:type="dxa"/>
            <w:gridSpan w:val="2"/>
            <w:vMerge w:val="restart"/>
            <w:vAlign w:val="center"/>
          </w:tcPr>
          <w:p w14:paraId="436D840D"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固体废物</w:t>
            </w:r>
          </w:p>
        </w:tc>
        <w:tc>
          <w:tcPr>
            <w:tcW w:w="993" w:type="dxa"/>
            <w:vAlign w:val="center"/>
          </w:tcPr>
          <w:p w14:paraId="5B6FB732" w14:textId="77777777" w:rsidR="00544649" w:rsidRDefault="00000000">
            <w:pPr>
              <w:pStyle w:val="aff7"/>
              <w:adjustRightInd w:val="0"/>
              <w:snapToGrid w:val="0"/>
              <w:spacing w:beforeLines="0" w:before="0" w:afterLines="0" w:after="0"/>
              <w:rPr>
                <w:rFonts w:cs="Times New Roman"/>
                <w:kern w:val="21"/>
                <w:szCs w:val="21"/>
              </w:rPr>
            </w:pPr>
            <w:proofErr w:type="gramStart"/>
            <w:r>
              <w:rPr>
                <w:rFonts w:cs="Times New Roman" w:hint="eastAsia"/>
                <w:kern w:val="21"/>
                <w:szCs w:val="21"/>
              </w:rPr>
              <w:t>育雏场</w:t>
            </w:r>
            <w:proofErr w:type="gramEnd"/>
          </w:p>
        </w:tc>
        <w:tc>
          <w:tcPr>
            <w:tcW w:w="4932" w:type="dxa"/>
            <w:vAlign w:val="center"/>
          </w:tcPr>
          <w:p w14:paraId="67D3E489"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b/>
                <w:bCs/>
                <w:kern w:val="21"/>
                <w:szCs w:val="21"/>
              </w:rPr>
              <w:t>鸡粪：</w:t>
            </w:r>
            <w:r>
              <w:rPr>
                <w:rFonts w:cs="Times New Roman"/>
                <w:kern w:val="21"/>
                <w:szCs w:val="21"/>
              </w:rPr>
              <w:t>鸡粪日产日清，鸡粪采用自动刮粪机清理，经密闭皮带传输机输送至密闭转运车，转运至</w:t>
            </w:r>
            <w:r>
              <w:rPr>
                <w:rFonts w:cs="Times New Roman" w:hint="eastAsia"/>
                <w:kern w:val="21"/>
                <w:szCs w:val="21"/>
              </w:rPr>
              <w:t>四川省田宝生物科技有限公司</w:t>
            </w:r>
            <w:r>
              <w:rPr>
                <w:rFonts w:cs="Times New Roman"/>
                <w:kern w:val="21"/>
                <w:szCs w:val="21"/>
              </w:rPr>
              <w:t>进行有机肥生产，不在场内暂存；</w:t>
            </w:r>
          </w:p>
          <w:p w14:paraId="46F340C6"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b/>
                <w:bCs/>
                <w:kern w:val="21"/>
                <w:szCs w:val="21"/>
              </w:rPr>
              <w:t>饲料残渣及散落羽毛：</w:t>
            </w:r>
            <w:r>
              <w:rPr>
                <w:rFonts w:cs="Times New Roman" w:hint="eastAsia"/>
                <w:kern w:val="21"/>
                <w:szCs w:val="21"/>
              </w:rPr>
              <w:t>收集后交由有处理能力的公司</w:t>
            </w:r>
            <w:r>
              <w:rPr>
                <w:rFonts w:cs="Times New Roman"/>
                <w:kern w:val="21"/>
                <w:szCs w:val="21"/>
              </w:rPr>
              <w:t>进行有机肥生产，不暂存；</w:t>
            </w:r>
          </w:p>
          <w:p w14:paraId="7D08C012"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b/>
                <w:bCs/>
                <w:kern w:val="21"/>
                <w:szCs w:val="21"/>
              </w:rPr>
              <w:t>病死鸡：</w:t>
            </w:r>
            <w:r>
              <w:rPr>
                <w:rFonts w:cs="Times New Roman" w:hint="eastAsia"/>
                <w:kern w:val="21"/>
                <w:szCs w:val="21"/>
              </w:rPr>
              <w:t>病死鸡</w:t>
            </w:r>
            <w:r>
              <w:rPr>
                <w:rFonts w:cs="Times New Roman"/>
                <w:kern w:val="21"/>
                <w:szCs w:val="21"/>
              </w:rPr>
              <w:t>暂存于</w:t>
            </w:r>
            <w:proofErr w:type="gramStart"/>
            <w:r>
              <w:rPr>
                <w:rFonts w:cs="Times New Roman" w:hint="eastAsia"/>
                <w:kern w:val="21"/>
                <w:szCs w:val="21"/>
              </w:rPr>
              <w:t>病检室</w:t>
            </w:r>
            <w:r>
              <w:rPr>
                <w:rFonts w:cs="Times New Roman"/>
                <w:kern w:val="21"/>
                <w:szCs w:val="21"/>
              </w:rPr>
              <w:t>暂存</w:t>
            </w:r>
            <w:proofErr w:type="gramEnd"/>
            <w:r>
              <w:rPr>
                <w:rFonts w:cs="Times New Roman"/>
                <w:kern w:val="21"/>
                <w:szCs w:val="21"/>
              </w:rPr>
              <w:t>点冰柜中，产生当日</w:t>
            </w:r>
            <w:r>
              <w:rPr>
                <w:rFonts w:cs="Times New Roman" w:hint="eastAsia"/>
                <w:kern w:val="21"/>
                <w:szCs w:val="21"/>
              </w:rPr>
              <w:t>交由广元</w:t>
            </w:r>
            <w:proofErr w:type="gramStart"/>
            <w:r>
              <w:rPr>
                <w:rFonts w:cs="Times New Roman" w:hint="eastAsia"/>
                <w:kern w:val="21"/>
                <w:szCs w:val="21"/>
              </w:rPr>
              <w:t>市朗坤环保</w:t>
            </w:r>
            <w:proofErr w:type="gramEnd"/>
            <w:r>
              <w:rPr>
                <w:rFonts w:cs="Times New Roman" w:hint="eastAsia"/>
                <w:kern w:val="21"/>
                <w:szCs w:val="21"/>
              </w:rPr>
              <w:t>有限公司</w:t>
            </w:r>
            <w:r>
              <w:rPr>
                <w:rFonts w:cs="Times New Roman"/>
                <w:kern w:val="21"/>
                <w:szCs w:val="21"/>
              </w:rPr>
              <w:t>统一处理；</w:t>
            </w:r>
          </w:p>
          <w:p w14:paraId="53BD7211"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b/>
                <w:bCs/>
                <w:kern w:val="21"/>
                <w:szCs w:val="21"/>
              </w:rPr>
              <w:t>生活垃圾：</w:t>
            </w:r>
            <w:r>
              <w:rPr>
                <w:rFonts w:cs="Times New Roman"/>
                <w:kern w:val="21"/>
                <w:szCs w:val="21"/>
              </w:rPr>
              <w:t>生活垃圾经厂内垃圾桶收集，定期交由当地环卫部门处置；</w:t>
            </w:r>
          </w:p>
          <w:p w14:paraId="25CDD603"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b/>
                <w:bCs/>
                <w:kern w:val="21"/>
                <w:szCs w:val="21"/>
              </w:rPr>
              <w:t>餐厨垃圾</w:t>
            </w:r>
            <w:r>
              <w:rPr>
                <w:rFonts w:cs="Times New Roman" w:hint="eastAsia"/>
                <w:b/>
                <w:bCs/>
                <w:kern w:val="21"/>
              </w:rPr>
              <w:t>（含隔油池浮油）</w:t>
            </w:r>
            <w:r>
              <w:rPr>
                <w:rFonts w:cs="Times New Roman"/>
                <w:b/>
                <w:bCs/>
                <w:kern w:val="21"/>
                <w:szCs w:val="21"/>
              </w:rPr>
              <w:t>：</w:t>
            </w:r>
            <w:r>
              <w:rPr>
                <w:rFonts w:cs="Times New Roman"/>
                <w:kern w:val="21"/>
                <w:szCs w:val="21"/>
              </w:rPr>
              <w:t>设置单独餐厨垃圾收集桶，定期交由有餐厨垃圾处理资质单位处置；</w:t>
            </w:r>
          </w:p>
          <w:p w14:paraId="6497F0C7"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畜禽</w:t>
            </w:r>
            <w:r>
              <w:rPr>
                <w:rFonts w:cs="Times New Roman"/>
                <w:b/>
                <w:bCs/>
                <w:kern w:val="21"/>
                <w:szCs w:val="21"/>
              </w:rPr>
              <w:t>医疗废物：</w:t>
            </w:r>
            <w:r>
              <w:rPr>
                <w:rFonts w:cs="Times New Roman"/>
                <w:kern w:val="21"/>
                <w:szCs w:val="21"/>
                <w:lang w:bidi="ar"/>
              </w:rPr>
              <w:t>项目</w:t>
            </w:r>
            <w:r>
              <w:rPr>
                <w:rFonts w:cs="Times New Roman" w:hint="eastAsia"/>
                <w:kern w:val="21"/>
                <w:szCs w:val="21"/>
                <w:lang w:bidi="ar"/>
              </w:rPr>
              <w:t>鸡防疫及疾病治疗过程会产生废疫苗、针头、棉纱、废药品等医疗废物</w:t>
            </w:r>
            <w:r>
              <w:rPr>
                <w:rFonts w:cs="Times New Roman"/>
                <w:kern w:val="21"/>
                <w:szCs w:val="21"/>
                <w:lang w:bidi="ar"/>
              </w:rPr>
              <w:t>，产生的畜禽医疗</w:t>
            </w:r>
            <w:r>
              <w:rPr>
                <w:rFonts w:cs="Times New Roman" w:hint="eastAsia"/>
                <w:kern w:val="21"/>
                <w:szCs w:val="21"/>
                <w:lang w:bidi="ar"/>
              </w:rPr>
              <w:t>废物收集后暂存于场内危险废物暂存间。本项目</w:t>
            </w:r>
            <w:proofErr w:type="gramStart"/>
            <w:r>
              <w:rPr>
                <w:rFonts w:cs="Times New Roman" w:hint="eastAsia"/>
                <w:kern w:val="21"/>
                <w:szCs w:val="21"/>
                <w:lang w:bidi="ar"/>
              </w:rPr>
              <w:t>危废暂存间内部</w:t>
            </w:r>
            <w:proofErr w:type="gramEnd"/>
            <w:r>
              <w:rPr>
                <w:rFonts w:cs="Times New Roman" w:hint="eastAsia"/>
                <w:kern w:val="21"/>
                <w:szCs w:val="21"/>
                <w:lang w:bidi="ar"/>
              </w:rPr>
              <w:t>采取分区设置，医疗废物与其他危险废物分类收集，密封包装，分区域暂存。定期交由有相关资质的医疗废物处置单位进行集中处理</w:t>
            </w:r>
            <w:r>
              <w:rPr>
                <w:rFonts w:cs="Times New Roman"/>
                <w:kern w:val="21"/>
                <w:szCs w:val="21"/>
                <w:lang w:bidi="ar"/>
              </w:rPr>
              <w:t>。</w:t>
            </w:r>
          </w:p>
          <w:p w14:paraId="33FCEB45"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废润滑油</w:t>
            </w:r>
            <w:r>
              <w:rPr>
                <w:rFonts w:cs="Times New Roman"/>
                <w:b/>
                <w:bCs/>
                <w:kern w:val="21"/>
                <w:szCs w:val="21"/>
              </w:rPr>
              <w:t>：</w:t>
            </w:r>
            <w:r>
              <w:rPr>
                <w:rFonts w:cs="Times New Roman" w:hint="eastAsia"/>
                <w:kern w:val="21"/>
                <w:szCs w:val="21"/>
              </w:rPr>
              <w:t>收集后</w:t>
            </w:r>
            <w:r>
              <w:rPr>
                <w:rFonts w:cs="Times New Roman"/>
                <w:kern w:val="21"/>
                <w:szCs w:val="21"/>
              </w:rPr>
              <w:t>暂存于</w:t>
            </w:r>
            <w:r>
              <w:rPr>
                <w:rFonts w:cs="Times New Roman" w:hint="eastAsia"/>
                <w:kern w:val="21"/>
                <w:szCs w:val="21"/>
              </w:rPr>
              <w:t>危险废物暂存</w:t>
            </w:r>
            <w:r>
              <w:rPr>
                <w:rFonts w:cs="Times New Roman"/>
                <w:kern w:val="21"/>
                <w:szCs w:val="21"/>
              </w:rPr>
              <w:t>间，定期交由有资质单位处置。</w:t>
            </w:r>
          </w:p>
          <w:p w14:paraId="08DA7BE7"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废润滑油桶：</w:t>
            </w:r>
            <w:r>
              <w:rPr>
                <w:rFonts w:cs="Times New Roman" w:hint="eastAsia"/>
                <w:kern w:val="21"/>
                <w:szCs w:val="21"/>
              </w:rPr>
              <w:t>收集后</w:t>
            </w:r>
            <w:r>
              <w:rPr>
                <w:rFonts w:cs="Times New Roman"/>
                <w:kern w:val="21"/>
                <w:szCs w:val="21"/>
              </w:rPr>
              <w:t>暂存于</w:t>
            </w:r>
            <w:r>
              <w:rPr>
                <w:rFonts w:cs="Times New Roman" w:hint="eastAsia"/>
                <w:kern w:val="21"/>
                <w:szCs w:val="21"/>
              </w:rPr>
              <w:t>危险废物暂存</w:t>
            </w:r>
            <w:r>
              <w:rPr>
                <w:rFonts w:cs="Times New Roman"/>
                <w:kern w:val="21"/>
                <w:szCs w:val="21"/>
              </w:rPr>
              <w:t>间，定期交由有资质单位处置。</w:t>
            </w:r>
          </w:p>
          <w:p w14:paraId="40D00B7C"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废含油抹布及手套：</w:t>
            </w:r>
            <w:r>
              <w:rPr>
                <w:rFonts w:cs="Times New Roman" w:hint="eastAsia"/>
                <w:kern w:val="21"/>
                <w:szCs w:val="21"/>
              </w:rPr>
              <w:t>收集暂存于危险废物暂存间，定期交由有资质单位处置。</w:t>
            </w:r>
          </w:p>
        </w:tc>
        <w:tc>
          <w:tcPr>
            <w:tcW w:w="694" w:type="dxa"/>
            <w:vMerge/>
            <w:vAlign w:val="center"/>
          </w:tcPr>
          <w:p w14:paraId="0855613A"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4E7FA4FE"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恶臭</w:t>
            </w:r>
          </w:p>
        </w:tc>
        <w:tc>
          <w:tcPr>
            <w:tcW w:w="442" w:type="dxa"/>
            <w:vAlign w:val="center"/>
          </w:tcPr>
          <w:p w14:paraId="11E98396"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新建</w:t>
            </w:r>
          </w:p>
        </w:tc>
      </w:tr>
      <w:tr w:rsidR="00544649" w14:paraId="0A04A448" w14:textId="77777777">
        <w:trPr>
          <w:trHeight w:val="90"/>
          <w:jc w:val="center"/>
        </w:trPr>
        <w:tc>
          <w:tcPr>
            <w:tcW w:w="441" w:type="dxa"/>
            <w:vMerge/>
            <w:vAlign w:val="center"/>
          </w:tcPr>
          <w:p w14:paraId="62FB2CA9" w14:textId="77777777" w:rsidR="00544649" w:rsidRDefault="00544649">
            <w:pPr>
              <w:pStyle w:val="aff7"/>
              <w:adjustRightInd w:val="0"/>
              <w:snapToGrid w:val="0"/>
              <w:spacing w:beforeLines="0" w:before="0" w:afterLines="0" w:after="0"/>
              <w:rPr>
                <w:rFonts w:cs="Times New Roman"/>
                <w:kern w:val="21"/>
                <w:szCs w:val="21"/>
              </w:rPr>
            </w:pPr>
          </w:p>
        </w:tc>
        <w:tc>
          <w:tcPr>
            <w:tcW w:w="427" w:type="dxa"/>
            <w:gridSpan w:val="2"/>
            <w:vMerge/>
            <w:vAlign w:val="center"/>
          </w:tcPr>
          <w:p w14:paraId="58ED38F8" w14:textId="77777777" w:rsidR="00544649" w:rsidRDefault="00544649">
            <w:pPr>
              <w:pStyle w:val="aff7"/>
              <w:adjustRightInd w:val="0"/>
              <w:snapToGrid w:val="0"/>
              <w:spacing w:beforeLines="0" w:before="0" w:afterLines="0" w:after="0"/>
              <w:rPr>
                <w:rFonts w:cs="Times New Roman"/>
                <w:kern w:val="21"/>
                <w:szCs w:val="21"/>
              </w:rPr>
            </w:pPr>
          </w:p>
        </w:tc>
        <w:tc>
          <w:tcPr>
            <w:tcW w:w="993" w:type="dxa"/>
            <w:vAlign w:val="center"/>
          </w:tcPr>
          <w:p w14:paraId="1FAF5950"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蛋鸡场</w:t>
            </w:r>
          </w:p>
        </w:tc>
        <w:tc>
          <w:tcPr>
            <w:tcW w:w="4932" w:type="dxa"/>
            <w:vAlign w:val="center"/>
          </w:tcPr>
          <w:p w14:paraId="25021606"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b/>
                <w:bCs/>
                <w:kern w:val="21"/>
                <w:szCs w:val="21"/>
              </w:rPr>
              <w:t>鸡粪：</w:t>
            </w:r>
            <w:r>
              <w:rPr>
                <w:rFonts w:cs="Times New Roman"/>
                <w:kern w:val="21"/>
                <w:szCs w:val="21"/>
              </w:rPr>
              <w:t>鸡粪日产日清，鸡粪采用自动刮粪机清理，经密闭皮带传输机输送至密闭转运车，转运至</w:t>
            </w:r>
            <w:r>
              <w:rPr>
                <w:rFonts w:cs="Times New Roman" w:hint="eastAsia"/>
                <w:kern w:val="21"/>
                <w:szCs w:val="21"/>
              </w:rPr>
              <w:t>四川省田宝生物科技有限公司</w:t>
            </w:r>
            <w:r>
              <w:rPr>
                <w:rFonts w:cs="Times New Roman"/>
                <w:kern w:val="21"/>
                <w:szCs w:val="21"/>
              </w:rPr>
              <w:t>进行有机肥生产，不在场内暂存；</w:t>
            </w:r>
          </w:p>
          <w:p w14:paraId="5C13B45A"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b/>
                <w:bCs/>
                <w:kern w:val="21"/>
                <w:szCs w:val="21"/>
              </w:rPr>
              <w:t>饲料残渣及散落羽毛：</w:t>
            </w:r>
            <w:r>
              <w:rPr>
                <w:rFonts w:cs="Times New Roman" w:hint="eastAsia"/>
                <w:kern w:val="21"/>
                <w:szCs w:val="21"/>
              </w:rPr>
              <w:t>收集后交由有处理能力的有机肥公司进行有机肥生产</w:t>
            </w:r>
            <w:r>
              <w:rPr>
                <w:rFonts w:cs="Times New Roman"/>
                <w:kern w:val="21"/>
                <w:szCs w:val="21"/>
              </w:rPr>
              <w:t>，不暂存；</w:t>
            </w:r>
          </w:p>
          <w:p w14:paraId="7AFAC82B"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b/>
                <w:bCs/>
                <w:kern w:val="21"/>
                <w:szCs w:val="21"/>
              </w:rPr>
              <w:t>病死鸡：</w:t>
            </w:r>
            <w:r>
              <w:rPr>
                <w:rFonts w:cs="Times New Roman" w:hint="eastAsia"/>
                <w:kern w:val="21"/>
                <w:szCs w:val="21"/>
              </w:rPr>
              <w:t>病死鸡</w:t>
            </w:r>
            <w:r>
              <w:rPr>
                <w:rFonts w:cs="Times New Roman"/>
                <w:kern w:val="21"/>
                <w:szCs w:val="21"/>
              </w:rPr>
              <w:t>暂存于</w:t>
            </w:r>
            <w:proofErr w:type="gramStart"/>
            <w:r>
              <w:rPr>
                <w:rFonts w:cs="Times New Roman" w:hint="eastAsia"/>
                <w:kern w:val="21"/>
                <w:szCs w:val="21"/>
              </w:rPr>
              <w:t>病检室</w:t>
            </w:r>
            <w:r>
              <w:rPr>
                <w:rFonts w:cs="Times New Roman"/>
                <w:kern w:val="21"/>
                <w:szCs w:val="21"/>
              </w:rPr>
              <w:t>暂存</w:t>
            </w:r>
            <w:proofErr w:type="gramEnd"/>
            <w:r>
              <w:rPr>
                <w:rFonts w:cs="Times New Roman"/>
                <w:kern w:val="21"/>
                <w:szCs w:val="21"/>
              </w:rPr>
              <w:t>点冰柜中，产生当日</w:t>
            </w:r>
            <w:r>
              <w:rPr>
                <w:rFonts w:cs="Times New Roman" w:hint="eastAsia"/>
                <w:kern w:val="21"/>
                <w:szCs w:val="21"/>
              </w:rPr>
              <w:t>广元</w:t>
            </w:r>
            <w:proofErr w:type="gramStart"/>
            <w:r>
              <w:rPr>
                <w:rFonts w:cs="Times New Roman" w:hint="eastAsia"/>
                <w:kern w:val="21"/>
                <w:szCs w:val="21"/>
              </w:rPr>
              <w:t>市朗坤环保</w:t>
            </w:r>
            <w:proofErr w:type="gramEnd"/>
            <w:r>
              <w:rPr>
                <w:rFonts w:cs="Times New Roman" w:hint="eastAsia"/>
                <w:kern w:val="21"/>
                <w:szCs w:val="21"/>
              </w:rPr>
              <w:t>有限公司</w:t>
            </w:r>
            <w:r>
              <w:rPr>
                <w:rFonts w:cs="Times New Roman"/>
                <w:kern w:val="21"/>
                <w:szCs w:val="21"/>
              </w:rPr>
              <w:t>统一处理；</w:t>
            </w:r>
          </w:p>
          <w:p w14:paraId="01DE13E8"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不合格鸡蛋：</w:t>
            </w:r>
            <w:r>
              <w:rPr>
                <w:rFonts w:cs="Times New Roman" w:hint="eastAsia"/>
                <w:kern w:val="21"/>
                <w:szCs w:val="21"/>
              </w:rPr>
              <w:t>不合格蛋品收集后交由有处理能力的有机肥公司进行有机肥生产。</w:t>
            </w:r>
          </w:p>
          <w:p w14:paraId="3FAE6F8B"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蛋鸡活动场地垫料：</w:t>
            </w:r>
            <w:r>
              <w:rPr>
                <w:rFonts w:cs="Times New Roman" w:hint="eastAsia"/>
                <w:kern w:val="21"/>
                <w:szCs w:val="21"/>
              </w:rPr>
              <w:t>垫料每批次蛋鸡淘汰后及时清理更换，项目正常运营后，蛋鸡舍每隔</w:t>
            </w:r>
            <w:r>
              <w:rPr>
                <w:rFonts w:cs="Times New Roman" w:hint="eastAsia"/>
                <w:kern w:val="21"/>
                <w:szCs w:val="21"/>
              </w:rPr>
              <w:t>135</w:t>
            </w:r>
            <w:r>
              <w:rPr>
                <w:rFonts w:cs="Times New Roman" w:hint="eastAsia"/>
                <w:kern w:val="21"/>
                <w:szCs w:val="21"/>
              </w:rPr>
              <w:t>天淘汰一个批次，废垫料人工清理后收集后交由有处理能力的有机肥公司进行有机肥生产；</w:t>
            </w:r>
          </w:p>
          <w:p w14:paraId="21F9ED2F"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b/>
                <w:bCs/>
                <w:kern w:val="21"/>
                <w:szCs w:val="21"/>
              </w:rPr>
              <w:t>废包装材料：</w:t>
            </w:r>
            <w:r>
              <w:rPr>
                <w:rFonts w:cs="Times New Roman"/>
                <w:kern w:val="21"/>
                <w:szCs w:val="21"/>
              </w:rPr>
              <w:t>统一收集后送至废品回收站收购；</w:t>
            </w:r>
          </w:p>
          <w:p w14:paraId="0C0CEBB6"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鸡蛋喷油废油桶：</w:t>
            </w:r>
            <w:r>
              <w:rPr>
                <w:rFonts w:cs="Times New Roman" w:hint="eastAsia"/>
                <w:kern w:val="21"/>
                <w:szCs w:val="21"/>
              </w:rPr>
              <w:t>鸡蛋外壳采用食品级白油喷油后产生的废油桶，收集后</w:t>
            </w:r>
            <w:r>
              <w:rPr>
                <w:rFonts w:cs="Times New Roman"/>
                <w:kern w:val="21"/>
                <w:szCs w:val="21"/>
              </w:rPr>
              <w:t>定期交由当地环卫部门处置；</w:t>
            </w:r>
          </w:p>
          <w:p w14:paraId="66BB4B1B"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b/>
                <w:bCs/>
                <w:kern w:val="21"/>
                <w:szCs w:val="21"/>
              </w:rPr>
              <w:t>生活垃圾：</w:t>
            </w:r>
            <w:r>
              <w:rPr>
                <w:rFonts w:cs="Times New Roman"/>
                <w:kern w:val="21"/>
                <w:szCs w:val="21"/>
              </w:rPr>
              <w:t>生活垃圾经厂内垃圾桶收集，定期交由当地环卫部门处置；</w:t>
            </w:r>
          </w:p>
          <w:p w14:paraId="3A3D282C"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b/>
                <w:bCs/>
                <w:kern w:val="21"/>
                <w:szCs w:val="21"/>
              </w:rPr>
              <w:t>餐厨垃圾</w:t>
            </w:r>
            <w:r>
              <w:rPr>
                <w:rFonts w:cs="Times New Roman" w:hint="eastAsia"/>
                <w:b/>
                <w:bCs/>
                <w:kern w:val="21"/>
              </w:rPr>
              <w:t>（含隔油池浮油）</w:t>
            </w:r>
            <w:r>
              <w:rPr>
                <w:rFonts w:cs="Times New Roman"/>
                <w:b/>
                <w:bCs/>
                <w:kern w:val="21"/>
                <w:szCs w:val="21"/>
              </w:rPr>
              <w:t>：</w:t>
            </w:r>
            <w:r>
              <w:rPr>
                <w:rFonts w:cs="Times New Roman"/>
                <w:kern w:val="21"/>
                <w:szCs w:val="21"/>
              </w:rPr>
              <w:t>设置单独餐厨垃圾收集</w:t>
            </w:r>
            <w:r>
              <w:rPr>
                <w:rFonts w:cs="Times New Roman"/>
                <w:kern w:val="21"/>
                <w:szCs w:val="21"/>
              </w:rPr>
              <w:lastRenderedPageBreak/>
              <w:t>桶，定期交由有餐厨垃圾处理资质单位处置；</w:t>
            </w:r>
          </w:p>
          <w:p w14:paraId="573ADFE6"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畜禽</w:t>
            </w:r>
            <w:r>
              <w:rPr>
                <w:rFonts w:cs="Times New Roman"/>
                <w:b/>
                <w:bCs/>
                <w:kern w:val="21"/>
                <w:szCs w:val="21"/>
              </w:rPr>
              <w:t>医疗废物：</w:t>
            </w:r>
            <w:r>
              <w:rPr>
                <w:rFonts w:cs="Times New Roman"/>
                <w:kern w:val="21"/>
                <w:szCs w:val="21"/>
                <w:lang w:bidi="ar"/>
              </w:rPr>
              <w:t>项目</w:t>
            </w:r>
            <w:r>
              <w:rPr>
                <w:rFonts w:cs="Times New Roman" w:hint="eastAsia"/>
                <w:kern w:val="21"/>
                <w:szCs w:val="21"/>
                <w:lang w:bidi="ar"/>
              </w:rPr>
              <w:t>鸡防疫及疾病治疗过程会产生废疫苗、针头、棉纱、废药品等医疗废物</w:t>
            </w:r>
            <w:r>
              <w:rPr>
                <w:rFonts w:cs="Times New Roman"/>
                <w:kern w:val="21"/>
                <w:szCs w:val="21"/>
                <w:lang w:bidi="ar"/>
              </w:rPr>
              <w:t>，产生的畜禽医疗</w:t>
            </w:r>
            <w:r>
              <w:rPr>
                <w:rFonts w:cs="Times New Roman" w:hint="eastAsia"/>
                <w:kern w:val="21"/>
                <w:szCs w:val="21"/>
                <w:lang w:bidi="ar"/>
              </w:rPr>
              <w:t>废物收集后暂存于场内危险废物暂存间。本项目</w:t>
            </w:r>
            <w:r>
              <w:rPr>
                <w:rFonts w:cs="Times New Roman" w:hint="eastAsia"/>
                <w:kern w:val="21"/>
                <w:szCs w:val="21"/>
              </w:rPr>
              <w:t>危险废物暂存</w:t>
            </w:r>
            <w:proofErr w:type="gramStart"/>
            <w:r>
              <w:rPr>
                <w:rFonts w:cs="Times New Roman" w:hint="eastAsia"/>
                <w:kern w:val="21"/>
                <w:szCs w:val="21"/>
                <w:lang w:bidi="ar"/>
              </w:rPr>
              <w:t>间内部</w:t>
            </w:r>
            <w:proofErr w:type="gramEnd"/>
            <w:r>
              <w:rPr>
                <w:rFonts w:cs="Times New Roman" w:hint="eastAsia"/>
                <w:kern w:val="21"/>
                <w:szCs w:val="21"/>
                <w:lang w:bidi="ar"/>
              </w:rPr>
              <w:t>采取分区设置，医疗废物与其他危险废物分类收集，密封包装，分区域暂存。定期交由有相关资质的医疗废物处置单位进行集中处理</w:t>
            </w:r>
            <w:r>
              <w:rPr>
                <w:rFonts w:cs="Times New Roman"/>
                <w:kern w:val="21"/>
                <w:szCs w:val="21"/>
                <w:lang w:bidi="ar"/>
              </w:rPr>
              <w:t>。</w:t>
            </w:r>
          </w:p>
          <w:p w14:paraId="08AC5213"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废润滑油</w:t>
            </w:r>
            <w:r>
              <w:rPr>
                <w:rFonts w:cs="Times New Roman"/>
                <w:b/>
                <w:bCs/>
                <w:kern w:val="21"/>
                <w:szCs w:val="21"/>
              </w:rPr>
              <w:t>：</w:t>
            </w:r>
            <w:r>
              <w:rPr>
                <w:rFonts w:cs="Times New Roman" w:hint="eastAsia"/>
                <w:kern w:val="21"/>
                <w:szCs w:val="21"/>
              </w:rPr>
              <w:t>收集后</w:t>
            </w:r>
            <w:r>
              <w:rPr>
                <w:rFonts w:cs="Times New Roman"/>
                <w:kern w:val="21"/>
                <w:szCs w:val="21"/>
              </w:rPr>
              <w:t>暂存于</w:t>
            </w:r>
            <w:r>
              <w:rPr>
                <w:rFonts w:cs="Times New Roman" w:hint="eastAsia"/>
                <w:kern w:val="21"/>
                <w:szCs w:val="21"/>
              </w:rPr>
              <w:t>危险废物暂存</w:t>
            </w:r>
            <w:r>
              <w:rPr>
                <w:rFonts w:cs="Times New Roman"/>
                <w:kern w:val="21"/>
                <w:szCs w:val="21"/>
              </w:rPr>
              <w:t>间，定期交由有资质单位处置。</w:t>
            </w:r>
          </w:p>
          <w:p w14:paraId="55D55C5F"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废润滑油桶：</w:t>
            </w:r>
            <w:r>
              <w:rPr>
                <w:rFonts w:cs="Times New Roman" w:hint="eastAsia"/>
                <w:kern w:val="21"/>
                <w:szCs w:val="21"/>
              </w:rPr>
              <w:t>收集后</w:t>
            </w:r>
            <w:r>
              <w:rPr>
                <w:rFonts w:cs="Times New Roman"/>
                <w:kern w:val="21"/>
                <w:szCs w:val="21"/>
              </w:rPr>
              <w:t>暂存于</w:t>
            </w:r>
            <w:r>
              <w:rPr>
                <w:rFonts w:cs="Times New Roman" w:hint="eastAsia"/>
                <w:kern w:val="21"/>
                <w:szCs w:val="21"/>
              </w:rPr>
              <w:t>危险废物暂存</w:t>
            </w:r>
            <w:r>
              <w:rPr>
                <w:rFonts w:cs="Times New Roman"/>
                <w:kern w:val="21"/>
                <w:szCs w:val="21"/>
              </w:rPr>
              <w:t>间，定期交由有资质单位处置。</w:t>
            </w:r>
          </w:p>
          <w:p w14:paraId="75458E90"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废含油抹布及手套：</w:t>
            </w:r>
            <w:r>
              <w:rPr>
                <w:rFonts w:cs="Times New Roman" w:hint="eastAsia"/>
                <w:kern w:val="21"/>
                <w:szCs w:val="21"/>
              </w:rPr>
              <w:t>收集暂存于危险废物暂存间，定期交由有资质单位处置。</w:t>
            </w:r>
          </w:p>
          <w:p w14:paraId="087B134A" w14:textId="77777777" w:rsidR="00544649" w:rsidRDefault="00000000">
            <w:pPr>
              <w:pStyle w:val="aff7"/>
              <w:adjustRightInd w:val="0"/>
              <w:snapToGrid w:val="0"/>
              <w:spacing w:beforeLines="0" w:before="0" w:afterLines="0" w:after="0"/>
              <w:jc w:val="both"/>
              <w:rPr>
                <w:rFonts w:cs="Times New Roman"/>
                <w:b/>
                <w:bCs/>
                <w:kern w:val="21"/>
                <w:szCs w:val="21"/>
              </w:rPr>
            </w:pPr>
            <w:r>
              <w:rPr>
                <w:rFonts w:cs="Times New Roman" w:hint="eastAsia"/>
                <w:b/>
                <w:bCs/>
                <w:kern w:val="21"/>
                <w:szCs w:val="21"/>
              </w:rPr>
              <w:t>废紫外线灯管：</w:t>
            </w:r>
            <w:r>
              <w:rPr>
                <w:rFonts w:cs="Times New Roman" w:hint="eastAsia"/>
                <w:kern w:val="21"/>
                <w:szCs w:val="21"/>
              </w:rPr>
              <w:t>蛋品消毒灭菌工序中产生的废紫外线灯管，收集暂存于危险废物暂存间，定期交由有资质单位处置。</w:t>
            </w:r>
          </w:p>
        </w:tc>
        <w:tc>
          <w:tcPr>
            <w:tcW w:w="694" w:type="dxa"/>
            <w:vMerge/>
            <w:vAlign w:val="center"/>
          </w:tcPr>
          <w:p w14:paraId="749FC3CA"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30270848"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恶臭</w:t>
            </w:r>
          </w:p>
        </w:tc>
        <w:tc>
          <w:tcPr>
            <w:tcW w:w="442" w:type="dxa"/>
            <w:vAlign w:val="center"/>
          </w:tcPr>
          <w:p w14:paraId="64757B36" w14:textId="77777777" w:rsidR="00544649" w:rsidRDefault="00544649">
            <w:pPr>
              <w:pStyle w:val="aff7"/>
              <w:adjustRightInd w:val="0"/>
              <w:snapToGrid w:val="0"/>
              <w:spacing w:beforeLines="0" w:before="0" w:afterLines="0" w:after="0"/>
              <w:rPr>
                <w:rFonts w:cs="Times New Roman"/>
                <w:kern w:val="21"/>
                <w:szCs w:val="21"/>
              </w:rPr>
            </w:pPr>
          </w:p>
        </w:tc>
      </w:tr>
      <w:tr w:rsidR="00544649" w14:paraId="148AE537" w14:textId="77777777">
        <w:trPr>
          <w:trHeight w:val="90"/>
          <w:jc w:val="center"/>
        </w:trPr>
        <w:tc>
          <w:tcPr>
            <w:tcW w:w="441" w:type="dxa"/>
            <w:vMerge/>
            <w:vAlign w:val="center"/>
          </w:tcPr>
          <w:p w14:paraId="6F1F1394" w14:textId="77777777" w:rsidR="00544649" w:rsidRDefault="00544649">
            <w:pPr>
              <w:pStyle w:val="aff7"/>
              <w:adjustRightInd w:val="0"/>
              <w:snapToGrid w:val="0"/>
              <w:spacing w:beforeLines="0" w:before="0" w:afterLines="0" w:after="0"/>
              <w:rPr>
                <w:rFonts w:cs="Times New Roman"/>
                <w:kern w:val="21"/>
                <w:szCs w:val="21"/>
              </w:rPr>
            </w:pPr>
          </w:p>
        </w:tc>
        <w:tc>
          <w:tcPr>
            <w:tcW w:w="427" w:type="dxa"/>
            <w:gridSpan w:val="2"/>
            <w:vMerge w:val="restart"/>
            <w:vAlign w:val="center"/>
          </w:tcPr>
          <w:p w14:paraId="163F022A"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地下水及土壤</w:t>
            </w:r>
          </w:p>
        </w:tc>
        <w:tc>
          <w:tcPr>
            <w:tcW w:w="993" w:type="dxa"/>
            <w:vAlign w:val="center"/>
          </w:tcPr>
          <w:p w14:paraId="0A42C03B" w14:textId="77777777" w:rsidR="00544649" w:rsidRDefault="00000000">
            <w:pPr>
              <w:pStyle w:val="aff7"/>
              <w:adjustRightInd w:val="0"/>
              <w:snapToGrid w:val="0"/>
              <w:spacing w:beforeLines="0" w:before="0" w:afterLines="0" w:after="0"/>
              <w:rPr>
                <w:rFonts w:cs="Times New Roman"/>
                <w:kern w:val="21"/>
                <w:szCs w:val="21"/>
              </w:rPr>
            </w:pPr>
            <w:proofErr w:type="gramStart"/>
            <w:r>
              <w:rPr>
                <w:rFonts w:cs="Times New Roman" w:hint="eastAsia"/>
                <w:kern w:val="21"/>
                <w:szCs w:val="21"/>
              </w:rPr>
              <w:t>育雏场</w:t>
            </w:r>
            <w:proofErr w:type="gramEnd"/>
          </w:p>
        </w:tc>
        <w:tc>
          <w:tcPr>
            <w:tcW w:w="4932" w:type="dxa"/>
            <w:vAlign w:val="center"/>
          </w:tcPr>
          <w:p w14:paraId="3DD54909"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b/>
                <w:bCs/>
                <w:kern w:val="21"/>
                <w:szCs w:val="21"/>
              </w:rPr>
              <w:t>重点防渗区：</w:t>
            </w:r>
            <w:r>
              <w:rPr>
                <w:rFonts w:cs="Times New Roman" w:hint="eastAsia"/>
                <w:kern w:val="21"/>
                <w:szCs w:val="21"/>
              </w:rPr>
              <w:t>危险废物暂存间、病检室、消毒池、消毒间、车辆消毒棚、备用发电机房、储油间、污水处理区、淸粪坑防渗混凝土</w:t>
            </w:r>
            <w:r>
              <w:rPr>
                <w:rFonts w:cs="Times New Roman" w:hint="eastAsia"/>
                <w:kern w:val="21"/>
                <w:szCs w:val="21"/>
              </w:rPr>
              <w:t>+2mm</w:t>
            </w:r>
            <w:r>
              <w:rPr>
                <w:rFonts w:cs="Times New Roman" w:hint="eastAsia"/>
                <w:kern w:val="21"/>
                <w:szCs w:val="21"/>
              </w:rPr>
              <w:t>厚高密度聚乙烯膜进行防渗处理</w:t>
            </w:r>
            <w:r>
              <w:rPr>
                <w:rStyle w:val="aff"/>
                <w:rFonts w:cs="Times New Roman"/>
                <w:kern w:val="21"/>
              </w:rPr>
              <w:t>，</w:t>
            </w:r>
            <w:r>
              <w:rPr>
                <w:rFonts w:cs="Times New Roman"/>
                <w:kern w:val="21"/>
                <w:szCs w:val="21"/>
              </w:rPr>
              <w:t>等效黏土防渗层</w:t>
            </w:r>
            <w:r>
              <w:rPr>
                <w:rFonts w:cs="Times New Roman"/>
                <w:kern w:val="21"/>
                <w:szCs w:val="21"/>
              </w:rPr>
              <w:t>Mb≥6.0m</w:t>
            </w:r>
            <w:r>
              <w:rPr>
                <w:rFonts w:cs="Times New Roman"/>
                <w:kern w:val="21"/>
                <w:szCs w:val="21"/>
              </w:rPr>
              <w:t>，</w:t>
            </w:r>
            <w:r>
              <w:rPr>
                <w:rFonts w:cs="Times New Roman"/>
                <w:kern w:val="21"/>
                <w:szCs w:val="21"/>
              </w:rPr>
              <w:t>K≤1×10</w:t>
            </w:r>
            <w:r>
              <w:rPr>
                <w:rFonts w:cs="Times New Roman"/>
                <w:kern w:val="21"/>
                <w:szCs w:val="21"/>
                <w:vertAlign w:val="superscript"/>
              </w:rPr>
              <w:t>-7</w:t>
            </w:r>
            <w:r>
              <w:rPr>
                <w:rFonts w:cs="Times New Roman"/>
                <w:kern w:val="21"/>
                <w:szCs w:val="21"/>
              </w:rPr>
              <w:t>cm/s</w:t>
            </w:r>
            <w:r>
              <w:rPr>
                <w:rFonts w:cs="Times New Roman"/>
                <w:kern w:val="21"/>
                <w:szCs w:val="21"/>
              </w:rPr>
              <w:t>；（</w:t>
            </w:r>
            <w:r>
              <w:rPr>
                <w:rFonts w:cs="Times New Roman" w:hint="eastAsia"/>
                <w:kern w:val="21"/>
                <w:szCs w:val="21"/>
              </w:rPr>
              <w:t>危险废物暂存间增设防渗托盘，防渗要求</w:t>
            </w:r>
            <w:r>
              <w:rPr>
                <w:rFonts w:cs="Times New Roman"/>
                <w:kern w:val="21"/>
                <w:szCs w:val="21"/>
              </w:rPr>
              <w:t>满足</w:t>
            </w:r>
            <w:r>
              <w:rPr>
                <w:rFonts w:cs="Times New Roman"/>
                <w:kern w:val="21"/>
                <w:szCs w:val="21"/>
              </w:rPr>
              <w:t>K≤1.0×10</w:t>
            </w:r>
            <w:r>
              <w:rPr>
                <w:rFonts w:cs="Times New Roman"/>
                <w:kern w:val="21"/>
                <w:szCs w:val="21"/>
                <w:vertAlign w:val="superscript"/>
              </w:rPr>
              <w:t>-10</w:t>
            </w:r>
            <w:r>
              <w:rPr>
                <w:rFonts w:cs="Times New Roman"/>
                <w:kern w:val="21"/>
                <w:szCs w:val="21"/>
              </w:rPr>
              <w:t>cm/s</w:t>
            </w:r>
            <w:r>
              <w:rPr>
                <w:rFonts w:cs="Times New Roman"/>
                <w:kern w:val="21"/>
                <w:szCs w:val="21"/>
              </w:rPr>
              <w:t>）；</w:t>
            </w:r>
          </w:p>
          <w:p w14:paraId="3A5FC18D"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一般防渗区：</w:t>
            </w:r>
            <w:r>
              <w:rPr>
                <w:rFonts w:cs="Times New Roman" w:hint="eastAsia"/>
                <w:kern w:val="21"/>
                <w:szCs w:val="21"/>
              </w:rPr>
              <w:t>鸡舍、蓄水池、污水暂存池、初期雨水池、事故应急</w:t>
            </w:r>
            <w:proofErr w:type="gramStart"/>
            <w:r>
              <w:rPr>
                <w:rFonts w:cs="Times New Roman" w:hint="eastAsia"/>
                <w:kern w:val="21"/>
                <w:szCs w:val="21"/>
              </w:rPr>
              <w:t>池</w:t>
            </w:r>
            <w:r>
              <w:rPr>
                <w:rFonts w:cs="Times New Roman"/>
                <w:kern w:val="21"/>
                <w:szCs w:val="21"/>
              </w:rPr>
              <w:t>采取</w:t>
            </w:r>
            <w:proofErr w:type="gramEnd"/>
            <w:r>
              <w:rPr>
                <w:rFonts w:cs="Times New Roman"/>
                <w:kern w:val="21"/>
                <w:szCs w:val="21"/>
              </w:rPr>
              <w:t>15cm</w:t>
            </w:r>
            <w:r>
              <w:rPr>
                <w:rFonts w:cs="Times New Roman"/>
                <w:kern w:val="21"/>
                <w:szCs w:val="21"/>
              </w:rPr>
              <w:t>厚抗渗系数为</w:t>
            </w:r>
            <w:r>
              <w:rPr>
                <w:rFonts w:cs="Times New Roman"/>
                <w:kern w:val="21"/>
                <w:szCs w:val="21"/>
              </w:rPr>
              <w:t>P8</w:t>
            </w:r>
            <w:r>
              <w:rPr>
                <w:rFonts w:cs="Times New Roman"/>
                <w:kern w:val="21"/>
                <w:szCs w:val="21"/>
              </w:rPr>
              <w:t>的混凝土</w:t>
            </w:r>
            <w:r>
              <w:rPr>
                <w:rFonts w:cs="Times New Roman" w:hint="eastAsia"/>
                <w:kern w:val="21"/>
                <w:szCs w:val="21"/>
              </w:rPr>
              <w:t>进行防渗</w:t>
            </w:r>
            <w:r>
              <w:rPr>
                <w:rFonts w:cs="Times New Roman"/>
                <w:kern w:val="21"/>
                <w:szCs w:val="21"/>
              </w:rPr>
              <w:t>，等效黏土防渗层</w:t>
            </w:r>
            <w:r>
              <w:rPr>
                <w:rFonts w:cs="Times New Roman"/>
                <w:kern w:val="21"/>
                <w:szCs w:val="21"/>
              </w:rPr>
              <w:t>Mb&gt;1.5m</w:t>
            </w:r>
            <w:r>
              <w:rPr>
                <w:rFonts w:cs="Times New Roman"/>
                <w:kern w:val="21"/>
                <w:szCs w:val="21"/>
              </w:rPr>
              <w:t>，</w:t>
            </w:r>
            <w:r>
              <w:rPr>
                <w:rFonts w:cs="Times New Roman"/>
                <w:kern w:val="21"/>
                <w:szCs w:val="21"/>
              </w:rPr>
              <w:t>K≤1×10</w:t>
            </w:r>
            <w:r>
              <w:rPr>
                <w:rFonts w:cs="Times New Roman"/>
                <w:kern w:val="21"/>
                <w:szCs w:val="21"/>
                <w:vertAlign w:val="superscript"/>
              </w:rPr>
              <w:t>-7</w:t>
            </w:r>
            <w:r>
              <w:rPr>
                <w:rFonts w:cs="Times New Roman"/>
                <w:kern w:val="21"/>
                <w:szCs w:val="21"/>
              </w:rPr>
              <w:t>cm/s</w:t>
            </w:r>
            <w:r>
              <w:rPr>
                <w:rFonts w:cs="Times New Roman"/>
                <w:kern w:val="21"/>
                <w:szCs w:val="21"/>
              </w:rPr>
              <w:t>；</w:t>
            </w:r>
          </w:p>
          <w:p w14:paraId="06910B8D"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b/>
                <w:bCs/>
                <w:kern w:val="21"/>
                <w:szCs w:val="21"/>
              </w:rPr>
              <w:t>简单防渗区：</w:t>
            </w:r>
            <w:r>
              <w:rPr>
                <w:rFonts w:cs="Times New Roman" w:hint="eastAsia"/>
                <w:kern w:val="21"/>
                <w:szCs w:val="21"/>
              </w:rPr>
              <w:t>场内办公生活区及场内道路</w:t>
            </w:r>
            <w:r>
              <w:rPr>
                <w:rFonts w:cs="Times New Roman"/>
                <w:kern w:val="21"/>
                <w:szCs w:val="21"/>
              </w:rPr>
              <w:t>等场内其他区域采取一般地面硬化。</w:t>
            </w:r>
          </w:p>
        </w:tc>
        <w:tc>
          <w:tcPr>
            <w:tcW w:w="694" w:type="dxa"/>
            <w:vMerge/>
            <w:vAlign w:val="center"/>
          </w:tcPr>
          <w:p w14:paraId="0574E516"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70852DB1"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w:t>
            </w:r>
          </w:p>
        </w:tc>
        <w:tc>
          <w:tcPr>
            <w:tcW w:w="442" w:type="dxa"/>
            <w:vAlign w:val="center"/>
          </w:tcPr>
          <w:p w14:paraId="4036E20D"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新建</w:t>
            </w:r>
          </w:p>
        </w:tc>
      </w:tr>
      <w:tr w:rsidR="00544649" w14:paraId="365D29BC" w14:textId="77777777">
        <w:trPr>
          <w:trHeight w:val="90"/>
          <w:jc w:val="center"/>
        </w:trPr>
        <w:tc>
          <w:tcPr>
            <w:tcW w:w="441" w:type="dxa"/>
            <w:vMerge/>
            <w:vAlign w:val="center"/>
          </w:tcPr>
          <w:p w14:paraId="2F883650" w14:textId="77777777" w:rsidR="00544649" w:rsidRDefault="00544649">
            <w:pPr>
              <w:pStyle w:val="aff7"/>
              <w:adjustRightInd w:val="0"/>
              <w:snapToGrid w:val="0"/>
              <w:spacing w:beforeLines="0" w:before="0" w:afterLines="0" w:after="0"/>
              <w:rPr>
                <w:rFonts w:cs="Times New Roman"/>
                <w:kern w:val="21"/>
                <w:szCs w:val="21"/>
              </w:rPr>
            </w:pPr>
          </w:p>
        </w:tc>
        <w:tc>
          <w:tcPr>
            <w:tcW w:w="427" w:type="dxa"/>
            <w:gridSpan w:val="2"/>
            <w:vMerge/>
          </w:tcPr>
          <w:p w14:paraId="179871E8" w14:textId="77777777" w:rsidR="00544649" w:rsidRDefault="00544649">
            <w:pPr>
              <w:pStyle w:val="aff7"/>
              <w:adjustRightInd w:val="0"/>
              <w:snapToGrid w:val="0"/>
              <w:spacing w:beforeLines="0" w:before="0" w:afterLines="0" w:after="0"/>
              <w:rPr>
                <w:rFonts w:cs="Times New Roman"/>
                <w:kern w:val="21"/>
                <w:szCs w:val="21"/>
              </w:rPr>
            </w:pPr>
          </w:p>
        </w:tc>
        <w:tc>
          <w:tcPr>
            <w:tcW w:w="993" w:type="dxa"/>
            <w:vAlign w:val="center"/>
          </w:tcPr>
          <w:p w14:paraId="4E5698C3"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蛋鸡场</w:t>
            </w:r>
          </w:p>
        </w:tc>
        <w:tc>
          <w:tcPr>
            <w:tcW w:w="4932" w:type="dxa"/>
            <w:vAlign w:val="center"/>
          </w:tcPr>
          <w:p w14:paraId="6B2F559E"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b/>
                <w:bCs/>
                <w:kern w:val="21"/>
                <w:szCs w:val="21"/>
              </w:rPr>
              <w:t>重点防渗区：</w:t>
            </w:r>
            <w:r>
              <w:rPr>
                <w:rFonts w:cs="Times New Roman" w:hint="eastAsia"/>
                <w:kern w:val="21"/>
                <w:szCs w:val="21"/>
              </w:rPr>
              <w:t>危险废物暂存间、病检室、消毒池、消毒间、车辆消毒棚、备用发电机房、储油间、污水处理区、淸粪坑</w:t>
            </w:r>
            <w:r>
              <w:rPr>
                <w:rFonts w:cs="Times New Roman"/>
                <w:kern w:val="21"/>
                <w:szCs w:val="21"/>
              </w:rPr>
              <w:t>设置</w:t>
            </w:r>
            <w:r>
              <w:rPr>
                <w:rFonts w:cs="Times New Roman" w:hint="eastAsia"/>
                <w:kern w:val="21"/>
                <w:szCs w:val="21"/>
              </w:rPr>
              <w:t>防渗混凝土</w:t>
            </w:r>
            <w:r>
              <w:rPr>
                <w:rFonts w:cs="Times New Roman" w:hint="eastAsia"/>
                <w:kern w:val="21"/>
                <w:szCs w:val="21"/>
              </w:rPr>
              <w:t>+2mm</w:t>
            </w:r>
            <w:r>
              <w:rPr>
                <w:rFonts w:cs="Times New Roman" w:hint="eastAsia"/>
                <w:kern w:val="21"/>
                <w:szCs w:val="21"/>
              </w:rPr>
              <w:t>厚高密度聚乙烯膜进行防渗处理</w:t>
            </w:r>
            <w:r>
              <w:rPr>
                <w:rStyle w:val="aff"/>
                <w:rFonts w:cs="Times New Roman"/>
                <w:kern w:val="21"/>
              </w:rPr>
              <w:t>，</w:t>
            </w:r>
            <w:r>
              <w:rPr>
                <w:rFonts w:cs="Times New Roman"/>
                <w:kern w:val="21"/>
                <w:szCs w:val="21"/>
              </w:rPr>
              <w:t>等效黏土防渗层</w:t>
            </w:r>
            <w:r>
              <w:rPr>
                <w:rFonts w:cs="Times New Roman"/>
                <w:kern w:val="21"/>
                <w:szCs w:val="21"/>
              </w:rPr>
              <w:t>Mb≥6.0m</w:t>
            </w:r>
            <w:r>
              <w:rPr>
                <w:rFonts w:cs="Times New Roman"/>
                <w:kern w:val="21"/>
                <w:szCs w:val="21"/>
              </w:rPr>
              <w:t>，</w:t>
            </w:r>
            <w:r>
              <w:rPr>
                <w:rFonts w:cs="Times New Roman"/>
                <w:kern w:val="21"/>
                <w:szCs w:val="21"/>
              </w:rPr>
              <w:t>K≤1×10</w:t>
            </w:r>
            <w:r>
              <w:rPr>
                <w:rFonts w:cs="Times New Roman"/>
                <w:kern w:val="21"/>
                <w:szCs w:val="21"/>
                <w:vertAlign w:val="superscript"/>
              </w:rPr>
              <w:t>-7</w:t>
            </w:r>
            <w:r>
              <w:rPr>
                <w:rFonts w:cs="Times New Roman"/>
                <w:kern w:val="21"/>
                <w:szCs w:val="21"/>
              </w:rPr>
              <w:t>cm/s</w:t>
            </w:r>
            <w:r>
              <w:rPr>
                <w:rFonts w:cs="Times New Roman"/>
                <w:kern w:val="21"/>
                <w:szCs w:val="21"/>
              </w:rPr>
              <w:t>；（</w:t>
            </w:r>
            <w:r>
              <w:rPr>
                <w:rFonts w:cs="Times New Roman" w:hint="eastAsia"/>
                <w:kern w:val="21"/>
                <w:szCs w:val="21"/>
              </w:rPr>
              <w:t>危险废物暂存间增设防渗托盘，防渗要求</w:t>
            </w:r>
            <w:r>
              <w:rPr>
                <w:rFonts w:cs="Times New Roman"/>
                <w:kern w:val="21"/>
                <w:szCs w:val="21"/>
              </w:rPr>
              <w:t>满足</w:t>
            </w:r>
            <w:r>
              <w:rPr>
                <w:rFonts w:cs="Times New Roman"/>
                <w:kern w:val="21"/>
                <w:szCs w:val="21"/>
              </w:rPr>
              <w:t>K≤1.0×10</w:t>
            </w:r>
            <w:r>
              <w:rPr>
                <w:rFonts w:cs="Times New Roman"/>
                <w:kern w:val="21"/>
                <w:szCs w:val="21"/>
                <w:vertAlign w:val="superscript"/>
              </w:rPr>
              <w:t>-10</w:t>
            </w:r>
            <w:r>
              <w:rPr>
                <w:rFonts w:cs="Times New Roman"/>
                <w:kern w:val="21"/>
                <w:szCs w:val="21"/>
              </w:rPr>
              <w:t>cm/s</w:t>
            </w:r>
            <w:r>
              <w:rPr>
                <w:rFonts w:cs="Times New Roman"/>
                <w:kern w:val="21"/>
                <w:szCs w:val="21"/>
              </w:rPr>
              <w:t>）；</w:t>
            </w:r>
          </w:p>
          <w:p w14:paraId="11F47401" w14:textId="77777777" w:rsidR="00544649" w:rsidRDefault="00000000">
            <w:pPr>
              <w:pStyle w:val="aff7"/>
              <w:adjustRightInd w:val="0"/>
              <w:snapToGrid w:val="0"/>
              <w:spacing w:beforeLines="0" w:before="0" w:afterLines="0" w:after="0"/>
              <w:jc w:val="both"/>
              <w:rPr>
                <w:rFonts w:cs="Times New Roman"/>
                <w:kern w:val="21"/>
                <w:szCs w:val="21"/>
              </w:rPr>
            </w:pPr>
            <w:r>
              <w:rPr>
                <w:rFonts w:cs="Times New Roman" w:hint="eastAsia"/>
                <w:b/>
                <w:bCs/>
                <w:kern w:val="21"/>
                <w:szCs w:val="21"/>
              </w:rPr>
              <w:t>一般防渗区：</w:t>
            </w:r>
            <w:r>
              <w:rPr>
                <w:rFonts w:cs="Times New Roman" w:hint="eastAsia"/>
                <w:kern w:val="21"/>
                <w:szCs w:val="21"/>
              </w:rPr>
              <w:t>鸡舍、蛋品车间、蓄水池、临时库房、污水暂存池、初期雨水池、事故应急</w:t>
            </w:r>
            <w:proofErr w:type="gramStart"/>
            <w:r>
              <w:rPr>
                <w:rFonts w:cs="Times New Roman" w:hint="eastAsia"/>
                <w:kern w:val="21"/>
                <w:szCs w:val="21"/>
              </w:rPr>
              <w:t>池</w:t>
            </w:r>
            <w:r>
              <w:rPr>
                <w:rFonts w:cs="Times New Roman"/>
                <w:kern w:val="21"/>
                <w:szCs w:val="21"/>
              </w:rPr>
              <w:t>采取</w:t>
            </w:r>
            <w:proofErr w:type="gramEnd"/>
            <w:r>
              <w:rPr>
                <w:rFonts w:cs="Times New Roman"/>
                <w:kern w:val="21"/>
                <w:szCs w:val="21"/>
              </w:rPr>
              <w:t>15cm</w:t>
            </w:r>
            <w:r>
              <w:rPr>
                <w:rFonts w:cs="Times New Roman"/>
                <w:kern w:val="21"/>
                <w:szCs w:val="21"/>
              </w:rPr>
              <w:t>厚抗渗系数为</w:t>
            </w:r>
            <w:r>
              <w:rPr>
                <w:rFonts w:cs="Times New Roman"/>
                <w:kern w:val="21"/>
                <w:szCs w:val="21"/>
              </w:rPr>
              <w:t>P8</w:t>
            </w:r>
            <w:r>
              <w:rPr>
                <w:rFonts w:cs="Times New Roman"/>
                <w:kern w:val="21"/>
                <w:szCs w:val="21"/>
              </w:rPr>
              <w:t>的混凝土</w:t>
            </w:r>
            <w:r>
              <w:rPr>
                <w:rFonts w:cs="Times New Roman" w:hint="eastAsia"/>
                <w:kern w:val="21"/>
                <w:szCs w:val="21"/>
              </w:rPr>
              <w:t>进行防渗</w:t>
            </w:r>
            <w:r>
              <w:rPr>
                <w:rFonts w:cs="Times New Roman"/>
                <w:kern w:val="21"/>
                <w:szCs w:val="21"/>
              </w:rPr>
              <w:t>，等效黏土防渗层</w:t>
            </w:r>
            <w:r>
              <w:rPr>
                <w:rFonts w:cs="Times New Roman"/>
                <w:kern w:val="21"/>
                <w:szCs w:val="21"/>
              </w:rPr>
              <w:t>Mb&gt;1.5m</w:t>
            </w:r>
            <w:r>
              <w:rPr>
                <w:rFonts w:cs="Times New Roman"/>
                <w:kern w:val="21"/>
                <w:szCs w:val="21"/>
              </w:rPr>
              <w:t>，</w:t>
            </w:r>
            <w:r>
              <w:rPr>
                <w:rFonts w:cs="Times New Roman"/>
                <w:kern w:val="21"/>
                <w:szCs w:val="21"/>
              </w:rPr>
              <w:t>K≤1×10</w:t>
            </w:r>
            <w:r>
              <w:rPr>
                <w:rFonts w:cs="Times New Roman"/>
                <w:kern w:val="21"/>
                <w:szCs w:val="21"/>
                <w:vertAlign w:val="superscript"/>
              </w:rPr>
              <w:t>-7</w:t>
            </w:r>
            <w:r>
              <w:rPr>
                <w:rFonts w:cs="Times New Roman"/>
                <w:kern w:val="21"/>
                <w:szCs w:val="21"/>
              </w:rPr>
              <w:t>cm/s</w:t>
            </w:r>
            <w:r>
              <w:rPr>
                <w:rFonts w:cs="Times New Roman"/>
                <w:kern w:val="21"/>
                <w:szCs w:val="21"/>
              </w:rPr>
              <w:t>；</w:t>
            </w:r>
          </w:p>
          <w:p w14:paraId="6A130987" w14:textId="77777777" w:rsidR="00544649" w:rsidRDefault="00000000">
            <w:pPr>
              <w:pStyle w:val="aff7"/>
              <w:adjustRightInd w:val="0"/>
              <w:snapToGrid w:val="0"/>
              <w:spacing w:beforeLines="0" w:before="0" w:afterLines="0" w:after="0"/>
              <w:jc w:val="both"/>
              <w:rPr>
                <w:rFonts w:cs="Times New Roman"/>
                <w:b/>
                <w:bCs/>
                <w:kern w:val="21"/>
                <w:szCs w:val="21"/>
              </w:rPr>
            </w:pPr>
            <w:r>
              <w:rPr>
                <w:rFonts w:cs="Times New Roman"/>
                <w:b/>
                <w:bCs/>
                <w:kern w:val="21"/>
                <w:szCs w:val="21"/>
              </w:rPr>
              <w:t>简单防渗区：</w:t>
            </w:r>
            <w:r>
              <w:rPr>
                <w:rFonts w:cs="Times New Roman" w:hint="eastAsia"/>
                <w:kern w:val="21"/>
                <w:szCs w:val="21"/>
              </w:rPr>
              <w:t>场内办公生活区、场内道路</w:t>
            </w:r>
            <w:r>
              <w:rPr>
                <w:rFonts w:cs="Times New Roman"/>
                <w:kern w:val="21"/>
                <w:szCs w:val="21"/>
              </w:rPr>
              <w:t>等场内其他区域采取一般地面硬化。</w:t>
            </w:r>
          </w:p>
        </w:tc>
        <w:tc>
          <w:tcPr>
            <w:tcW w:w="694" w:type="dxa"/>
            <w:vMerge/>
            <w:vAlign w:val="center"/>
          </w:tcPr>
          <w:p w14:paraId="77615E99"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6D771CA0"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w:t>
            </w:r>
          </w:p>
        </w:tc>
        <w:tc>
          <w:tcPr>
            <w:tcW w:w="442" w:type="dxa"/>
            <w:vAlign w:val="center"/>
          </w:tcPr>
          <w:p w14:paraId="0D920882"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新建</w:t>
            </w:r>
          </w:p>
        </w:tc>
      </w:tr>
      <w:tr w:rsidR="00544649" w14:paraId="312228A4" w14:textId="77777777">
        <w:trPr>
          <w:trHeight w:val="193"/>
          <w:jc w:val="center"/>
        </w:trPr>
        <w:tc>
          <w:tcPr>
            <w:tcW w:w="868" w:type="dxa"/>
            <w:gridSpan w:val="3"/>
            <w:vMerge w:val="restart"/>
            <w:vAlign w:val="center"/>
          </w:tcPr>
          <w:p w14:paraId="2F16E837"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办公及生活设施</w:t>
            </w:r>
          </w:p>
        </w:tc>
        <w:tc>
          <w:tcPr>
            <w:tcW w:w="993" w:type="dxa"/>
            <w:vAlign w:val="center"/>
          </w:tcPr>
          <w:p w14:paraId="1CD7546F" w14:textId="77777777" w:rsidR="00544649" w:rsidRDefault="00000000">
            <w:pPr>
              <w:pStyle w:val="aff7"/>
              <w:adjustRightInd w:val="0"/>
              <w:snapToGrid w:val="0"/>
              <w:spacing w:beforeLines="0" w:before="0" w:afterLines="0" w:after="0"/>
              <w:rPr>
                <w:rFonts w:cs="Times New Roman"/>
                <w:kern w:val="21"/>
                <w:szCs w:val="21"/>
              </w:rPr>
            </w:pPr>
            <w:proofErr w:type="gramStart"/>
            <w:r>
              <w:rPr>
                <w:rFonts w:cs="Times New Roman" w:hint="eastAsia"/>
                <w:kern w:val="21"/>
                <w:szCs w:val="21"/>
              </w:rPr>
              <w:t>育雏场</w:t>
            </w:r>
            <w:proofErr w:type="gramEnd"/>
          </w:p>
        </w:tc>
        <w:tc>
          <w:tcPr>
            <w:tcW w:w="4932" w:type="dxa"/>
            <w:vAlign w:val="center"/>
          </w:tcPr>
          <w:p w14:paraId="0BCEE09F" w14:textId="77777777" w:rsidR="00544649" w:rsidRDefault="00000000">
            <w:pPr>
              <w:pStyle w:val="aff7"/>
              <w:adjustRightInd w:val="0"/>
              <w:snapToGrid w:val="0"/>
              <w:spacing w:beforeLines="0" w:before="0" w:afterLines="0" w:after="0"/>
              <w:jc w:val="both"/>
              <w:rPr>
                <w:rFonts w:cs="Times New Roman"/>
                <w:kern w:val="21"/>
                <w:szCs w:val="21"/>
              </w:rPr>
            </w:pPr>
            <w:r>
              <w:rPr>
                <w:rFonts w:hint="eastAsia"/>
                <w:szCs w:val="21"/>
              </w:rPr>
              <w:t>场内办公及生活区管理用房</w:t>
            </w:r>
            <w:r>
              <w:rPr>
                <w:szCs w:val="21"/>
              </w:rPr>
              <w:t>位于项目</w:t>
            </w:r>
            <w:r>
              <w:rPr>
                <w:rFonts w:hint="eastAsia"/>
                <w:szCs w:val="21"/>
              </w:rPr>
              <w:t>东</w:t>
            </w:r>
            <w:r>
              <w:rPr>
                <w:szCs w:val="21"/>
              </w:rPr>
              <w:t>侧，</w:t>
            </w:r>
            <w:r>
              <w:rPr>
                <w:rFonts w:hint="eastAsia"/>
                <w:szCs w:val="21"/>
              </w:rPr>
              <w:t>建筑面积约</w:t>
            </w:r>
            <w:r>
              <w:rPr>
                <w:rFonts w:hint="eastAsia"/>
                <w:szCs w:val="21"/>
              </w:rPr>
              <w:t>460</w:t>
            </w:r>
            <w:r>
              <w:rPr>
                <w:szCs w:val="21"/>
              </w:rPr>
              <w:t>m</w:t>
            </w:r>
            <w:r>
              <w:rPr>
                <w:szCs w:val="21"/>
                <w:vertAlign w:val="superscript"/>
              </w:rPr>
              <w:t>2</w:t>
            </w:r>
            <w:r>
              <w:rPr>
                <w:szCs w:val="21"/>
              </w:rPr>
              <w:t>，含办公区、</w:t>
            </w:r>
            <w:r>
              <w:rPr>
                <w:rFonts w:hint="eastAsia"/>
                <w:szCs w:val="21"/>
              </w:rPr>
              <w:t>食堂及</w:t>
            </w:r>
            <w:r>
              <w:rPr>
                <w:szCs w:val="21"/>
              </w:rPr>
              <w:t>宿舍区。</w:t>
            </w:r>
          </w:p>
        </w:tc>
        <w:tc>
          <w:tcPr>
            <w:tcW w:w="694" w:type="dxa"/>
            <w:vMerge/>
            <w:vAlign w:val="center"/>
          </w:tcPr>
          <w:p w14:paraId="1A8BF361"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06048BE3"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生活污水、生活</w:t>
            </w:r>
            <w:r>
              <w:rPr>
                <w:rFonts w:cs="Times New Roman" w:hint="eastAsia"/>
                <w:kern w:val="21"/>
                <w:szCs w:val="21"/>
              </w:rPr>
              <w:t>垃圾、食堂油烟、餐厨垃圾</w:t>
            </w:r>
          </w:p>
        </w:tc>
        <w:tc>
          <w:tcPr>
            <w:tcW w:w="442" w:type="dxa"/>
            <w:vAlign w:val="center"/>
          </w:tcPr>
          <w:p w14:paraId="7777270D" w14:textId="77777777" w:rsidR="00544649" w:rsidRDefault="00000000">
            <w:pPr>
              <w:pStyle w:val="aff7"/>
              <w:adjustRightInd w:val="0"/>
              <w:snapToGrid w:val="0"/>
              <w:spacing w:beforeLines="0" w:before="0" w:afterLines="0" w:after="0"/>
              <w:rPr>
                <w:rFonts w:cs="Times New Roman"/>
                <w:kern w:val="21"/>
                <w:szCs w:val="21"/>
              </w:rPr>
            </w:pPr>
            <w:bookmarkStart w:id="211" w:name="OLE_LINK36"/>
            <w:r>
              <w:rPr>
                <w:rFonts w:cs="Times New Roman" w:hint="eastAsia"/>
                <w:kern w:val="21"/>
                <w:szCs w:val="21"/>
              </w:rPr>
              <w:t>新建</w:t>
            </w:r>
            <w:bookmarkEnd w:id="211"/>
          </w:p>
        </w:tc>
      </w:tr>
      <w:tr w:rsidR="00544649" w14:paraId="3863DD29" w14:textId="77777777">
        <w:trPr>
          <w:trHeight w:val="193"/>
          <w:jc w:val="center"/>
        </w:trPr>
        <w:tc>
          <w:tcPr>
            <w:tcW w:w="868" w:type="dxa"/>
            <w:gridSpan w:val="3"/>
            <w:vMerge/>
          </w:tcPr>
          <w:p w14:paraId="067DEC6E" w14:textId="77777777" w:rsidR="00544649" w:rsidRDefault="00544649">
            <w:pPr>
              <w:pStyle w:val="aff7"/>
              <w:adjustRightInd w:val="0"/>
              <w:snapToGrid w:val="0"/>
              <w:spacing w:beforeLines="0" w:before="0" w:afterLines="0" w:after="0"/>
              <w:rPr>
                <w:rFonts w:cs="Times New Roman"/>
                <w:kern w:val="21"/>
                <w:szCs w:val="21"/>
              </w:rPr>
            </w:pPr>
          </w:p>
        </w:tc>
        <w:tc>
          <w:tcPr>
            <w:tcW w:w="993" w:type="dxa"/>
            <w:vAlign w:val="center"/>
          </w:tcPr>
          <w:p w14:paraId="27E3EB10"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t>蛋鸡场</w:t>
            </w:r>
          </w:p>
        </w:tc>
        <w:tc>
          <w:tcPr>
            <w:tcW w:w="4932" w:type="dxa"/>
            <w:vAlign w:val="center"/>
          </w:tcPr>
          <w:p w14:paraId="6DBD9A01" w14:textId="77777777" w:rsidR="00544649" w:rsidRDefault="00000000">
            <w:pPr>
              <w:pStyle w:val="aff7"/>
              <w:adjustRightInd w:val="0"/>
              <w:snapToGrid w:val="0"/>
              <w:spacing w:before="62" w:after="62"/>
              <w:jc w:val="both"/>
              <w:rPr>
                <w:szCs w:val="21"/>
              </w:rPr>
            </w:pPr>
            <w:r>
              <w:rPr>
                <w:rFonts w:hint="eastAsia"/>
                <w:szCs w:val="21"/>
              </w:rPr>
              <w:t>场内办公及生活区综合楼</w:t>
            </w:r>
            <w:r>
              <w:rPr>
                <w:szCs w:val="21"/>
              </w:rPr>
              <w:t>位于项目</w:t>
            </w:r>
            <w:r>
              <w:rPr>
                <w:rFonts w:hint="eastAsia"/>
                <w:szCs w:val="21"/>
              </w:rPr>
              <w:t>北</w:t>
            </w:r>
            <w:r>
              <w:rPr>
                <w:szCs w:val="21"/>
              </w:rPr>
              <w:t>侧，</w:t>
            </w:r>
            <w:r>
              <w:rPr>
                <w:rFonts w:hint="eastAsia"/>
                <w:szCs w:val="21"/>
              </w:rPr>
              <w:t>建筑面积约</w:t>
            </w:r>
            <w:r>
              <w:rPr>
                <w:rFonts w:hint="eastAsia"/>
                <w:szCs w:val="21"/>
              </w:rPr>
              <w:t>1800</w:t>
            </w:r>
            <w:r>
              <w:rPr>
                <w:szCs w:val="21"/>
              </w:rPr>
              <w:t>m</w:t>
            </w:r>
            <w:r>
              <w:rPr>
                <w:szCs w:val="21"/>
                <w:vertAlign w:val="superscript"/>
              </w:rPr>
              <w:t>2</w:t>
            </w:r>
            <w:r>
              <w:rPr>
                <w:szCs w:val="21"/>
              </w:rPr>
              <w:t>，含办公区、</w:t>
            </w:r>
            <w:r>
              <w:rPr>
                <w:rFonts w:hint="eastAsia"/>
                <w:szCs w:val="21"/>
              </w:rPr>
              <w:t>食堂及</w:t>
            </w:r>
            <w:r>
              <w:rPr>
                <w:szCs w:val="21"/>
              </w:rPr>
              <w:t>宿舍区。</w:t>
            </w:r>
          </w:p>
        </w:tc>
        <w:tc>
          <w:tcPr>
            <w:tcW w:w="694" w:type="dxa"/>
            <w:vMerge/>
            <w:vAlign w:val="center"/>
          </w:tcPr>
          <w:p w14:paraId="1DCA065C" w14:textId="77777777" w:rsidR="00544649" w:rsidRDefault="00544649">
            <w:pPr>
              <w:pStyle w:val="aff7"/>
              <w:adjustRightInd w:val="0"/>
              <w:snapToGrid w:val="0"/>
              <w:spacing w:beforeLines="0" w:before="0" w:afterLines="0" w:after="0"/>
              <w:rPr>
                <w:rFonts w:cs="Times New Roman"/>
                <w:kern w:val="21"/>
                <w:szCs w:val="21"/>
              </w:rPr>
            </w:pPr>
          </w:p>
        </w:tc>
        <w:tc>
          <w:tcPr>
            <w:tcW w:w="1131" w:type="dxa"/>
            <w:vAlign w:val="center"/>
          </w:tcPr>
          <w:p w14:paraId="6A62C3C6" w14:textId="77777777" w:rsidR="00544649" w:rsidRDefault="00000000">
            <w:pPr>
              <w:pStyle w:val="aff7"/>
              <w:adjustRightInd w:val="0"/>
              <w:snapToGrid w:val="0"/>
              <w:spacing w:beforeLines="0" w:before="0" w:afterLines="0" w:after="0"/>
              <w:rPr>
                <w:rFonts w:cs="Times New Roman"/>
                <w:kern w:val="21"/>
                <w:szCs w:val="21"/>
              </w:rPr>
            </w:pPr>
            <w:r>
              <w:rPr>
                <w:rFonts w:cs="Times New Roman"/>
                <w:kern w:val="21"/>
                <w:szCs w:val="21"/>
              </w:rPr>
              <w:t>生活污水、生活</w:t>
            </w:r>
            <w:r>
              <w:rPr>
                <w:rFonts w:cs="Times New Roman" w:hint="eastAsia"/>
                <w:kern w:val="21"/>
                <w:szCs w:val="21"/>
              </w:rPr>
              <w:t>垃圾、食</w:t>
            </w:r>
            <w:r>
              <w:rPr>
                <w:rFonts w:cs="Times New Roman" w:hint="eastAsia"/>
                <w:kern w:val="21"/>
                <w:szCs w:val="21"/>
              </w:rPr>
              <w:lastRenderedPageBreak/>
              <w:t>堂油烟、餐厨垃圾</w:t>
            </w:r>
          </w:p>
        </w:tc>
        <w:tc>
          <w:tcPr>
            <w:tcW w:w="442" w:type="dxa"/>
            <w:vAlign w:val="center"/>
          </w:tcPr>
          <w:p w14:paraId="69FD604A" w14:textId="77777777" w:rsidR="00544649" w:rsidRDefault="00000000">
            <w:pPr>
              <w:pStyle w:val="aff7"/>
              <w:adjustRightInd w:val="0"/>
              <w:snapToGrid w:val="0"/>
              <w:spacing w:beforeLines="0" w:before="0" w:afterLines="0" w:after="0"/>
              <w:rPr>
                <w:rFonts w:cs="Times New Roman"/>
                <w:kern w:val="21"/>
                <w:szCs w:val="21"/>
              </w:rPr>
            </w:pPr>
            <w:r>
              <w:rPr>
                <w:rFonts w:cs="Times New Roman" w:hint="eastAsia"/>
                <w:kern w:val="21"/>
                <w:szCs w:val="21"/>
              </w:rPr>
              <w:lastRenderedPageBreak/>
              <w:t>新建</w:t>
            </w:r>
          </w:p>
        </w:tc>
      </w:tr>
    </w:tbl>
    <w:p w14:paraId="6A284569" w14:textId="77777777" w:rsidR="00544649" w:rsidRDefault="00000000">
      <w:pPr>
        <w:numPr>
          <w:ilvl w:val="2"/>
          <w:numId w:val="9"/>
        </w:numPr>
        <w:adjustRightInd w:val="0"/>
        <w:snapToGrid w:val="0"/>
        <w:spacing w:after="0"/>
        <w:ind w:firstLineChars="0"/>
        <w:outlineLvl w:val="2"/>
        <w:rPr>
          <w:rFonts w:cs="Times New Roman"/>
          <w:b/>
          <w:kern w:val="21"/>
          <w:sz w:val="28"/>
          <w:szCs w:val="36"/>
        </w:rPr>
      </w:pPr>
      <w:bookmarkStart w:id="212" w:name="_Toc195009832"/>
      <w:r>
        <w:rPr>
          <w:rFonts w:cs="Times New Roman"/>
          <w:b/>
          <w:kern w:val="21"/>
          <w:sz w:val="28"/>
          <w:szCs w:val="36"/>
        </w:rPr>
        <w:t>原辅材料及能源消耗</w:t>
      </w:r>
      <w:bookmarkEnd w:id="212"/>
    </w:p>
    <w:p w14:paraId="6EF9CEF0" w14:textId="77777777" w:rsidR="00544649" w:rsidRDefault="00000000">
      <w:pPr>
        <w:adjustRightInd w:val="0"/>
        <w:snapToGrid w:val="0"/>
        <w:spacing w:after="0"/>
        <w:ind w:firstLine="480"/>
        <w:rPr>
          <w:rFonts w:cs="Times New Roman"/>
          <w:kern w:val="21"/>
        </w:rPr>
      </w:pPr>
      <w:r>
        <w:rPr>
          <w:rFonts w:cs="Times New Roman"/>
          <w:kern w:val="21"/>
        </w:rPr>
        <w:t>本项目主要原辅材料见下表。</w:t>
      </w:r>
    </w:p>
    <w:p w14:paraId="31AFDEF8" w14:textId="77777777" w:rsidR="00544649" w:rsidRDefault="00000000">
      <w:pPr>
        <w:adjustRightInd w:val="0"/>
        <w:snapToGrid w:val="0"/>
        <w:spacing w:after="0"/>
        <w:ind w:firstLine="480"/>
        <w:rPr>
          <w:rFonts w:cs="Times New Roman"/>
          <w:kern w:val="21"/>
        </w:rPr>
      </w:pPr>
      <w:r>
        <w:rPr>
          <w:rFonts w:cs="Times New Roman" w:hint="eastAsia"/>
          <w:kern w:val="21"/>
        </w:rPr>
        <w:t>略</w:t>
      </w:r>
    </w:p>
    <w:p w14:paraId="0084D197" w14:textId="77777777" w:rsidR="00544649" w:rsidRDefault="00000000">
      <w:pPr>
        <w:numPr>
          <w:ilvl w:val="2"/>
          <w:numId w:val="9"/>
        </w:numPr>
        <w:adjustRightInd w:val="0"/>
        <w:snapToGrid w:val="0"/>
        <w:spacing w:after="0"/>
        <w:ind w:firstLineChars="0"/>
        <w:outlineLvl w:val="2"/>
        <w:rPr>
          <w:rFonts w:cs="Times New Roman"/>
          <w:b/>
          <w:kern w:val="21"/>
          <w:sz w:val="28"/>
          <w:szCs w:val="28"/>
        </w:rPr>
      </w:pPr>
      <w:bookmarkStart w:id="213" w:name="_Toc195009833"/>
      <w:r>
        <w:rPr>
          <w:rFonts w:cs="Times New Roman"/>
          <w:b/>
          <w:kern w:val="21"/>
          <w:sz w:val="28"/>
          <w:szCs w:val="28"/>
        </w:rPr>
        <w:t>主要</w:t>
      </w:r>
      <w:r>
        <w:rPr>
          <w:rFonts w:cs="Times New Roman" w:hint="eastAsia"/>
          <w:b/>
          <w:kern w:val="21"/>
          <w:sz w:val="28"/>
          <w:szCs w:val="28"/>
        </w:rPr>
        <w:t>生产</w:t>
      </w:r>
      <w:r>
        <w:rPr>
          <w:rFonts w:cs="Times New Roman"/>
          <w:b/>
          <w:kern w:val="21"/>
          <w:sz w:val="28"/>
          <w:szCs w:val="28"/>
        </w:rPr>
        <w:t>设备</w:t>
      </w:r>
      <w:bookmarkEnd w:id="213"/>
    </w:p>
    <w:p w14:paraId="13B9FC27" w14:textId="77777777" w:rsidR="00544649" w:rsidRDefault="00000000">
      <w:pPr>
        <w:adjustRightInd w:val="0"/>
        <w:snapToGrid w:val="0"/>
        <w:spacing w:after="0"/>
        <w:ind w:firstLine="480"/>
        <w:rPr>
          <w:rFonts w:cs="Times New Roman"/>
          <w:kern w:val="21"/>
        </w:rPr>
      </w:pPr>
      <w:r>
        <w:rPr>
          <w:rFonts w:cs="Times New Roman"/>
          <w:kern w:val="21"/>
        </w:rPr>
        <w:t>本项目主要</w:t>
      </w:r>
      <w:r>
        <w:rPr>
          <w:rFonts w:cs="Times New Roman" w:hint="eastAsia"/>
          <w:kern w:val="21"/>
        </w:rPr>
        <w:t>生产</w:t>
      </w:r>
      <w:r>
        <w:rPr>
          <w:rFonts w:cs="Times New Roman"/>
          <w:kern w:val="21"/>
        </w:rPr>
        <w:t>设备见下表。</w:t>
      </w:r>
    </w:p>
    <w:p w14:paraId="4BA5E229" w14:textId="77777777" w:rsidR="00544649" w:rsidRDefault="00000000">
      <w:pPr>
        <w:adjustRightInd w:val="0"/>
        <w:snapToGrid w:val="0"/>
        <w:spacing w:after="0"/>
        <w:ind w:firstLine="480"/>
        <w:rPr>
          <w:rFonts w:cs="Times New Roman"/>
          <w:b/>
          <w:bCs/>
          <w:kern w:val="21"/>
          <w:sz w:val="21"/>
          <w:szCs w:val="21"/>
        </w:rPr>
      </w:pPr>
      <w:r>
        <w:rPr>
          <w:rFonts w:cs="Times New Roman" w:hint="eastAsia"/>
          <w:kern w:val="21"/>
        </w:rPr>
        <w:t>略</w:t>
      </w:r>
    </w:p>
    <w:p w14:paraId="6FAA0827" w14:textId="77777777" w:rsidR="00544649" w:rsidRDefault="00000000">
      <w:pPr>
        <w:numPr>
          <w:ilvl w:val="1"/>
          <w:numId w:val="9"/>
        </w:numPr>
        <w:adjustRightInd w:val="0"/>
        <w:snapToGrid w:val="0"/>
        <w:spacing w:after="0"/>
        <w:ind w:firstLineChars="0"/>
        <w:outlineLvl w:val="1"/>
        <w:rPr>
          <w:rFonts w:cs="Times New Roman"/>
          <w:b/>
          <w:bCs/>
          <w:kern w:val="21"/>
          <w:sz w:val="32"/>
          <w:szCs w:val="32"/>
        </w:rPr>
      </w:pPr>
      <w:bookmarkStart w:id="214" w:name="_Toc195009834"/>
      <w:r>
        <w:rPr>
          <w:rFonts w:cs="Times New Roman" w:hint="eastAsia"/>
          <w:b/>
          <w:bCs/>
          <w:kern w:val="21"/>
          <w:sz w:val="32"/>
          <w:szCs w:val="32"/>
        </w:rPr>
        <w:t>工程建设内容</w:t>
      </w:r>
      <w:bookmarkEnd w:id="214"/>
    </w:p>
    <w:p w14:paraId="6907BEB8" w14:textId="77777777" w:rsidR="00544649" w:rsidRDefault="00000000">
      <w:pPr>
        <w:numPr>
          <w:ilvl w:val="2"/>
          <w:numId w:val="9"/>
        </w:numPr>
        <w:adjustRightInd w:val="0"/>
        <w:snapToGrid w:val="0"/>
        <w:spacing w:after="0"/>
        <w:ind w:firstLineChars="0"/>
        <w:outlineLvl w:val="2"/>
        <w:rPr>
          <w:rFonts w:cs="Times New Roman"/>
          <w:b/>
          <w:kern w:val="21"/>
          <w:sz w:val="28"/>
          <w:szCs w:val="28"/>
        </w:rPr>
      </w:pPr>
      <w:bookmarkStart w:id="215" w:name="_Toc195009835"/>
      <w:r>
        <w:rPr>
          <w:rFonts w:cs="Times New Roman" w:hint="eastAsia"/>
          <w:b/>
          <w:kern w:val="21"/>
          <w:sz w:val="28"/>
          <w:szCs w:val="28"/>
        </w:rPr>
        <w:t>主体工程</w:t>
      </w:r>
      <w:bookmarkEnd w:id="215"/>
    </w:p>
    <w:p w14:paraId="692C911A" w14:textId="77777777" w:rsidR="00544649" w:rsidRDefault="00000000">
      <w:pPr>
        <w:adjustRightInd w:val="0"/>
        <w:snapToGrid w:val="0"/>
        <w:spacing w:after="0"/>
        <w:ind w:firstLine="480"/>
        <w:rPr>
          <w:rFonts w:cs="Times New Roman"/>
          <w:kern w:val="21"/>
          <w:szCs w:val="24"/>
        </w:rPr>
      </w:pPr>
      <w:r>
        <w:rPr>
          <w:rFonts w:cs="Times New Roman"/>
          <w:kern w:val="21"/>
          <w:szCs w:val="24"/>
        </w:rPr>
        <w:t>本项目</w:t>
      </w:r>
      <w:r>
        <w:rPr>
          <w:rFonts w:cs="Times New Roman" w:hint="eastAsia"/>
          <w:kern w:val="21"/>
          <w:szCs w:val="24"/>
        </w:rPr>
        <w:t>主体工程为育雏鸡舍和蛋鸡鸡舍。</w:t>
      </w:r>
    </w:p>
    <w:p w14:paraId="6DC780BD"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1</w:t>
      </w:r>
      <w:r>
        <w:rPr>
          <w:rFonts w:cs="Times New Roman" w:hint="eastAsia"/>
          <w:b/>
          <w:bCs/>
          <w:kern w:val="21"/>
          <w:szCs w:val="24"/>
        </w:rPr>
        <w:t>、育雏鸡场</w:t>
      </w:r>
    </w:p>
    <w:p w14:paraId="19A2BAE3" w14:textId="77777777" w:rsidR="00544649" w:rsidRDefault="00000000">
      <w:pPr>
        <w:adjustRightInd w:val="0"/>
        <w:snapToGrid w:val="0"/>
        <w:spacing w:after="0"/>
        <w:ind w:firstLine="480"/>
        <w:rPr>
          <w:rFonts w:cs="Times New Roman"/>
          <w:kern w:val="21"/>
          <w:szCs w:val="24"/>
        </w:rPr>
      </w:pPr>
      <w:r>
        <w:rPr>
          <w:rFonts w:cs="Times New Roman"/>
          <w:kern w:val="21"/>
          <w:szCs w:val="24"/>
        </w:rPr>
        <w:t>根据建设单位提供的资料，</w:t>
      </w:r>
      <w:r>
        <w:rPr>
          <w:rFonts w:cs="Times New Roman" w:hint="eastAsia"/>
          <w:kern w:val="21"/>
          <w:szCs w:val="24"/>
        </w:rPr>
        <w:t>本项目新建</w:t>
      </w:r>
      <w:r>
        <w:rPr>
          <w:rFonts w:cs="Times New Roman" w:hint="eastAsia"/>
          <w:kern w:val="21"/>
          <w:szCs w:val="24"/>
        </w:rPr>
        <w:t>2</w:t>
      </w:r>
      <w:r>
        <w:rPr>
          <w:rFonts w:cs="Times New Roman"/>
          <w:kern w:val="21"/>
          <w:szCs w:val="24"/>
        </w:rPr>
        <w:t>栋</w:t>
      </w:r>
      <w:r>
        <w:rPr>
          <w:rFonts w:cs="Times New Roman" w:hint="eastAsia"/>
          <w:kern w:val="21"/>
          <w:szCs w:val="24"/>
        </w:rPr>
        <w:t>育雏</w:t>
      </w:r>
      <w:r>
        <w:rPr>
          <w:rFonts w:cs="Times New Roman"/>
          <w:kern w:val="21"/>
          <w:szCs w:val="24"/>
        </w:rPr>
        <w:t>鸡舍，</w:t>
      </w:r>
      <w:r>
        <w:rPr>
          <w:rFonts w:cs="Times New Roman" w:hint="eastAsia"/>
          <w:kern w:val="21"/>
          <w:szCs w:val="24"/>
        </w:rPr>
        <w:t>总</w:t>
      </w:r>
      <w:r>
        <w:rPr>
          <w:rFonts w:cs="Times New Roman"/>
          <w:kern w:val="21"/>
          <w:szCs w:val="24"/>
        </w:rPr>
        <w:t>建筑面积</w:t>
      </w:r>
      <w:r>
        <w:rPr>
          <w:rFonts w:cs="Times New Roman" w:hint="eastAsia"/>
          <w:kern w:val="21"/>
          <w:szCs w:val="24"/>
        </w:rPr>
        <w:t>210</w:t>
      </w:r>
      <w:r>
        <w:rPr>
          <w:rFonts w:hint="eastAsia"/>
          <w:kern w:val="21"/>
          <w:szCs w:val="24"/>
        </w:rPr>
        <w:t>8</w:t>
      </w:r>
      <w:r>
        <w:rPr>
          <w:rFonts w:cs="Times New Roman"/>
          <w:kern w:val="21"/>
          <w:szCs w:val="24"/>
        </w:rPr>
        <w:t>m</w:t>
      </w:r>
      <w:r>
        <w:rPr>
          <w:rFonts w:cs="Times New Roman"/>
          <w:kern w:val="21"/>
          <w:szCs w:val="24"/>
          <w:vertAlign w:val="superscript"/>
        </w:rPr>
        <w:t>2</w:t>
      </w:r>
      <w:r>
        <w:rPr>
          <w:rStyle w:val="aff"/>
          <w:rFonts w:cs="Times New Roman"/>
          <w:kern w:val="21"/>
          <w:sz w:val="24"/>
          <w:szCs w:val="24"/>
        </w:rPr>
        <w:t>，</w:t>
      </w:r>
      <w:r>
        <w:rPr>
          <w:rStyle w:val="aff"/>
          <w:rFonts w:cs="Times New Roman" w:hint="eastAsia"/>
          <w:kern w:val="21"/>
          <w:sz w:val="24"/>
          <w:szCs w:val="24"/>
        </w:rPr>
        <w:t>单栋鸡舍建筑面积</w:t>
      </w:r>
      <w:r>
        <w:rPr>
          <w:rStyle w:val="aff"/>
          <w:rFonts w:cs="Times New Roman" w:hint="eastAsia"/>
          <w:kern w:val="21"/>
          <w:sz w:val="24"/>
          <w:szCs w:val="24"/>
        </w:rPr>
        <w:t>1054</w:t>
      </w:r>
      <w:r>
        <w:rPr>
          <w:rFonts w:cs="Times New Roman"/>
          <w:kern w:val="21"/>
          <w:szCs w:val="24"/>
        </w:rPr>
        <w:t>m</w:t>
      </w:r>
      <w:r>
        <w:rPr>
          <w:rFonts w:cs="Times New Roman"/>
          <w:kern w:val="21"/>
          <w:szCs w:val="24"/>
          <w:vertAlign w:val="superscript"/>
        </w:rPr>
        <w:t>2</w:t>
      </w:r>
      <w:r>
        <w:rPr>
          <w:rStyle w:val="aff"/>
          <w:rFonts w:hint="eastAsia"/>
          <w:sz w:val="24"/>
          <w:szCs w:val="24"/>
        </w:rPr>
        <w:t>，单栋鸡舍设计养殖规模</w:t>
      </w:r>
      <w:r>
        <w:rPr>
          <w:rStyle w:val="aff"/>
          <w:rFonts w:hint="eastAsia"/>
          <w:sz w:val="24"/>
          <w:szCs w:val="24"/>
        </w:rPr>
        <w:t>3.75</w:t>
      </w:r>
      <w:r>
        <w:rPr>
          <w:rStyle w:val="aff"/>
          <w:rFonts w:hint="eastAsia"/>
          <w:sz w:val="24"/>
          <w:szCs w:val="24"/>
        </w:rPr>
        <w:t>万羽。</w:t>
      </w:r>
      <w:r>
        <w:rPr>
          <w:rFonts w:cs="Times New Roman"/>
          <w:kern w:val="21"/>
          <w:szCs w:val="24"/>
        </w:rPr>
        <w:t>采用</w:t>
      </w:r>
      <w:proofErr w:type="gramStart"/>
      <w:r>
        <w:rPr>
          <w:rFonts w:cs="Times New Roman"/>
          <w:kern w:val="21"/>
          <w:szCs w:val="24"/>
        </w:rPr>
        <w:t>封闭式带窗结构</w:t>
      </w:r>
      <w:proofErr w:type="gramEnd"/>
      <w:r>
        <w:rPr>
          <w:rFonts w:cs="Times New Roman"/>
          <w:kern w:val="21"/>
          <w:szCs w:val="24"/>
        </w:rPr>
        <w:t>，下部砖混，</w:t>
      </w:r>
      <w:r>
        <w:rPr>
          <w:rFonts w:cs="Times New Roman" w:hint="eastAsia"/>
          <w:kern w:val="21"/>
          <w:szCs w:val="24"/>
        </w:rPr>
        <w:t>每栋鸡舍净尺寸</w:t>
      </w:r>
      <w:r>
        <w:rPr>
          <w:rFonts w:cs="Times New Roman"/>
          <w:kern w:val="21"/>
          <w:szCs w:val="24"/>
        </w:rPr>
        <w:t>长</w:t>
      </w:r>
      <w:r>
        <w:rPr>
          <w:rFonts w:cs="Times New Roman" w:hint="eastAsia"/>
          <w:kern w:val="21"/>
          <w:szCs w:val="24"/>
        </w:rPr>
        <w:t>85</w:t>
      </w:r>
      <w:r>
        <w:rPr>
          <w:rFonts w:cs="Times New Roman"/>
          <w:kern w:val="21"/>
          <w:szCs w:val="24"/>
        </w:rPr>
        <w:t>m</w:t>
      </w:r>
      <w:r>
        <w:rPr>
          <w:rFonts w:cs="Times New Roman"/>
          <w:kern w:val="21"/>
          <w:szCs w:val="24"/>
        </w:rPr>
        <w:t>，宽</w:t>
      </w:r>
      <w:r>
        <w:rPr>
          <w:rFonts w:cs="Times New Roman" w:hint="eastAsia"/>
          <w:kern w:val="21"/>
          <w:szCs w:val="24"/>
        </w:rPr>
        <w:t>12.4</w:t>
      </w:r>
      <w:r>
        <w:rPr>
          <w:rFonts w:cs="Times New Roman"/>
          <w:kern w:val="21"/>
          <w:szCs w:val="24"/>
        </w:rPr>
        <w:t>m</w:t>
      </w:r>
      <w:r>
        <w:rPr>
          <w:rFonts w:cs="Times New Roman"/>
          <w:kern w:val="21"/>
          <w:szCs w:val="24"/>
        </w:rPr>
        <w:t>，高</w:t>
      </w:r>
      <w:r>
        <w:rPr>
          <w:rFonts w:cs="Times New Roman" w:hint="eastAsia"/>
          <w:kern w:val="21"/>
          <w:szCs w:val="24"/>
        </w:rPr>
        <w:t>3.4</w:t>
      </w:r>
      <w:r>
        <w:rPr>
          <w:rFonts w:cs="Times New Roman"/>
          <w:kern w:val="21"/>
          <w:szCs w:val="24"/>
        </w:rPr>
        <w:t>m</w:t>
      </w:r>
      <w:r>
        <w:rPr>
          <w:rFonts w:cs="Times New Roman"/>
          <w:kern w:val="21"/>
          <w:szCs w:val="24"/>
        </w:rPr>
        <w:t>，</w:t>
      </w:r>
      <w:proofErr w:type="gramStart"/>
      <w:r>
        <w:rPr>
          <w:rFonts w:cs="Times New Roman"/>
          <w:kern w:val="21"/>
          <w:szCs w:val="24"/>
        </w:rPr>
        <w:t>舍顶采用彩</w:t>
      </w:r>
      <w:proofErr w:type="gramEnd"/>
      <w:r>
        <w:rPr>
          <w:rFonts w:cs="Times New Roman"/>
          <w:kern w:val="21"/>
          <w:szCs w:val="24"/>
        </w:rPr>
        <w:t>钢结构，上设保温层吊顶。</w:t>
      </w:r>
    </w:p>
    <w:p w14:paraId="12E8636B"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2</w:t>
      </w:r>
      <w:r>
        <w:rPr>
          <w:rFonts w:cs="Times New Roman" w:hint="eastAsia"/>
          <w:b/>
          <w:bCs/>
          <w:kern w:val="21"/>
          <w:szCs w:val="24"/>
        </w:rPr>
        <w:t>、蛋鸡场</w:t>
      </w:r>
    </w:p>
    <w:p w14:paraId="783AC840"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新建</w:t>
      </w:r>
      <w:r>
        <w:rPr>
          <w:rFonts w:cs="Times New Roman" w:hint="eastAsia"/>
          <w:kern w:val="21"/>
          <w:szCs w:val="24"/>
        </w:rPr>
        <w:t>6</w:t>
      </w:r>
      <w:r>
        <w:rPr>
          <w:rFonts w:cs="Times New Roman"/>
          <w:kern w:val="21"/>
          <w:szCs w:val="24"/>
        </w:rPr>
        <w:t>栋</w:t>
      </w:r>
      <w:r>
        <w:rPr>
          <w:rFonts w:cs="Times New Roman" w:hint="eastAsia"/>
          <w:kern w:val="21"/>
          <w:szCs w:val="24"/>
        </w:rPr>
        <w:t>蛋</w:t>
      </w:r>
      <w:r>
        <w:rPr>
          <w:rFonts w:cs="Times New Roman"/>
          <w:kern w:val="21"/>
          <w:szCs w:val="24"/>
        </w:rPr>
        <w:t>鸡舍，</w:t>
      </w:r>
      <w:r>
        <w:rPr>
          <w:rFonts w:cs="Times New Roman" w:hint="eastAsia"/>
          <w:kern w:val="21"/>
          <w:szCs w:val="24"/>
        </w:rPr>
        <w:t>总</w:t>
      </w:r>
      <w:r>
        <w:rPr>
          <w:rFonts w:cs="Times New Roman"/>
          <w:kern w:val="21"/>
          <w:szCs w:val="24"/>
        </w:rPr>
        <w:t>建筑面积</w:t>
      </w:r>
      <w:r>
        <w:rPr>
          <w:rFonts w:cs="Times New Roman" w:hint="eastAsia"/>
          <w:kern w:val="21"/>
          <w:szCs w:val="24"/>
        </w:rPr>
        <w:t>14256</w:t>
      </w:r>
      <w:r>
        <w:rPr>
          <w:rFonts w:cs="Times New Roman"/>
          <w:kern w:val="21"/>
          <w:szCs w:val="24"/>
        </w:rPr>
        <w:t>m</w:t>
      </w:r>
      <w:r>
        <w:rPr>
          <w:rFonts w:cs="Times New Roman"/>
          <w:kern w:val="21"/>
          <w:szCs w:val="24"/>
          <w:vertAlign w:val="superscript"/>
        </w:rPr>
        <w:t>2</w:t>
      </w:r>
      <w:r>
        <w:rPr>
          <w:rStyle w:val="aff"/>
          <w:rFonts w:cs="Times New Roman"/>
          <w:kern w:val="21"/>
          <w:sz w:val="24"/>
          <w:szCs w:val="24"/>
        </w:rPr>
        <w:t>，</w:t>
      </w:r>
      <w:r>
        <w:rPr>
          <w:rStyle w:val="aff"/>
          <w:rFonts w:cs="Times New Roman" w:hint="eastAsia"/>
          <w:kern w:val="21"/>
          <w:sz w:val="24"/>
          <w:szCs w:val="24"/>
        </w:rPr>
        <w:t>单个鸡舍建筑面积</w:t>
      </w:r>
      <w:r>
        <w:rPr>
          <w:rStyle w:val="aff"/>
          <w:rFonts w:cs="Times New Roman" w:hint="eastAsia"/>
          <w:kern w:val="21"/>
          <w:sz w:val="24"/>
          <w:szCs w:val="24"/>
        </w:rPr>
        <w:t>2376</w:t>
      </w:r>
      <w:r>
        <w:rPr>
          <w:rFonts w:cs="Times New Roman"/>
          <w:kern w:val="21"/>
          <w:szCs w:val="24"/>
        </w:rPr>
        <w:t>m</w:t>
      </w:r>
      <w:r>
        <w:rPr>
          <w:rFonts w:cs="Times New Roman"/>
          <w:kern w:val="21"/>
          <w:szCs w:val="24"/>
          <w:vertAlign w:val="superscript"/>
        </w:rPr>
        <w:t>2</w:t>
      </w:r>
      <w:r>
        <w:rPr>
          <w:rStyle w:val="aff"/>
          <w:rFonts w:hint="eastAsia"/>
          <w:sz w:val="24"/>
          <w:szCs w:val="24"/>
        </w:rPr>
        <w:t>，单栋鸡舍设计养殖规模</w:t>
      </w:r>
      <w:r>
        <w:rPr>
          <w:rStyle w:val="aff"/>
          <w:rFonts w:hint="eastAsia"/>
          <w:sz w:val="24"/>
          <w:szCs w:val="24"/>
        </w:rPr>
        <w:t>3.75</w:t>
      </w:r>
      <w:r>
        <w:rPr>
          <w:rStyle w:val="aff"/>
          <w:rFonts w:hint="eastAsia"/>
          <w:sz w:val="24"/>
          <w:szCs w:val="24"/>
        </w:rPr>
        <w:t>万羽。</w:t>
      </w:r>
      <w:r>
        <w:rPr>
          <w:rFonts w:cs="Times New Roman"/>
          <w:kern w:val="21"/>
          <w:szCs w:val="24"/>
        </w:rPr>
        <w:t>采用</w:t>
      </w:r>
      <w:proofErr w:type="gramStart"/>
      <w:r>
        <w:rPr>
          <w:rFonts w:cs="Times New Roman"/>
          <w:kern w:val="21"/>
          <w:szCs w:val="24"/>
        </w:rPr>
        <w:t>封闭式带窗结构</w:t>
      </w:r>
      <w:proofErr w:type="gramEnd"/>
      <w:r>
        <w:rPr>
          <w:rFonts w:cs="Times New Roman"/>
          <w:kern w:val="21"/>
          <w:szCs w:val="24"/>
        </w:rPr>
        <w:t>，下部砖混，</w:t>
      </w:r>
      <w:r>
        <w:rPr>
          <w:rFonts w:cs="Times New Roman" w:hint="eastAsia"/>
          <w:kern w:val="21"/>
          <w:szCs w:val="24"/>
        </w:rPr>
        <w:t>每栋鸡舍净尺寸</w:t>
      </w:r>
      <w:r>
        <w:rPr>
          <w:rFonts w:cs="Times New Roman"/>
          <w:kern w:val="21"/>
          <w:szCs w:val="24"/>
        </w:rPr>
        <w:t>长</w:t>
      </w:r>
      <w:r>
        <w:rPr>
          <w:rFonts w:cs="Times New Roman" w:hint="eastAsia"/>
          <w:kern w:val="21"/>
          <w:szCs w:val="24"/>
        </w:rPr>
        <w:t>99</w:t>
      </w:r>
      <w:r>
        <w:rPr>
          <w:rFonts w:cs="Times New Roman"/>
          <w:kern w:val="21"/>
          <w:szCs w:val="24"/>
        </w:rPr>
        <w:t>m</w:t>
      </w:r>
      <w:r>
        <w:rPr>
          <w:rFonts w:cs="Times New Roman"/>
          <w:kern w:val="21"/>
          <w:szCs w:val="24"/>
        </w:rPr>
        <w:t>，宽</w:t>
      </w:r>
      <w:r>
        <w:rPr>
          <w:rFonts w:cs="Times New Roman" w:hint="eastAsia"/>
          <w:kern w:val="21"/>
          <w:szCs w:val="24"/>
        </w:rPr>
        <w:t>24</w:t>
      </w:r>
      <w:r>
        <w:rPr>
          <w:rFonts w:cs="Times New Roman"/>
          <w:kern w:val="21"/>
          <w:szCs w:val="24"/>
        </w:rPr>
        <w:t>m</w:t>
      </w:r>
      <w:r>
        <w:rPr>
          <w:rFonts w:cs="Times New Roman"/>
          <w:kern w:val="21"/>
          <w:szCs w:val="24"/>
        </w:rPr>
        <w:t>，高</w:t>
      </w:r>
      <w:r>
        <w:rPr>
          <w:rFonts w:cs="Times New Roman" w:hint="eastAsia"/>
          <w:kern w:val="21"/>
          <w:szCs w:val="24"/>
        </w:rPr>
        <w:t>8.5</w:t>
      </w:r>
      <w:r>
        <w:rPr>
          <w:rFonts w:cs="Times New Roman"/>
          <w:kern w:val="21"/>
          <w:szCs w:val="24"/>
        </w:rPr>
        <w:t>m</w:t>
      </w:r>
      <w:r>
        <w:rPr>
          <w:rFonts w:cs="Times New Roman"/>
          <w:kern w:val="21"/>
          <w:szCs w:val="24"/>
        </w:rPr>
        <w:t>，</w:t>
      </w:r>
      <w:proofErr w:type="gramStart"/>
      <w:r>
        <w:rPr>
          <w:rFonts w:cs="Times New Roman"/>
          <w:kern w:val="21"/>
          <w:szCs w:val="24"/>
        </w:rPr>
        <w:t>舍顶采用彩</w:t>
      </w:r>
      <w:proofErr w:type="gramEnd"/>
      <w:r>
        <w:rPr>
          <w:rFonts w:cs="Times New Roman"/>
          <w:kern w:val="21"/>
          <w:szCs w:val="24"/>
        </w:rPr>
        <w:t>钢结构，上设保温层吊顶。</w:t>
      </w:r>
    </w:p>
    <w:p w14:paraId="02212AED" w14:textId="77777777" w:rsidR="00544649" w:rsidRDefault="00000000">
      <w:pPr>
        <w:numPr>
          <w:ilvl w:val="2"/>
          <w:numId w:val="9"/>
        </w:numPr>
        <w:adjustRightInd w:val="0"/>
        <w:snapToGrid w:val="0"/>
        <w:spacing w:after="0"/>
        <w:ind w:firstLineChars="0"/>
        <w:outlineLvl w:val="2"/>
        <w:rPr>
          <w:rFonts w:cs="Times New Roman"/>
          <w:b/>
          <w:bCs/>
          <w:kern w:val="21"/>
          <w:sz w:val="28"/>
          <w:szCs w:val="28"/>
        </w:rPr>
      </w:pPr>
      <w:bookmarkStart w:id="216" w:name="_Toc195009836"/>
      <w:r>
        <w:rPr>
          <w:rFonts w:cs="Times New Roman"/>
          <w:b/>
          <w:bCs/>
          <w:kern w:val="21"/>
          <w:sz w:val="28"/>
          <w:szCs w:val="28"/>
        </w:rPr>
        <w:t>公用工程</w:t>
      </w:r>
      <w:bookmarkEnd w:id="216"/>
    </w:p>
    <w:p w14:paraId="4D787A52" w14:textId="77777777" w:rsidR="00544649" w:rsidRDefault="00000000">
      <w:pPr>
        <w:numPr>
          <w:ilvl w:val="3"/>
          <w:numId w:val="9"/>
        </w:numPr>
        <w:adjustRightInd w:val="0"/>
        <w:snapToGrid w:val="0"/>
        <w:spacing w:after="0"/>
        <w:ind w:firstLineChars="0"/>
        <w:outlineLvl w:val="3"/>
        <w:rPr>
          <w:rFonts w:cs="Times New Roman"/>
          <w:b/>
          <w:bCs/>
          <w:kern w:val="21"/>
          <w:szCs w:val="24"/>
        </w:rPr>
      </w:pPr>
      <w:r>
        <w:rPr>
          <w:rFonts w:cs="Times New Roman" w:hint="eastAsia"/>
          <w:b/>
          <w:bCs/>
          <w:kern w:val="21"/>
          <w:szCs w:val="24"/>
        </w:rPr>
        <w:t>给水</w:t>
      </w:r>
    </w:p>
    <w:p w14:paraId="21F98CC9" w14:textId="77777777" w:rsidR="00544649" w:rsidRDefault="00000000">
      <w:pPr>
        <w:adjustRightInd w:val="0"/>
        <w:snapToGrid w:val="0"/>
        <w:spacing w:after="0"/>
        <w:ind w:firstLine="480"/>
        <w:rPr>
          <w:rFonts w:cs="Times New Roman"/>
          <w:kern w:val="21"/>
        </w:rPr>
      </w:pPr>
      <w:r>
        <w:rPr>
          <w:rFonts w:cs="Times New Roman"/>
          <w:kern w:val="21"/>
        </w:rPr>
        <w:t>本项目运营期用水主要包括鸡饮用水、</w:t>
      </w:r>
      <w:r>
        <w:rPr>
          <w:rFonts w:cs="Times New Roman" w:hint="eastAsia"/>
          <w:kern w:val="21"/>
        </w:rPr>
        <w:t>食堂餐厨用水及</w:t>
      </w:r>
      <w:r>
        <w:rPr>
          <w:rFonts w:cs="Times New Roman"/>
          <w:kern w:val="21"/>
        </w:rPr>
        <w:t>职工生活用水、鸡舍水帘用水、消毒液调配用水</w:t>
      </w:r>
      <w:r>
        <w:rPr>
          <w:rFonts w:cs="Times New Roman" w:hint="eastAsia"/>
          <w:kern w:val="21"/>
        </w:rPr>
        <w:t>、养殖鸡舍冲洗用水、蛋品清洗用水、绿化用水</w:t>
      </w:r>
      <w:r>
        <w:rPr>
          <w:rFonts w:cs="Times New Roman"/>
          <w:kern w:val="21"/>
        </w:rPr>
        <w:t>等。</w:t>
      </w:r>
      <w:r>
        <w:rPr>
          <w:rFonts w:cs="Times New Roman" w:hint="eastAsia"/>
          <w:kern w:val="21"/>
        </w:rPr>
        <w:t>场区供水管线采用生产、生活独立的管线系统。</w:t>
      </w:r>
    </w:p>
    <w:p w14:paraId="7D9AC233" w14:textId="77777777" w:rsidR="00544649" w:rsidRDefault="00000000">
      <w:pPr>
        <w:adjustRightInd w:val="0"/>
        <w:snapToGrid w:val="0"/>
        <w:spacing w:after="0"/>
        <w:ind w:firstLine="480"/>
        <w:rPr>
          <w:rFonts w:cs="Times New Roman"/>
          <w:kern w:val="21"/>
        </w:rPr>
      </w:pPr>
      <w:r>
        <w:rPr>
          <w:rFonts w:cs="Times New Roman"/>
          <w:kern w:val="21"/>
        </w:rPr>
        <w:t>本项目给水依托</w:t>
      </w:r>
      <w:r>
        <w:rPr>
          <w:rFonts w:cs="Times New Roman" w:hint="eastAsia"/>
          <w:kern w:val="21"/>
        </w:rPr>
        <w:t>当地自来水管网供应</w:t>
      </w:r>
      <w:r>
        <w:rPr>
          <w:rFonts w:cs="Times New Roman"/>
          <w:kern w:val="21"/>
        </w:rPr>
        <w:t>，</w:t>
      </w:r>
      <w:proofErr w:type="gramStart"/>
      <w:r>
        <w:rPr>
          <w:rFonts w:cs="Times New Roman" w:hint="eastAsia"/>
          <w:kern w:val="21"/>
        </w:rPr>
        <w:t>育雏场</w:t>
      </w:r>
      <w:proofErr w:type="gramEnd"/>
      <w:r>
        <w:rPr>
          <w:rFonts w:cs="Times New Roman" w:hint="eastAsia"/>
          <w:kern w:val="21"/>
        </w:rPr>
        <w:t>与蛋鸡场各建设蓄水池一座</w:t>
      </w:r>
      <w:r>
        <w:rPr>
          <w:rFonts w:cs="Times New Roman"/>
          <w:kern w:val="21"/>
        </w:rPr>
        <w:t>，</w:t>
      </w:r>
      <w:r>
        <w:rPr>
          <w:rFonts w:cs="Times New Roman" w:hint="eastAsia"/>
          <w:kern w:val="21"/>
        </w:rPr>
        <w:t>其中</w:t>
      </w:r>
      <w:proofErr w:type="gramStart"/>
      <w:r>
        <w:rPr>
          <w:rFonts w:cs="Times New Roman" w:hint="eastAsia"/>
          <w:kern w:val="21"/>
        </w:rPr>
        <w:t>育雏场</w:t>
      </w:r>
      <w:proofErr w:type="gramEnd"/>
      <w:r>
        <w:rPr>
          <w:rFonts w:cs="Times New Roman" w:hint="eastAsia"/>
          <w:kern w:val="21"/>
        </w:rPr>
        <w:t>蓄水池容积为</w:t>
      </w:r>
      <w:r>
        <w:rPr>
          <w:rFonts w:cs="Times New Roman" w:hint="eastAsia"/>
          <w:kern w:val="21"/>
        </w:rPr>
        <w:t>300</w:t>
      </w:r>
      <w:r>
        <w:rPr>
          <w:rFonts w:cs="Times New Roman"/>
          <w:kern w:val="21"/>
        </w:rPr>
        <w:t>m</w:t>
      </w:r>
      <w:r>
        <w:rPr>
          <w:rFonts w:cs="Times New Roman"/>
          <w:kern w:val="21"/>
          <w:vertAlign w:val="superscript"/>
        </w:rPr>
        <w:t>3</w:t>
      </w:r>
      <w:r>
        <w:rPr>
          <w:rFonts w:cs="Times New Roman"/>
          <w:kern w:val="21"/>
        </w:rPr>
        <w:t>蓄水池</w:t>
      </w:r>
      <w:r>
        <w:rPr>
          <w:rFonts w:cs="Times New Roman" w:hint="eastAsia"/>
          <w:kern w:val="21"/>
        </w:rPr>
        <w:t>，蛋鸡场蓄水池容积为</w:t>
      </w:r>
      <w:r>
        <w:rPr>
          <w:rFonts w:cs="Times New Roman" w:hint="eastAsia"/>
          <w:kern w:val="21"/>
        </w:rPr>
        <w:t>100</w:t>
      </w:r>
      <w:r>
        <w:rPr>
          <w:rFonts w:cs="Times New Roman"/>
          <w:kern w:val="21"/>
        </w:rPr>
        <w:t>0m</w:t>
      </w:r>
      <w:r>
        <w:rPr>
          <w:rFonts w:cs="Times New Roman"/>
          <w:kern w:val="21"/>
          <w:vertAlign w:val="superscript"/>
        </w:rPr>
        <w:t>3</w:t>
      </w:r>
      <w:r>
        <w:rPr>
          <w:rFonts w:cs="Times New Roman" w:hint="eastAsia"/>
          <w:kern w:val="21"/>
        </w:rPr>
        <w:t>。</w:t>
      </w:r>
      <w:r>
        <w:rPr>
          <w:rFonts w:cs="Times New Roman"/>
          <w:kern w:val="21"/>
        </w:rPr>
        <w:t>其水质、水量及水压均能满足项目生产、生活用水的要求。</w:t>
      </w:r>
    </w:p>
    <w:p w14:paraId="35190DCC" w14:textId="77777777" w:rsidR="00544649" w:rsidRDefault="00000000">
      <w:pPr>
        <w:adjustRightInd w:val="0"/>
        <w:snapToGrid w:val="0"/>
        <w:spacing w:after="0"/>
        <w:ind w:firstLine="480"/>
        <w:rPr>
          <w:rFonts w:cs="Times New Roman"/>
          <w:kern w:val="21"/>
        </w:rPr>
      </w:pPr>
      <w:r>
        <w:rPr>
          <w:rFonts w:cs="Times New Roman"/>
          <w:kern w:val="21"/>
        </w:rPr>
        <w:t>场区供水管线采用生产、生活</w:t>
      </w:r>
      <w:r>
        <w:rPr>
          <w:rFonts w:cs="Times New Roman" w:hint="eastAsia"/>
          <w:kern w:val="21"/>
        </w:rPr>
        <w:t>共</w:t>
      </w:r>
      <w:r>
        <w:rPr>
          <w:rFonts w:cs="Times New Roman"/>
          <w:kern w:val="21"/>
        </w:rPr>
        <w:t>用的管线系统，给水管网在场内呈环状布置。项</w:t>
      </w:r>
      <w:r>
        <w:rPr>
          <w:rFonts w:cs="Times New Roman"/>
          <w:kern w:val="21"/>
        </w:rPr>
        <w:lastRenderedPageBreak/>
        <w:t>目各鸡舍均设自动饮水器，保证鸡只饮用水卫生和充足，取水管、室外给水管、</w:t>
      </w:r>
      <w:proofErr w:type="gramStart"/>
      <w:r>
        <w:rPr>
          <w:rFonts w:cs="Times New Roman"/>
          <w:kern w:val="21"/>
        </w:rPr>
        <w:t>室内管均采用</w:t>
      </w:r>
      <w:proofErr w:type="gramEnd"/>
      <w:r>
        <w:rPr>
          <w:rFonts w:cs="Times New Roman"/>
          <w:kern w:val="21"/>
        </w:rPr>
        <w:t>PE</w:t>
      </w:r>
      <w:r>
        <w:rPr>
          <w:rFonts w:cs="Times New Roman"/>
          <w:kern w:val="21"/>
        </w:rPr>
        <w:t>塑料给水管。</w:t>
      </w:r>
    </w:p>
    <w:p w14:paraId="1D331AE9"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排水</w:t>
      </w:r>
    </w:p>
    <w:p w14:paraId="4C9C2147" w14:textId="77777777" w:rsidR="00544649" w:rsidRDefault="00000000">
      <w:pPr>
        <w:pStyle w:val="aff2"/>
        <w:adjustRightInd w:val="0"/>
        <w:snapToGrid w:val="0"/>
        <w:spacing w:after="0"/>
        <w:rPr>
          <w:rFonts w:ascii="Times New Roman" w:hAnsi="Times New Roman" w:cs="Times New Roman"/>
          <w:kern w:val="21"/>
        </w:rPr>
      </w:pPr>
      <w:r>
        <w:rPr>
          <w:rFonts w:ascii="宋体" w:hAnsi="宋体"/>
          <w:kern w:val="21"/>
        </w:rPr>
        <w:t>项目场区排水实行雨污分流制</w:t>
      </w:r>
      <w:r>
        <w:rPr>
          <w:rFonts w:ascii="Times New Roman" w:hAnsi="Times New Roman" w:cs="Times New Roman"/>
          <w:kern w:val="21"/>
        </w:rPr>
        <w:t>。</w:t>
      </w:r>
    </w:p>
    <w:p w14:paraId="1CB58952" w14:textId="77777777" w:rsidR="00544649" w:rsidRDefault="00000000">
      <w:pPr>
        <w:adjustRightInd w:val="0"/>
        <w:snapToGrid w:val="0"/>
        <w:spacing w:after="0"/>
        <w:ind w:firstLine="482"/>
        <w:rPr>
          <w:rFonts w:cs="Times New Roman"/>
          <w:kern w:val="21"/>
        </w:rPr>
      </w:pPr>
      <w:r>
        <w:rPr>
          <w:rFonts w:cs="Times New Roman"/>
          <w:b/>
          <w:bCs/>
          <w:kern w:val="21"/>
        </w:rPr>
        <w:t>雨水</w:t>
      </w:r>
      <w:r>
        <w:rPr>
          <w:rFonts w:cs="Times New Roman"/>
          <w:kern w:val="21"/>
        </w:rPr>
        <w:t>：</w:t>
      </w:r>
      <w:r>
        <w:rPr>
          <w:rFonts w:cs="Times New Roman" w:hint="eastAsia"/>
          <w:kern w:val="21"/>
        </w:rPr>
        <w:t>项目</w:t>
      </w:r>
      <w:proofErr w:type="gramStart"/>
      <w:r>
        <w:rPr>
          <w:rFonts w:cs="Times New Roman" w:hint="eastAsia"/>
          <w:kern w:val="21"/>
        </w:rPr>
        <w:t>育雏场</w:t>
      </w:r>
      <w:proofErr w:type="gramEnd"/>
      <w:r>
        <w:rPr>
          <w:rFonts w:cs="Times New Roman" w:hint="eastAsia"/>
          <w:kern w:val="21"/>
        </w:rPr>
        <w:t>和蛋鸡场分别设置初期雨水收集池，各养殖场区域初期雨水通过雨水沟收集，进入末端收集池，收集后的初期雨水经自然沉淀处理后，可回用于场区内绿化用水，不外排。</w:t>
      </w:r>
    </w:p>
    <w:p w14:paraId="7B61D12C" w14:textId="77777777" w:rsidR="00544649" w:rsidRDefault="00000000">
      <w:pPr>
        <w:adjustRightInd w:val="0"/>
        <w:snapToGrid w:val="0"/>
        <w:spacing w:after="0"/>
        <w:ind w:firstLine="482"/>
        <w:rPr>
          <w:rFonts w:cs="Times New Roman"/>
          <w:kern w:val="21"/>
        </w:rPr>
      </w:pPr>
      <w:r>
        <w:rPr>
          <w:rFonts w:cs="Times New Roman"/>
          <w:b/>
          <w:bCs/>
          <w:kern w:val="21"/>
        </w:rPr>
        <w:t>生活污水</w:t>
      </w:r>
      <w:r>
        <w:rPr>
          <w:rFonts w:cs="Times New Roman" w:hint="eastAsia"/>
          <w:b/>
          <w:bCs/>
          <w:kern w:val="21"/>
        </w:rPr>
        <w:t>及餐厨废水</w:t>
      </w:r>
      <w:r>
        <w:rPr>
          <w:rFonts w:cs="Times New Roman"/>
          <w:kern w:val="21"/>
        </w:rPr>
        <w:t>：职工生活污水排放量小，餐厨废水通过隔油装置隔油后和生活污水一起排入</w:t>
      </w:r>
      <w:r>
        <w:rPr>
          <w:rFonts w:cs="Times New Roman" w:hint="eastAsia"/>
          <w:kern w:val="21"/>
        </w:rPr>
        <w:t>污水处理站</w:t>
      </w:r>
      <w:r>
        <w:rPr>
          <w:rFonts w:cs="Times New Roman"/>
          <w:kern w:val="21"/>
        </w:rPr>
        <w:t>，经</w:t>
      </w:r>
      <w:r>
        <w:rPr>
          <w:rFonts w:cs="Times New Roman" w:hint="eastAsia"/>
          <w:kern w:val="21"/>
        </w:rPr>
        <w:t>污水处理站</w:t>
      </w:r>
      <w:r>
        <w:rPr>
          <w:rFonts w:cs="Times New Roman"/>
          <w:kern w:val="21"/>
        </w:rPr>
        <w:t>处理</w:t>
      </w:r>
      <w:r>
        <w:rPr>
          <w:rFonts w:cs="Times New Roman" w:hint="eastAsia"/>
          <w:kern w:val="21"/>
        </w:rPr>
        <w:t>达标</w:t>
      </w:r>
      <w:r>
        <w:rPr>
          <w:rFonts w:cs="Times New Roman"/>
          <w:kern w:val="21"/>
        </w:rPr>
        <w:t>后，用于</w:t>
      </w:r>
      <w:r>
        <w:rPr>
          <w:rFonts w:cs="Times New Roman" w:hint="eastAsia"/>
          <w:kern w:val="21"/>
        </w:rPr>
        <w:t>周边林地灌溉</w:t>
      </w:r>
      <w:r>
        <w:rPr>
          <w:rFonts w:cs="Times New Roman"/>
          <w:kern w:val="21"/>
        </w:rPr>
        <w:t>，不外排。</w:t>
      </w:r>
    </w:p>
    <w:p w14:paraId="72A282A3" w14:textId="77777777" w:rsidR="00544649" w:rsidRDefault="00000000">
      <w:pPr>
        <w:adjustRightInd w:val="0"/>
        <w:snapToGrid w:val="0"/>
        <w:spacing w:after="0"/>
        <w:ind w:firstLine="482"/>
        <w:rPr>
          <w:rFonts w:cs="Times New Roman"/>
          <w:kern w:val="21"/>
        </w:rPr>
      </w:pPr>
      <w:r>
        <w:rPr>
          <w:rFonts w:cs="Times New Roman" w:hint="eastAsia"/>
          <w:b/>
          <w:bCs/>
          <w:kern w:val="21"/>
        </w:rPr>
        <w:t>养殖鸡舍冲洗废水：</w:t>
      </w:r>
      <w:r>
        <w:rPr>
          <w:rFonts w:cs="Times New Roman" w:hint="eastAsia"/>
          <w:kern w:val="21"/>
        </w:rPr>
        <w:t>鸡舍冲洗废水经污水管网收集至污水处理站处理达标后</w:t>
      </w:r>
      <w:r>
        <w:rPr>
          <w:rFonts w:cs="Times New Roman"/>
          <w:kern w:val="21"/>
        </w:rPr>
        <w:t>用于</w:t>
      </w:r>
      <w:r>
        <w:rPr>
          <w:rFonts w:cs="Times New Roman" w:hint="eastAsia"/>
          <w:kern w:val="21"/>
        </w:rPr>
        <w:t>周边林地灌溉</w:t>
      </w:r>
      <w:r>
        <w:rPr>
          <w:rFonts w:cs="Times New Roman"/>
          <w:kern w:val="21"/>
        </w:rPr>
        <w:t>，不外排。</w:t>
      </w:r>
    </w:p>
    <w:p w14:paraId="5F7A9894" w14:textId="77777777" w:rsidR="00544649" w:rsidRDefault="00000000">
      <w:pPr>
        <w:adjustRightInd w:val="0"/>
        <w:snapToGrid w:val="0"/>
        <w:spacing w:after="0"/>
        <w:ind w:firstLine="482"/>
        <w:rPr>
          <w:rFonts w:cs="Times New Roman"/>
          <w:kern w:val="21"/>
        </w:rPr>
      </w:pPr>
      <w:r>
        <w:rPr>
          <w:rFonts w:cs="Times New Roman" w:hint="eastAsia"/>
          <w:b/>
          <w:bCs/>
          <w:kern w:val="21"/>
        </w:rPr>
        <w:t>蛋鸡场蛋品清洗废水：</w:t>
      </w:r>
      <w:r>
        <w:rPr>
          <w:rFonts w:cs="Times New Roman" w:hint="eastAsia"/>
          <w:kern w:val="21"/>
        </w:rPr>
        <w:t>经废水管网收集至污水处理站处理达标后用于周边林地灌溉，不外排。</w:t>
      </w:r>
    </w:p>
    <w:p w14:paraId="7D3C5F39" w14:textId="77777777" w:rsidR="00544649" w:rsidRDefault="00000000">
      <w:pPr>
        <w:adjustRightInd w:val="0"/>
        <w:snapToGrid w:val="0"/>
        <w:spacing w:after="0"/>
        <w:ind w:firstLine="482"/>
        <w:rPr>
          <w:rFonts w:cs="Times New Roman"/>
          <w:kern w:val="21"/>
        </w:rPr>
      </w:pPr>
      <w:proofErr w:type="gramStart"/>
      <w:r>
        <w:rPr>
          <w:rFonts w:cs="Times New Roman" w:hint="eastAsia"/>
          <w:b/>
          <w:bCs/>
          <w:kern w:val="21"/>
          <w:szCs w:val="21"/>
        </w:rPr>
        <w:t>污水站反冲洗</w:t>
      </w:r>
      <w:proofErr w:type="gramEnd"/>
      <w:r>
        <w:rPr>
          <w:rFonts w:cs="Times New Roman" w:hint="eastAsia"/>
          <w:b/>
          <w:bCs/>
          <w:kern w:val="21"/>
          <w:szCs w:val="21"/>
        </w:rPr>
        <w:t>废水：</w:t>
      </w:r>
      <w:r>
        <w:rPr>
          <w:rFonts w:cs="Times New Roman" w:hint="eastAsia"/>
          <w:kern w:val="21"/>
          <w:szCs w:val="21"/>
        </w:rPr>
        <w:t>反冲洗废水进入污水站处理</w:t>
      </w:r>
      <w:r>
        <w:rPr>
          <w:rFonts w:cs="Times New Roman" w:hint="eastAsia"/>
          <w:kern w:val="21"/>
        </w:rPr>
        <w:t>达标后用于周边林地灌溉，不外排。</w:t>
      </w:r>
    </w:p>
    <w:p w14:paraId="101DF868" w14:textId="77777777" w:rsidR="00544649" w:rsidRDefault="00000000">
      <w:pPr>
        <w:adjustRightInd w:val="0"/>
        <w:snapToGrid w:val="0"/>
        <w:spacing w:after="0"/>
        <w:ind w:firstLine="480"/>
        <w:rPr>
          <w:rFonts w:cs="Times New Roman"/>
          <w:kern w:val="21"/>
        </w:rPr>
      </w:pPr>
      <w:r>
        <w:rPr>
          <w:rFonts w:cs="Times New Roman" w:hint="eastAsia"/>
          <w:kern w:val="21"/>
        </w:rPr>
        <w:t>本项目</w:t>
      </w:r>
      <w:proofErr w:type="gramStart"/>
      <w:r>
        <w:rPr>
          <w:rFonts w:cs="Times New Roman" w:hint="eastAsia"/>
          <w:kern w:val="21"/>
        </w:rPr>
        <w:t>育雏场</w:t>
      </w:r>
      <w:proofErr w:type="gramEnd"/>
      <w:r>
        <w:rPr>
          <w:rFonts w:cs="Times New Roman" w:hint="eastAsia"/>
          <w:kern w:val="21"/>
        </w:rPr>
        <w:t>和蛋鸡场分别建设污水处理站一座，</w:t>
      </w:r>
      <w:proofErr w:type="gramStart"/>
      <w:r>
        <w:rPr>
          <w:rFonts w:cs="Times New Roman" w:hint="eastAsia"/>
          <w:kern w:val="21"/>
        </w:rPr>
        <w:t>育雏场</w:t>
      </w:r>
      <w:proofErr w:type="gramEnd"/>
      <w:r>
        <w:rPr>
          <w:rFonts w:cs="Times New Roman" w:hint="eastAsia"/>
          <w:kern w:val="21"/>
        </w:rPr>
        <w:t>污水处理站设计处理能力为</w:t>
      </w:r>
      <w:r>
        <w:rPr>
          <w:rFonts w:cs="Times New Roman" w:hint="eastAsia"/>
          <w:kern w:val="21"/>
        </w:rPr>
        <w:t>5m</w:t>
      </w:r>
      <w:r>
        <w:rPr>
          <w:rFonts w:cs="Times New Roman" w:hint="eastAsia"/>
          <w:kern w:val="21"/>
          <w:vertAlign w:val="superscript"/>
        </w:rPr>
        <w:t>3</w:t>
      </w:r>
      <w:r>
        <w:rPr>
          <w:rFonts w:cs="Times New Roman" w:hint="eastAsia"/>
          <w:kern w:val="21"/>
        </w:rPr>
        <w:t>/d</w:t>
      </w:r>
      <w:r>
        <w:rPr>
          <w:rFonts w:cs="Times New Roman" w:hint="eastAsia"/>
          <w:kern w:val="21"/>
        </w:rPr>
        <w:t>；蛋鸡场污水处理站设计处理能力为</w:t>
      </w:r>
      <w:r>
        <w:rPr>
          <w:rFonts w:cs="Times New Roman" w:hint="eastAsia"/>
          <w:kern w:val="21"/>
        </w:rPr>
        <w:t>15m</w:t>
      </w:r>
      <w:r>
        <w:rPr>
          <w:rFonts w:cs="Times New Roman" w:hint="eastAsia"/>
          <w:kern w:val="21"/>
          <w:vertAlign w:val="superscript"/>
        </w:rPr>
        <w:t>3</w:t>
      </w:r>
      <w:r>
        <w:rPr>
          <w:rFonts w:cs="Times New Roman" w:hint="eastAsia"/>
          <w:kern w:val="21"/>
        </w:rPr>
        <w:t>/d</w:t>
      </w:r>
      <w:r>
        <w:rPr>
          <w:rFonts w:cs="Times New Roman" w:hint="eastAsia"/>
          <w:kern w:val="21"/>
        </w:rPr>
        <w:t>。两个厂区拟采取污水处理工艺一致，均采用：“</w:t>
      </w:r>
      <w:r>
        <w:rPr>
          <w:rFonts w:cs="Times New Roman"/>
        </w:rPr>
        <w:t>格栅</w:t>
      </w:r>
      <w:r>
        <w:rPr>
          <w:rFonts w:cs="Times New Roman"/>
        </w:rPr>
        <w:t>+</w:t>
      </w:r>
      <w:r>
        <w:rPr>
          <w:rFonts w:cs="Times New Roman"/>
        </w:rPr>
        <w:t>调节池</w:t>
      </w:r>
      <w:r>
        <w:rPr>
          <w:rFonts w:cs="Times New Roman"/>
        </w:rPr>
        <w:t>+</w:t>
      </w:r>
      <w:r>
        <w:rPr>
          <w:rFonts w:cs="Times New Roman" w:hint="eastAsia"/>
        </w:rPr>
        <w:t>气浮一体化装置</w:t>
      </w:r>
      <w:r>
        <w:rPr>
          <w:rFonts w:cs="Times New Roman" w:hint="eastAsia"/>
        </w:rPr>
        <w:t>+</w:t>
      </w:r>
      <w:r>
        <w:rPr>
          <w:rFonts w:cs="Times New Roman"/>
        </w:rPr>
        <w:t>水解酸化池</w:t>
      </w:r>
      <w:r>
        <w:rPr>
          <w:rFonts w:cs="Times New Roman"/>
        </w:rPr>
        <w:t>+</w:t>
      </w:r>
      <w:proofErr w:type="spellStart"/>
      <w:r>
        <w:rPr>
          <w:rFonts w:cs="Times New Roman" w:hint="eastAsia"/>
          <w:bCs/>
          <w:kern w:val="21"/>
        </w:rPr>
        <w:t>Bardenpho</w:t>
      </w:r>
      <w:proofErr w:type="spellEnd"/>
      <w:r>
        <w:rPr>
          <w:rFonts w:cs="Times New Roman" w:hint="eastAsia"/>
          <w:bCs/>
          <w:kern w:val="21"/>
        </w:rPr>
        <w:t>工艺</w:t>
      </w:r>
      <w:r>
        <w:rPr>
          <w:rFonts w:cs="Times New Roman"/>
        </w:rPr>
        <w:t>+</w:t>
      </w:r>
      <w:r>
        <w:rPr>
          <w:rFonts w:cs="Times New Roman" w:hint="eastAsia"/>
        </w:rPr>
        <w:t>二沉池</w:t>
      </w:r>
      <w:r>
        <w:rPr>
          <w:rFonts w:cs="Times New Roman" w:hint="eastAsia"/>
        </w:rPr>
        <w:t>+</w:t>
      </w:r>
      <w:r>
        <w:rPr>
          <w:rFonts w:cs="Times New Roman" w:hint="eastAsia"/>
        </w:rPr>
        <w:t>过滤池</w:t>
      </w:r>
      <w:r>
        <w:rPr>
          <w:rFonts w:cs="Times New Roman"/>
        </w:rPr>
        <w:t>+</w:t>
      </w:r>
      <w:r>
        <w:rPr>
          <w:rFonts w:cs="Times New Roman" w:hint="eastAsia"/>
        </w:rPr>
        <w:t>消毒池”</w:t>
      </w:r>
      <w:r>
        <w:rPr>
          <w:rFonts w:cs="Times New Roman"/>
        </w:rPr>
        <w:t>处理工艺。</w:t>
      </w:r>
      <w:r>
        <w:rPr>
          <w:rFonts w:cs="Times New Roman" w:hint="eastAsia"/>
        </w:rPr>
        <w:t>废水经处理达《农田灌溉水质标准》（</w:t>
      </w:r>
      <w:r>
        <w:rPr>
          <w:rFonts w:cs="Times New Roman" w:hint="eastAsia"/>
        </w:rPr>
        <w:t>GB5084-2021</w:t>
      </w:r>
      <w:r>
        <w:rPr>
          <w:rFonts w:cs="Times New Roman" w:hint="eastAsia"/>
        </w:rPr>
        <w:t>）旱地作物标准后，</w:t>
      </w:r>
      <w:r>
        <w:rPr>
          <w:rFonts w:cs="Times New Roman" w:hint="eastAsia"/>
          <w:kern w:val="21"/>
        </w:rPr>
        <w:t>用于周边林地灌溉，不外排。</w:t>
      </w:r>
    </w:p>
    <w:p w14:paraId="68CF7A6E"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供电</w:t>
      </w:r>
    </w:p>
    <w:p w14:paraId="7A98C731" w14:textId="77777777" w:rsidR="00544649" w:rsidRDefault="00000000">
      <w:pPr>
        <w:adjustRightInd w:val="0"/>
        <w:snapToGrid w:val="0"/>
        <w:spacing w:after="0"/>
        <w:ind w:firstLine="480"/>
      </w:pPr>
      <w:r>
        <w:rPr>
          <w:rFonts w:cs="Times New Roman"/>
          <w:kern w:val="21"/>
        </w:rPr>
        <w:t>本项目各生产设备和员工生活用电均由当地电网供应，</w:t>
      </w:r>
      <w:r>
        <w:t>场区内设配电室供电。</w:t>
      </w:r>
    </w:p>
    <w:p w14:paraId="521E9EF5" w14:textId="77777777" w:rsidR="00544649" w:rsidRDefault="00000000">
      <w:pPr>
        <w:adjustRightInd w:val="0"/>
        <w:snapToGrid w:val="0"/>
        <w:spacing w:after="0"/>
        <w:ind w:firstLine="480"/>
        <w:rPr>
          <w:rFonts w:cs="Times New Roman"/>
          <w:kern w:val="21"/>
        </w:rPr>
      </w:pPr>
      <w:r>
        <w:rPr>
          <w:rFonts w:cs="Times New Roman"/>
          <w:kern w:val="21"/>
        </w:rPr>
        <w:t>同时，</w:t>
      </w:r>
      <w:r>
        <w:rPr>
          <w:rFonts w:cs="Times New Roman" w:hint="eastAsia"/>
          <w:kern w:val="21"/>
        </w:rPr>
        <w:t>本项目</w:t>
      </w:r>
      <w:proofErr w:type="gramStart"/>
      <w:r>
        <w:rPr>
          <w:rFonts w:cs="Times New Roman" w:hint="eastAsia"/>
          <w:kern w:val="21"/>
        </w:rPr>
        <w:t>育雏场</w:t>
      </w:r>
      <w:proofErr w:type="gramEnd"/>
      <w:r>
        <w:rPr>
          <w:rFonts w:cs="Times New Roman" w:hint="eastAsia"/>
          <w:kern w:val="21"/>
        </w:rPr>
        <w:t>和蛋鸡场分别设置备用发电机一间，</w:t>
      </w:r>
      <w:proofErr w:type="gramStart"/>
      <w:r>
        <w:rPr>
          <w:rFonts w:cs="Times New Roman" w:hint="eastAsia"/>
          <w:kern w:val="21"/>
        </w:rPr>
        <w:t>育雏场备用发电机房设置</w:t>
      </w:r>
      <w:proofErr w:type="gramEnd"/>
      <w:r>
        <w:rPr>
          <w:rFonts w:cs="Times New Roman" w:hint="eastAsia"/>
          <w:kern w:val="21"/>
        </w:rPr>
        <w:t>两台柴油发电机（</w:t>
      </w:r>
      <w:r>
        <w:rPr>
          <w:rFonts w:cs="Times New Roman" w:hint="eastAsia"/>
          <w:kern w:val="21"/>
        </w:rPr>
        <w:t>200</w:t>
      </w:r>
      <w:r>
        <w:rPr>
          <w:rFonts w:cs="Times New Roman"/>
          <w:kern w:val="21"/>
        </w:rPr>
        <w:t>kW</w:t>
      </w:r>
      <w:r>
        <w:rPr>
          <w:rFonts w:cs="Times New Roman" w:hint="eastAsia"/>
          <w:kern w:val="21"/>
        </w:rPr>
        <w:t>）；蛋鸡场备用发电机</w:t>
      </w:r>
      <w:proofErr w:type="gramStart"/>
      <w:r>
        <w:rPr>
          <w:rFonts w:cs="Times New Roman" w:hint="eastAsia"/>
          <w:kern w:val="21"/>
        </w:rPr>
        <w:t>房设置</w:t>
      </w:r>
      <w:proofErr w:type="gramEnd"/>
      <w:r>
        <w:rPr>
          <w:rFonts w:cs="Times New Roman" w:hint="eastAsia"/>
          <w:kern w:val="21"/>
        </w:rPr>
        <w:t>两台柴油发电机（</w:t>
      </w:r>
      <w:r>
        <w:rPr>
          <w:rFonts w:cs="Times New Roman" w:hint="eastAsia"/>
          <w:kern w:val="21"/>
        </w:rPr>
        <w:t>300</w:t>
      </w:r>
      <w:r>
        <w:rPr>
          <w:rFonts w:cs="Times New Roman"/>
          <w:kern w:val="21"/>
        </w:rPr>
        <w:t>kW</w:t>
      </w:r>
      <w:r>
        <w:rPr>
          <w:rFonts w:cs="Times New Roman" w:hint="eastAsia"/>
          <w:kern w:val="21"/>
        </w:rPr>
        <w:t>）。</w:t>
      </w:r>
      <w:r>
        <w:rPr>
          <w:rFonts w:cs="Times New Roman"/>
          <w:kern w:val="21"/>
        </w:rPr>
        <w:t>备用柴油发电机作为备用电源，只在区域电网停电时启用</w:t>
      </w:r>
      <w:r>
        <w:rPr>
          <w:rFonts w:cs="Times New Roman" w:hint="eastAsia"/>
          <w:kern w:val="21"/>
        </w:rPr>
        <w:t>。</w:t>
      </w:r>
    </w:p>
    <w:p w14:paraId="7BC4F617"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hint="eastAsia"/>
          <w:b/>
          <w:bCs/>
          <w:kern w:val="21"/>
        </w:rPr>
        <w:t>天然气供应</w:t>
      </w:r>
    </w:p>
    <w:p w14:paraId="4E21CF6F" w14:textId="77777777" w:rsidR="00544649" w:rsidRDefault="00000000">
      <w:pPr>
        <w:adjustRightInd w:val="0"/>
        <w:snapToGrid w:val="0"/>
        <w:spacing w:after="0"/>
        <w:ind w:firstLine="480"/>
      </w:pPr>
      <w:r>
        <w:rPr>
          <w:rFonts w:hint="eastAsia"/>
        </w:rPr>
        <w:t>本项目天然气来自当地市政燃气管道输送（管道建设工程不在本次评价范围内），目前项目所在区域天然气管网尚未接通，燃气管道建设由当地天然气公司负责建设完善。根据路建设单位提供的《关于剑阁非笼养蛋鸡产业链项目天然气管网建设的情况说明函》，本项目所在区域天然气管网由剑阁县金鑫燃气有限公司建设，管网建设时</w:t>
      </w:r>
      <w:r>
        <w:rPr>
          <w:rFonts w:hint="eastAsia"/>
        </w:rPr>
        <w:lastRenderedPageBreak/>
        <w:t>间在本项目投产前。</w:t>
      </w:r>
    </w:p>
    <w:p w14:paraId="021FB191"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hint="eastAsia"/>
          <w:b/>
          <w:bCs/>
          <w:kern w:val="21"/>
        </w:rPr>
        <w:t>通风、降温及保暖</w:t>
      </w:r>
    </w:p>
    <w:p w14:paraId="14EBABCB" w14:textId="77777777" w:rsidR="00544649" w:rsidRDefault="00000000">
      <w:pPr>
        <w:adjustRightInd w:val="0"/>
        <w:snapToGrid w:val="0"/>
        <w:spacing w:after="0"/>
        <w:ind w:firstLine="482"/>
        <w:rPr>
          <w:rFonts w:cs="Times New Roman"/>
          <w:b/>
          <w:bCs/>
          <w:kern w:val="21"/>
        </w:rPr>
      </w:pPr>
      <w:r>
        <w:rPr>
          <w:rFonts w:cs="Times New Roman" w:hint="eastAsia"/>
          <w:b/>
          <w:bCs/>
          <w:kern w:val="21"/>
        </w:rPr>
        <w:t>1</w:t>
      </w:r>
      <w:r>
        <w:rPr>
          <w:rFonts w:cs="Times New Roman" w:hint="eastAsia"/>
          <w:b/>
          <w:bCs/>
          <w:kern w:val="21"/>
        </w:rPr>
        <w:t>、通风</w:t>
      </w:r>
    </w:p>
    <w:p w14:paraId="302A535B" w14:textId="77777777" w:rsidR="00544649" w:rsidRDefault="00000000">
      <w:pPr>
        <w:adjustRightInd w:val="0"/>
        <w:snapToGrid w:val="0"/>
        <w:spacing w:after="0"/>
        <w:ind w:firstLine="480"/>
        <w:rPr>
          <w:rFonts w:cs="Times New Roman"/>
          <w:kern w:val="21"/>
        </w:rPr>
      </w:pPr>
      <w:r>
        <w:rPr>
          <w:rFonts w:cs="Times New Roman" w:hint="eastAsia"/>
          <w:kern w:val="21"/>
        </w:rPr>
        <w:t>（</w:t>
      </w:r>
      <w:r>
        <w:rPr>
          <w:rFonts w:cs="Times New Roman" w:hint="eastAsia"/>
          <w:kern w:val="21"/>
        </w:rPr>
        <w:t>1</w:t>
      </w:r>
      <w:r>
        <w:rPr>
          <w:rFonts w:cs="Times New Roman" w:hint="eastAsia"/>
          <w:kern w:val="21"/>
        </w:rPr>
        <w:t>）育雏鸡舍</w:t>
      </w:r>
    </w:p>
    <w:p w14:paraId="62CC94E9" w14:textId="77777777" w:rsidR="00544649" w:rsidRDefault="00000000">
      <w:pPr>
        <w:adjustRightInd w:val="0"/>
        <w:snapToGrid w:val="0"/>
        <w:spacing w:after="0"/>
        <w:ind w:firstLine="480"/>
        <w:rPr>
          <w:rFonts w:cs="Times New Roman"/>
          <w:kern w:val="21"/>
        </w:rPr>
      </w:pPr>
      <w:r>
        <w:rPr>
          <w:rFonts w:cs="Times New Roman" w:hint="eastAsia"/>
          <w:kern w:val="21"/>
        </w:rPr>
        <w:t>育雏鸡舍尾端设置共设置</w:t>
      </w:r>
      <w:r>
        <w:rPr>
          <w:rFonts w:cs="Times New Roman" w:hint="eastAsia"/>
          <w:kern w:val="21"/>
        </w:rPr>
        <w:t>26</w:t>
      </w:r>
      <w:r>
        <w:rPr>
          <w:rFonts w:cs="Times New Roman"/>
          <w:kern w:val="21"/>
        </w:rPr>
        <w:t>台风机</w:t>
      </w:r>
      <w:r>
        <w:rPr>
          <w:rFonts w:cs="Times New Roman" w:hint="eastAsia"/>
          <w:kern w:val="21"/>
        </w:rPr>
        <w:t>（每</w:t>
      </w:r>
      <w:proofErr w:type="gramStart"/>
      <w:r>
        <w:rPr>
          <w:rFonts w:cs="Times New Roman" w:hint="eastAsia"/>
          <w:kern w:val="21"/>
        </w:rPr>
        <w:t>台风机风量</w:t>
      </w:r>
      <w:proofErr w:type="gramEnd"/>
      <w:r>
        <w:rPr>
          <w:rFonts w:cs="Times New Roman" w:hint="eastAsia"/>
          <w:kern w:val="21"/>
        </w:rPr>
        <w:t>为</w:t>
      </w:r>
      <w:r>
        <w:rPr>
          <w:rFonts w:cs="Times New Roman" w:hint="eastAsia"/>
          <w:kern w:val="21"/>
        </w:rPr>
        <w:t>23500m</w:t>
      </w:r>
      <w:r>
        <w:rPr>
          <w:rFonts w:cs="Times New Roman" w:hint="eastAsia"/>
          <w:kern w:val="21"/>
          <w:vertAlign w:val="superscript"/>
        </w:rPr>
        <w:t>3</w:t>
      </w:r>
      <w:r>
        <w:rPr>
          <w:rFonts w:cs="Times New Roman" w:hint="eastAsia"/>
          <w:kern w:val="21"/>
        </w:rPr>
        <w:t>/h</w:t>
      </w:r>
      <w:r>
        <w:rPr>
          <w:rFonts w:cs="Times New Roman" w:hint="eastAsia"/>
          <w:kern w:val="21"/>
        </w:rPr>
        <w:t>，每个风机设置一个排风口，单个排风口横截面积约</w:t>
      </w:r>
      <w:r>
        <w:rPr>
          <w:rFonts w:cs="Times New Roman" w:hint="eastAsia"/>
          <w:kern w:val="21"/>
        </w:rPr>
        <w:t>1.5m</w:t>
      </w:r>
      <w:r>
        <w:rPr>
          <w:rFonts w:cs="Times New Roman" w:hint="eastAsia"/>
          <w:kern w:val="21"/>
          <w:vertAlign w:val="superscript"/>
        </w:rPr>
        <w:t>2</w:t>
      </w:r>
      <w:r>
        <w:rPr>
          <w:rFonts w:cs="Times New Roman" w:hint="eastAsia"/>
          <w:kern w:val="21"/>
        </w:rPr>
        <w:t>）</w:t>
      </w:r>
      <w:r>
        <w:rPr>
          <w:rFonts w:cs="Times New Roman"/>
          <w:kern w:val="21"/>
        </w:rPr>
        <w:t>，</w:t>
      </w:r>
      <w:r>
        <w:rPr>
          <w:rFonts w:cs="Times New Roman" w:hint="eastAsia"/>
          <w:kern w:val="21"/>
        </w:rPr>
        <w:t>共设置</w:t>
      </w:r>
      <w:r>
        <w:rPr>
          <w:rFonts w:cs="Times New Roman" w:hint="eastAsia"/>
          <w:kern w:val="21"/>
        </w:rPr>
        <w:t>8</w:t>
      </w:r>
      <w:r>
        <w:rPr>
          <w:rFonts w:cs="Times New Roman" w:hint="eastAsia"/>
          <w:kern w:val="21"/>
        </w:rPr>
        <w:t>台侧墙风机（每</w:t>
      </w:r>
      <w:proofErr w:type="gramStart"/>
      <w:r>
        <w:rPr>
          <w:rFonts w:cs="Times New Roman" w:hint="eastAsia"/>
          <w:kern w:val="21"/>
        </w:rPr>
        <w:t>台风机风量</w:t>
      </w:r>
      <w:proofErr w:type="gramEnd"/>
      <w:r>
        <w:rPr>
          <w:rFonts w:cs="Times New Roman" w:hint="eastAsia"/>
          <w:kern w:val="21"/>
        </w:rPr>
        <w:t>为</w:t>
      </w:r>
      <w:r>
        <w:rPr>
          <w:rFonts w:cs="Times New Roman" w:hint="eastAsia"/>
          <w:kern w:val="21"/>
        </w:rPr>
        <w:t>23500m</w:t>
      </w:r>
      <w:r>
        <w:rPr>
          <w:rFonts w:cs="Times New Roman" w:hint="eastAsia"/>
          <w:kern w:val="21"/>
          <w:vertAlign w:val="superscript"/>
        </w:rPr>
        <w:t>3</w:t>
      </w:r>
      <w:r>
        <w:rPr>
          <w:rFonts w:cs="Times New Roman" w:hint="eastAsia"/>
          <w:kern w:val="21"/>
        </w:rPr>
        <w:t>/h</w:t>
      </w:r>
      <w:r>
        <w:rPr>
          <w:rFonts w:cs="Times New Roman" w:hint="eastAsia"/>
          <w:kern w:val="21"/>
        </w:rPr>
        <w:t>，每个风机设置一个排风口，单个排风口横截面积约</w:t>
      </w:r>
      <w:r>
        <w:rPr>
          <w:rFonts w:cs="Times New Roman" w:hint="eastAsia"/>
          <w:kern w:val="21"/>
        </w:rPr>
        <w:t>1.5m</w:t>
      </w:r>
      <w:r>
        <w:rPr>
          <w:rFonts w:cs="Times New Roman" w:hint="eastAsia"/>
          <w:kern w:val="21"/>
          <w:vertAlign w:val="superscript"/>
        </w:rPr>
        <w:t>2</w:t>
      </w:r>
      <w:r>
        <w:rPr>
          <w:rFonts w:cs="Times New Roman" w:hint="eastAsia"/>
          <w:kern w:val="21"/>
        </w:rPr>
        <w:t>），通过风机抽排风使鸡舍内臭气</w:t>
      </w:r>
      <w:r>
        <w:rPr>
          <w:rFonts w:hint="eastAsia"/>
          <w:kern w:val="21"/>
        </w:rPr>
        <w:t>通过风机</w:t>
      </w:r>
      <w:r>
        <w:rPr>
          <w:rFonts w:cs="Times New Roman" w:hint="eastAsia"/>
          <w:kern w:val="21"/>
        </w:rPr>
        <w:t>抽至室外排放</w:t>
      </w:r>
      <w:r>
        <w:rPr>
          <w:rFonts w:cs="Times New Roman"/>
          <w:kern w:val="21"/>
        </w:rPr>
        <w:t>。</w:t>
      </w:r>
    </w:p>
    <w:p w14:paraId="5D799A17" w14:textId="77777777" w:rsidR="00544649" w:rsidRDefault="00000000">
      <w:pPr>
        <w:adjustRightInd w:val="0"/>
        <w:snapToGrid w:val="0"/>
        <w:spacing w:after="0"/>
        <w:ind w:firstLine="480"/>
        <w:rPr>
          <w:rFonts w:cs="Times New Roman"/>
          <w:kern w:val="21"/>
        </w:rPr>
      </w:pPr>
      <w:r>
        <w:rPr>
          <w:rFonts w:cs="Times New Roman" w:hint="eastAsia"/>
          <w:kern w:val="21"/>
        </w:rPr>
        <w:t>（</w:t>
      </w:r>
      <w:r>
        <w:rPr>
          <w:rFonts w:cs="Times New Roman" w:hint="eastAsia"/>
          <w:kern w:val="21"/>
        </w:rPr>
        <w:t>2</w:t>
      </w:r>
      <w:r>
        <w:rPr>
          <w:rFonts w:cs="Times New Roman" w:hint="eastAsia"/>
          <w:kern w:val="21"/>
        </w:rPr>
        <w:t>）蛋鸡舍</w:t>
      </w:r>
    </w:p>
    <w:p w14:paraId="1D195054" w14:textId="77777777" w:rsidR="00544649" w:rsidRDefault="00000000">
      <w:pPr>
        <w:adjustRightInd w:val="0"/>
        <w:snapToGrid w:val="0"/>
        <w:spacing w:after="0"/>
        <w:ind w:firstLine="480"/>
        <w:rPr>
          <w:rFonts w:cs="Times New Roman"/>
          <w:kern w:val="21"/>
        </w:rPr>
      </w:pPr>
      <w:r>
        <w:rPr>
          <w:rFonts w:cs="Times New Roman" w:hint="eastAsia"/>
          <w:kern w:val="21"/>
        </w:rPr>
        <w:t>本项目蛋鸡舍尾端共设置</w:t>
      </w:r>
      <w:r>
        <w:rPr>
          <w:rFonts w:cs="Times New Roman" w:hint="eastAsia"/>
          <w:kern w:val="21"/>
        </w:rPr>
        <w:t>186</w:t>
      </w:r>
      <w:r>
        <w:rPr>
          <w:rFonts w:cs="Times New Roman" w:hint="eastAsia"/>
          <w:kern w:val="21"/>
        </w:rPr>
        <w:t>台大风机（每</w:t>
      </w:r>
      <w:proofErr w:type="gramStart"/>
      <w:r>
        <w:rPr>
          <w:rFonts w:cs="Times New Roman" w:hint="eastAsia"/>
          <w:kern w:val="21"/>
        </w:rPr>
        <w:t>台风机风量</w:t>
      </w:r>
      <w:proofErr w:type="gramEnd"/>
      <w:r>
        <w:rPr>
          <w:rFonts w:cs="Times New Roman" w:hint="eastAsia"/>
          <w:kern w:val="21"/>
        </w:rPr>
        <w:t>为</w:t>
      </w:r>
      <w:r>
        <w:rPr>
          <w:rFonts w:cs="Times New Roman" w:hint="eastAsia"/>
          <w:kern w:val="21"/>
        </w:rPr>
        <w:t>23500m</w:t>
      </w:r>
      <w:r>
        <w:rPr>
          <w:rFonts w:cs="Times New Roman" w:hint="eastAsia"/>
          <w:kern w:val="21"/>
          <w:vertAlign w:val="superscript"/>
        </w:rPr>
        <w:t>3</w:t>
      </w:r>
      <w:r>
        <w:rPr>
          <w:rFonts w:cs="Times New Roman" w:hint="eastAsia"/>
          <w:kern w:val="21"/>
        </w:rPr>
        <w:t>/h</w:t>
      </w:r>
      <w:r>
        <w:rPr>
          <w:rFonts w:cs="Times New Roman" w:hint="eastAsia"/>
          <w:kern w:val="21"/>
        </w:rPr>
        <w:t>，每个风机设置一个排风口，单个排风口横截面积约</w:t>
      </w:r>
      <w:r>
        <w:rPr>
          <w:rFonts w:cs="Times New Roman" w:hint="eastAsia"/>
          <w:kern w:val="21"/>
        </w:rPr>
        <w:t>1.5m</w:t>
      </w:r>
      <w:r>
        <w:rPr>
          <w:rFonts w:cs="Times New Roman" w:hint="eastAsia"/>
          <w:kern w:val="21"/>
          <w:vertAlign w:val="superscript"/>
        </w:rPr>
        <w:t>2</w:t>
      </w:r>
      <w:r>
        <w:rPr>
          <w:rFonts w:cs="Times New Roman" w:hint="eastAsia"/>
          <w:kern w:val="21"/>
        </w:rPr>
        <w:t>），共设置</w:t>
      </w:r>
      <w:r>
        <w:rPr>
          <w:rFonts w:cs="Times New Roman" w:hint="eastAsia"/>
          <w:kern w:val="21"/>
        </w:rPr>
        <w:t>24</w:t>
      </w:r>
      <w:r>
        <w:rPr>
          <w:rFonts w:cs="Times New Roman" w:hint="eastAsia"/>
          <w:kern w:val="21"/>
        </w:rPr>
        <w:t>台侧墙风机（每</w:t>
      </w:r>
      <w:proofErr w:type="gramStart"/>
      <w:r>
        <w:rPr>
          <w:rFonts w:cs="Times New Roman" w:hint="eastAsia"/>
          <w:kern w:val="21"/>
        </w:rPr>
        <w:t>台风机风量</w:t>
      </w:r>
      <w:proofErr w:type="gramEnd"/>
      <w:r>
        <w:rPr>
          <w:rFonts w:cs="Times New Roman" w:hint="eastAsia"/>
          <w:kern w:val="21"/>
        </w:rPr>
        <w:t>为</w:t>
      </w:r>
      <w:r>
        <w:rPr>
          <w:rFonts w:cs="Times New Roman" w:hint="eastAsia"/>
          <w:kern w:val="21"/>
        </w:rPr>
        <w:t>23500m</w:t>
      </w:r>
      <w:r>
        <w:rPr>
          <w:rFonts w:cs="Times New Roman" w:hint="eastAsia"/>
          <w:kern w:val="21"/>
          <w:vertAlign w:val="superscript"/>
        </w:rPr>
        <w:t>3</w:t>
      </w:r>
      <w:r>
        <w:rPr>
          <w:rFonts w:cs="Times New Roman" w:hint="eastAsia"/>
          <w:kern w:val="21"/>
        </w:rPr>
        <w:t>/h</w:t>
      </w:r>
      <w:r>
        <w:rPr>
          <w:rFonts w:cs="Times New Roman" w:hint="eastAsia"/>
          <w:kern w:val="21"/>
        </w:rPr>
        <w:t>，每个风机设置一个排风口，单个排风口横截面积约</w:t>
      </w:r>
      <w:r>
        <w:rPr>
          <w:rFonts w:cs="Times New Roman" w:hint="eastAsia"/>
          <w:kern w:val="21"/>
        </w:rPr>
        <w:t>1.5m</w:t>
      </w:r>
      <w:r>
        <w:rPr>
          <w:rFonts w:cs="Times New Roman" w:hint="eastAsia"/>
          <w:kern w:val="21"/>
          <w:vertAlign w:val="superscript"/>
        </w:rPr>
        <w:t>2</w:t>
      </w:r>
      <w:r>
        <w:rPr>
          <w:rFonts w:cs="Times New Roman" w:hint="eastAsia"/>
          <w:kern w:val="21"/>
        </w:rPr>
        <w:t>）。</w:t>
      </w:r>
    </w:p>
    <w:p w14:paraId="6F2B7689" w14:textId="77777777" w:rsidR="00544649" w:rsidRDefault="00000000">
      <w:pPr>
        <w:adjustRightInd w:val="0"/>
        <w:snapToGrid w:val="0"/>
        <w:spacing w:after="0"/>
        <w:ind w:firstLine="480"/>
        <w:rPr>
          <w:rFonts w:cs="Times New Roman"/>
          <w:kern w:val="21"/>
        </w:rPr>
      </w:pPr>
      <w:r>
        <w:rPr>
          <w:rFonts w:hint="eastAsia"/>
          <w:kern w:val="21"/>
        </w:rPr>
        <w:t>整个通风系统根据鸡舍内温度、湿度等参数进行自动控制，使鸡舍始终保持恒温恒湿的环境。</w:t>
      </w:r>
    </w:p>
    <w:p w14:paraId="716F65AB" w14:textId="77777777" w:rsidR="00544649" w:rsidRDefault="00000000">
      <w:pPr>
        <w:adjustRightInd w:val="0"/>
        <w:snapToGrid w:val="0"/>
        <w:spacing w:after="0"/>
        <w:ind w:firstLine="482"/>
        <w:rPr>
          <w:rFonts w:cs="Times New Roman"/>
          <w:b/>
          <w:bCs/>
          <w:kern w:val="21"/>
        </w:rPr>
      </w:pPr>
      <w:r>
        <w:rPr>
          <w:rFonts w:cs="Times New Roman" w:hint="eastAsia"/>
          <w:b/>
          <w:bCs/>
          <w:kern w:val="21"/>
        </w:rPr>
        <w:t>2</w:t>
      </w:r>
      <w:r>
        <w:rPr>
          <w:rFonts w:cs="Times New Roman" w:hint="eastAsia"/>
          <w:b/>
          <w:bCs/>
          <w:kern w:val="21"/>
        </w:rPr>
        <w:t>、保暖</w:t>
      </w:r>
    </w:p>
    <w:p w14:paraId="599C53B8" w14:textId="77777777" w:rsidR="00544649" w:rsidRDefault="00000000">
      <w:pPr>
        <w:adjustRightInd w:val="0"/>
        <w:snapToGrid w:val="0"/>
        <w:spacing w:after="0"/>
        <w:ind w:firstLine="480"/>
        <w:rPr>
          <w:rFonts w:cs="Times New Roman"/>
          <w:kern w:val="21"/>
        </w:rPr>
      </w:pPr>
      <w:r>
        <w:rPr>
          <w:rFonts w:cs="Times New Roman" w:hint="eastAsia"/>
          <w:kern w:val="21"/>
        </w:rPr>
        <w:t>项目蛋鸡舍冬季取暖主要是通过鸡舍墙体保温材料与外部断绝热交换，</w:t>
      </w:r>
      <w:r>
        <w:rPr>
          <w:rFonts w:cs="Times New Roman"/>
          <w:kern w:val="21"/>
        </w:rPr>
        <w:t>辅以</w:t>
      </w:r>
      <w:r>
        <w:rPr>
          <w:rFonts w:cs="Times New Roman" w:hint="eastAsia"/>
          <w:kern w:val="21"/>
        </w:rPr>
        <w:t>温控系统调节风机风量大小保持恒温</w:t>
      </w:r>
      <w:r>
        <w:rPr>
          <w:rFonts w:cs="Times New Roman"/>
          <w:kern w:val="21"/>
        </w:rPr>
        <w:t>，</w:t>
      </w:r>
      <w:r>
        <w:rPr>
          <w:rFonts w:cs="Times New Roman" w:hint="eastAsia"/>
          <w:kern w:val="21"/>
        </w:rPr>
        <w:t>蛋鸡舍冬季无需其他取暖措施。</w:t>
      </w:r>
    </w:p>
    <w:p w14:paraId="5D44AAC2" w14:textId="77777777" w:rsidR="00544649" w:rsidRDefault="00000000">
      <w:pPr>
        <w:adjustRightInd w:val="0"/>
        <w:snapToGrid w:val="0"/>
        <w:spacing w:after="0"/>
        <w:ind w:firstLine="480"/>
        <w:rPr>
          <w:rFonts w:cs="Times New Roman"/>
          <w:kern w:val="21"/>
        </w:rPr>
      </w:pPr>
      <w:r>
        <w:rPr>
          <w:rFonts w:cs="Times New Roman" w:hint="eastAsia"/>
          <w:kern w:val="21"/>
        </w:rPr>
        <w:t>项目育雏鸡舍冬季需采取保温取暖，育雏鸡舍供暖天数一年约</w:t>
      </w:r>
      <w:r>
        <w:rPr>
          <w:rFonts w:cs="Times New Roman" w:hint="eastAsia"/>
          <w:kern w:val="21"/>
        </w:rPr>
        <w:t>70</w:t>
      </w:r>
      <w:r>
        <w:rPr>
          <w:rFonts w:cs="Times New Roman" w:hint="eastAsia"/>
          <w:kern w:val="21"/>
        </w:rPr>
        <w:t>天，采用燃气加热设备为鸡舍提供暖气（天然气为能源物质，燃烧产生热能，由加热设备将热风吹入至鸡舍中到达鸡舍保暖的目的）。</w:t>
      </w:r>
    </w:p>
    <w:p w14:paraId="2E57CA6A" w14:textId="77777777" w:rsidR="00544649" w:rsidRDefault="00000000">
      <w:pPr>
        <w:adjustRightInd w:val="0"/>
        <w:snapToGrid w:val="0"/>
        <w:spacing w:after="0"/>
        <w:ind w:firstLine="480"/>
        <w:rPr>
          <w:rFonts w:cs="Times New Roman"/>
          <w:kern w:val="21"/>
        </w:rPr>
      </w:pPr>
      <w:r>
        <w:rPr>
          <w:rFonts w:cs="Times New Roman" w:hint="eastAsia"/>
          <w:kern w:val="21"/>
        </w:rPr>
        <w:t>办公生活区取暖主要采用分体式空调；生活区设天然气锅炉供应职工生活用热水。</w:t>
      </w:r>
    </w:p>
    <w:p w14:paraId="78FD1A99" w14:textId="77777777" w:rsidR="00544649" w:rsidRDefault="00000000">
      <w:pPr>
        <w:adjustRightInd w:val="0"/>
        <w:snapToGrid w:val="0"/>
        <w:spacing w:after="0"/>
        <w:ind w:firstLine="482"/>
        <w:rPr>
          <w:rFonts w:cs="Times New Roman"/>
          <w:b/>
          <w:bCs/>
          <w:kern w:val="21"/>
        </w:rPr>
      </w:pPr>
      <w:r>
        <w:rPr>
          <w:rFonts w:cs="Times New Roman" w:hint="eastAsia"/>
          <w:b/>
          <w:bCs/>
          <w:kern w:val="21"/>
        </w:rPr>
        <w:t>3</w:t>
      </w:r>
      <w:r>
        <w:rPr>
          <w:rFonts w:cs="Times New Roman" w:hint="eastAsia"/>
          <w:b/>
          <w:bCs/>
          <w:kern w:val="21"/>
        </w:rPr>
        <w:t>、</w:t>
      </w:r>
      <w:r>
        <w:rPr>
          <w:rFonts w:cs="Times New Roman"/>
          <w:b/>
          <w:bCs/>
          <w:kern w:val="21"/>
        </w:rPr>
        <w:t>降温</w:t>
      </w:r>
    </w:p>
    <w:p w14:paraId="20F25479" w14:textId="77777777" w:rsidR="00544649" w:rsidRDefault="00000000">
      <w:pPr>
        <w:adjustRightInd w:val="0"/>
        <w:snapToGrid w:val="0"/>
        <w:spacing w:after="0"/>
        <w:ind w:firstLine="480"/>
        <w:rPr>
          <w:rFonts w:cs="Times New Roman"/>
          <w:kern w:val="21"/>
        </w:rPr>
      </w:pPr>
      <w:r>
        <w:rPr>
          <w:rFonts w:cs="Times New Roman" w:hint="eastAsia"/>
          <w:kern w:val="21"/>
        </w:rPr>
        <w:t>项目育雏</w:t>
      </w:r>
      <w:r>
        <w:rPr>
          <w:rFonts w:cs="Times New Roman"/>
          <w:kern w:val="21"/>
        </w:rPr>
        <w:t>鸡舍</w:t>
      </w:r>
      <w:r>
        <w:rPr>
          <w:rFonts w:cs="Times New Roman" w:hint="eastAsia"/>
          <w:kern w:val="21"/>
        </w:rPr>
        <w:t>及蛋鸡舍均</w:t>
      </w:r>
      <w:r>
        <w:rPr>
          <w:rFonts w:cs="Times New Roman"/>
          <w:kern w:val="21"/>
        </w:rPr>
        <w:t>采用水帘降温系统，温控全部由电脑程序自动控制，旨在给蛋鸡提供一个温度适宜、湿度适中的饲养小环境。当监控鸡舍内温度</w:t>
      </w:r>
      <w:r>
        <w:rPr>
          <w:rFonts w:cs="Times New Roman"/>
          <w:kern w:val="21"/>
        </w:rPr>
        <w:t>≥30℃</w:t>
      </w:r>
      <w:r>
        <w:rPr>
          <w:rFonts w:cs="Times New Roman"/>
          <w:kern w:val="21"/>
        </w:rPr>
        <w:t>时，开启降温水帘系统，能够使鸡舍内温度在</w:t>
      </w:r>
      <w:r>
        <w:rPr>
          <w:rFonts w:cs="Times New Roman"/>
          <w:kern w:val="21"/>
        </w:rPr>
        <w:t>10</w:t>
      </w:r>
      <w:r>
        <w:rPr>
          <w:rFonts w:cs="Times New Roman"/>
          <w:kern w:val="21"/>
        </w:rPr>
        <w:t>分钟内迅速下降，据调查当地气象条件，降温水帘系统的使用</w:t>
      </w:r>
      <w:r>
        <w:rPr>
          <w:rFonts w:cs="Times New Roman" w:hint="eastAsia"/>
          <w:kern w:val="21"/>
        </w:rPr>
        <w:t>时间为</w:t>
      </w:r>
      <w:r>
        <w:rPr>
          <w:rFonts w:cs="Times New Roman"/>
          <w:kern w:val="21"/>
        </w:rPr>
        <w:t>夏季</w:t>
      </w:r>
      <w:r>
        <w:rPr>
          <w:rFonts w:cs="Times New Roman"/>
          <w:kern w:val="21"/>
        </w:rPr>
        <w:t>7~9</w:t>
      </w:r>
      <w:r>
        <w:rPr>
          <w:rFonts w:cs="Times New Roman"/>
          <w:kern w:val="21"/>
        </w:rPr>
        <w:t>月。</w:t>
      </w:r>
    </w:p>
    <w:p w14:paraId="0B9F6739" w14:textId="77777777" w:rsidR="00544649" w:rsidRDefault="00000000">
      <w:pPr>
        <w:widowControl/>
        <w:adjustRightInd w:val="0"/>
        <w:snapToGrid w:val="0"/>
        <w:spacing w:after="0"/>
        <w:ind w:firstLine="480"/>
        <w:jc w:val="left"/>
        <w:rPr>
          <w:rFonts w:cs="Times New Roman"/>
          <w:kern w:val="21"/>
        </w:rPr>
      </w:pPr>
      <w:r>
        <w:rPr>
          <w:rFonts w:cs="Times New Roman"/>
          <w:kern w:val="21"/>
        </w:rPr>
        <w:t>水帘降温原理：水帘降温系统由水帘</w:t>
      </w:r>
      <w:r>
        <w:rPr>
          <w:rFonts w:cs="Times New Roman" w:hint="eastAsia"/>
          <w:kern w:val="21"/>
        </w:rPr>
        <w:t>柜（每个水帘</w:t>
      </w:r>
      <w:proofErr w:type="gramStart"/>
      <w:r>
        <w:rPr>
          <w:rFonts w:cs="Times New Roman" w:hint="eastAsia"/>
          <w:kern w:val="21"/>
        </w:rPr>
        <w:t>柜配套</w:t>
      </w:r>
      <w:proofErr w:type="gramEnd"/>
      <w:r>
        <w:rPr>
          <w:rFonts w:cs="Times New Roman" w:hint="eastAsia"/>
          <w:kern w:val="21"/>
        </w:rPr>
        <w:t>一个循环水池）</w:t>
      </w:r>
      <w:r>
        <w:rPr>
          <w:rFonts w:cs="Times New Roman"/>
          <w:kern w:val="21"/>
        </w:rPr>
        <w:t>、循环水路、抽风机和温度控制装置组成。水帘用波纹状纤维纸黏结而成，在制作的原料中添加了不会随水流、气流的作用而分解的特殊成分，具有耐腐蚀、使用时间长等特点。在封闭式的鸡舍内，一端的水泵将蓄水池中的水送至喷水管，把水喷向反水板，水均匀地从反水板上流下淋湿整个水帘，水在水槽和水帘间循环，从而保证</w:t>
      </w:r>
      <w:r>
        <w:rPr>
          <w:rFonts w:cs="Times New Roman"/>
          <w:kern w:val="21"/>
        </w:rPr>
        <w:lastRenderedPageBreak/>
        <w:t>空气与完全湿透的水帘表面接触。另一端安装负压风机向外排风，鸡舍内形成负压区，舍外空气穿过水帘被吸入舍内，带着鸡舍内的热量经风机排出室外，从而达到降温的目的。</w:t>
      </w:r>
    </w:p>
    <w:p w14:paraId="7D47B132" w14:textId="77777777" w:rsidR="00544649" w:rsidRDefault="00000000">
      <w:pPr>
        <w:adjustRightInd w:val="0"/>
        <w:snapToGrid w:val="0"/>
        <w:spacing w:after="0"/>
        <w:ind w:firstLine="480"/>
        <w:rPr>
          <w:rFonts w:cs="Times New Roman"/>
          <w:kern w:val="21"/>
        </w:rPr>
      </w:pPr>
      <w:r>
        <w:rPr>
          <w:rFonts w:cs="Times New Roman"/>
          <w:kern w:val="21"/>
        </w:rPr>
        <w:t>水帘风机降温系统的所有的温控全部由电脑程序自动控制，包括空气过滤、风机启闭、</w:t>
      </w:r>
      <w:proofErr w:type="gramStart"/>
      <w:r>
        <w:rPr>
          <w:rFonts w:cs="Times New Roman"/>
          <w:kern w:val="21"/>
        </w:rPr>
        <w:t>辅热系统</w:t>
      </w:r>
      <w:proofErr w:type="gramEnd"/>
      <w:r>
        <w:rPr>
          <w:rFonts w:cs="Times New Roman"/>
          <w:kern w:val="21"/>
        </w:rPr>
        <w:t>、自动湿度调节系统等，该系统旨在给蛋鸡提供一个温度适宜、湿度适中的饲养环境。</w:t>
      </w:r>
    </w:p>
    <w:p w14:paraId="4265D3E9" w14:textId="77777777" w:rsidR="00544649" w:rsidRDefault="00000000">
      <w:pPr>
        <w:numPr>
          <w:ilvl w:val="3"/>
          <w:numId w:val="9"/>
        </w:numPr>
        <w:adjustRightInd w:val="0"/>
        <w:snapToGrid w:val="0"/>
        <w:spacing w:after="0"/>
        <w:ind w:firstLineChars="0"/>
        <w:outlineLvl w:val="3"/>
        <w:rPr>
          <w:rFonts w:cs="Times New Roman"/>
          <w:b/>
          <w:bCs/>
          <w:kern w:val="21"/>
          <w:szCs w:val="24"/>
        </w:rPr>
      </w:pPr>
      <w:r>
        <w:rPr>
          <w:rFonts w:cs="Times New Roman" w:hint="eastAsia"/>
          <w:b/>
          <w:bCs/>
          <w:kern w:val="21"/>
          <w:szCs w:val="24"/>
        </w:rPr>
        <w:t>消防</w:t>
      </w:r>
    </w:p>
    <w:p w14:paraId="577F5827" w14:textId="77777777" w:rsidR="00544649" w:rsidRDefault="00000000">
      <w:pPr>
        <w:adjustRightInd w:val="0"/>
        <w:snapToGrid w:val="0"/>
        <w:spacing w:after="0"/>
        <w:ind w:firstLine="480"/>
        <w:rPr>
          <w:rFonts w:cs="Times New Roman"/>
          <w:kern w:val="21"/>
        </w:rPr>
      </w:pPr>
      <w:r>
        <w:rPr>
          <w:rFonts w:cs="Times New Roman"/>
          <w:kern w:val="21"/>
        </w:rPr>
        <w:t>项目按照《建筑设计防火规范》</w:t>
      </w:r>
      <w:r>
        <w:rPr>
          <w:rFonts w:cs="Times New Roman" w:hint="eastAsia"/>
          <w:kern w:val="21"/>
        </w:rPr>
        <w:t>（</w:t>
      </w:r>
      <w:r>
        <w:rPr>
          <w:rFonts w:cs="Times New Roman" w:hint="eastAsia"/>
          <w:kern w:val="21"/>
        </w:rPr>
        <w:t>GB50016-2014</w:t>
      </w:r>
      <w:r>
        <w:rPr>
          <w:rFonts w:cs="Times New Roman" w:hint="eastAsia"/>
          <w:kern w:val="21"/>
        </w:rPr>
        <w:t>）</w:t>
      </w:r>
      <w:r>
        <w:rPr>
          <w:rFonts w:cs="Times New Roman"/>
          <w:kern w:val="21"/>
        </w:rPr>
        <w:t>要求设置安全出口及疏散距离，各鸡舍间的距离、消防设施设计等严格执行《建筑设计防火规范》</w:t>
      </w:r>
      <w:r>
        <w:rPr>
          <w:rFonts w:cs="Times New Roman" w:hint="eastAsia"/>
          <w:kern w:val="21"/>
        </w:rPr>
        <w:t>（</w:t>
      </w:r>
      <w:r>
        <w:rPr>
          <w:rFonts w:cs="Times New Roman" w:hint="eastAsia"/>
          <w:kern w:val="21"/>
        </w:rPr>
        <w:t>GB50016-2014</w:t>
      </w:r>
      <w:r>
        <w:rPr>
          <w:rFonts w:cs="Times New Roman" w:hint="eastAsia"/>
          <w:kern w:val="21"/>
        </w:rPr>
        <w:t>）</w:t>
      </w:r>
      <w:r>
        <w:rPr>
          <w:rFonts w:cs="Times New Roman"/>
          <w:kern w:val="21"/>
        </w:rPr>
        <w:t>等消防规范及法律法规要求；设置常规水消防系统和移动式灭火器，各建（构）筑物内灭火器的类型、数量符合《建筑灭火器配置设计规范》</w:t>
      </w:r>
      <w:r>
        <w:rPr>
          <w:rFonts w:cs="Times New Roman" w:hint="eastAsia"/>
          <w:kern w:val="21"/>
        </w:rPr>
        <w:t>（</w:t>
      </w:r>
      <w:r>
        <w:rPr>
          <w:rFonts w:cs="Times New Roman" w:hint="eastAsia"/>
          <w:kern w:val="21"/>
        </w:rPr>
        <w:t>GB50140-2005</w:t>
      </w:r>
      <w:r>
        <w:rPr>
          <w:rFonts w:cs="Times New Roman" w:hint="eastAsia"/>
          <w:kern w:val="21"/>
        </w:rPr>
        <w:t>）</w:t>
      </w:r>
      <w:r>
        <w:rPr>
          <w:rFonts w:cs="Times New Roman"/>
          <w:kern w:val="21"/>
        </w:rPr>
        <w:t>的要求。</w:t>
      </w:r>
    </w:p>
    <w:p w14:paraId="4B65A716" w14:textId="77777777" w:rsidR="00544649" w:rsidRDefault="00000000">
      <w:pPr>
        <w:numPr>
          <w:ilvl w:val="3"/>
          <w:numId w:val="9"/>
        </w:numPr>
        <w:adjustRightInd w:val="0"/>
        <w:snapToGrid w:val="0"/>
        <w:spacing w:after="0"/>
        <w:ind w:firstLineChars="0"/>
        <w:outlineLvl w:val="3"/>
        <w:rPr>
          <w:rFonts w:cs="Times New Roman"/>
          <w:b/>
          <w:bCs/>
          <w:kern w:val="21"/>
          <w:szCs w:val="24"/>
        </w:rPr>
      </w:pPr>
      <w:r>
        <w:rPr>
          <w:rFonts w:ascii="宋体" w:hAnsi="宋体" w:cs="宋体"/>
          <w:b/>
          <w:bCs/>
          <w:kern w:val="21"/>
          <w:szCs w:val="24"/>
        </w:rPr>
        <w:t>储运</w:t>
      </w:r>
    </w:p>
    <w:p w14:paraId="15C7C572" w14:textId="77777777" w:rsidR="00544649" w:rsidRDefault="00000000">
      <w:pPr>
        <w:adjustRightInd w:val="0"/>
        <w:snapToGrid w:val="0"/>
        <w:spacing w:after="0"/>
        <w:ind w:firstLine="480"/>
        <w:rPr>
          <w:rFonts w:cs="Times New Roman"/>
          <w:kern w:val="21"/>
        </w:rPr>
      </w:pPr>
      <w:r>
        <w:rPr>
          <w:rFonts w:cs="Times New Roman"/>
          <w:kern w:val="21"/>
        </w:rPr>
        <w:t>本项目饲料均外购自饲料厂，为成品饲料，不在厂区内部进行再加工。颗粒状饲料</w:t>
      </w:r>
      <w:r>
        <w:rPr>
          <w:rFonts w:cs="Times New Roman" w:hint="eastAsia"/>
          <w:kern w:val="21"/>
        </w:rPr>
        <w:t>由饲料供应厂家</w:t>
      </w:r>
      <w:r>
        <w:rPr>
          <w:rFonts w:cs="Times New Roman"/>
          <w:kern w:val="21"/>
        </w:rPr>
        <w:t>拉运至厂区饲料</w:t>
      </w:r>
      <w:r>
        <w:rPr>
          <w:rFonts w:cs="Times New Roman" w:hint="eastAsia"/>
          <w:kern w:val="21"/>
        </w:rPr>
        <w:t>塔</w:t>
      </w:r>
      <w:r>
        <w:rPr>
          <w:rFonts w:cs="Times New Roman"/>
          <w:kern w:val="21"/>
        </w:rPr>
        <w:t>暂存。</w:t>
      </w:r>
      <w:r>
        <w:rPr>
          <w:rFonts w:cs="Times New Roman" w:hint="eastAsia"/>
          <w:kern w:val="21"/>
        </w:rPr>
        <w:t>各</w:t>
      </w:r>
      <w:r>
        <w:rPr>
          <w:rFonts w:cs="Times New Roman"/>
          <w:kern w:val="21"/>
        </w:rPr>
        <w:t>鸡舍外设置饲料塔，饲料</w:t>
      </w:r>
      <w:r>
        <w:rPr>
          <w:rFonts w:cs="Times New Roman" w:hint="eastAsia"/>
          <w:kern w:val="21"/>
        </w:rPr>
        <w:t>通过饲料转运车</w:t>
      </w:r>
      <w:r>
        <w:rPr>
          <w:rFonts w:cs="Times New Roman"/>
          <w:kern w:val="21"/>
        </w:rPr>
        <w:t>采用全自动配送上料系统送至饲料塔，由自动</w:t>
      </w:r>
      <w:proofErr w:type="gramStart"/>
      <w:r>
        <w:rPr>
          <w:rFonts w:cs="Times New Roman"/>
          <w:kern w:val="21"/>
        </w:rPr>
        <w:t>投料机投料</w:t>
      </w:r>
      <w:proofErr w:type="gramEnd"/>
      <w:r>
        <w:rPr>
          <w:rFonts w:cs="Times New Roman"/>
          <w:kern w:val="21"/>
        </w:rPr>
        <w:t>喂养，机械化操作，定时定量供应饲料，保证生鸡饮食需求。</w:t>
      </w:r>
    </w:p>
    <w:p w14:paraId="2BEE60B6" w14:textId="77777777" w:rsidR="00544649" w:rsidRDefault="00000000">
      <w:pPr>
        <w:adjustRightInd w:val="0"/>
        <w:snapToGrid w:val="0"/>
        <w:spacing w:after="0"/>
        <w:ind w:firstLine="480"/>
        <w:rPr>
          <w:rFonts w:cs="Times New Roman"/>
          <w:kern w:val="21"/>
        </w:rPr>
      </w:pPr>
      <w:r>
        <w:rPr>
          <w:rFonts w:cs="Times New Roman"/>
          <w:kern w:val="21"/>
        </w:rPr>
        <w:t>本项目鸡粪日产日清，采用专用封闭的车转运至</w:t>
      </w:r>
      <w:r>
        <w:rPr>
          <w:rFonts w:cs="Times New Roman" w:hint="eastAsia"/>
          <w:kern w:val="21"/>
        </w:rPr>
        <w:t>四川省田宝生物科技有限公司</w:t>
      </w:r>
      <w:r>
        <w:rPr>
          <w:rFonts w:cs="Times New Roman"/>
          <w:kern w:val="21"/>
        </w:rPr>
        <w:t>进行有机肥生产，不在场内暂存。</w:t>
      </w:r>
    </w:p>
    <w:p w14:paraId="7300E5BB" w14:textId="77777777" w:rsidR="00544649" w:rsidRDefault="00000000">
      <w:pPr>
        <w:numPr>
          <w:ilvl w:val="3"/>
          <w:numId w:val="9"/>
        </w:numPr>
        <w:adjustRightInd w:val="0"/>
        <w:snapToGrid w:val="0"/>
        <w:spacing w:after="0"/>
        <w:ind w:firstLineChars="0"/>
        <w:outlineLvl w:val="3"/>
        <w:rPr>
          <w:rFonts w:cs="Times New Roman"/>
          <w:b/>
          <w:bCs/>
          <w:kern w:val="21"/>
          <w:szCs w:val="24"/>
        </w:rPr>
      </w:pPr>
      <w:r>
        <w:rPr>
          <w:rFonts w:ascii="宋体" w:hAnsi="宋体" w:cs="宋体" w:hint="eastAsia"/>
          <w:b/>
          <w:bCs/>
          <w:kern w:val="21"/>
          <w:szCs w:val="24"/>
        </w:rPr>
        <w:t>消毒</w:t>
      </w:r>
    </w:p>
    <w:p w14:paraId="047A18F2" w14:textId="77777777" w:rsidR="00544649" w:rsidRDefault="00000000">
      <w:pPr>
        <w:adjustRightInd w:val="0"/>
        <w:snapToGrid w:val="0"/>
        <w:spacing w:after="0"/>
        <w:ind w:firstLine="480"/>
        <w:rPr>
          <w:rFonts w:cs="Times New Roman"/>
          <w:kern w:val="21"/>
        </w:rPr>
      </w:pPr>
      <w:r>
        <w:rPr>
          <w:rFonts w:cs="Times New Roman"/>
          <w:kern w:val="21"/>
        </w:rPr>
        <w:t>做好日常消毒。</w:t>
      </w:r>
      <w:r>
        <w:rPr>
          <w:rFonts w:cs="Times New Roman" w:hint="eastAsia"/>
          <w:kern w:val="21"/>
        </w:rPr>
        <w:t>每日</w:t>
      </w:r>
      <w:r>
        <w:rPr>
          <w:rFonts w:cs="Times New Roman"/>
          <w:kern w:val="21"/>
        </w:rPr>
        <w:t>对鸡舍、道路、环境进行消毒。本项目采用</w:t>
      </w:r>
      <w:proofErr w:type="gramStart"/>
      <w:r>
        <w:rPr>
          <w:rFonts w:cs="Times New Roman"/>
          <w:kern w:val="21"/>
        </w:rPr>
        <w:t>全进全出制生产方式</w:t>
      </w:r>
      <w:proofErr w:type="gramEnd"/>
      <w:r>
        <w:rPr>
          <w:rFonts w:cs="Times New Roman"/>
          <w:kern w:val="21"/>
        </w:rPr>
        <w:t>，出栏后，应对全场或空舍的单元、饲养用具等进行全方位的彻底消毒。或在周围地区发生国家规定的一、二类疫病流行初期，或在本场发生国家规定的一、二类疫病流行平息后，解除封锁前均应对全场进行彻底清洗和消毒。出栏后鸡舍彻底清扫</w:t>
      </w:r>
      <w:r>
        <w:rPr>
          <w:rFonts w:cs="Times New Roman" w:hint="eastAsia"/>
          <w:kern w:val="21"/>
        </w:rPr>
        <w:t>冲洗</w:t>
      </w:r>
      <w:r>
        <w:rPr>
          <w:rFonts w:cs="Times New Roman"/>
          <w:kern w:val="21"/>
        </w:rPr>
        <w:t>后，使用戊二醛</w:t>
      </w:r>
      <w:proofErr w:type="gramStart"/>
      <w:r>
        <w:rPr>
          <w:rFonts w:cs="Times New Roman" w:hint="eastAsia"/>
          <w:kern w:val="21"/>
        </w:rPr>
        <w:t>癸甲溴铵</w:t>
      </w:r>
      <w:r>
        <w:rPr>
          <w:rFonts w:cs="Times New Roman"/>
          <w:kern w:val="21"/>
        </w:rPr>
        <w:t>消毒</w:t>
      </w:r>
      <w:proofErr w:type="gramEnd"/>
      <w:r>
        <w:rPr>
          <w:rFonts w:cs="Times New Roman"/>
          <w:kern w:val="21"/>
        </w:rPr>
        <w:t>液喷洒消毒，间隔</w:t>
      </w:r>
      <w:r>
        <w:rPr>
          <w:rFonts w:cs="Times New Roman"/>
          <w:kern w:val="21"/>
        </w:rPr>
        <w:t>1</w:t>
      </w:r>
      <w:r>
        <w:rPr>
          <w:rFonts w:cs="Times New Roman"/>
          <w:kern w:val="21"/>
        </w:rPr>
        <w:t>天后重复进行一次，</w:t>
      </w:r>
      <w:proofErr w:type="gramStart"/>
      <w:r>
        <w:rPr>
          <w:rFonts w:cs="Times New Roman" w:hint="eastAsia"/>
          <w:kern w:val="21"/>
        </w:rPr>
        <w:t>育雏场</w:t>
      </w:r>
      <w:proofErr w:type="gramEnd"/>
      <w:r>
        <w:rPr>
          <w:rFonts w:cs="Times New Roman" w:hint="eastAsia"/>
          <w:kern w:val="21"/>
        </w:rPr>
        <w:t>鸡舍清洗消毒</w:t>
      </w:r>
      <w:r>
        <w:rPr>
          <w:rFonts w:cs="Times New Roman"/>
          <w:kern w:val="21"/>
        </w:rPr>
        <w:t>放置</w:t>
      </w:r>
      <w:r>
        <w:rPr>
          <w:rFonts w:cs="Times New Roman" w:hint="eastAsia"/>
          <w:kern w:val="21"/>
        </w:rPr>
        <w:t>30</w:t>
      </w:r>
      <w:r>
        <w:rPr>
          <w:rFonts w:cs="Times New Roman" w:hint="eastAsia"/>
          <w:kern w:val="21"/>
        </w:rPr>
        <w:t>天</w:t>
      </w:r>
      <w:r>
        <w:rPr>
          <w:rFonts w:cs="Times New Roman"/>
          <w:kern w:val="21"/>
        </w:rPr>
        <w:t>后再放入新</w:t>
      </w:r>
      <w:r>
        <w:rPr>
          <w:rFonts w:cs="Times New Roman" w:hint="eastAsia"/>
          <w:kern w:val="21"/>
        </w:rPr>
        <w:t>批次的雏鸡，蛋鸡场清洗消毒</w:t>
      </w:r>
      <w:r>
        <w:rPr>
          <w:rFonts w:cs="Times New Roman"/>
          <w:kern w:val="21"/>
        </w:rPr>
        <w:t>放置</w:t>
      </w:r>
      <w:r>
        <w:rPr>
          <w:rFonts w:cs="Times New Roman" w:hint="eastAsia"/>
          <w:kern w:val="21"/>
        </w:rPr>
        <w:t>15</w:t>
      </w:r>
      <w:r>
        <w:rPr>
          <w:rFonts w:cs="Times New Roman" w:hint="eastAsia"/>
          <w:kern w:val="21"/>
        </w:rPr>
        <w:t>天</w:t>
      </w:r>
      <w:r>
        <w:rPr>
          <w:rFonts w:cs="Times New Roman"/>
          <w:kern w:val="21"/>
        </w:rPr>
        <w:t>后再放入新批次的蛋鸡。</w:t>
      </w:r>
    </w:p>
    <w:p w14:paraId="5B1B9F81" w14:textId="77777777" w:rsidR="00544649" w:rsidRDefault="00000000">
      <w:pPr>
        <w:adjustRightInd w:val="0"/>
        <w:snapToGrid w:val="0"/>
        <w:spacing w:after="0"/>
        <w:ind w:firstLine="480"/>
        <w:rPr>
          <w:rFonts w:cs="Times New Roman"/>
          <w:kern w:val="21"/>
        </w:rPr>
      </w:pPr>
      <w:r>
        <w:rPr>
          <w:rFonts w:cs="Times New Roman" w:hint="eastAsia"/>
          <w:kern w:val="21"/>
        </w:rPr>
        <w:t>项目场内蓄水池采用当地自来水管网供水，水质满足《生活饮用水卫生标准》（</w:t>
      </w:r>
      <w:r>
        <w:rPr>
          <w:rFonts w:cs="Times New Roman" w:hint="eastAsia"/>
          <w:kern w:val="21"/>
        </w:rPr>
        <w:t>GB 5749-2022</w:t>
      </w:r>
      <w:r>
        <w:rPr>
          <w:rFonts w:cs="Times New Roman" w:hint="eastAsia"/>
          <w:kern w:val="21"/>
        </w:rPr>
        <w:t>）要求，蓄水池暂存</w:t>
      </w:r>
      <w:proofErr w:type="gramStart"/>
      <w:r>
        <w:rPr>
          <w:rFonts w:cs="Times New Roman" w:hint="eastAsia"/>
          <w:kern w:val="21"/>
        </w:rPr>
        <w:t>水采</w:t>
      </w:r>
      <w:proofErr w:type="gramEnd"/>
      <w:r>
        <w:rPr>
          <w:rFonts w:cs="Times New Roman" w:hint="eastAsia"/>
          <w:kern w:val="21"/>
        </w:rPr>
        <w:t>取随用随补充方式，蓄水池采取池内水体不长期储存，且项目定期取</w:t>
      </w:r>
      <w:proofErr w:type="gramStart"/>
      <w:r>
        <w:rPr>
          <w:rFonts w:cs="Times New Roman" w:hint="eastAsia"/>
          <w:kern w:val="21"/>
        </w:rPr>
        <w:t>水样送</w:t>
      </w:r>
      <w:proofErr w:type="gramEnd"/>
      <w:r>
        <w:rPr>
          <w:rFonts w:cs="Times New Roman" w:hint="eastAsia"/>
          <w:kern w:val="21"/>
        </w:rPr>
        <w:t>检测单位进行分析检验，确保水质满足要求。因此，场内蓄水池无需单独采用消毒剂进行消毒。</w:t>
      </w:r>
    </w:p>
    <w:p w14:paraId="4DC2FC6B" w14:textId="77777777" w:rsidR="00544649" w:rsidRDefault="00000000">
      <w:pPr>
        <w:adjustRightInd w:val="0"/>
        <w:snapToGrid w:val="0"/>
        <w:spacing w:after="0"/>
        <w:ind w:firstLine="480"/>
        <w:rPr>
          <w:rFonts w:cs="Times New Roman"/>
          <w:b/>
          <w:bCs/>
          <w:kern w:val="21"/>
        </w:rPr>
      </w:pPr>
      <w:r>
        <w:rPr>
          <w:rFonts w:cs="Times New Roman" w:hint="eastAsia"/>
          <w:kern w:val="21"/>
        </w:rPr>
        <w:t>项目污水处理站采用</w:t>
      </w:r>
      <w:r>
        <w:rPr>
          <w:rFonts w:cs="Times New Roman" w:hint="eastAsia"/>
        </w:rPr>
        <w:t>“格栅</w:t>
      </w:r>
      <w:r>
        <w:rPr>
          <w:rFonts w:cs="Times New Roman" w:hint="eastAsia"/>
        </w:rPr>
        <w:t>+</w:t>
      </w:r>
      <w:r>
        <w:rPr>
          <w:rFonts w:cs="Times New Roman" w:hint="eastAsia"/>
        </w:rPr>
        <w:t>调节池</w:t>
      </w:r>
      <w:r>
        <w:rPr>
          <w:rFonts w:cs="Times New Roman" w:hint="eastAsia"/>
        </w:rPr>
        <w:t>+</w:t>
      </w:r>
      <w:r>
        <w:rPr>
          <w:rFonts w:cs="Times New Roman" w:hint="eastAsia"/>
        </w:rPr>
        <w:t>气浮一体化装置</w:t>
      </w:r>
      <w:r>
        <w:rPr>
          <w:rFonts w:cs="Times New Roman" w:hint="eastAsia"/>
        </w:rPr>
        <w:t>+</w:t>
      </w:r>
      <w:r>
        <w:rPr>
          <w:rFonts w:cs="Times New Roman" w:hint="eastAsia"/>
        </w:rPr>
        <w:t>水解酸化池</w:t>
      </w:r>
      <w:r>
        <w:rPr>
          <w:rFonts w:cs="Times New Roman" w:hint="eastAsia"/>
        </w:rPr>
        <w:t>+</w:t>
      </w:r>
      <w:proofErr w:type="spellStart"/>
      <w:r>
        <w:rPr>
          <w:rFonts w:cs="Times New Roman" w:hint="eastAsia"/>
        </w:rPr>
        <w:t>Bardenpho</w:t>
      </w:r>
      <w:proofErr w:type="spellEnd"/>
      <w:r>
        <w:rPr>
          <w:rFonts w:cs="Times New Roman" w:hint="eastAsia"/>
        </w:rPr>
        <w:t>工</w:t>
      </w:r>
      <w:r>
        <w:rPr>
          <w:rFonts w:cs="Times New Roman" w:hint="eastAsia"/>
        </w:rPr>
        <w:lastRenderedPageBreak/>
        <w:t>艺</w:t>
      </w:r>
      <w:r>
        <w:rPr>
          <w:rFonts w:cs="Times New Roman" w:hint="eastAsia"/>
        </w:rPr>
        <w:t>+</w:t>
      </w:r>
      <w:r>
        <w:rPr>
          <w:rFonts w:cs="Times New Roman" w:hint="eastAsia"/>
        </w:rPr>
        <w:t>二沉池</w:t>
      </w:r>
      <w:r>
        <w:rPr>
          <w:rFonts w:cs="Times New Roman" w:hint="eastAsia"/>
        </w:rPr>
        <w:t>+</w:t>
      </w:r>
      <w:r>
        <w:rPr>
          <w:rFonts w:cs="Times New Roman" w:hint="eastAsia"/>
        </w:rPr>
        <w:t>过滤池</w:t>
      </w:r>
      <w:r>
        <w:rPr>
          <w:rFonts w:cs="Times New Roman" w:hint="eastAsia"/>
        </w:rPr>
        <w:t>+</w:t>
      </w:r>
      <w:r>
        <w:rPr>
          <w:rFonts w:cs="Times New Roman" w:hint="eastAsia"/>
        </w:rPr>
        <w:t>消毒池”</w:t>
      </w:r>
      <w:r>
        <w:rPr>
          <w:rFonts w:cs="Times New Roman"/>
        </w:rPr>
        <w:t>处理工艺</w:t>
      </w:r>
      <w:r>
        <w:rPr>
          <w:rFonts w:cs="Times New Roman" w:hint="eastAsia"/>
        </w:rPr>
        <w:t>，根据工艺设计，污水站各处理工艺池体无需采用消毒剂；污水消毒池消毒工艺采用臭氧消毒，无消毒剂使用；经消毒池臭氧消毒处理后出水进入暂存池，污水暂存</w:t>
      </w:r>
      <w:proofErr w:type="gramStart"/>
      <w:r>
        <w:rPr>
          <w:rFonts w:cs="Times New Roman" w:hint="eastAsia"/>
        </w:rPr>
        <w:t>池采取</w:t>
      </w:r>
      <w:proofErr w:type="gramEnd"/>
      <w:r>
        <w:rPr>
          <w:rFonts w:cs="Times New Roman" w:hint="eastAsia"/>
        </w:rPr>
        <w:t>密闭设计，由于进入污水暂存池内的水体已经臭氧消毒处理，因此，污水暂存池无需消毒。</w:t>
      </w:r>
    </w:p>
    <w:p w14:paraId="4C5A6592" w14:textId="77777777" w:rsidR="00544649" w:rsidRDefault="00000000">
      <w:pPr>
        <w:numPr>
          <w:ilvl w:val="2"/>
          <w:numId w:val="9"/>
        </w:numPr>
        <w:adjustRightInd w:val="0"/>
        <w:snapToGrid w:val="0"/>
        <w:spacing w:after="0"/>
        <w:ind w:firstLineChars="0"/>
        <w:outlineLvl w:val="2"/>
        <w:rPr>
          <w:rFonts w:cs="Times New Roman"/>
          <w:b/>
          <w:bCs/>
          <w:kern w:val="21"/>
          <w:sz w:val="28"/>
          <w:szCs w:val="24"/>
        </w:rPr>
      </w:pPr>
      <w:bookmarkStart w:id="217" w:name="_Toc195009837"/>
      <w:r>
        <w:rPr>
          <w:rFonts w:cs="Times New Roman"/>
          <w:b/>
          <w:bCs/>
          <w:kern w:val="21"/>
          <w:sz w:val="28"/>
          <w:szCs w:val="24"/>
        </w:rPr>
        <w:t>鸡粪及病死</w:t>
      </w:r>
      <w:proofErr w:type="gramStart"/>
      <w:r>
        <w:rPr>
          <w:rFonts w:cs="Times New Roman"/>
          <w:b/>
          <w:bCs/>
          <w:kern w:val="21"/>
          <w:sz w:val="28"/>
          <w:szCs w:val="24"/>
        </w:rPr>
        <w:t>鸡运输</w:t>
      </w:r>
      <w:proofErr w:type="gramEnd"/>
      <w:r>
        <w:rPr>
          <w:rFonts w:cs="Times New Roman"/>
          <w:b/>
          <w:bCs/>
          <w:kern w:val="21"/>
          <w:sz w:val="28"/>
          <w:szCs w:val="24"/>
        </w:rPr>
        <w:t>路线</w:t>
      </w:r>
      <w:bookmarkEnd w:id="217"/>
    </w:p>
    <w:p w14:paraId="42F75D91"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鸡粪运输路线</w:t>
      </w:r>
    </w:p>
    <w:p w14:paraId="26CD611D" w14:textId="77777777" w:rsidR="00544649" w:rsidRDefault="00000000">
      <w:pPr>
        <w:adjustRightInd w:val="0"/>
        <w:snapToGrid w:val="0"/>
        <w:spacing w:after="0"/>
        <w:ind w:firstLine="480"/>
        <w:rPr>
          <w:rFonts w:cs="Times New Roman"/>
          <w:kern w:val="21"/>
        </w:rPr>
      </w:pPr>
      <w:r>
        <w:rPr>
          <w:rFonts w:cs="Times New Roman"/>
          <w:kern w:val="21"/>
        </w:rPr>
        <w:t>本项目采取干法清粪工艺，鸡粪</w:t>
      </w:r>
      <w:r>
        <w:rPr>
          <w:rFonts w:cs="Times New Roman" w:hint="eastAsia"/>
          <w:kern w:val="21"/>
        </w:rPr>
        <w:t>日产日清。本项目各养殖场饲养过程中鸡舍内均采用机械带式清粪工艺，用运输皮带将收集的粪便输送至各鸡舍后端，直接刮入密闭鸡粪转运车内，蛋鸡</w:t>
      </w:r>
      <w:proofErr w:type="gramStart"/>
      <w:r>
        <w:rPr>
          <w:rFonts w:cs="Times New Roman" w:hint="eastAsia"/>
          <w:kern w:val="21"/>
        </w:rPr>
        <w:t>场鸡只活动区废</w:t>
      </w:r>
      <w:proofErr w:type="gramEnd"/>
      <w:r>
        <w:rPr>
          <w:rFonts w:cs="Times New Roman" w:hint="eastAsia"/>
          <w:kern w:val="21"/>
        </w:rPr>
        <w:t>木屑垫料及鸡粪每批次淘汰后进行人工清理，最终转运至四川省田宝生物科技有限公司</w:t>
      </w:r>
      <w:r>
        <w:rPr>
          <w:rFonts w:cs="Times New Roman"/>
          <w:kern w:val="21"/>
        </w:rPr>
        <w:t>进行有机肥生产</w:t>
      </w:r>
      <w:r>
        <w:rPr>
          <w:rFonts w:cs="Times New Roman" w:hint="eastAsia"/>
          <w:kern w:val="21"/>
        </w:rPr>
        <w:t>。</w:t>
      </w:r>
    </w:p>
    <w:p w14:paraId="30135C6B" w14:textId="77777777" w:rsidR="00544649" w:rsidRDefault="00000000">
      <w:pPr>
        <w:adjustRightInd w:val="0"/>
        <w:snapToGrid w:val="0"/>
        <w:spacing w:after="0"/>
        <w:ind w:firstLine="480"/>
        <w:rPr>
          <w:rFonts w:cs="Times New Roman"/>
          <w:kern w:val="21"/>
        </w:rPr>
      </w:pPr>
      <w:r>
        <w:rPr>
          <w:rFonts w:cs="Times New Roman" w:hint="eastAsia"/>
          <w:kern w:val="21"/>
        </w:rPr>
        <w:t>鸡粪</w:t>
      </w:r>
      <w:r>
        <w:rPr>
          <w:rFonts w:cs="Times New Roman"/>
          <w:kern w:val="21"/>
        </w:rPr>
        <w:t>运输路线：</w:t>
      </w:r>
      <w:r>
        <w:rPr>
          <w:rFonts w:cs="Times New Roman" w:hint="eastAsia"/>
          <w:kern w:val="21"/>
        </w:rPr>
        <w:t>四川剑门圣迪乐村生态科技有限公司</w:t>
      </w:r>
      <w:r>
        <w:rPr>
          <w:rFonts w:cs="Times New Roman"/>
          <w:kern w:val="21"/>
        </w:rPr>
        <w:t>-</w:t>
      </w:r>
      <w:r>
        <w:rPr>
          <w:rFonts w:cs="Times New Roman" w:hint="eastAsia"/>
          <w:kern w:val="21"/>
        </w:rPr>
        <w:t>村</w:t>
      </w:r>
      <w:r>
        <w:rPr>
          <w:rFonts w:cs="Times New Roman"/>
          <w:kern w:val="21"/>
        </w:rPr>
        <w:t>道</w:t>
      </w:r>
      <w:r>
        <w:rPr>
          <w:rFonts w:cs="Times New Roman"/>
          <w:kern w:val="21"/>
        </w:rPr>
        <w:t>-</w:t>
      </w:r>
      <w:r>
        <w:rPr>
          <w:rFonts w:cs="Times New Roman" w:hint="eastAsia"/>
          <w:kern w:val="21"/>
        </w:rPr>
        <w:t>118</w:t>
      </w:r>
      <w:r>
        <w:rPr>
          <w:rFonts w:cs="Times New Roman" w:hint="eastAsia"/>
          <w:kern w:val="21"/>
        </w:rPr>
        <w:t>乡道</w:t>
      </w:r>
      <w:r>
        <w:rPr>
          <w:rFonts w:cs="Times New Roman" w:hint="eastAsia"/>
          <w:kern w:val="21"/>
        </w:rPr>
        <w:t>-110</w:t>
      </w:r>
      <w:r>
        <w:rPr>
          <w:rFonts w:cs="Times New Roman" w:hint="eastAsia"/>
          <w:kern w:val="21"/>
        </w:rPr>
        <w:t>乡道</w:t>
      </w:r>
      <w:r>
        <w:rPr>
          <w:rFonts w:cs="Times New Roman" w:hint="eastAsia"/>
          <w:kern w:val="21"/>
        </w:rPr>
        <w:t>-108</w:t>
      </w:r>
      <w:r>
        <w:rPr>
          <w:rFonts w:cs="Times New Roman" w:hint="eastAsia"/>
          <w:kern w:val="21"/>
        </w:rPr>
        <w:t>国道</w:t>
      </w:r>
      <w:r>
        <w:rPr>
          <w:rFonts w:cs="Times New Roman" w:hint="eastAsia"/>
          <w:kern w:val="21"/>
        </w:rPr>
        <w:t>-</w:t>
      </w:r>
      <w:r>
        <w:rPr>
          <w:rFonts w:cs="Times New Roman" w:hint="eastAsia"/>
          <w:kern w:val="21"/>
        </w:rPr>
        <w:t>天演路</w:t>
      </w:r>
      <w:r>
        <w:rPr>
          <w:rFonts w:cs="Times New Roman" w:hint="eastAsia"/>
          <w:kern w:val="21"/>
        </w:rPr>
        <w:t>-406</w:t>
      </w:r>
      <w:r>
        <w:rPr>
          <w:rFonts w:cs="Times New Roman" w:hint="eastAsia"/>
          <w:kern w:val="21"/>
        </w:rPr>
        <w:t>乡道</w:t>
      </w:r>
      <w:r>
        <w:rPr>
          <w:rFonts w:cs="Times New Roman" w:hint="eastAsia"/>
          <w:kern w:val="21"/>
        </w:rPr>
        <w:t>-</w:t>
      </w:r>
      <w:r>
        <w:rPr>
          <w:rFonts w:cs="Times New Roman" w:hint="eastAsia"/>
          <w:kern w:val="21"/>
        </w:rPr>
        <w:t>雨东路</w:t>
      </w:r>
      <w:r>
        <w:rPr>
          <w:rFonts w:cs="Times New Roman" w:hint="eastAsia"/>
          <w:kern w:val="21"/>
        </w:rPr>
        <w:t>-</w:t>
      </w:r>
      <w:r>
        <w:rPr>
          <w:rFonts w:cs="Times New Roman" w:hint="eastAsia"/>
          <w:kern w:val="21"/>
        </w:rPr>
        <w:t>四川省田宝生物科技有限公司。</w:t>
      </w:r>
      <w:r>
        <w:rPr>
          <w:rFonts w:cs="Times New Roman"/>
          <w:kern w:val="21"/>
        </w:rPr>
        <w:t>由于该路线为远离居民聚集区</w:t>
      </w:r>
      <w:r>
        <w:rPr>
          <w:rFonts w:cs="Times New Roman" w:hint="eastAsia"/>
          <w:kern w:val="21"/>
        </w:rPr>
        <w:t>及城镇集中区</w:t>
      </w:r>
      <w:r>
        <w:rPr>
          <w:rFonts w:cs="Times New Roman"/>
          <w:kern w:val="21"/>
        </w:rPr>
        <w:t>的最短路线，因此该运输路线为最优路线。</w:t>
      </w:r>
      <w:r>
        <w:rPr>
          <w:rFonts w:cs="Times New Roman" w:hint="eastAsia"/>
          <w:kern w:val="21"/>
        </w:rPr>
        <w:t>鸡粪运输要求见</w:t>
      </w:r>
      <w:r>
        <w:rPr>
          <w:rFonts w:cs="Times New Roman" w:hint="eastAsia"/>
          <w:kern w:val="21"/>
        </w:rPr>
        <w:t>3.2.2</w:t>
      </w:r>
      <w:r>
        <w:rPr>
          <w:rFonts w:cs="Times New Roman" w:hint="eastAsia"/>
          <w:kern w:val="21"/>
        </w:rPr>
        <w:t>章节分析内容。</w:t>
      </w:r>
    </w:p>
    <w:p w14:paraId="7F46252C"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病死</w:t>
      </w:r>
      <w:proofErr w:type="gramStart"/>
      <w:r>
        <w:rPr>
          <w:rFonts w:cs="Times New Roman"/>
          <w:b/>
          <w:bCs/>
          <w:kern w:val="21"/>
        </w:rPr>
        <w:t>鸡</w:t>
      </w:r>
      <w:r>
        <w:rPr>
          <w:rFonts w:cs="Times New Roman" w:hint="eastAsia"/>
          <w:b/>
          <w:bCs/>
          <w:kern w:val="21"/>
        </w:rPr>
        <w:t>运输</w:t>
      </w:r>
      <w:proofErr w:type="gramEnd"/>
      <w:r>
        <w:rPr>
          <w:rFonts w:cs="Times New Roman" w:hint="eastAsia"/>
          <w:b/>
          <w:bCs/>
          <w:kern w:val="21"/>
        </w:rPr>
        <w:t>路线</w:t>
      </w:r>
    </w:p>
    <w:p w14:paraId="410D03CB" w14:textId="77777777" w:rsidR="00544649" w:rsidRDefault="00000000">
      <w:pPr>
        <w:adjustRightInd w:val="0"/>
        <w:snapToGrid w:val="0"/>
        <w:spacing w:after="0"/>
        <w:ind w:firstLine="480"/>
        <w:rPr>
          <w:rFonts w:cs="Times New Roman"/>
          <w:kern w:val="21"/>
        </w:rPr>
      </w:pPr>
      <w:r>
        <w:rPr>
          <w:rFonts w:cs="Times New Roman"/>
          <w:kern w:val="21"/>
        </w:rPr>
        <w:t>饲养员定期对各鸡舍内巡查，发现病死鸡后及时清运</w:t>
      </w:r>
      <w:r>
        <w:rPr>
          <w:rFonts w:cs="Times New Roman" w:hint="eastAsia"/>
          <w:kern w:val="21"/>
        </w:rPr>
        <w:t>，</w:t>
      </w:r>
      <w:bookmarkStart w:id="218" w:name="OLE_LINK1"/>
      <w:r>
        <w:rPr>
          <w:rFonts w:cs="Times New Roman" w:hint="eastAsia"/>
          <w:kern w:val="21"/>
        </w:rPr>
        <w:t>病死鸡</w:t>
      </w:r>
      <w:r>
        <w:rPr>
          <w:rFonts w:cs="Times New Roman"/>
          <w:kern w:val="21"/>
        </w:rPr>
        <w:t>暂存于</w:t>
      </w:r>
      <w:r>
        <w:rPr>
          <w:rFonts w:cs="Times New Roman" w:hint="eastAsia"/>
          <w:kern w:val="21"/>
        </w:rPr>
        <w:t>病检</w:t>
      </w:r>
      <w:r>
        <w:rPr>
          <w:rFonts w:cs="Times New Roman"/>
          <w:kern w:val="21"/>
        </w:rPr>
        <w:t>室内设置的</w:t>
      </w:r>
      <w:r>
        <w:rPr>
          <w:rFonts w:cs="Times New Roman" w:hint="eastAsia"/>
          <w:kern w:val="21"/>
        </w:rPr>
        <w:t>病死鸡</w:t>
      </w:r>
      <w:r>
        <w:rPr>
          <w:rFonts w:cs="Times New Roman"/>
          <w:kern w:val="21"/>
        </w:rPr>
        <w:t>暂存点冰柜</w:t>
      </w:r>
      <w:r>
        <w:rPr>
          <w:rFonts w:cs="Times New Roman" w:hint="eastAsia"/>
          <w:kern w:val="21"/>
        </w:rPr>
        <w:t>中</w:t>
      </w:r>
      <w:r>
        <w:rPr>
          <w:rFonts w:cs="Times New Roman"/>
          <w:kern w:val="21"/>
        </w:rPr>
        <w:t>，</w:t>
      </w:r>
      <w:r>
        <w:rPr>
          <w:rFonts w:cs="Times New Roman" w:hint="eastAsia"/>
          <w:kern w:val="21"/>
        </w:rPr>
        <w:t>产生当日</w:t>
      </w:r>
      <w:r>
        <w:rPr>
          <w:rFonts w:cs="Times New Roman"/>
          <w:kern w:val="21"/>
        </w:rPr>
        <w:t>由</w:t>
      </w:r>
      <w:r>
        <w:rPr>
          <w:rFonts w:cs="Times New Roman" w:hint="eastAsia"/>
          <w:kern w:val="21"/>
        </w:rPr>
        <w:t>广元</w:t>
      </w:r>
      <w:proofErr w:type="gramStart"/>
      <w:r>
        <w:rPr>
          <w:rFonts w:cs="Times New Roman" w:hint="eastAsia"/>
          <w:kern w:val="21"/>
        </w:rPr>
        <w:t>市朗坤环保</w:t>
      </w:r>
      <w:proofErr w:type="gramEnd"/>
      <w:r>
        <w:rPr>
          <w:rFonts w:cs="Times New Roman" w:hint="eastAsia"/>
          <w:kern w:val="21"/>
        </w:rPr>
        <w:t>有限公司</w:t>
      </w:r>
      <w:r>
        <w:rPr>
          <w:rFonts w:cs="Times New Roman"/>
          <w:kern w:val="21"/>
        </w:rPr>
        <w:t>使用专业车辆</w:t>
      </w:r>
      <w:r>
        <w:rPr>
          <w:rFonts w:cs="Times New Roman" w:hint="eastAsia"/>
          <w:kern w:val="21"/>
        </w:rPr>
        <w:t>到项目养殖场</w:t>
      </w:r>
      <w:r>
        <w:rPr>
          <w:rFonts w:cs="Times New Roman"/>
          <w:kern w:val="21"/>
        </w:rPr>
        <w:t>转运病死鸡，</w:t>
      </w:r>
      <w:r>
        <w:rPr>
          <w:rFonts w:cs="Times New Roman" w:hint="eastAsia"/>
          <w:kern w:val="21"/>
        </w:rPr>
        <w:t>最终由广元</w:t>
      </w:r>
      <w:proofErr w:type="gramStart"/>
      <w:r>
        <w:rPr>
          <w:rFonts w:cs="Times New Roman" w:hint="eastAsia"/>
          <w:kern w:val="21"/>
        </w:rPr>
        <w:t>市朗坤环保</w:t>
      </w:r>
      <w:proofErr w:type="gramEnd"/>
      <w:r>
        <w:rPr>
          <w:rFonts w:cs="Times New Roman" w:hint="eastAsia"/>
          <w:kern w:val="21"/>
        </w:rPr>
        <w:t>有限公司</w:t>
      </w:r>
      <w:r>
        <w:rPr>
          <w:rFonts w:cs="Times New Roman"/>
          <w:kern w:val="21"/>
        </w:rPr>
        <w:t>进行统一无害化处理。</w:t>
      </w:r>
      <w:bookmarkEnd w:id="218"/>
      <w:r>
        <w:rPr>
          <w:rFonts w:cs="Times New Roman" w:hint="eastAsia"/>
          <w:kern w:val="21"/>
        </w:rPr>
        <w:t>本项目场内不涉及病死鸡处置。</w:t>
      </w:r>
    </w:p>
    <w:p w14:paraId="1DFBC4D5" w14:textId="77777777" w:rsidR="00544649" w:rsidRDefault="00000000">
      <w:pPr>
        <w:adjustRightInd w:val="0"/>
        <w:snapToGrid w:val="0"/>
        <w:spacing w:after="0"/>
        <w:ind w:firstLine="480"/>
        <w:rPr>
          <w:rFonts w:cs="Times New Roman"/>
          <w:kern w:val="21"/>
        </w:rPr>
      </w:pPr>
      <w:r>
        <w:rPr>
          <w:rFonts w:cs="Times New Roman" w:hint="eastAsia"/>
          <w:kern w:val="21"/>
        </w:rPr>
        <w:t>病死</w:t>
      </w:r>
      <w:proofErr w:type="gramStart"/>
      <w:r>
        <w:rPr>
          <w:rFonts w:cs="Times New Roman" w:hint="eastAsia"/>
          <w:kern w:val="21"/>
        </w:rPr>
        <w:t>鸡</w:t>
      </w:r>
      <w:r>
        <w:rPr>
          <w:rFonts w:cs="Times New Roman"/>
          <w:kern w:val="21"/>
        </w:rPr>
        <w:t>运输</w:t>
      </w:r>
      <w:proofErr w:type="gramEnd"/>
      <w:r>
        <w:rPr>
          <w:rFonts w:cs="Times New Roman"/>
          <w:kern w:val="21"/>
        </w:rPr>
        <w:t>路线：</w:t>
      </w:r>
      <w:r>
        <w:rPr>
          <w:rFonts w:cs="Times New Roman" w:hint="eastAsia"/>
          <w:kern w:val="21"/>
        </w:rPr>
        <w:t>四川剑门圣迪乐村生态科技有限公司</w:t>
      </w:r>
      <w:r>
        <w:rPr>
          <w:rFonts w:cs="Times New Roman"/>
          <w:kern w:val="21"/>
        </w:rPr>
        <w:t>-</w:t>
      </w:r>
      <w:r>
        <w:rPr>
          <w:rFonts w:cs="Times New Roman" w:hint="eastAsia"/>
          <w:kern w:val="21"/>
        </w:rPr>
        <w:t>村</w:t>
      </w:r>
      <w:r>
        <w:rPr>
          <w:rFonts w:cs="Times New Roman"/>
          <w:kern w:val="21"/>
        </w:rPr>
        <w:t>道</w:t>
      </w:r>
      <w:r>
        <w:rPr>
          <w:rFonts w:cs="Times New Roman"/>
          <w:kern w:val="21"/>
        </w:rPr>
        <w:t>-</w:t>
      </w:r>
      <w:r>
        <w:rPr>
          <w:rFonts w:cs="Times New Roman" w:hint="eastAsia"/>
          <w:kern w:val="21"/>
        </w:rPr>
        <w:t>118</w:t>
      </w:r>
      <w:r>
        <w:rPr>
          <w:rFonts w:cs="Times New Roman" w:hint="eastAsia"/>
          <w:kern w:val="21"/>
        </w:rPr>
        <w:t>乡道</w:t>
      </w:r>
      <w:r>
        <w:rPr>
          <w:rFonts w:cs="Times New Roman" w:hint="eastAsia"/>
          <w:kern w:val="21"/>
        </w:rPr>
        <w:t>-012</w:t>
      </w:r>
      <w:r>
        <w:rPr>
          <w:rFonts w:cs="Times New Roman" w:hint="eastAsia"/>
          <w:kern w:val="21"/>
        </w:rPr>
        <w:t>乡道</w:t>
      </w:r>
      <w:r>
        <w:rPr>
          <w:rFonts w:cs="Times New Roman" w:hint="eastAsia"/>
          <w:kern w:val="21"/>
        </w:rPr>
        <w:t>-011</w:t>
      </w:r>
      <w:r>
        <w:rPr>
          <w:rFonts w:cs="Times New Roman" w:hint="eastAsia"/>
          <w:kern w:val="21"/>
        </w:rPr>
        <w:t>乡道</w:t>
      </w:r>
      <w:r>
        <w:rPr>
          <w:rFonts w:cs="Times New Roman" w:hint="eastAsia"/>
          <w:kern w:val="21"/>
        </w:rPr>
        <w:t>-</w:t>
      </w:r>
      <w:proofErr w:type="gramStart"/>
      <w:r>
        <w:rPr>
          <w:rFonts w:cs="Times New Roman" w:hint="eastAsia"/>
          <w:kern w:val="21"/>
        </w:rPr>
        <w:t>广永路</w:t>
      </w:r>
      <w:proofErr w:type="gramEnd"/>
      <w:r>
        <w:rPr>
          <w:rFonts w:cs="Times New Roman" w:hint="eastAsia"/>
          <w:kern w:val="21"/>
        </w:rPr>
        <w:t>-</w:t>
      </w:r>
      <w:r>
        <w:rPr>
          <w:rFonts w:cs="Times New Roman" w:hint="eastAsia"/>
          <w:kern w:val="21"/>
        </w:rPr>
        <w:t>广元</w:t>
      </w:r>
      <w:proofErr w:type="gramStart"/>
      <w:r>
        <w:rPr>
          <w:rFonts w:cs="Times New Roman" w:hint="eastAsia"/>
          <w:kern w:val="21"/>
        </w:rPr>
        <w:t>市朗坤环保</w:t>
      </w:r>
      <w:proofErr w:type="gramEnd"/>
      <w:r>
        <w:rPr>
          <w:rFonts w:cs="Times New Roman" w:hint="eastAsia"/>
          <w:kern w:val="21"/>
        </w:rPr>
        <w:t>有限公司。</w:t>
      </w:r>
      <w:r>
        <w:rPr>
          <w:rFonts w:cs="Times New Roman"/>
          <w:kern w:val="21"/>
        </w:rPr>
        <w:t>由于该路线为远离居民聚集区</w:t>
      </w:r>
      <w:r>
        <w:rPr>
          <w:rFonts w:cs="Times New Roman" w:hint="eastAsia"/>
          <w:kern w:val="21"/>
        </w:rPr>
        <w:t>及城镇集中区</w:t>
      </w:r>
      <w:r>
        <w:rPr>
          <w:rFonts w:cs="Times New Roman"/>
          <w:kern w:val="21"/>
        </w:rPr>
        <w:t>的最短路线，因此该运输路线为最优路线。</w:t>
      </w:r>
      <w:r>
        <w:rPr>
          <w:rFonts w:cs="Times New Roman" w:hint="eastAsia"/>
          <w:kern w:val="21"/>
        </w:rPr>
        <w:t>病死鸡转运要求见</w:t>
      </w:r>
      <w:r>
        <w:rPr>
          <w:rFonts w:cs="Times New Roman" w:hint="eastAsia"/>
          <w:kern w:val="21"/>
        </w:rPr>
        <w:t>3.2.2</w:t>
      </w:r>
      <w:r>
        <w:rPr>
          <w:rFonts w:cs="Times New Roman" w:hint="eastAsia"/>
          <w:kern w:val="21"/>
        </w:rPr>
        <w:t>章节分析内容。</w:t>
      </w:r>
    </w:p>
    <w:p w14:paraId="5EBADC85" w14:textId="77777777" w:rsidR="00544649" w:rsidRDefault="00000000">
      <w:pPr>
        <w:numPr>
          <w:ilvl w:val="1"/>
          <w:numId w:val="9"/>
        </w:numPr>
        <w:adjustRightInd w:val="0"/>
        <w:snapToGrid w:val="0"/>
        <w:spacing w:after="0"/>
        <w:ind w:firstLineChars="0"/>
        <w:outlineLvl w:val="1"/>
        <w:rPr>
          <w:rFonts w:cs="Times New Roman"/>
          <w:b/>
          <w:bCs/>
          <w:kern w:val="21"/>
          <w:sz w:val="32"/>
          <w:szCs w:val="32"/>
        </w:rPr>
      </w:pPr>
      <w:bookmarkStart w:id="219" w:name="_Toc195009838"/>
      <w:r>
        <w:rPr>
          <w:rFonts w:cs="Times New Roman" w:hint="eastAsia"/>
          <w:b/>
          <w:bCs/>
          <w:kern w:val="21"/>
          <w:sz w:val="32"/>
          <w:szCs w:val="32"/>
        </w:rPr>
        <w:t>总</w:t>
      </w:r>
      <w:r>
        <w:rPr>
          <w:rFonts w:cs="Times New Roman"/>
          <w:b/>
          <w:bCs/>
          <w:kern w:val="21"/>
          <w:sz w:val="32"/>
          <w:szCs w:val="32"/>
        </w:rPr>
        <w:t>平面布置合理性分析</w:t>
      </w:r>
      <w:bookmarkEnd w:id="219"/>
    </w:p>
    <w:p w14:paraId="41AABC8C" w14:textId="77777777" w:rsidR="00544649" w:rsidRDefault="00000000">
      <w:pPr>
        <w:widowControl/>
        <w:adjustRightInd w:val="0"/>
        <w:snapToGrid w:val="0"/>
        <w:spacing w:after="0"/>
        <w:ind w:firstLine="480"/>
        <w:jc w:val="left"/>
        <w:rPr>
          <w:rFonts w:cs="Times New Roman"/>
          <w:kern w:val="21"/>
        </w:rPr>
      </w:pPr>
      <w:r>
        <w:rPr>
          <w:rFonts w:cs="Times New Roman"/>
          <w:kern w:val="21"/>
        </w:rPr>
        <w:t>本项目选址位于</w:t>
      </w:r>
      <w:r>
        <w:rPr>
          <w:rFonts w:cs="Times New Roman" w:hint="eastAsia"/>
          <w:kern w:val="21"/>
        </w:rPr>
        <w:t>广元市剑阁县剑门关镇新龙村、双鱼村</w:t>
      </w:r>
      <w:r>
        <w:rPr>
          <w:rFonts w:cs="Times New Roman"/>
          <w:kern w:val="21"/>
        </w:rPr>
        <w:t>，</w:t>
      </w:r>
      <w:proofErr w:type="gramStart"/>
      <w:r>
        <w:rPr>
          <w:rFonts w:cs="Times New Roman"/>
          <w:kern w:val="21"/>
        </w:rPr>
        <w:t>项目</w:t>
      </w:r>
      <w:r>
        <w:rPr>
          <w:rFonts w:cs="Times New Roman" w:hint="eastAsia"/>
          <w:kern w:val="21"/>
        </w:rPr>
        <w:t>场</w:t>
      </w:r>
      <w:proofErr w:type="gramEnd"/>
      <w:r>
        <w:rPr>
          <w:rFonts w:cs="Times New Roman" w:hint="eastAsia"/>
          <w:kern w:val="21"/>
        </w:rPr>
        <w:t>区分为育雏鸡场和蛋鸡场，两个场区直线距离相隔约</w:t>
      </w:r>
      <w:r>
        <w:rPr>
          <w:rFonts w:cs="Times New Roman" w:hint="eastAsia"/>
          <w:kern w:val="21"/>
        </w:rPr>
        <w:t>1.4km</w:t>
      </w:r>
      <w:r>
        <w:rPr>
          <w:rFonts w:cs="Times New Roman" w:hint="eastAsia"/>
          <w:kern w:val="21"/>
        </w:rPr>
        <w:t>，场区呈不规则形状。总平面布置上结合场地周围环境情况，按工艺流程顺畅、运输及物流合理、生产管理方便、最大限度节约土地的原则进行布置。</w:t>
      </w:r>
      <w:r>
        <w:rPr>
          <w:rFonts w:cs="Times New Roman"/>
          <w:kern w:val="21"/>
        </w:rPr>
        <w:t>项目总平面布置功能分区明确，</w:t>
      </w:r>
      <w:r>
        <w:rPr>
          <w:rFonts w:ascii="宋体" w:hAnsi="宋体" w:cs="宋体" w:hint="eastAsia"/>
          <w:kern w:val="21"/>
          <w:szCs w:val="24"/>
          <w:lang w:bidi="ar"/>
        </w:rPr>
        <w:t>根据现有场地的地形、地势、风向等自然条件因素，结合本厂的管理方式与养殖特点，分为</w:t>
      </w:r>
      <w:r>
        <w:rPr>
          <w:rFonts w:cs="Times New Roman"/>
          <w:kern w:val="21"/>
        </w:rPr>
        <w:t>养殖区、办公生活区、</w:t>
      </w:r>
      <w:r>
        <w:rPr>
          <w:rFonts w:cs="Times New Roman" w:hint="eastAsia"/>
          <w:kern w:val="21"/>
        </w:rPr>
        <w:t>污染治理区</w:t>
      </w:r>
      <w:r>
        <w:rPr>
          <w:rFonts w:cs="Times New Roman"/>
          <w:kern w:val="21"/>
        </w:rPr>
        <w:t>。</w:t>
      </w:r>
    </w:p>
    <w:p w14:paraId="4E1025B8" w14:textId="77777777" w:rsidR="00544649" w:rsidRDefault="00000000">
      <w:pPr>
        <w:adjustRightInd w:val="0"/>
        <w:snapToGrid w:val="0"/>
        <w:spacing w:after="0"/>
        <w:ind w:firstLine="480"/>
        <w:rPr>
          <w:rFonts w:cs="Times New Roman"/>
          <w:kern w:val="21"/>
        </w:rPr>
      </w:pPr>
      <w:r>
        <w:rPr>
          <w:rFonts w:cs="Times New Roman" w:hint="eastAsia"/>
          <w:kern w:val="21"/>
        </w:rPr>
        <w:lastRenderedPageBreak/>
        <w:t>本项目</w:t>
      </w:r>
      <w:proofErr w:type="gramStart"/>
      <w:r>
        <w:rPr>
          <w:rFonts w:cs="Times New Roman" w:hint="eastAsia"/>
          <w:kern w:val="21"/>
        </w:rPr>
        <w:t>育雏场</w:t>
      </w:r>
      <w:proofErr w:type="gramEnd"/>
      <w:r>
        <w:rPr>
          <w:rFonts w:cs="Times New Roman" w:hint="eastAsia"/>
          <w:kern w:val="21"/>
        </w:rPr>
        <w:t>建设两栋青年鸡舍，养殖鸡舍位于厂区中部，项目蓄水池、配电室、办公管理用房位于场区东侧，本工程养殖场生产区、办公生活区相互分开。项目场区主出入口位于场区东北侧，</w:t>
      </w:r>
      <w:proofErr w:type="gramStart"/>
      <w:r>
        <w:rPr>
          <w:rFonts w:cs="Times New Roman" w:hint="eastAsia"/>
          <w:kern w:val="21"/>
        </w:rPr>
        <w:t>项目污道出入口</w:t>
      </w:r>
      <w:proofErr w:type="gramEnd"/>
      <w:r>
        <w:rPr>
          <w:rFonts w:cs="Times New Roman" w:hint="eastAsia"/>
          <w:kern w:val="21"/>
        </w:rPr>
        <w:t>位于场区西北侧。场内人员、饲料物资车辆由</w:t>
      </w:r>
      <w:proofErr w:type="gramStart"/>
      <w:r>
        <w:rPr>
          <w:rFonts w:cs="Times New Roman" w:hint="eastAsia"/>
          <w:kern w:val="21"/>
        </w:rPr>
        <w:t>东北侧主出入口</w:t>
      </w:r>
      <w:proofErr w:type="gramEnd"/>
      <w:r>
        <w:rPr>
          <w:rFonts w:cs="Times New Roman" w:hint="eastAsia"/>
          <w:kern w:val="21"/>
        </w:rPr>
        <w:t>进入，鸡粪、病死鸡转运车辆由西</w:t>
      </w:r>
      <w:proofErr w:type="gramStart"/>
      <w:r>
        <w:rPr>
          <w:rFonts w:cs="Times New Roman" w:hint="eastAsia"/>
          <w:kern w:val="21"/>
        </w:rPr>
        <w:t>北侧污道出入口</w:t>
      </w:r>
      <w:proofErr w:type="gramEnd"/>
      <w:r>
        <w:rPr>
          <w:rFonts w:cs="Times New Roman" w:hint="eastAsia"/>
          <w:kern w:val="21"/>
        </w:rPr>
        <w:t>进出。</w:t>
      </w:r>
      <w:proofErr w:type="gramStart"/>
      <w:r>
        <w:rPr>
          <w:rFonts w:cs="Times New Roman" w:hint="eastAsia"/>
          <w:kern w:val="21"/>
        </w:rPr>
        <w:t>病检室位于</w:t>
      </w:r>
      <w:proofErr w:type="gramEnd"/>
      <w:r>
        <w:rPr>
          <w:rFonts w:cs="Times New Roman" w:hint="eastAsia"/>
          <w:kern w:val="21"/>
        </w:rPr>
        <w:t>场区西北侧；</w:t>
      </w:r>
      <w:r>
        <w:rPr>
          <w:rFonts w:hint="eastAsia"/>
          <w:szCs w:val="24"/>
        </w:rPr>
        <w:t>污水处理站</w:t>
      </w:r>
      <w:r>
        <w:rPr>
          <w:szCs w:val="24"/>
        </w:rPr>
        <w:t>位于</w:t>
      </w:r>
      <w:proofErr w:type="gramStart"/>
      <w:r>
        <w:rPr>
          <w:szCs w:val="24"/>
        </w:rPr>
        <w:t>厂区</w:t>
      </w:r>
      <w:r>
        <w:rPr>
          <w:rFonts w:hint="eastAsia"/>
          <w:szCs w:val="24"/>
        </w:rPr>
        <w:t>西</w:t>
      </w:r>
      <w:proofErr w:type="gramEnd"/>
      <w:r>
        <w:rPr>
          <w:rFonts w:hint="eastAsia"/>
          <w:szCs w:val="24"/>
        </w:rPr>
        <w:t>南</w:t>
      </w:r>
      <w:r>
        <w:rPr>
          <w:szCs w:val="24"/>
        </w:rPr>
        <w:t>侧，</w:t>
      </w:r>
      <w:r>
        <w:rPr>
          <w:rFonts w:hint="eastAsia"/>
          <w:szCs w:val="24"/>
        </w:rPr>
        <w:t>污水处理站位于场区下风向，位置远离场内办公生活区</w:t>
      </w:r>
      <w:r>
        <w:rPr>
          <w:szCs w:val="24"/>
        </w:rPr>
        <w:t>，</w:t>
      </w:r>
      <w:r>
        <w:rPr>
          <w:rFonts w:hint="eastAsia"/>
          <w:szCs w:val="24"/>
        </w:rPr>
        <w:t>污水处理站四周设置绿化隔离带，</w:t>
      </w:r>
      <w:r>
        <w:rPr>
          <w:szCs w:val="24"/>
        </w:rPr>
        <w:t>污水处理系统下风向无居民敏感点分布，并且有山体阻隔，项目对</w:t>
      </w:r>
      <w:r>
        <w:rPr>
          <w:rFonts w:hint="eastAsia"/>
          <w:szCs w:val="24"/>
        </w:rPr>
        <w:t>双鱼村</w:t>
      </w:r>
      <w:r>
        <w:rPr>
          <w:szCs w:val="24"/>
        </w:rPr>
        <w:t>居民点影响不大。排水系统实行雨污分流，</w:t>
      </w:r>
      <w:r>
        <w:rPr>
          <w:rFonts w:hint="eastAsia"/>
          <w:szCs w:val="24"/>
        </w:rPr>
        <w:t>项目污水可通过污水管道自流进入污水收集处理系统</w:t>
      </w:r>
      <w:r>
        <w:rPr>
          <w:szCs w:val="24"/>
        </w:rPr>
        <w:t>。</w:t>
      </w:r>
      <w:r>
        <w:rPr>
          <w:rFonts w:hint="eastAsia"/>
          <w:szCs w:val="24"/>
        </w:rPr>
        <w:t>场区内四周设置绿化隔离带，降低场内区域影响，同时降低对外环境的不利影响</w:t>
      </w:r>
      <w:r>
        <w:rPr>
          <w:szCs w:val="24"/>
        </w:rPr>
        <w:t>。</w:t>
      </w:r>
      <w:r>
        <w:rPr>
          <w:rFonts w:cs="Times New Roman" w:hint="eastAsia"/>
          <w:szCs w:val="24"/>
        </w:rPr>
        <w:t>场区出入口连通乡村道路，各出入口门口设置一个车辆消毒池及人员消毒通道，为进出场区车辆及人员进行消毒。</w:t>
      </w:r>
    </w:p>
    <w:p w14:paraId="5C83DC08" w14:textId="77777777" w:rsidR="00544649" w:rsidRDefault="00000000">
      <w:pPr>
        <w:adjustRightInd w:val="0"/>
        <w:snapToGrid w:val="0"/>
        <w:spacing w:after="0"/>
        <w:ind w:firstLine="480"/>
        <w:rPr>
          <w:rFonts w:cs="Times New Roman"/>
          <w:kern w:val="21"/>
        </w:rPr>
      </w:pPr>
      <w:r>
        <w:rPr>
          <w:rFonts w:cs="Times New Roman" w:hint="eastAsia"/>
          <w:kern w:val="21"/>
        </w:rPr>
        <w:t>本项目蛋鸡场建设六栋蛋鸡舍，各养殖鸡舍场区内由北向南依次布置，场内蛋品车间布置于场区北侧。场内办公生活区综合楼位于场区东北侧；场内蓄水池、</w:t>
      </w:r>
      <w:proofErr w:type="gramStart"/>
      <w:r>
        <w:rPr>
          <w:rFonts w:cs="Times New Roman" w:hint="eastAsia"/>
          <w:kern w:val="21"/>
        </w:rPr>
        <w:t>配电房均位于</w:t>
      </w:r>
      <w:proofErr w:type="gramEnd"/>
      <w:r>
        <w:rPr>
          <w:rFonts w:cs="Times New Roman" w:hint="eastAsia"/>
          <w:kern w:val="21"/>
        </w:rPr>
        <w:t>场区西北侧；</w:t>
      </w:r>
      <w:proofErr w:type="gramStart"/>
      <w:r>
        <w:rPr>
          <w:rFonts w:cs="Times New Roman" w:hint="eastAsia"/>
          <w:kern w:val="21"/>
        </w:rPr>
        <w:t>病检室位于</w:t>
      </w:r>
      <w:proofErr w:type="gramEnd"/>
      <w:r>
        <w:rPr>
          <w:rFonts w:cs="Times New Roman" w:hint="eastAsia"/>
          <w:kern w:val="21"/>
        </w:rPr>
        <w:t>场区西南侧；场内临时库房、污水处理站位于场区南侧。场内人员及饲料、蛋库物资车辆出入口位于场区东北侧；项目鸡粪、病死鸡转运通道出入口位于场区西南侧。</w:t>
      </w:r>
      <w:r>
        <w:rPr>
          <w:rFonts w:hint="eastAsia"/>
          <w:szCs w:val="24"/>
        </w:rPr>
        <w:t>污水处理站位置远离场内办公生活区</w:t>
      </w:r>
      <w:r>
        <w:rPr>
          <w:szCs w:val="24"/>
        </w:rPr>
        <w:t>，</w:t>
      </w:r>
      <w:r>
        <w:rPr>
          <w:rFonts w:cs="Times New Roman" w:hint="eastAsia"/>
          <w:szCs w:val="24"/>
        </w:rPr>
        <w:t>处于养殖场的生产区、生活管理区的常年主导风的下风向，污水处理系统下风向无居民敏感点分布，项目对周边环境影响不大。</w:t>
      </w:r>
    </w:p>
    <w:p w14:paraId="499D1717" w14:textId="77777777" w:rsidR="00544649" w:rsidRDefault="00000000">
      <w:pPr>
        <w:adjustRightInd w:val="0"/>
        <w:snapToGrid w:val="0"/>
        <w:spacing w:after="0"/>
        <w:ind w:firstLine="480"/>
        <w:rPr>
          <w:rFonts w:cs="Times New Roman"/>
          <w:kern w:val="21"/>
        </w:rPr>
      </w:pPr>
      <w:r>
        <w:rPr>
          <w:rFonts w:cs="Times New Roman" w:hint="eastAsia"/>
          <w:szCs w:val="24"/>
        </w:rPr>
        <w:t>本项目养殖场生产区、办公生活区相互分开，入厂后设置生活区通道及物料运输通道，对人员、物料的进入辅助生产区即进行分流，饲养人员通过消毒通道进入养殖区；做到功能分区明确合理，保证养殖场内物料运输</w:t>
      </w:r>
      <w:proofErr w:type="gramStart"/>
      <w:r>
        <w:rPr>
          <w:rFonts w:cs="Times New Roman" w:hint="eastAsia"/>
          <w:szCs w:val="24"/>
        </w:rPr>
        <w:t>距离短捷顺畅</w:t>
      </w:r>
      <w:proofErr w:type="gramEnd"/>
      <w:r>
        <w:rPr>
          <w:rFonts w:cs="Times New Roman" w:hint="eastAsia"/>
          <w:szCs w:val="24"/>
        </w:rPr>
        <w:t>。排水系统实行雨污分流，项目污水可通过自流进入污水收集处理系统。项目污水处理区</w:t>
      </w:r>
      <w:r>
        <w:rPr>
          <w:rFonts w:hint="eastAsia"/>
          <w:szCs w:val="24"/>
        </w:rPr>
        <w:t>位置远离场内办公生活区</w:t>
      </w:r>
      <w:r>
        <w:rPr>
          <w:szCs w:val="24"/>
        </w:rPr>
        <w:t>，</w:t>
      </w:r>
      <w:r>
        <w:rPr>
          <w:rFonts w:hint="eastAsia"/>
          <w:szCs w:val="24"/>
        </w:rPr>
        <w:t>场区内四周设置绿化隔离带，鸡舍及污水处理恶臭</w:t>
      </w:r>
      <w:r>
        <w:rPr>
          <w:rFonts w:cs="Times New Roman" w:hint="eastAsia"/>
          <w:szCs w:val="24"/>
        </w:rPr>
        <w:t>不会对生活区造成影响。场区出入口连通乡村道路，各出入口门口设置一个车辆消毒池及人员消毒通道，为进出场区车辆及人员进行消毒。</w:t>
      </w:r>
    </w:p>
    <w:p w14:paraId="2A8BB4AF" w14:textId="77777777" w:rsidR="00544649" w:rsidRDefault="00000000">
      <w:pPr>
        <w:numPr>
          <w:ilvl w:val="0"/>
          <w:numId w:val="22"/>
        </w:numPr>
        <w:adjustRightInd w:val="0"/>
        <w:snapToGrid w:val="0"/>
        <w:spacing w:after="0"/>
        <w:ind w:firstLine="482"/>
        <w:rPr>
          <w:rFonts w:cs="Times New Roman"/>
          <w:b/>
          <w:bCs/>
          <w:kern w:val="21"/>
        </w:rPr>
      </w:pPr>
      <w:r>
        <w:rPr>
          <w:rFonts w:cs="Times New Roman" w:hint="eastAsia"/>
          <w:b/>
          <w:bCs/>
          <w:kern w:val="21"/>
        </w:rPr>
        <w:t>养殖区</w:t>
      </w:r>
    </w:p>
    <w:p w14:paraId="4C9F638F" w14:textId="77777777" w:rsidR="00544649" w:rsidRDefault="00000000">
      <w:pPr>
        <w:adjustRightInd w:val="0"/>
        <w:snapToGrid w:val="0"/>
        <w:spacing w:after="0"/>
        <w:ind w:firstLine="480"/>
        <w:rPr>
          <w:rFonts w:cs="Times New Roman"/>
          <w:kern w:val="21"/>
        </w:rPr>
      </w:pPr>
      <w:r>
        <w:rPr>
          <w:rFonts w:cs="Times New Roman" w:hint="eastAsia"/>
          <w:kern w:val="21"/>
        </w:rPr>
        <w:t>养殖</w:t>
      </w:r>
      <w:r>
        <w:rPr>
          <w:rFonts w:cs="Times New Roman"/>
          <w:kern w:val="21"/>
        </w:rPr>
        <w:t>区</w:t>
      </w:r>
      <w:r>
        <w:rPr>
          <w:rFonts w:cs="Times New Roman" w:hint="eastAsia"/>
          <w:kern w:val="21"/>
        </w:rPr>
        <w:t>包括鸡舍</w:t>
      </w:r>
      <w:r>
        <w:rPr>
          <w:rFonts w:cs="Times New Roman"/>
          <w:kern w:val="21"/>
        </w:rPr>
        <w:t>、鸡蛋库房</w:t>
      </w:r>
      <w:r>
        <w:rPr>
          <w:rFonts w:cs="Times New Roman" w:hint="eastAsia"/>
          <w:kern w:val="21"/>
        </w:rPr>
        <w:t>、饲料塔，</w:t>
      </w:r>
      <w:r>
        <w:rPr>
          <w:rFonts w:cs="Times New Roman"/>
          <w:kern w:val="21"/>
        </w:rPr>
        <w:t>设置在场区</w:t>
      </w:r>
      <w:r>
        <w:rPr>
          <w:rFonts w:cs="Times New Roman" w:hint="eastAsia"/>
          <w:kern w:val="21"/>
        </w:rPr>
        <w:t>中部</w:t>
      </w:r>
      <w:r>
        <w:rPr>
          <w:rFonts w:cs="Times New Roman"/>
          <w:kern w:val="21"/>
        </w:rPr>
        <w:t>，</w:t>
      </w:r>
      <w:r>
        <w:rPr>
          <w:rFonts w:cs="Times New Roman" w:hint="eastAsia"/>
          <w:kern w:val="21"/>
          <w:szCs w:val="24"/>
        </w:rPr>
        <w:t>远离办公生活区</w:t>
      </w:r>
      <w:r>
        <w:rPr>
          <w:rFonts w:cs="Times New Roman"/>
          <w:kern w:val="21"/>
        </w:rPr>
        <w:t>。生活办公区和生产区之间有一定的距离，实现</w:t>
      </w:r>
      <w:proofErr w:type="gramStart"/>
      <w:r>
        <w:rPr>
          <w:rFonts w:cs="Times New Roman"/>
          <w:kern w:val="21"/>
        </w:rPr>
        <w:t>了人鸡分离</w:t>
      </w:r>
      <w:proofErr w:type="gramEnd"/>
      <w:r>
        <w:rPr>
          <w:rFonts w:cs="Times New Roman"/>
          <w:kern w:val="21"/>
        </w:rPr>
        <w:t>。</w:t>
      </w:r>
      <w:r>
        <w:rPr>
          <w:rFonts w:cs="Times New Roman" w:hint="eastAsia"/>
          <w:kern w:val="21"/>
        </w:rPr>
        <w:t>根据防疫、便于管理和方便转运的原则，合理设计鸡舍的存栏量，同时，遵循农业循环经济的规律，按照节约用地、保护环境、保护生态平衡、废物资源化利用的原则，在场内养殖区间种植树木作为隔离林带，用草本花卉作为绿化地带作为隔离带，以减少臭气对环境的影响。</w:t>
      </w:r>
    </w:p>
    <w:p w14:paraId="19BB3174" w14:textId="77777777" w:rsidR="00544649" w:rsidRDefault="00000000">
      <w:pPr>
        <w:numPr>
          <w:ilvl w:val="0"/>
          <w:numId w:val="22"/>
        </w:numPr>
        <w:adjustRightInd w:val="0"/>
        <w:snapToGrid w:val="0"/>
        <w:spacing w:after="0"/>
        <w:ind w:firstLine="482"/>
        <w:rPr>
          <w:rFonts w:cs="Times New Roman"/>
          <w:kern w:val="21"/>
        </w:rPr>
      </w:pPr>
      <w:r>
        <w:rPr>
          <w:rFonts w:cs="Times New Roman" w:hint="eastAsia"/>
          <w:b/>
          <w:bCs/>
          <w:kern w:val="21"/>
        </w:rPr>
        <w:t>办公</w:t>
      </w:r>
      <w:r>
        <w:rPr>
          <w:rFonts w:cs="Times New Roman"/>
          <w:b/>
          <w:bCs/>
          <w:kern w:val="21"/>
        </w:rPr>
        <w:t>生活区</w:t>
      </w:r>
    </w:p>
    <w:p w14:paraId="3D64F413" w14:textId="77777777" w:rsidR="00544649" w:rsidRDefault="00000000">
      <w:pPr>
        <w:adjustRightInd w:val="0"/>
        <w:snapToGrid w:val="0"/>
        <w:spacing w:after="0"/>
        <w:ind w:firstLine="480"/>
        <w:rPr>
          <w:rFonts w:cs="Times New Roman"/>
          <w:kern w:val="21"/>
        </w:rPr>
      </w:pPr>
      <w:r>
        <w:rPr>
          <w:rFonts w:cs="Times New Roman"/>
          <w:kern w:val="21"/>
        </w:rPr>
        <w:lastRenderedPageBreak/>
        <w:t>包括办公室、员工宿舍</w:t>
      </w:r>
      <w:r>
        <w:rPr>
          <w:rFonts w:cs="Times New Roman" w:hint="eastAsia"/>
          <w:kern w:val="21"/>
        </w:rPr>
        <w:t>、病检室、消毒室</w:t>
      </w:r>
      <w:r>
        <w:rPr>
          <w:rFonts w:cs="Times New Roman"/>
          <w:kern w:val="21"/>
        </w:rPr>
        <w:t>等，</w:t>
      </w:r>
      <w:r>
        <w:rPr>
          <w:rFonts w:cs="Times New Roman" w:hint="eastAsia"/>
          <w:kern w:val="21"/>
        </w:rPr>
        <w:t>位于场区四周，办公</w:t>
      </w:r>
      <w:r>
        <w:rPr>
          <w:rFonts w:ascii="宋体" w:hAnsi="宋体" w:cs="宋体" w:hint="eastAsia"/>
          <w:kern w:val="21"/>
          <w:szCs w:val="24"/>
          <w:lang w:bidi="ar"/>
        </w:rPr>
        <w:t>生活区距离养殖鸡舍有一定距离，同时两者之间种植绿化隔开，能有效避免项目运行产生的恶臭气体对员工办公生活的影响，实现了人畜分离。</w:t>
      </w:r>
    </w:p>
    <w:p w14:paraId="64F45AEF" w14:textId="77777777" w:rsidR="00544649" w:rsidRDefault="00000000">
      <w:pPr>
        <w:numPr>
          <w:ilvl w:val="0"/>
          <w:numId w:val="22"/>
        </w:numPr>
        <w:adjustRightInd w:val="0"/>
        <w:snapToGrid w:val="0"/>
        <w:spacing w:after="0"/>
        <w:ind w:firstLine="482"/>
        <w:rPr>
          <w:rFonts w:cs="Times New Roman"/>
          <w:kern w:val="21"/>
        </w:rPr>
      </w:pPr>
      <w:r>
        <w:rPr>
          <w:rFonts w:cs="Times New Roman"/>
          <w:b/>
          <w:bCs/>
          <w:kern w:val="21"/>
        </w:rPr>
        <w:t>污染治理区</w:t>
      </w:r>
    </w:p>
    <w:p w14:paraId="0D518175" w14:textId="77777777" w:rsidR="00544649" w:rsidRDefault="00000000">
      <w:pPr>
        <w:adjustRightInd w:val="0"/>
        <w:snapToGrid w:val="0"/>
        <w:spacing w:after="0"/>
        <w:ind w:firstLine="480"/>
        <w:rPr>
          <w:rFonts w:cs="Times New Roman"/>
          <w:kern w:val="21"/>
        </w:rPr>
      </w:pPr>
      <w:r>
        <w:rPr>
          <w:rFonts w:cs="Times New Roman" w:hint="eastAsia"/>
          <w:kern w:val="21"/>
        </w:rPr>
        <w:t>鸡粪转运区位于各养殖鸡舍的尾部，蛋鸡舍清理的粪污直接进入鸡粪转运车辆，场区内不设置鸡粪暂存间，减少了鸡粪因在场区内暂存或处理产生的恶臭污染、减少环境风险，粪污日产日清，及时清运，每日</w:t>
      </w:r>
      <w:r>
        <w:rPr>
          <w:rFonts w:cs="Times New Roman"/>
          <w:kern w:val="21"/>
        </w:rPr>
        <w:t>交由</w:t>
      </w:r>
      <w:r>
        <w:rPr>
          <w:rFonts w:cs="Times New Roman" w:hint="eastAsia"/>
          <w:kern w:val="21"/>
        </w:rPr>
        <w:t>四川省田宝生物科技有限公司</w:t>
      </w:r>
      <w:r>
        <w:rPr>
          <w:rFonts w:cs="Times New Roman"/>
          <w:kern w:val="21"/>
        </w:rPr>
        <w:t>进行有机肥加工生产。</w:t>
      </w:r>
      <w:r>
        <w:rPr>
          <w:rFonts w:cs="Times New Roman" w:hint="eastAsia"/>
          <w:kern w:val="21"/>
        </w:rPr>
        <w:t>项目所在地主导风向为西北风，项目办公生活区主要位于鸡粪转运区的</w:t>
      </w:r>
      <w:r>
        <w:rPr>
          <w:rFonts w:cs="Times New Roman"/>
          <w:kern w:val="21"/>
        </w:rPr>
        <w:t>侧风向</w:t>
      </w:r>
      <w:r>
        <w:rPr>
          <w:rFonts w:cs="Times New Roman" w:hint="eastAsia"/>
          <w:kern w:val="21"/>
        </w:rPr>
        <w:t>；污水处理站建设位置远离办公生活区，且四周设置绿化隔离带，</w:t>
      </w:r>
      <w:r>
        <w:rPr>
          <w:rFonts w:cs="Times New Roman"/>
          <w:kern w:val="21"/>
        </w:rPr>
        <w:t>能够有效减少污染物对工作人员生活的影响，满足畜禽粪便贮存设施设置要求。</w:t>
      </w:r>
    </w:p>
    <w:p w14:paraId="0AE017EF" w14:textId="77777777" w:rsidR="00544649" w:rsidRDefault="00000000">
      <w:pPr>
        <w:adjustRightInd w:val="0"/>
        <w:snapToGrid w:val="0"/>
        <w:spacing w:after="0"/>
        <w:ind w:firstLine="480"/>
        <w:rPr>
          <w:rFonts w:cs="Times New Roman"/>
          <w:kern w:val="21"/>
        </w:rPr>
      </w:pPr>
      <w:r>
        <w:rPr>
          <w:rFonts w:cs="Times New Roman"/>
          <w:kern w:val="21"/>
        </w:rPr>
        <w:t>同时，根据工艺流程安排，</w:t>
      </w:r>
      <w:r>
        <w:rPr>
          <w:rFonts w:cs="Times New Roman" w:hint="eastAsia"/>
          <w:kern w:val="21"/>
        </w:rPr>
        <w:t>鸡粪转运区</w:t>
      </w:r>
      <w:r>
        <w:rPr>
          <w:rFonts w:cs="Times New Roman"/>
          <w:kern w:val="21"/>
        </w:rPr>
        <w:t>紧邻</w:t>
      </w:r>
      <w:r>
        <w:rPr>
          <w:rFonts w:cs="Times New Roman" w:hint="eastAsia"/>
          <w:kern w:val="21"/>
        </w:rPr>
        <w:t>鸡</w:t>
      </w:r>
      <w:r>
        <w:rPr>
          <w:rFonts w:cs="Times New Roman"/>
          <w:kern w:val="21"/>
        </w:rPr>
        <w:t>舍设置，便于实现</w:t>
      </w:r>
      <w:r>
        <w:rPr>
          <w:rFonts w:cs="Times New Roman" w:hint="eastAsia"/>
          <w:kern w:val="21"/>
        </w:rPr>
        <w:t>“</w:t>
      </w:r>
      <w:r>
        <w:rPr>
          <w:rFonts w:cs="Times New Roman"/>
          <w:kern w:val="21"/>
        </w:rPr>
        <w:t>即产、即清</w:t>
      </w:r>
      <w:r>
        <w:rPr>
          <w:rFonts w:cs="Times New Roman" w:hint="eastAsia"/>
          <w:kern w:val="21"/>
        </w:rPr>
        <w:t>”</w:t>
      </w:r>
      <w:r>
        <w:rPr>
          <w:rFonts w:cs="Times New Roman"/>
          <w:kern w:val="21"/>
        </w:rPr>
        <w:t>，可减少粪污沿途运输造成的水体和土壤污染；鸡粪</w:t>
      </w:r>
      <w:proofErr w:type="gramStart"/>
      <w:r>
        <w:rPr>
          <w:rFonts w:cs="Times New Roman"/>
          <w:kern w:val="21"/>
        </w:rPr>
        <w:t>经</w:t>
      </w:r>
      <w:r>
        <w:rPr>
          <w:rFonts w:cs="Times New Roman" w:hint="eastAsia"/>
          <w:kern w:val="21"/>
        </w:rPr>
        <w:t>粪带</w:t>
      </w:r>
      <w:r>
        <w:rPr>
          <w:rFonts w:cs="Times New Roman"/>
          <w:kern w:val="21"/>
        </w:rPr>
        <w:t>输送</w:t>
      </w:r>
      <w:proofErr w:type="gramEnd"/>
      <w:r>
        <w:rPr>
          <w:rFonts w:cs="Times New Roman"/>
          <w:kern w:val="21"/>
        </w:rPr>
        <w:t>至密闭罐车后运送至</w:t>
      </w:r>
      <w:r>
        <w:rPr>
          <w:rFonts w:cs="Times New Roman" w:hint="eastAsia"/>
          <w:kern w:val="21"/>
        </w:rPr>
        <w:t>四川省田宝生物科技有限公司进行有机肥生产</w:t>
      </w:r>
      <w:r>
        <w:rPr>
          <w:rFonts w:cs="Times New Roman"/>
          <w:kern w:val="21"/>
        </w:rPr>
        <w:t>，日产日清，能够有效减少鸡粪在厂内暂存或处理产生的恶臭污染，减少环境风险，使设备运行稳定、维修方便、经济合理。</w:t>
      </w:r>
      <w:proofErr w:type="gramStart"/>
      <w:r>
        <w:rPr>
          <w:rFonts w:cs="Times New Roman"/>
          <w:kern w:val="21"/>
        </w:rPr>
        <w:t>危废暂存</w:t>
      </w:r>
      <w:proofErr w:type="gramEnd"/>
      <w:r>
        <w:rPr>
          <w:rFonts w:cs="Times New Roman"/>
          <w:kern w:val="21"/>
        </w:rPr>
        <w:t>间设置在发电机房旁，便于废柴油桶的收集、暂存；消毒室位于场区入口，便于人员进入时进行消毒，避免带入病菌。</w:t>
      </w:r>
    </w:p>
    <w:p w14:paraId="5202E8AA" w14:textId="77777777" w:rsidR="00544649" w:rsidRDefault="00000000">
      <w:pPr>
        <w:adjustRightInd w:val="0"/>
        <w:snapToGrid w:val="0"/>
        <w:spacing w:after="0"/>
        <w:ind w:firstLine="480"/>
        <w:rPr>
          <w:rFonts w:cs="Times New Roman"/>
          <w:kern w:val="21"/>
        </w:rPr>
      </w:pPr>
      <w:r>
        <w:rPr>
          <w:rFonts w:cs="Times New Roman"/>
          <w:kern w:val="21"/>
        </w:rPr>
        <w:t>整个厂区布置根据现代养鸡生产工艺流程技术要求，进行了合理规划布局，设计足够的车间数、单元数、圈栏数，配备必要的设备设施。鸡舍净道和</w:t>
      </w:r>
      <w:proofErr w:type="gramStart"/>
      <w:r>
        <w:rPr>
          <w:rFonts w:cs="Times New Roman"/>
          <w:kern w:val="21"/>
        </w:rPr>
        <w:t>污道</w:t>
      </w:r>
      <w:proofErr w:type="gramEnd"/>
      <w:r>
        <w:rPr>
          <w:rFonts w:cs="Times New Roman"/>
          <w:kern w:val="21"/>
        </w:rPr>
        <w:t>分开，减少不必要的交叉，切断疫病的传播途径。在鸡舍周围、道路两边和鸡舍之间栽种树木，种植花草，有利于减少冬季寒风袭击和夏季阳光照射，净化空气，绿化环境。做到</w:t>
      </w:r>
      <w:proofErr w:type="gramStart"/>
      <w:r>
        <w:rPr>
          <w:rFonts w:cs="Times New Roman"/>
          <w:kern w:val="21"/>
        </w:rPr>
        <w:t>排污固液分流</w:t>
      </w:r>
      <w:proofErr w:type="gramEnd"/>
      <w:r>
        <w:rPr>
          <w:rFonts w:cs="Times New Roman"/>
          <w:kern w:val="21"/>
        </w:rPr>
        <w:t>，雨污分离，减少粪污处理量和对周围环境的影响。</w:t>
      </w:r>
    </w:p>
    <w:p w14:paraId="54A4AE7A" w14:textId="77777777" w:rsidR="00544649" w:rsidRDefault="00000000">
      <w:pPr>
        <w:adjustRightInd w:val="0"/>
        <w:snapToGrid w:val="0"/>
        <w:spacing w:after="0"/>
        <w:ind w:firstLine="482"/>
        <w:rPr>
          <w:rFonts w:cs="Times New Roman"/>
          <w:b/>
          <w:bCs/>
          <w:kern w:val="21"/>
        </w:rPr>
      </w:pPr>
      <w:r>
        <w:rPr>
          <w:rFonts w:cs="Times New Roman"/>
          <w:b/>
          <w:bCs/>
          <w:kern w:val="21"/>
        </w:rPr>
        <w:t>（</w:t>
      </w:r>
      <w:r>
        <w:rPr>
          <w:rFonts w:cs="Times New Roman"/>
          <w:b/>
          <w:bCs/>
          <w:kern w:val="21"/>
        </w:rPr>
        <w:t>4</w:t>
      </w:r>
      <w:r>
        <w:rPr>
          <w:rFonts w:cs="Times New Roman"/>
          <w:b/>
          <w:bCs/>
          <w:kern w:val="21"/>
        </w:rPr>
        <w:t>）环保设施平面布置</w:t>
      </w:r>
    </w:p>
    <w:p w14:paraId="4CC66DAA" w14:textId="77777777" w:rsidR="00544649" w:rsidRDefault="00000000">
      <w:pPr>
        <w:adjustRightInd w:val="0"/>
        <w:snapToGrid w:val="0"/>
        <w:spacing w:after="0"/>
        <w:ind w:firstLine="480"/>
        <w:rPr>
          <w:rFonts w:cs="Times New Roman"/>
          <w:kern w:val="21"/>
        </w:rPr>
      </w:pPr>
      <w:r>
        <w:rPr>
          <w:rFonts w:cs="Times New Roman"/>
          <w:kern w:val="21"/>
        </w:rPr>
        <w:t>1</w:t>
      </w:r>
      <w:r>
        <w:rPr>
          <w:rFonts w:cs="Times New Roman"/>
          <w:kern w:val="21"/>
        </w:rPr>
        <w:t>）本项目</w:t>
      </w:r>
      <w:proofErr w:type="gramStart"/>
      <w:r>
        <w:rPr>
          <w:rFonts w:cs="Times New Roman"/>
          <w:kern w:val="21"/>
        </w:rPr>
        <w:t>育雏场</w:t>
      </w:r>
      <w:proofErr w:type="gramEnd"/>
      <w:r>
        <w:rPr>
          <w:rFonts w:cs="Times New Roman" w:hint="eastAsia"/>
          <w:kern w:val="21"/>
        </w:rPr>
        <w:t>与蛋鸡场各</w:t>
      </w:r>
      <w:r>
        <w:rPr>
          <w:rFonts w:cs="Times New Roman"/>
          <w:kern w:val="21"/>
        </w:rPr>
        <w:t>设置一个污水处理站，</w:t>
      </w:r>
      <w:r>
        <w:rPr>
          <w:rFonts w:cs="Times New Roman" w:hint="eastAsia"/>
          <w:kern w:val="21"/>
        </w:rPr>
        <w:t>场内</w:t>
      </w:r>
      <w:r>
        <w:rPr>
          <w:rFonts w:cs="Times New Roman"/>
          <w:kern w:val="21"/>
        </w:rPr>
        <w:t>生活污水与养殖</w:t>
      </w:r>
      <w:r>
        <w:rPr>
          <w:rFonts w:cs="Times New Roman" w:hint="eastAsia"/>
          <w:kern w:val="21"/>
        </w:rPr>
        <w:t>鸡舍</w:t>
      </w:r>
      <w:r>
        <w:rPr>
          <w:rFonts w:cs="Times New Roman"/>
          <w:kern w:val="21"/>
        </w:rPr>
        <w:t>清洗废水</w:t>
      </w:r>
      <w:r>
        <w:rPr>
          <w:rFonts w:cs="Times New Roman" w:hint="eastAsia"/>
          <w:kern w:val="21"/>
        </w:rPr>
        <w:t>、蛋品清洗废水等</w:t>
      </w:r>
      <w:proofErr w:type="gramStart"/>
      <w:r>
        <w:rPr>
          <w:rFonts w:cs="Times New Roman" w:hint="eastAsia"/>
          <w:kern w:val="21"/>
        </w:rPr>
        <w:t>一并</w:t>
      </w:r>
      <w:r>
        <w:rPr>
          <w:rFonts w:cs="Times New Roman"/>
          <w:kern w:val="21"/>
        </w:rPr>
        <w:t>经</w:t>
      </w:r>
      <w:proofErr w:type="gramEnd"/>
      <w:r>
        <w:rPr>
          <w:rFonts w:cs="Times New Roman"/>
          <w:kern w:val="21"/>
        </w:rPr>
        <w:t>场内污水处理站处理达</w:t>
      </w:r>
      <w:r>
        <w:t>《农田灌溉水质标准》（</w:t>
      </w:r>
      <w:r>
        <w:rPr>
          <w:rFonts w:hint="eastAsia"/>
        </w:rPr>
        <w:t>GB5084-2021</w:t>
      </w:r>
      <w:r>
        <w:t>）</w:t>
      </w:r>
      <w:r>
        <w:rPr>
          <w:rFonts w:hint="eastAsia"/>
        </w:rPr>
        <w:t>旱地作物标准</w:t>
      </w:r>
      <w:r>
        <w:rPr>
          <w:rFonts w:cs="Times New Roman"/>
          <w:kern w:val="21"/>
        </w:rPr>
        <w:t>后，用作周边林地施肥</w:t>
      </w:r>
      <w:r>
        <w:rPr>
          <w:rFonts w:cs="Times New Roman" w:hint="eastAsia"/>
          <w:kern w:val="21"/>
        </w:rPr>
        <w:t>，不外排。</w:t>
      </w:r>
    </w:p>
    <w:p w14:paraId="7369E972" w14:textId="77777777" w:rsidR="00544649" w:rsidRDefault="00000000">
      <w:pPr>
        <w:adjustRightInd w:val="0"/>
        <w:snapToGrid w:val="0"/>
        <w:spacing w:after="0"/>
        <w:ind w:firstLine="480"/>
        <w:rPr>
          <w:rFonts w:cs="Times New Roman"/>
          <w:kern w:val="21"/>
        </w:rPr>
      </w:pPr>
      <w:r>
        <w:rPr>
          <w:rFonts w:cs="Times New Roman" w:hint="eastAsia"/>
          <w:kern w:val="21"/>
        </w:rPr>
        <w:t>2</w:t>
      </w:r>
      <w:r>
        <w:rPr>
          <w:rFonts w:cs="Times New Roman" w:hint="eastAsia"/>
          <w:kern w:val="21"/>
        </w:rPr>
        <w:t>）</w:t>
      </w:r>
      <w:r>
        <w:rPr>
          <w:rFonts w:cs="Times New Roman"/>
          <w:kern w:val="21"/>
        </w:rPr>
        <w:t>鸡粪日产日清，每日清运至</w:t>
      </w:r>
      <w:r>
        <w:rPr>
          <w:rFonts w:cs="Times New Roman" w:hint="eastAsia"/>
          <w:kern w:val="21"/>
          <w:szCs w:val="21"/>
        </w:rPr>
        <w:t>四川省田宝生物科技有限公司</w:t>
      </w:r>
      <w:r>
        <w:rPr>
          <w:rFonts w:cs="Times New Roman"/>
          <w:kern w:val="21"/>
        </w:rPr>
        <w:t>进行有机肥加工生产，资源综合利用，不外排</w:t>
      </w:r>
      <w:r>
        <w:rPr>
          <w:rFonts w:cs="Times New Roman" w:hint="eastAsia"/>
          <w:kern w:val="21"/>
        </w:rPr>
        <w:t>，场内不设置鸡粪暂存间</w:t>
      </w:r>
      <w:r>
        <w:rPr>
          <w:rFonts w:cs="Times New Roman"/>
          <w:kern w:val="21"/>
        </w:rPr>
        <w:t>。</w:t>
      </w:r>
    </w:p>
    <w:p w14:paraId="412DC0B0" w14:textId="77777777" w:rsidR="00544649" w:rsidRDefault="00000000">
      <w:pPr>
        <w:adjustRightInd w:val="0"/>
        <w:snapToGrid w:val="0"/>
        <w:spacing w:after="0"/>
        <w:ind w:firstLine="480"/>
        <w:rPr>
          <w:rFonts w:cs="Times New Roman"/>
          <w:kern w:val="21"/>
        </w:rPr>
      </w:pPr>
      <w:r>
        <w:rPr>
          <w:rFonts w:cs="Times New Roman"/>
          <w:kern w:val="21"/>
        </w:rPr>
        <w:t>3</w:t>
      </w:r>
      <w:r>
        <w:rPr>
          <w:rFonts w:cs="Times New Roman"/>
          <w:kern w:val="21"/>
        </w:rPr>
        <w:t>）</w:t>
      </w:r>
      <w:proofErr w:type="gramStart"/>
      <w:r>
        <w:rPr>
          <w:rFonts w:cs="Times New Roman" w:hint="eastAsia"/>
          <w:kern w:val="21"/>
        </w:rPr>
        <w:t>育雏场</w:t>
      </w:r>
      <w:proofErr w:type="gramEnd"/>
      <w:r>
        <w:rPr>
          <w:rFonts w:cs="Times New Roman" w:hint="eastAsia"/>
          <w:kern w:val="21"/>
        </w:rPr>
        <w:t>及蛋鸡场均设置</w:t>
      </w:r>
      <w:r>
        <w:rPr>
          <w:rFonts w:cs="Times New Roman"/>
          <w:kern w:val="21"/>
        </w:rPr>
        <w:t>病死鸡暂存点</w:t>
      </w:r>
      <w:r>
        <w:rPr>
          <w:rFonts w:cs="Times New Roman" w:hint="eastAsia"/>
          <w:kern w:val="21"/>
        </w:rPr>
        <w:t>（冰柜暂存），</w:t>
      </w:r>
      <w:r>
        <w:rPr>
          <w:rFonts w:cs="Times New Roman"/>
          <w:kern w:val="21"/>
        </w:rPr>
        <w:t>位于</w:t>
      </w:r>
      <w:r>
        <w:rPr>
          <w:rFonts w:cs="Times New Roman" w:hint="eastAsia"/>
          <w:kern w:val="21"/>
        </w:rPr>
        <w:t>各场区</w:t>
      </w:r>
      <w:r>
        <w:rPr>
          <w:rFonts w:cs="Times New Roman"/>
          <w:kern w:val="21"/>
        </w:rPr>
        <w:t>靠近</w:t>
      </w:r>
      <w:r>
        <w:rPr>
          <w:rFonts w:cs="Times New Roman" w:hint="eastAsia"/>
          <w:kern w:val="21"/>
        </w:rPr>
        <w:t>污物转运通道出入口</w:t>
      </w:r>
      <w:r>
        <w:rPr>
          <w:rFonts w:cs="Times New Roman"/>
          <w:kern w:val="21"/>
        </w:rPr>
        <w:t>一侧，方便对</w:t>
      </w:r>
      <w:r>
        <w:rPr>
          <w:rFonts w:cs="Times New Roman" w:hint="eastAsia"/>
          <w:kern w:val="21"/>
        </w:rPr>
        <w:t>病死鸡以及</w:t>
      </w:r>
      <w:r>
        <w:rPr>
          <w:rFonts w:cs="Times New Roman"/>
          <w:kern w:val="21"/>
        </w:rPr>
        <w:t>产生的废弃医疗用品的转运，减少转运途中的遗撒风险。</w:t>
      </w:r>
    </w:p>
    <w:p w14:paraId="1345E699" w14:textId="77777777" w:rsidR="00544649" w:rsidRDefault="00000000">
      <w:pPr>
        <w:adjustRightInd w:val="0"/>
        <w:snapToGrid w:val="0"/>
        <w:spacing w:after="0"/>
        <w:ind w:firstLine="480"/>
        <w:rPr>
          <w:rFonts w:cs="Times New Roman"/>
          <w:kern w:val="21"/>
        </w:rPr>
      </w:pPr>
      <w:r>
        <w:rPr>
          <w:rFonts w:cs="Times New Roman" w:hint="eastAsia"/>
          <w:kern w:val="21"/>
        </w:rPr>
        <w:t>综上，本项目总平面布置功能分区清晰，工艺流程顺畅，物流短捷，人流、物流</w:t>
      </w:r>
      <w:r>
        <w:rPr>
          <w:rFonts w:cs="Times New Roman" w:hint="eastAsia"/>
          <w:kern w:val="21"/>
        </w:rPr>
        <w:lastRenderedPageBreak/>
        <w:t>互不交叉干扰，协调了生产和环保的关系，从环保角度分析其平面布局基本合理，项目布局符合《畜禽养殖业污染防治技术规范》（</w:t>
      </w:r>
      <w:r>
        <w:rPr>
          <w:rFonts w:cs="Times New Roman"/>
          <w:kern w:val="21"/>
        </w:rPr>
        <w:t>HJ/T81-2001</w:t>
      </w:r>
      <w:r>
        <w:rPr>
          <w:rFonts w:cs="Times New Roman" w:hint="eastAsia"/>
          <w:kern w:val="21"/>
        </w:rPr>
        <w:t>）要求。因此，项目总平面布置合理。</w:t>
      </w:r>
    </w:p>
    <w:p w14:paraId="7BAC3A12" w14:textId="77777777" w:rsidR="00544649" w:rsidRDefault="00000000">
      <w:pPr>
        <w:adjustRightInd w:val="0"/>
        <w:snapToGrid w:val="0"/>
        <w:spacing w:after="0"/>
        <w:ind w:firstLine="480"/>
        <w:rPr>
          <w:rFonts w:cs="Times New Roman"/>
          <w:kern w:val="21"/>
        </w:rPr>
      </w:pPr>
      <w:r>
        <w:rPr>
          <w:rFonts w:cs="Times New Roman"/>
          <w:kern w:val="21"/>
        </w:rPr>
        <w:t>总体而言，项目区布设功能明确，互不干扰，本项目场区在布局上充分考虑了生产工艺的需求，各功能区分布明确，组织协作良好，同时满足消防、运输、卫生等要求，在做好相应隔离的防范措施、严格落实本报告提出的各项环保措施的情况下，对环境的影响小。</w:t>
      </w:r>
    </w:p>
    <w:p w14:paraId="193CB11D" w14:textId="77777777" w:rsidR="00544649" w:rsidRDefault="00000000">
      <w:pPr>
        <w:numPr>
          <w:ilvl w:val="1"/>
          <w:numId w:val="9"/>
        </w:numPr>
        <w:adjustRightInd w:val="0"/>
        <w:snapToGrid w:val="0"/>
        <w:spacing w:after="0"/>
        <w:ind w:firstLineChars="0"/>
        <w:outlineLvl w:val="1"/>
        <w:rPr>
          <w:rFonts w:cs="Times New Roman"/>
          <w:b/>
          <w:bCs/>
          <w:kern w:val="21"/>
          <w:sz w:val="32"/>
          <w:szCs w:val="32"/>
        </w:rPr>
      </w:pPr>
      <w:bookmarkStart w:id="220" w:name="_Toc195009839"/>
      <w:r>
        <w:rPr>
          <w:rFonts w:cs="Times New Roman" w:hint="eastAsia"/>
          <w:b/>
          <w:bCs/>
          <w:kern w:val="21"/>
          <w:sz w:val="32"/>
          <w:szCs w:val="32"/>
        </w:rPr>
        <w:t>劳动定员与工作制度</w:t>
      </w:r>
      <w:bookmarkEnd w:id="220"/>
    </w:p>
    <w:p w14:paraId="486360A7"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w:t>
      </w:r>
      <w:r>
        <w:rPr>
          <w:rFonts w:cs="Times New Roman" w:hint="eastAsia"/>
          <w:b/>
          <w:bCs/>
          <w:kern w:val="21"/>
          <w:szCs w:val="24"/>
        </w:rPr>
        <w:t>1</w:t>
      </w:r>
      <w:r>
        <w:rPr>
          <w:rFonts w:cs="Times New Roman" w:hint="eastAsia"/>
          <w:b/>
          <w:bCs/>
          <w:kern w:val="21"/>
          <w:szCs w:val="24"/>
        </w:rPr>
        <w:t>）</w:t>
      </w:r>
      <w:r>
        <w:rPr>
          <w:rFonts w:cs="Times New Roman"/>
          <w:b/>
          <w:bCs/>
          <w:kern w:val="21"/>
          <w:szCs w:val="24"/>
        </w:rPr>
        <w:t>劳动定员</w:t>
      </w:r>
    </w:p>
    <w:p w14:paraId="277FCC93" w14:textId="77777777" w:rsidR="00544649" w:rsidRDefault="00000000">
      <w:pPr>
        <w:adjustRightInd w:val="0"/>
        <w:snapToGrid w:val="0"/>
        <w:spacing w:after="0"/>
        <w:ind w:firstLine="480"/>
        <w:rPr>
          <w:rFonts w:cs="Times New Roman"/>
          <w:kern w:val="21"/>
          <w:szCs w:val="24"/>
        </w:rPr>
      </w:pPr>
      <w:r>
        <w:rPr>
          <w:rFonts w:cs="Times New Roman"/>
          <w:kern w:val="21"/>
          <w:szCs w:val="24"/>
        </w:rPr>
        <w:t>根据</w:t>
      </w:r>
      <w:r>
        <w:rPr>
          <w:rFonts w:cs="Times New Roman" w:hint="eastAsia"/>
          <w:kern w:val="21"/>
          <w:szCs w:val="24"/>
        </w:rPr>
        <w:t>运行</w:t>
      </w:r>
      <w:r>
        <w:rPr>
          <w:rFonts w:cs="Times New Roman"/>
          <w:kern w:val="21"/>
          <w:szCs w:val="24"/>
        </w:rPr>
        <w:t>规模和</w:t>
      </w:r>
      <w:r>
        <w:rPr>
          <w:rFonts w:cs="Times New Roman" w:hint="eastAsia"/>
          <w:kern w:val="21"/>
          <w:szCs w:val="24"/>
        </w:rPr>
        <w:t>生产</w:t>
      </w:r>
      <w:r>
        <w:rPr>
          <w:rFonts w:cs="Times New Roman"/>
          <w:kern w:val="21"/>
          <w:szCs w:val="24"/>
        </w:rPr>
        <w:t>需要，</w:t>
      </w:r>
      <w:r>
        <w:rPr>
          <w:rFonts w:cs="Times New Roman" w:hint="eastAsia"/>
          <w:kern w:val="21"/>
          <w:szCs w:val="24"/>
        </w:rPr>
        <w:t>本项目劳动</w:t>
      </w:r>
      <w:r>
        <w:rPr>
          <w:rFonts w:cs="Times New Roman"/>
          <w:kern w:val="21"/>
          <w:szCs w:val="24"/>
        </w:rPr>
        <w:t>定员</w:t>
      </w:r>
      <w:r>
        <w:rPr>
          <w:rFonts w:cs="Times New Roman" w:hint="eastAsia"/>
          <w:kern w:val="21"/>
          <w:szCs w:val="24"/>
        </w:rPr>
        <w:t>共</w:t>
      </w:r>
      <w:r>
        <w:rPr>
          <w:rFonts w:cs="Times New Roman" w:hint="eastAsia"/>
          <w:kern w:val="21"/>
          <w:szCs w:val="24"/>
        </w:rPr>
        <w:t>33</w:t>
      </w:r>
      <w:r>
        <w:rPr>
          <w:rFonts w:cs="Times New Roman"/>
          <w:kern w:val="21"/>
          <w:szCs w:val="24"/>
        </w:rPr>
        <w:t>人</w:t>
      </w:r>
      <w:r>
        <w:rPr>
          <w:rFonts w:cs="Times New Roman" w:hint="eastAsia"/>
          <w:kern w:val="21"/>
          <w:szCs w:val="24"/>
        </w:rPr>
        <w:t>，其中</w:t>
      </w:r>
      <w:bookmarkStart w:id="221" w:name="_Hlk187053528"/>
      <w:proofErr w:type="gramStart"/>
      <w:r>
        <w:rPr>
          <w:rFonts w:cs="Times New Roman" w:hint="eastAsia"/>
          <w:kern w:val="21"/>
          <w:szCs w:val="24"/>
        </w:rPr>
        <w:t>育雏场员工</w:t>
      </w:r>
      <w:proofErr w:type="gramEnd"/>
      <w:r>
        <w:rPr>
          <w:rFonts w:cs="Times New Roman" w:hint="eastAsia"/>
          <w:kern w:val="21"/>
          <w:szCs w:val="24"/>
        </w:rPr>
        <w:t>为</w:t>
      </w:r>
      <w:r>
        <w:rPr>
          <w:rFonts w:cs="Times New Roman" w:hint="eastAsia"/>
          <w:kern w:val="21"/>
          <w:szCs w:val="24"/>
        </w:rPr>
        <w:t>8</w:t>
      </w:r>
      <w:r>
        <w:rPr>
          <w:rFonts w:cs="Times New Roman" w:hint="eastAsia"/>
          <w:kern w:val="21"/>
          <w:szCs w:val="24"/>
        </w:rPr>
        <w:t>人，蛋鸡</w:t>
      </w:r>
      <w:proofErr w:type="gramStart"/>
      <w:r>
        <w:rPr>
          <w:rFonts w:cs="Times New Roman" w:hint="eastAsia"/>
          <w:kern w:val="21"/>
          <w:szCs w:val="24"/>
        </w:rPr>
        <w:t>场员工</w:t>
      </w:r>
      <w:proofErr w:type="gramEnd"/>
      <w:r>
        <w:rPr>
          <w:rFonts w:cs="Times New Roman" w:hint="eastAsia"/>
          <w:kern w:val="21"/>
          <w:szCs w:val="24"/>
        </w:rPr>
        <w:t>为</w:t>
      </w:r>
      <w:r>
        <w:rPr>
          <w:rFonts w:cs="Times New Roman" w:hint="eastAsia"/>
          <w:kern w:val="21"/>
          <w:szCs w:val="24"/>
        </w:rPr>
        <w:t>25</w:t>
      </w:r>
      <w:r>
        <w:rPr>
          <w:rFonts w:cs="Times New Roman" w:hint="eastAsia"/>
          <w:kern w:val="21"/>
          <w:szCs w:val="24"/>
        </w:rPr>
        <w:t>人。</w:t>
      </w:r>
    </w:p>
    <w:bookmarkEnd w:id="221"/>
    <w:p w14:paraId="6CD7D813"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w:t>
      </w:r>
      <w:r>
        <w:rPr>
          <w:rFonts w:cs="Times New Roman" w:hint="eastAsia"/>
          <w:b/>
          <w:bCs/>
          <w:kern w:val="21"/>
          <w:szCs w:val="24"/>
        </w:rPr>
        <w:t>2</w:t>
      </w:r>
      <w:r>
        <w:rPr>
          <w:rFonts w:cs="Times New Roman" w:hint="eastAsia"/>
          <w:b/>
          <w:bCs/>
          <w:kern w:val="21"/>
          <w:szCs w:val="24"/>
        </w:rPr>
        <w:t>）</w:t>
      </w:r>
      <w:r>
        <w:rPr>
          <w:rFonts w:cs="Times New Roman"/>
          <w:b/>
          <w:bCs/>
          <w:kern w:val="21"/>
          <w:szCs w:val="24"/>
        </w:rPr>
        <w:t>工作制度</w:t>
      </w:r>
    </w:p>
    <w:p w14:paraId="2F894558" w14:textId="77777777" w:rsidR="00544649" w:rsidRDefault="00000000">
      <w:pPr>
        <w:pStyle w:val="aff2"/>
        <w:adjustRightInd w:val="0"/>
        <w:snapToGrid w:val="0"/>
        <w:spacing w:after="0"/>
        <w:rPr>
          <w:rFonts w:ascii="Times New Roman" w:hAnsi="Times New Roman" w:cs="Times New Roman"/>
          <w:kern w:val="21"/>
        </w:rPr>
      </w:pPr>
      <w:r>
        <w:rPr>
          <w:rFonts w:ascii="Times New Roman" w:hAnsi="Times New Roman" w:cs="Times New Roman"/>
          <w:kern w:val="21"/>
        </w:rPr>
        <w:t>本</w:t>
      </w:r>
      <w:r>
        <w:rPr>
          <w:rFonts w:ascii="Times New Roman" w:hAnsi="Times New Roman" w:cs="Times New Roman" w:hint="eastAsia"/>
          <w:kern w:val="21"/>
        </w:rPr>
        <w:t>项目运行</w:t>
      </w:r>
      <w:r>
        <w:rPr>
          <w:rFonts w:ascii="Times New Roman" w:hAnsi="Times New Roman" w:cs="Times New Roman"/>
          <w:kern w:val="21"/>
        </w:rPr>
        <w:t>采取</w:t>
      </w:r>
      <w:r>
        <w:rPr>
          <w:rFonts w:ascii="Times New Roman" w:hAnsi="Times New Roman" w:cs="Times New Roman" w:hint="eastAsia"/>
          <w:kern w:val="21"/>
        </w:rPr>
        <w:t>一</w:t>
      </w:r>
      <w:r>
        <w:rPr>
          <w:rFonts w:ascii="Times New Roman" w:hAnsi="Times New Roman" w:cs="Times New Roman"/>
          <w:kern w:val="21"/>
        </w:rPr>
        <w:t>班制</w:t>
      </w:r>
      <w:r>
        <w:rPr>
          <w:rFonts w:ascii="Times New Roman" w:hAnsi="Times New Roman" w:cs="Times New Roman" w:hint="eastAsia"/>
          <w:kern w:val="21"/>
        </w:rPr>
        <w:t>工作制度</w:t>
      </w:r>
      <w:r>
        <w:rPr>
          <w:rFonts w:ascii="Times New Roman" w:hAnsi="Times New Roman" w:cs="Times New Roman"/>
          <w:kern w:val="21"/>
        </w:rPr>
        <w:t>，每</w:t>
      </w:r>
      <w:r>
        <w:rPr>
          <w:rFonts w:ascii="Times New Roman" w:hAnsi="Times New Roman" w:cs="Times New Roman" w:hint="eastAsia"/>
          <w:kern w:val="21"/>
        </w:rPr>
        <w:t>天</w:t>
      </w:r>
      <w:r>
        <w:rPr>
          <w:rFonts w:ascii="Times New Roman" w:hAnsi="Times New Roman" w:cs="Times New Roman"/>
          <w:kern w:val="21"/>
        </w:rPr>
        <w:t>工作时间</w:t>
      </w:r>
      <w:r>
        <w:rPr>
          <w:rFonts w:ascii="Times New Roman" w:hAnsi="Times New Roman" w:cs="Times New Roman" w:hint="eastAsia"/>
          <w:kern w:val="21"/>
        </w:rPr>
        <w:t>12</w:t>
      </w:r>
      <w:r>
        <w:rPr>
          <w:rFonts w:ascii="Times New Roman" w:hAnsi="Times New Roman" w:cs="Times New Roman"/>
          <w:kern w:val="21"/>
        </w:rPr>
        <w:t>h</w:t>
      </w:r>
      <w:r>
        <w:rPr>
          <w:rFonts w:ascii="Times New Roman" w:hAnsi="Times New Roman" w:cs="Times New Roman" w:hint="eastAsia"/>
          <w:kern w:val="21"/>
        </w:rPr>
        <w:t>，</w:t>
      </w:r>
      <w:r>
        <w:rPr>
          <w:rFonts w:ascii="Times New Roman" w:hAnsi="Times New Roman" w:cs="Times New Roman"/>
          <w:kern w:val="21"/>
        </w:rPr>
        <w:t>年工作</w:t>
      </w:r>
      <w:r>
        <w:rPr>
          <w:rFonts w:ascii="Times New Roman" w:hAnsi="Times New Roman" w:cs="Times New Roman"/>
          <w:kern w:val="21"/>
        </w:rPr>
        <w:t>365</w:t>
      </w:r>
      <w:r>
        <w:rPr>
          <w:rFonts w:ascii="Times New Roman" w:hAnsi="Times New Roman" w:cs="Times New Roman"/>
          <w:kern w:val="21"/>
        </w:rPr>
        <w:t>天。</w:t>
      </w:r>
    </w:p>
    <w:p w14:paraId="4035FEEF" w14:textId="77777777" w:rsidR="00544649" w:rsidRDefault="00000000">
      <w:pPr>
        <w:numPr>
          <w:ilvl w:val="1"/>
          <w:numId w:val="9"/>
        </w:numPr>
        <w:adjustRightInd w:val="0"/>
        <w:snapToGrid w:val="0"/>
        <w:spacing w:after="0"/>
        <w:ind w:firstLineChars="0"/>
        <w:outlineLvl w:val="1"/>
        <w:rPr>
          <w:rFonts w:cs="Times New Roman"/>
          <w:b/>
          <w:kern w:val="21"/>
          <w:sz w:val="32"/>
          <w:szCs w:val="32"/>
        </w:rPr>
      </w:pPr>
      <w:bookmarkStart w:id="222" w:name="_Toc195009840"/>
      <w:r>
        <w:rPr>
          <w:rFonts w:cs="Times New Roman" w:hint="eastAsia"/>
          <w:b/>
          <w:kern w:val="21"/>
          <w:sz w:val="32"/>
          <w:szCs w:val="32"/>
        </w:rPr>
        <w:t>水平衡分析</w:t>
      </w:r>
      <w:bookmarkEnd w:id="222"/>
    </w:p>
    <w:p w14:paraId="7281F8FA" w14:textId="77777777" w:rsidR="00544649" w:rsidRDefault="00000000">
      <w:pPr>
        <w:numPr>
          <w:ilvl w:val="2"/>
          <w:numId w:val="9"/>
        </w:numPr>
        <w:adjustRightInd w:val="0"/>
        <w:snapToGrid w:val="0"/>
        <w:spacing w:after="0"/>
        <w:ind w:firstLineChars="0"/>
        <w:outlineLvl w:val="2"/>
        <w:rPr>
          <w:rFonts w:cs="Times New Roman"/>
          <w:b/>
          <w:bCs/>
          <w:kern w:val="21"/>
          <w:sz w:val="28"/>
          <w:szCs w:val="24"/>
        </w:rPr>
      </w:pPr>
      <w:bookmarkStart w:id="223" w:name="_Toc195009841"/>
      <w:r>
        <w:rPr>
          <w:rFonts w:cs="Times New Roman" w:hint="eastAsia"/>
          <w:b/>
          <w:bCs/>
          <w:kern w:val="21"/>
          <w:sz w:val="28"/>
          <w:szCs w:val="24"/>
        </w:rPr>
        <w:t>给水</w:t>
      </w:r>
      <w:bookmarkEnd w:id="223"/>
    </w:p>
    <w:p w14:paraId="60A49A0F" w14:textId="77777777" w:rsidR="00544649" w:rsidRDefault="00000000">
      <w:pPr>
        <w:pStyle w:val="afa"/>
        <w:adjustRightInd w:val="0"/>
        <w:snapToGrid w:val="0"/>
        <w:spacing w:after="0" w:line="360" w:lineRule="auto"/>
        <w:ind w:firstLineChars="200" w:firstLine="480"/>
        <w:rPr>
          <w:sz w:val="24"/>
        </w:rPr>
      </w:pPr>
      <w:r>
        <w:rPr>
          <w:rFonts w:hint="eastAsia"/>
          <w:sz w:val="24"/>
        </w:rPr>
        <w:t>略。</w:t>
      </w:r>
    </w:p>
    <w:p w14:paraId="25B70B5D" w14:textId="77777777" w:rsidR="00544649" w:rsidRDefault="00000000">
      <w:pPr>
        <w:numPr>
          <w:ilvl w:val="2"/>
          <w:numId w:val="9"/>
        </w:numPr>
        <w:adjustRightInd w:val="0"/>
        <w:snapToGrid w:val="0"/>
        <w:spacing w:after="0"/>
        <w:ind w:firstLineChars="0"/>
        <w:outlineLvl w:val="2"/>
        <w:rPr>
          <w:rFonts w:cs="Times New Roman"/>
          <w:kern w:val="21"/>
        </w:rPr>
      </w:pPr>
      <w:bookmarkStart w:id="224" w:name="_Toc195009842"/>
      <w:r>
        <w:rPr>
          <w:rFonts w:cs="Times New Roman" w:hint="eastAsia"/>
          <w:b/>
          <w:bCs/>
          <w:kern w:val="21"/>
          <w:sz w:val="28"/>
          <w:szCs w:val="24"/>
        </w:rPr>
        <w:t>排水</w:t>
      </w:r>
      <w:bookmarkEnd w:id="224"/>
    </w:p>
    <w:p w14:paraId="7A3BC76C" w14:textId="77777777" w:rsidR="00544649" w:rsidRDefault="00000000">
      <w:pPr>
        <w:adjustRightInd w:val="0"/>
        <w:snapToGrid w:val="0"/>
        <w:spacing w:after="0"/>
        <w:ind w:firstLine="480"/>
        <w:rPr>
          <w:rFonts w:cs="Times New Roman"/>
          <w:kern w:val="21"/>
        </w:rPr>
      </w:pPr>
      <w:r>
        <w:rPr>
          <w:rFonts w:cs="Times New Roman" w:hint="eastAsia"/>
          <w:kern w:val="21"/>
        </w:rPr>
        <w:t>项目排水采用雨、污分流的方式。雨水通过雨水沟排入附近地表水体。降温水帘用水循环使用，定期补充新鲜</w:t>
      </w:r>
      <w:r>
        <w:rPr>
          <w:rFonts w:cs="Times New Roman"/>
          <w:kern w:val="21"/>
        </w:rPr>
        <w:t>水，无生产废水产生。</w:t>
      </w:r>
      <w:r>
        <w:rPr>
          <w:rFonts w:cs="Times New Roman"/>
          <w:kern w:val="21"/>
          <w:szCs w:val="24"/>
        </w:rPr>
        <w:t>项目餐厨废水经</w:t>
      </w:r>
      <w:r>
        <w:rPr>
          <w:rFonts w:cs="Times New Roman"/>
          <w:kern w:val="21"/>
        </w:rPr>
        <w:t>隔油装置</w:t>
      </w:r>
      <w:r>
        <w:rPr>
          <w:rFonts w:cs="Times New Roman"/>
          <w:kern w:val="21"/>
          <w:szCs w:val="24"/>
        </w:rPr>
        <w:t>处理后与生活污水、鸡舍清洗废水一起经场内污水处理站处理《农田灌溉水质标准》（</w:t>
      </w:r>
      <w:r>
        <w:rPr>
          <w:rFonts w:cs="Times New Roman"/>
          <w:kern w:val="21"/>
          <w:szCs w:val="24"/>
        </w:rPr>
        <w:t>GB5084</w:t>
      </w:r>
      <w:r>
        <w:rPr>
          <w:rFonts w:cs="Times New Roman" w:hint="eastAsia"/>
          <w:kern w:val="21"/>
          <w:szCs w:val="24"/>
        </w:rPr>
        <w:t>-2021</w:t>
      </w:r>
      <w:r>
        <w:rPr>
          <w:rFonts w:cs="Times New Roman"/>
          <w:kern w:val="21"/>
          <w:szCs w:val="24"/>
        </w:rPr>
        <w:t>）后用于林地灌溉</w:t>
      </w:r>
      <w:r>
        <w:rPr>
          <w:rFonts w:cs="Times New Roman" w:hint="eastAsia"/>
          <w:kern w:val="21"/>
          <w:szCs w:val="24"/>
        </w:rPr>
        <w:t>，不外排</w:t>
      </w:r>
      <w:r>
        <w:rPr>
          <w:rFonts w:cs="Times New Roman"/>
          <w:kern w:val="21"/>
          <w:szCs w:val="24"/>
        </w:rPr>
        <w:t>。</w:t>
      </w:r>
    </w:p>
    <w:p w14:paraId="7098F466" w14:textId="77777777" w:rsidR="00544649" w:rsidRDefault="00000000">
      <w:pPr>
        <w:adjustRightInd w:val="0"/>
        <w:snapToGrid w:val="0"/>
        <w:spacing w:after="0"/>
        <w:ind w:firstLine="482"/>
        <w:rPr>
          <w:rFonts w:cs="Times New Roman"/>
          <w:kern w:val="21"/>
        </w:rPr>
      </w:pPr>
      <w:r>
        <w:rPr>
          <w:rFonts w:cs="Times New Roman" w:hint="eastAsia"/>
          <w:b/>
          <w:bCs/>
          <w:kern w:val="21"/>
        </w:rPr>
        <w:t>略</w:t>
      </w:r>
      <w:r>
        <w:rPr>
          <w:rFonts w:cs="Times New Roman" w:hint="eastAsia"/>
          <w:kern w:val="21"/>
        </w:rPr>
        <w:t>。</w:t>
      </w:r>
    </w:p>
    <w:p w14:paraId="36E4DCEC" w14:textId="77777777" w:rsidR="00544649" w:rsidRDefault="00000000">
      <w:pPr>
        <w:numPr>
          <w:ilvl w:val="2"/>
          <w:numId w:val="9"/>
        </w:numPr>
        <w:adjustRightInd w:val="0"/>
        <w:snapToGrid w:val="0"/>
        <w:spacing w:after="0"/>
        <w:ind w:firstLineChars="0"/>
        <w:outlineLvl w:val="2"/>
        <w:rPr>
          <w:rFonts w:cs="Times New Roman"/>
          <w:b/>
          <w:bCs/>
          <w:kern w:val="21"/>
          <w:sz w:val="28"/>
          <w:szCs w:val="24"/>
        </w:rPr>
      </w:pPr>
      <w:bookmarkStart w:id="225" w:name="_Toc195009843"/>
      <w:r>
        <w:rPr>
          <w:rFonts w:cs="Times New Roman"/>
          <w:b/>
          <w:bCs/>
          <w:kern w:val="21"/>
          <w:sz w:val="28"/>
          <w:szCs w:val="24"/>
        </w:rPr>
        <w:t>水平衡</w:t>
      </w:r>
      <w:bookmarkEnd w:id="225"/>
    </w:p>
    <w:p w14:paraId="2AF2F43D" w14:textId="77777777" w:rsidR="00544649" w:rsidRDefault="00000000">
      <w:pPr>
        <w:adjustRightInd w:val="0"/>
        <w:snapToGrid w:val="0"/>
        <w:spacing w:beforeLines="20" w:before="62" w:afterLines="20" w:after="62" w:line="240" w:lineRule="auto"/>
        <w:ind w:firstLineChars="0" w:firstLine="0"/>
        <w:rPr>
          <w:rFonts w:cs="Times New Roman"/>
          <w:b/>
          <w:kern w:val="21"/>
          <w:sz w:val="21"/>
          <w:szCs w:val="21"/>
        </w:rPr>
      </w:pPr>
      <w:r>
        <w:rPr>
          <w:rFonts w:cs="Times New Roman" w:hint="eastAsia"/>
          <w:kern w:val="21"/>
          <w:szCs w:val="24"/>
        </w:rPr>
        <w:t>略</w:t>
      </w:r>
    </w:p>
    <w:p w14:paraId="459083BA" w14:textId="77777777" w:rsidR="00544649" w:rsidRDefault="00000000">
      <w:pPr>
        <w:keepNext/>
        <w:keepLines/>
        <w:pageBreakBefore/>
        <w:numPr>
          <w:ilvl w:val="0"/>
          <w:numId w:val="9"/>
        </w:numPr>
        <w:adjustRightInd w:val="0"/>
        <w:snapToGrid w:val="0"/>
        <w:spacing w:after="0"/>
        <w:ind w:firstLineChars="0"/>
        <w:outlineLvl w:val="0"/>
        <w:rPr>
          <w:rFonts w:cs="Times New Roman"/>
          <w:b/>
          <w:bCs/>
          <w:kern w:val="21"/>
          <w:sz w:val="36"/>
          <w:szCs w:val="36"/>
        </w:rPr>
      </w:pPr>
      <w:bookmarkStart w:id="226" w:name="_Toc5566"/>
      <w:bookmarkStart w:id="227" w:name="_Toc195009844"/>
      <w:r>
        <w:rPr>
          <w:rFonts w:cs="Times New Roman"/>
          <w:b/>
          <w:bCs/>
          <w:kern w:val="21"/>
          <w:sz w:val="36"/>
          <w:szCs w:val="36"/>
        </w:rPr>
        <w:lastRenderedPageBreak/>
        <w:t>工程分析</w:t>
      </w:r>
      <w:bookmarkEnd w:id="226"/>
      <w:bookmarkEnd w:id="227"/>
    </w:p>
    <w:p w14:paraId="541A5FEB"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228" w:name="_Toc2907"/>
      <w:bookmarkStart w:id="229" w:name="_Toc195009845"/>
      <w:r>
        <w:rPr>
          <w:rFonts w:cs="Times New Roman"/>
          <w:b/>
          <w:bCs/>
          <w:kern w:val="21"/>
          <w:sz w:val="32"/>
          <w:szCs w:val="32"/>
        </w:rPr>
        <w:t>施工期工程分析</w:t>
      </w:r>
      <w:bookmarkEnd w:id="228"/>
      <w:bookmarkEnd w:id="229"/>
    </w:p>
    <w:p w14:paraId="12DEA30D"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8"/>
        </w:rPr>
      </w:pPr>
      <w:bookmarkStart w:id="230" w:name="_Toc16984"/>
      <w:bookmarkStart w:id="231" w:name="_Toc108644605"/>
      <w:bookmarkStart w:id="232" w:name="_Toc195009846"/>
      <w:r>
        <w:rPr>
          <w:rFonts w:cs="Times New Roman"/>
          <w:b/>
          <w:bCs/>
          <w:kern w:val="21"/>
          <w:sz w:val="28"/>
          <w:szCs w:val="28"/>
        </w:rPr>
        <w:t>施工期工艺流程</w:t>
      </w:r>
      <w:proofErr w:type="gramStart"/>
      <w:r>
        <w:rPr>
          <w:rFonts w:cs="Times New Roman"/>
          <w:b/>
          <w:bCs/>
          <w:kern w:val="21"/>
          <w:sz w:val="28"/>
          <w:szCs w:val="28"/>
        </w:rPr>
        <w:t>及产污环节</w:t>
      </w:r>
      <w:proofErr w:type="gramEnd"/>
      <w:r>
        <w:rPr>
          <w:rFonts w:cs="Times New Roman"/>
          <w:b/>
          <w:bCs/>
          <w:kern w:val="21"/>
          <w:sz w:val="28"/>
          <w:szCs w:val="28"/>
        </w:rPr>
        <w:t>分析</w:t>
      </w:r>
      <w:bookmarkEnd w:id="230"/>
      <w:bookmarkEnd w:id="231"/>
      <w:bookmarkEnd w:id="232"/>
    </w:p>
    <w:p w14:paraId="0221D3B0" w14:textId="77777777" w:rsidR="00544649" w:rsidRDefault="00000000">
      <w:pPr>
        <w:adjustRightInd w:val="0"/>
        <w:snapToGrid w:val="0"/>
        <w:spacing w:after="0"/>
        <w:ind w:firstLine="480"/>
        <w:rPr>
          <w:rFonts w:cs="Times New Roman"/>
          <w:kern w:val="21"/>
          <w:szCs w:val="24"/>
        </w:rPr>
      </w:pPr>
      <w:r>
        <w:rPr>
          <w:rFonts w:cs="Times New Roman"/>
          <w:kern w:val="21"/>
          <w:szCs w:val="24"/>
        </w:rPr>
        <w:t>本项目</w:t>
      </w:r>
      <w:r>
        <w:rPr>
          <w:rFonts w:cs="Times New Roman" w:hint="eastAsia"/>
          <w:kern w:val="21"/>
          <w:szCs w:val="24"/>
        </w:rPr>
        <w:t>为新建项目</w:t>
      </w:r>
      <w:r>
        <w:rPr>
          <w:rFonts w:cs="Times New Roman"/>
          <w:kern w:val="21"/>
          <w:szCs w:val="24"/>
        </w:rPr>
        <w:t>，其</w:t>
      </w:r>
      <w:r>
        <w:rPr>
          <w:rFonts w:cs="Times New Roman" w:hint="eastAsia"/>
          <w:kern w:val="21"/>
          <w:szCs w:val="24"/>
        </w:rPr>
        <w:t>施工期间主要产生噪声、扬尘、固体废弃物、施工废水和废气等污染物，其排放量随施工期的内容不同而有所变化。</w:t>
      </w:r>
    </w:p>
    <w:p w14:paraId="66C2AF9F"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本项目选址于剑阁县剑门关镇新龙村六组和双鱼村七组，项目用地性质主要为林地，不占用基本农田。根据现场踏勘，目前项目地现状主要为树林及少量羊圈等，本项目为新建项目，项目用地现状无遗留环境问题。</w:t>
      </w:r>
    </w:p>
    <w:p w14:paraId="55D858CE"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本项目施工期主要包括场地平整、基础工程、主体工程、装饰工程、安装工程、工程验收等</w:t>
      </w:r>
      <w:r>
        <w:rPr>
          <w:rFonts w:cs="Times New Roman"/>
          <w:kern w:val="21"/>
          <w:szCs w:val="24"/>
        </w:rPr>
        <w:t>活动，该过程主要污染因素为设备</w:t>
      </w:r>
      <w:r>
        <w:rPr>
          <w:rFonts w:cs="Times New Roman" w:hint="eastAsia"/>
          <w:kern w:val="21"/>
          <w:szCs w:val="24"/>
        </w:rPr>
        <w:t>设施噪声、扬尘、弃土、建筑弃渣、</w:t>
      </w:r>
      <w:r>
        <w:rPr>
          <w:rFonts w:cs="Times New Roman"/>
          <w:kern w:val="21"/>
          <w:szCs w:val="24"/>
        </w:rPr>
        <w:t>施工人员的生活污水、生活垃圾等。</w:t>
      </w:r>
      <w:r>
        <w:rPr>
          <w:rFonts w:cs="Times New Roman"/>
          <w:bCs/>
          <w:kern w:val="21"/>
          <w:szCs w:val="24"/>
        </w:rPr>
        <w:t>具体工艺流程</w:t>
      </w:r>
      <w:proofErr w:type="gramStart"/>
      <w:r>
        <w:rPr>
          <w:rFonts w:cs="Times New Roman"/>
          <w:bCs/>
          <w:kern w:val="21"/>
          <w:szCs w:val="24"/>
        </w:rPr>
        <w:t>及产污环节</w:t>
      </w:r>
      <w:proofErr w:type="gramEnd"/>
      <w:r>
        <w:rPr>
          <w:rFonts w:cs="Times New Roman"/>
          <w:bCs/>
          <w:kern w:val="21"/>
          <w:szCs w:val="24"/>
        </w:rPr>
        <w:t>见下图。</w:t>
      </w:r>
    </w:p>
    <w:p w14:paraId="67D3B2D9"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hint="eastAsia"/>
        </w:rPr>
        <w:object w:dxaOrig="8130" w:dyaOrig="2730" w14:anchorId="0F94CD57">
          <v:shape id="_x0000_i1028" type="#_x0000_t75" style="width:406.5pt;height:136.5pt" o:ole="">
            <v:imagedata r:id="rId39" o:title=""/>
          </v:shape>
          <o:OLEObject Type="Embed" ProgID="Visio.Drawing.11" ShapeID="_x0000_i1028" DrawAspect="Content" ObjectID="_1806238024" r:id="rId40"/>
        </w:object>
      </w:r>
    </w:p>
    <w:p w14:paraId="3F810AC5" w14:textId="77777777" w:rsidR="00544649" w:rsidRDefault="00000000">
      <w:pPr>
        <w:numPr>
          <w:ilvl w:val="0"/>
          <w:numId w:val="23"/>
        </w:numPr>
        <w:adjustRightInd w:val="0"/>
        <w:snapToGrid w:val="0"/>
        <w:spacing w:beforeLines="20" w:before="62" w:afterLines="20" w:after="62" w:line="240" w:lineRule="auto"/>
        <w:ind w:left="0" w:firstLineChars="0" w:firstLine="0"/>
        <w:jc w:val="center"/>
        <w:rPr>
          <w:rFonts w:cs="Times New Roman"/>
          <w:b/>
          <w:kern w:val="21"/>
          <w:sz w:val="21"/>
          <w:szCs w:val="21"/>
        </w:rPr>
      </w:pPr>
      <w:r>
        <w:rPr>
          <w:rFonts w:cs="Times New Roman"/>
          <w:b/>
          <w:kern w:val="21"/>
          <w:sz w:val="21"/>
          <w:szCs w:val="21"/>
        </w:rPr>
        <w:t>施工期工艺流程图</w:t>
      </w:r>
    </w:p>
    <w:p w14:paraId="5486FC89"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工艺流程说明：</w:t>
      </w:r>
    </w:p>
    <w:p w14:paraId="5992ECDC" w14:textId="77777777" w:rsidR="00544649" w:rsidRDefault="00000000">
      <w:pPr>
        <w:adjustRightInd w:val="0"/>
        <w:snapToGrid w:val="0"/>
        <w:spacing w:after="0"/>
        <w:ind w:firstLine="482"/>
        <w:rPr>
          <w:b/>
          <w:bCs/>
        </w:rPr>
      </w:pPr>
      <w:r>
        <w:rPr>
          <w:rFonts w:hint="eastAsia"/>
          <w:b/>
          <w:bCs/>
        </w:rPr>
        <w:t>（</w:t>
      </w:r>
      <w:r>
        <w:rPr>
          <w:rFonts w:hint="eastAsia"/>
          <w:b/>
          <w:bCs/>
        </w:rPr>
        <w:t>1</w:t>
      </w:r>
      <w:r>
        <w:rPr>
          <w:rFonts w:hint="eastAsia"/>
          <w:b/>
          <w:bCs/>
        </w:rPr>
        <w:t>）</w:t>
      </w:r>
      <w:r>
        <w:rPr>
          <w:b/>
          <w:bCs/>
        </w:rPr>
        <w:t>场地平整</w:t>
      </w:r>
    </w:p>
    <w:p w14:paraId="74958CA2" w14:textId="77777777" w:rsidR="00544649" w:rsidRDefault="00000000">
      <w:pPr>
        <w:adjustRightInd w:val="0"/>
        <w:snapToGrid w:val="0"/>
        <w:spacing w:after="0"/>
        <w:ind w:firstLine="480"/>
      </w:pPr>
      <w:r>
        <w:t>本项目建筑施工前先进行挖填方将场地进行平整。根据业主介绍，本项目挖方全部用于填方及场地平整，无弃方外排。场地平整过程中将产生设备设施噪声、扬尘等。</w:t>
      </w:r>
    </w:p>
    <w:p w14:paraId="28412574" w14:textId="77777777" w:rsidR="00544649" w:rsidRDefault="00000000">
      <w:pPr>
        <w:adjustRightInd w:val="0"/>
        <w:snapToGrid w:val="0"/>
        <w:spacing w:after="0"/>
        <w:ind w:firstLine="482"/>
        <w:rPr>
          <w:b/>
          <w:bCs/>
        </w:rPr>
      </w:pPr>
      <w:r>
        <w:rPr>
          <w:rFonts w:hint="eastAsia"/>
          <w:b/>
          <w:bCs/>
        </w:rPr>
        <w:t>（</w:t>
      </w:r>
      <w:r>
        <w:rPr>
          <w:rFonts w:hint="eastAsia"/>
          <w:b/>
          <w:bCs/>
        </w:rPr>
        <w:t>2</w:t>
      </w:r>
      <w:r>
        <w:rPr>
          <w:rFonts w:hint="eastAsia"/>
          <w:b/>
          <w:bCs/>
        </w:rPr>
        <w:t>）</w:t>
      </w:r>
      <w:r>
        <w:rPr>
          <w:b/>
          <w:bCs/>
        </w:rPr>
        <w:t>基础工程施工</w:t>
      </w:r>
    </w:p>
    <w:p w14:paraId="66469DB1" w14:textId="77777777" w:rsidR="00544649" w:rsidRDefault="00000000">
      <w:pPr>
        <w:adjustRightInd w:val="0"/>
        <w:snapToGrid w:val="0"/>
        <w:spacing w:after="0"/>
        <w:ind w:firstLine="480"/>
      </w:pPr>
      <w:r>
        <w:t>在基础开挖、地基处理（岩土工程）与基础施工时，由于挖土机、运土卡车等施工机械的运行，将产生一定的噪声；同时产生扬尘，不同条件下，扬尘对环境的影响不同；基础开挖会造成生态变化并引起一定程度的水土流失。</w:t>
      </w:r>
    </w:p>
    <w:p w14:paraId="3E1C853D" w14:textId="77777777" w:rsidR="00544649" w:rsidRDefault="00000000">
      <w:pPr>
        <w:adjustRightInd w:val="0"/>
        <w:snapToGrid w:val="0"/>
        <w:spacing w:after="0"/>
        <w:ind w:firstLine="482"/>
        <w:rPr>
          <w:b/>
          <w:bCs/>
        </w:rPr>
      </w:pPr>
      <w:r>
        <w:rPr>
          <w:rFonts w:hint="eastAsia"/>
          <w:b/>
          <w:bCs/>
        </w:rPr>
        <w:t>（</w:t>
      </w:r>
      <w:r>
        <w:rPr>
          <w:rFonts w:hint="eastAsia"/>
          <w:b/>
          <w:bCs/>
        </w:rPr>
        <w:t>3</w:t>
      </w:r>
      <w:r>
        <w:rPr>
          <w:rFonts w:hint="eastAsia"/>
          <w:b/>
          <w:bCs/>
        </w:rPr>
        <w:t>）</w:t>
      </w:r>
      <w:r>
        <w:rPr>
          <w:b/>
          <w:bCs/>
        </w:rPr>
        <w:t>主体工程</w:t>
      </w:r>
    </w:p>
    <w:p w14:paraId="67304B40" w14:textId="77777777" w:rsidR="00544649" w:rsidRDefault="00000000">
      <w:pPr>
        <w:adjustRightInd w:val="0"/>
        <w:snapToGrid w:val="0"/>
        <w:spacing w:after="0"/>
        <w:ind w:firstLine="480"/>
      </w:pPr>
      <w:r>
        <w:t>挖掘机、打夯机、装载汽车、混凝土输送泵、卷扬机、钢筋切割机等运行时会产生噪声，同时产生扬尘。此外，还有一些原材料废弃料以及生产和生活污水产生。</w:t>
      </w:r>
    </w:p>
    <w:p w14:paraId="42C3CB23" w14:textId="77777777" w:rsidR="00544649" w:rsidRDefault="00000000">
      <w:pPr>
        <w:adjustRightInd w:val="0"/>
        <w:snapToGrid w:val="0"/>
        <w:spacing w:after="0"/>
        <w:ind w:firstLine="482"/>
        <w:rPr>
          <w:b/>
          <w:bCs/>
        </w:rPr>
      </w:pPr>
      <w:r>
        <w:rPr>
          <w:rFonts w:hint="eastAsia"/>
          <w:b/>
          <w:bCs/>
        </w:rPr>
        <w:t>（</w:t>
      </w:r>
      <w:r>
        <w:rPr>
          <w:rFonts w:hint="eastAsia"/>
          <w:b/>
          <w:bCs/>
        </w:rPr>
        <w:t>4</w:t>
      </w:r>
      <w:r>
        <w:rPr>
          <w:rFonts w:hint="eastAsia"/>
          <w:b/>
          <w:bCs/>
        </w:rPr>
        <w:t>）</w:t>
      </w:r>
      <w:r>
        <w:rPr>
          <w:b/>
          <w:bCs/>
        </w:rPr>
        <w:t>装饰工程</w:t>
      </w:r>
    </w:p>
    <w:p w14:paraId="6C54E557" w14:textId="77777777" w:rsidR="00544649" w:rsidRDefault="00000000">
      <w:pPr>
        <w:adjustRightInd w:val="0"/>
        <w:snapToGrid w:val="0"/>
        <w:spacing w:after="0"/>
        <w:ind w:firstLine="480"/>
      </w:pPr>
      <w:r>
        <w:lastRenderedPageBreak/>
        <w:t>在对构筑物的室内外进行装修时（如表面粉刷、喷涂、裱糊、镶贴装饰等），同时安装水电、设备设施等。施工使用的钻机、电锤等产生噪声，喷涂产生废气、废弃物料及污水。</w:t>
      </w:r>
    </w:p>
    <w:p w14:paraId="0FEF1C77" w14:textId="77777777" w:rsidR="00544649" w:rsidRDefault="00000000">
      <w:pPr>
        <w:adjustRightInd w:val="0"/>
        <w:snapToGrid w:val="0"/>
        <w:spacing w:after="0"/>
        <w:ind w:firstLine="482"/>
        <w:rPr>
          <w:b/>
          <w:bCs/>
        </w:rPr>
      </w:pPr>
      <w:r>
        <w:rPr>
          <w:rFonts w:hint="eastAsia"/>
          <w:b/>
          <w:bCs/>
        </w:rPr>
        <w:t>（</w:t>
      </w:r>
      <w:r>
        <w:rPr>
          <w:rFonts w:hint="eastAsia"/>
          <w:b/>
          <w:bCs/>
        </w:rPr>
        <w:t>5</w:t>
      </w:r>
      <w:r>
        <w:rPr>
          <w:rFonts w:hint="eastAsia"/>
          <w:b/>
          <w:bCs/>
        </w:rPr>
        <w:t>）设备安装</w:t>
      </w:r>
    </w:p>
    <w:p w14:paraId="6323BD65" w14:textId="77777777" w:rsidR="00544649" w:rsidRDefault="00000000">
      <w:pPr>
        <w:adjustRightInd w:val="0"/>
        <w:snapToGrid w:val="0"/>
        <w:spacing w:after="0"/>
        <w:ind w:firstLine="480"/>
      </w:pPr>
      <w:r>
        <w:rPr>
          <w:rFonts w:hint="eastAsia"/>
        </w:rPr>
        <w:t>设备安装是主体结构及装饰工程完工后，主要为笼架系统、喂料系统、清粪系统、饮水系统、</w:t>
      </w:r>
      <w:proofErr w:type="gramStart"/>
      <w:r>
        <w:rPr>
          <w:rFonts w:hint="eastAsia"/>
        </w:rPr>
        <w:t>集蛋系统</w:t>
      </w:r>
      <w:proofErr w:type="gramEnd"/>
      <w:r>
        <w:rPr>
          <w:rFonts w:hint="eastAsia"/>
        </w:rPr>
        <w:t>、通风系统、照明系统等设备的安装工作，对环境的影响主要表现为施工噪声。</w:t>
      </w:r>
    </w:p>
    <w:p w14:paraId="6D25C66C" w14:textId="77777777" w:rsidR="00544649" w:rsidRDefault="00000000">
      <w:pPr>
        <w:adjustRightInd w:val="0"/>
        <w:snapToGrid w:val="0"/>
        <w:spacing w:after="0"/>
        <w:ind w:firstLine="482"/>
        <w:rPr>
          <w:b/>
          <w:bCs/>
        </w:rPr>
      </w:pPr>
      <w:r>
        <w:rPr>
          <w:rFonts w:hint="eastAsia"/>
          <w:b/>
          <w:bCs/>
        </w:rPr>
        <w:t>（</w:t>
      </w:r>
      <w:r>
        <w:rPr>
          <w:rFonts w:hint="eastAsia"/>
          <w:b/>
          <w:bCs/>
        </w:rPr>
        <w:t>6</w:t>
      </w:r>
      <w:r>
        <w:rPr>
          <w:rFonts w:hint="eastAsia"/>
          <w:b/>
          <w:bCs/>
        </w:rPr>
        <w:t>）</w:t>
      </w:r>
      <w:r>
        <w:rPr>
          <w:b/>
          <w:bCs/>
        </w:rPr>
        <w:t>工程验收</w:t>
      </w:r>
    </w:p>
    <w:p w14:paraId="5D3A0B4D" w14:textId="77777777" w:rsidR="00544649" w:rsidRDefault="00000000">
      <w:pPr>
        <w:adjustRightInd w:val="0"/>
        <w:snapToGrid w:val="0"/>
        <w:spacing w:after="0"/>
        <w:ind w:firstLine="480"/>
      </w:pPr>
      <w:r>
        <w:t>当施工完成验收合格后，方可投入使用。</w:t>
      </w:r>
    </w:p>
    <w:p w14:paraId="786385B5" w14:textId="77777777" w:rsidR="00544649" w:rsidRDefault="00000000">
      <w:pPr>
        <w:adjustRightInd w:val="0"/>
        <w:snapToGrid w:val="0"/>
        <w:spacing w:after="0"/>
        <w:ind w:firstLine="480"/>
        <w:rPr>
          <w:rFonts w:cs="Times New Roman"/>
          <w:kern w:val="21"/>
          <w:szCs w:val="24"/>
        </w:rPr>
      </w:pPr>
      <w:r>
        <w:t>项目在施工期以施工噪声、施工扬尘、废弃物料（建筑弃渣及其它废料）和废水为主要污染物。</w:t>
      </w:r>
    </w:p>
    <w:p w14:paraId="1D0D705C"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233" w:name="_Toc5012"/>
      <w:bookmarkStart w:id="234" w:name="_Toc5963"/>
      <w:bookmarkStart w:id="235" w:name="_Toc195009847"/>
      <w:r>
        <w:rPr>
          <w:rFonts w:cs="Times New Roman"/>
          <w:b/>
          <w:bCs/>
          <w:kern w:val="21"/>
          <w:sz w:val="28"/>
          <w:szCs w:val="24"/>
        </w:rPr>
        <w:t>施工期污染源强分析及治理措施</w:t>
      </w:r>
      <w:bookmarkEnd w:id="233"/>
      <w:bookmarkEnd w:id="234"/>
      <w:bookmarkEnd w:id="235"/>
    </w:p>
    <w:p w14:paraId="279C39C9" w14:textId="77777777" w:rsidR="00544649" w:rsidRDefault="00000000">
      <w:pPr>
        <w:keepNext/>
        <w:keepLines/>
        <w:numPr>
          <w:ilvl w:val="3"/>
          <w:numId w:val="9"/>
        </w:numPr>
        <w:adjustRightInd w:val="0"/>
        <w:snapToGrid w:val="0"/>
        <w:spacing w:after="0"/>
        <w:ind w:firstLineChars="0"/>
        <w:jc w:val="left"/>
        <w:outlineLvl w:val="3"/>
        <w:rPr>
          <w:rFonts w:cs="Times New Roman"/>
          <w:b/>
          <w:bCs/>
          <w:kern w:val="21"/>
        </w:rPr>
      </w:pPr>
      <w:r>
        <w:rPr>
          <w:rFonts w:cs="Times New Roman"/>
          <w:b/>
          <w:bCs/>
          <w:kern w:val="21"/>
        </w:rPr>
        <w:t>施工期废水污染源强分析</w:t>
      </w:r>
    </w:p>
    <w:p w14:paraId="2F61AEFC"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w:t>
      </w:r>
      <w:r>
        <w:rPr>
          <w:rFonts w:cs="Times New Roman" w:hint="eastAsia"/>
          <w:b/>
          <w:bCs/>
          <w:kern w:val="21"/>
          <w:szCs w:val="24"/>
        </w:rPr>
        <w:t>1</w:t>
      </w:r>
      <w:r>
        <w:rPr>
          <w:rFonts w:cs="Times New Roman" w:hint="eastAsia"/>
          <w:b/>
          <w:bCs/>
          <w:kern w:val="21"/>
          <w:szCs w:val="24"/>
        </w:rPr>
        <w:t>）污染源分析</w:t>
      </w:r>
    </w:p>
    <w:p w14:paraId="5182C0A7"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本项目施工时，不设置施工营地，就近租用民房进行临时办公。项目施工期废水主要分为施工人员的生活污水，施工生产废水。施工生产废水主要包括养护用水、施工机械设备、进出场车辆轮胎冲洗水。</w:t>
      </w:r>
    </w:p>
    <w:p w14:paraId="4FA91AEB" w14:textId="77777777" w:rsidR="00544649" w:rsidRDefault="00000000">
      <w:pPr>
        <w:ind w:firstLine="480"/>
        <w:rPr>
          <w:rFonts w:cs="Times New Roman"/>
          <w:kern w:val="21"/>
          <w:szCs w:val="24"/>
        </w:rPr>
      </w:pPr>
      <w:r>
        <w:rPr>
          <w:rFonts w:cs="Times New Roman"/>
          <w:kern w:val="21"/>
          <w:szCs w:val="24"/>
        </w:rPr>
        <w:t>本项目施工期不设置施工营地，</w:t>
      </w:r>
      <w:r>
        <w:rPr>
          <w:rFonts w:hint="eastAsia"/>
        </w:rPr>
        <w:t>就近租用民房进行临时办公，</w:t>
      </w:r>
      <w:r>
        <w:rPr>
          <w:rFonts w:cs="Times New Roman"/>
          <w:kern w:val="21"/>
          <w:szCs w:val="24"/>
        </w:rPr>
        <w:t>施工期</w:t>
      </w:r>
      <w:r>
        <w:rPr>
          <w:rFonts w:cs="Times New Roman"/>
          <w:bCs/>
          <w:kern w:val="21"/>
          <w:szCs w:val="24"/>
        </w:rPr>
        <w:t>生活</w:t>
      </w:r>
      <w:r>
        <w:rPr>
          <w:rFonts w:cs="Times New Roman"/>
          <w:kern w:val="21"/>
        </w:rPr>
        <w:t>污水</w:t>
      </w:r>
      <w:r>
        <w:rPr>
          <w:rFonts w:cs="Times New Roman" w:hint="eastAsia"/>
          <w:bCs/>
          <w:kern w:val="21"/>
          <w:szCs w:val="24"/>
        </w:rPr>
        <w:t>依托当地居民</w:t>
      </w:r>
      <w:r>
        <w:rPr>
          <w:rFonts w:cs="Times New Roman"/>
          <w:bCs/>
          <w:kern w:val="21"/>
          <w:szCs w:val="24"/>
        </w:rPr>
        <w:t>已建</w:t>
      </w:r>
      <w:r>
        <w:rPr>
          <w:rFonts w:cs="Times New Roman" w:hint="eastAsia"/>
          <w:bCs/>
          <w:kern w:val="21"/>
          <w:szCs w:val="24"/>
        </w:rPr>
        <w:t>生活污水处理设施</w:t>
      </w:r>
      <w:r>
        <w:rPr>
          <w:rFonts w:cs="Times New Roman"/>
          <w:bCs/>
          <w:kern w:val="21"/>
          <w:szCs w:val="24"/>
        </w:rPr>
        <w:t>处理后用于果蔬施肥。</w:t>
      </w:r>
    </w:p>
    <w:p w14:paraId="435FEB4F" w14:textId="77777777" w:rsidR="00544649" w:rsidRDefault="00000000">
      <w:pPr>
        <w:pStyle w:val="aff2"/>
        <w:ind w:firstLine="482"/>
        <w:rPr>
          <w:rFonts w:ascii="Times New Roman" w:hAnsi="Times New Roman" w:cs="Times New Roman"/>
          <w:kern w:val="21"/>
        </w:rPr>
      </w:pPr>
      <w:r>
        <w:rPr>
          <w:rFonts w:ascii="Times New Roman" w:hAnsi="Times New Roman" w:cs="Times New Roman"/>
          <w:b/>
          <w:bCs/>
          <w:kern w:val="21"/>
        </w:rPr>
        <w:t>本项目施工期废水对周围环境不会产生不良影响。</w:t>
      </w:r>
    </w:p>
    <w:p w14:paraId="51D2FD54" w14:textId="77777777" w:rsidR="00544649" w:rsidRDefault="00000000">
      <w:pPr>
        <w:keepNext/>
        <w:keepLines/>
        <w:numPr>
          <w:ilvl w:val="3"/>
          <w:numId w:val="9"/>
        </w:numPr>
        <w:adjustRightInd w:val="0"/>
        <w:snapToGrid w:val="0"/>
        <w:spacing w:after="0"/>
        <w:ind w:firstLineChars="0"/>
        <w:jc w:val="left"/>
        <w:outlineLvl w:val="3"/>
        <w:rPr>
          <w:rFonts w:cs="Times New Roman"/>
          <w:b/>
          <w:bCs/>
          <w:kern w:val="21"/>
        </w:rPr>
      </w:pPr>
      <w:r>
        <w:rPr>
          <w:rFonts w:cs="Times New Roman"/>
          <w:b/>
          <w:bCs/>
          <w:kern w:val="21"/>
        </w:rPr>
        <w:t>施工期废气污染源强分析</w:t>
      </w:r>
    </w:p>
    <w:p w14:paraId="264D723C" w14:textId="77777777" w:rsidR="00544649" w:rsidRDefault="00000000">
      <w:pPr>
        <w:adjustRightInd w:val="0"/>
        <w:snapToGrid w:val="0"/>
        <w:spacing w:after="0"/>
        <w:ind w:firstLine="480"/>
        <w:rPr>
          <w:rFonts w:cs="Times New Roman"/>
          <w:kern w:val="21"/>
        </w:rPr>
      </w:pPr>
      <w:r>
        <w:rPr>
          <w:kern w:val="21"/>
        </w:rPr>
        <w:t>项目施工期间产生的主要废气包括施工</w:t>
      </w:r>
      <w:r>
        <w:rPr>
          <w:rFonts w:hint="eastAsia"/>
          <w:kern w:val="21"/>
        </w:rPr>
        <w:t>机械废气</w:t>
      </w:r>
      <w:r>
        <w:rPr>
          <w:kern w:val="21"/>
        </w:rPr>
        <w:t>、装修工程废气</w:t>
      </w:r>
      <w:r>
        <w:rPr>
          <w:rFonts w:hint="eastAsia"/>
          <w:kern w:val="21"/>
        </w:rPr>
        <w:t>。</w:t>
      </w:r>
    </w:p>
    <w:p w14:paraId="04241ECC" w14:textId="77777777" w:rsidR="00544649" w:rsidRDefault="00000000">
      <w:pPr>
        <w:adjustRightInd w:val="0"/>
        <w:snapToGrid w:val="0"/>
        <w:spacing w:after="0"/>
        <w:ind w:firstLine="482"/>
        <w:rPr>
          <w:rFonts w:cs="Times New Roman"/>
          <w:b/>
          <w:bCs/>
          <w:kern w:val="21"/>
        </w:rPr>
      </w:pPr>
      <w:r>
        <w:rPr>
          <w:rFonts w:cs="Times New Roman"/>
          <w:b/>
          <w:bCs/>
          <w:kern w:val="21"/>
        </w:rPr>
        <w:t>（</w:t>
      </w:r>
      <w:r>
        <w:rPr>
          <w:rFonts w:cs="Times New Roman"/>
          <w:b/>
          <w:bCs/>
          <w:kern w:val="21"/>
        </w:rPr>
        <w:t>1</w:t>
      </w:r>
      <w:r>
        <w:rPr>
          <w:rFonts w:cs="Times New Roman"/>
          <w:b/>
          <w:bCs/>
          <w:kern w:val="21"/>
        </w:rPr>
        <w:t>）</w:t>
      </w:r>
      <w:r>
        <w:rPr>
          <w:rFonts w:cs="Times New Roman" w:hint="eastAsia"/>
          <w:b/>
          <w:bCs/>
          <w:kern w:val="21"/>
        </w:rPr>
        <w:t>排放源</w:t>
      </w:r>
    </w:p>
    <w:p w14:paraId="78BE3805" w14:textId="77777777" w:rsidR="00544649" w:rsidRDefault="00000000">
      <w:pPr>
        <w:adjustRightInd w:val="0"/>
        <w:snapToGrid w:val="0"/>
        <w:spacing w:after="0"/>
        <w:ind w:firstLine="482"/>
        <w:rPr>
          <w:rFonts w:cs="Times New Roman"/>
          <w:b/>
          <w:bCs/>
          <w:kern w:val="21"/>
        </w:rPr>
      </w:pPr>
      <w:r>
        <w:rPr>
          <w:rFonts w:cs="Times New Roman" w:hint="eastAsia"/>
          <w:b/>
          <w:bCs/>
          <w:kern w:val="21"/>
        </w:rPr>
        <w:t>1</w:t>
      </w:r>
      <w:r>
        <w:rPr>
          <w:rFonts w:cs="Times New Roman" w:hint="eastAsia"/>
          <w:b/>
          <w:bCs/>
          <w:kern w:val="21"/>
        </w:rPr>
        <w:t>）</w:t>
      </w:r>
      <w:r>
        <w:rPr>
          <w:rFonts w:cs="Times New Roman"/>
          <w:b/>
          <w:bCs/>
          <w:kern w:val="21"/>
        </w:rPr>
        <w:t>施工机械废气</w:t>
      </w:r>
    </w:p>
    <w:p w14:paraId="347815B2" w14:textId="77777777" w:rsidR="00544649" w:rsidRDefault="00000000">
      <w:pPr>
        <w:adjustRightInd w:val="0"/>
        <w:snapToGrid w:val="0"/>
        <w:spacing w:after="0"/>
        <w:ind w:firstLine="480"/>
        <w:rPr>
          <w:rFonts w:ascii="宋体" w:hAnsi="宋体" w:cs="宋体" w:hint="eastAsia"/>
          <w:kern w:val="21"/>
          <w:lang w:bidi="ar"/>
        </w:rPr>
      </w:pPr>
      <w:r>
        <w:rPr>
          <w:rFonts w:hint="eastAsia"/>
          <w:kern w:val="21"/>
        </w:rPr>
        <w:t>施工期间产生的</w:t>
      </w:r>
      <w:r>
        <w:rPr>
          <w:kern w:val="21"/>
        </w:rPr>
        <w:t>施工燃油尾气及汽车尾气</w:t>
      </w:r>
      <w:r>
        <w:rPr>
          <w:rFonts w:hint="eastAsia"/>
          <w:kern w:val="21"/>
          <w:lang w:bidi="zh-CN"/>
        </w:rPr>
        <w:t>主要来源于</w:t>
      </w:r>
      <w:r>
        <w:rPr>
          <w:rFonts w:hint="eastAsia"/>
          <w:kern w:val="21"/>
        </w:rPr>
        <w:t>施工机械和运输车辆。施工机械和运输车辆产生的施工机械尾气</w:t>
      </w:r>
      <w:r>
        <w:rPr>
          <w:kern w:val="21"/>
          <w:lang w:val="zh-CN" w:bidi="zh-CN"/>
        </w:rPr>
        <w:t>产生量较小，且</w:t>
      </w:r>
      <w:r>
        <w:rPr>
          <w:rFonts w:hint="eastAsia"/>
          <w:kern w:val="21"/>
          <w:lang w:bidi="zh-CN"/>
        </w:rPr>
        <w:t>属于</w:t>
      </w:r>
      <w:r>
        <w:rPr>
          <w:kern w:val="21"/>
          <w:lang w:val="zh-CN" w:bidi="zh-CN"/>
        </w:rPr>
        <w:t>间断性、分散性排放，主要污染因子以</w:t>
      </w:r>
      <w:r>
        <w:rPr>
          <w:rFonts w:eastAsia="Times New Roman"/>
          <w:kern w:val="21"/>
          <w:lang w:val="zh-CN" w:bidi="zh-CN"/>
        </w:rPr>
        <w:t>CO</w:t>
      </w:r>
      <w:r>
        <w:rPr>
          <w:kern w:val="21"/>
          <w:lang w:val="zh-CN" w:bidi="zh-CN"/>
        </w:rPr>
        <w:t>、</w:t>
      </w:r>
      <w:r>
        <w:rPr>
          <w:rFonts w:eastAsia="Times New Roman"/>
          <w:kern w:val="21"/>
          <w:lang w:val="zh-CN" w:bidi="zh-CN"/>
        </w:rPr>
        <w:t>THC</w:t>
      </w:r>
      <w:proofErr w:type="spellStart"/>
      <w:r>
        <w:rPr>
          <w:rFonts w:eastAsia="Times New Roman" w:hint="eastAsia"/>
          <w:kern w:val="21"/>
          <w:lang w:bidi="zh-CN"/>
        </w:rPr>
        <w:t>和NO</w:t>
      </w:r>
      <w:r>
        <w:rPr>
          <w:rFonts w:eastAsia="Times New Roman" w:hint="eastAsia"/>
          <w:kern w:val="21"/>
          <w:vertAlign w:val="subscript"/>
          <w:lang w:bidi="zh-CN"/>
        </w:rPr>
        <w:t>x</w:t>
      </w:r>
      <w:proofErr w:type="spellEnd"/>
      <w:r>
        <w:rPr>
          <w:kern w:val="21"/>
          <w:lang w:val="zh-CN" w:bidi="zh-CN"/>
        </w:rPr>
        <w:t>为主，</w:t>
      </w:r>
      <w:r>
        <w:rPr>
          <w:rFonts w:hint="eastAsia"/>
          <w:kern w:val="21"/>
          <w:lang w:bidi="zh-CN"/>
        </w:rPr>
        <w:t>在施工期间会对施工作业点和交通道路附近的大气环境造成一定的污染。</w:t>
      </w:r>
      <w:r>
        <w:rPr>
          <w:rFonts w:ascii="宋体" w:hAnsi="宋体" w:cs="宋体" w:hint="eastAsia"/>
          <w:kern w:val="21"/>
          <w:lang w:bidi="ar"/>
        </w:rPr>
        <w:t>由于产生的机械尾气具有暂时性、偶然性、局域性，同时施工区域较为开阔，空气流通性好，因此产生的施工机械尾气能在短时间内扩散，这些影响会随着施工期的结束而消失。</w:t>
      </w:r>
    </w:p>
    <w:p w14:paraId="7DE52D7E" w14:textId="77777777" w:rsidR="00544649" w:rsidRDefault="00000000">
      <w:pPr>
        <w:adjustRightInd w:val="0"/>
        <w:snapToGrid w:val="0"/>
        <w:spacing w:after="0"/>
        <w:ind w:firstLine="482"/>
        <w:rPr>
          <w:rFonts w:cs="Times New Roman"/>
          <w:b/>
          <w:bCs/>
          <w:kern w:val="21"/>
        </w:rPr>
      </w:pPr>
      <w:r>
        <w:rPr>
          <w:rFonts w:cs="Times New Roman"/>
          <w:b/>
          <w:bCs/>
          <w:kern w:val="21"/>
        </w:rPr>
        <w:lastRenderedPageBreak/>
        <w:t>2</w:t>
      </w:r>
      <w:r>
        <w:rPr>
          <w:rFonts w:cs="Times New Roman"/>
          <w:b/>
          <w:bCs/>
          <w:kern w:val="21"/>
        </w:rPr>
        <w:t>）装修</w:t>
      </w:r>
      <w:r>
        <w:rPr>
          <w:rFonts w:cs="Times New Roman" w:hint="eastAsia"/>
          <w:b/>
          <w:bCs/>
          <w:kern w:val="21"/>
        </w:rPr>
        <w:t>工程</w:t>
      </w:r>
      <w:r>
        <w:rPr>
          <w:rFonts w:cs="Times New Roman"/>
          <w:b/>
          <w:bCs/>
          <w:kern w:val="21"/>
        </w:rPr>
        <w:t>废气</w:t>
      </w:r>
    </w:p>
    <w:p w14:paraId="5C0F4730" w14:textId="77777777" w:rsidR="00544649" w:rsidRDefault="00000000">
      <w:pPr>
        <w:adjustRightInd w:val="0"/>
        <w:snapToGrid w:val="0"/>
        <w:spacing w:after="0"/>
        <w:ind w:firstLine="480"/>
        <w:rPr>
          <w:rFonts w:cs="Times New Roman"/>
          <w:kern w:val="21"/>
        </w:rPr>
      </w:pPr>
      <w:r>
        <w:rPr>
          <w:rFonts w:cs="Times New Roman"/>
          <w:kern w:val="21"/>
        </w:rPr>
        <w:t>装修废气主要为装修阶段使用的涂料等挥发的有机废气等气体以及装修施工产生的扬尘，该废气的排放属无组织排放，涂料挥发废气其主要污染因子为二甲苯和甲苯等，此外还有极少量的汽油、丁醇和丙醇等。由于装修时采用的三合板和涂料等中含有的甲醛、甲苯、二甲苯等影响环境质量的有毒有害物质挥发时间长，所以入住也要注意室内空气的流畅。装修扬尘则采用室内洒水降尘予以控制，降低施工扬尘产生量。</w:t>
      </w:r>
    </w:p>
    <w:p w14:paraId="512AE590" w14:textId="77777777" w:rsidR="00544649" w:rsidRDefault="00000000">
      <w:pPr>
        <w:adjustRightInd w:val="0"/>
        <w:snapToGrid w:val="0"/>
        <w:spacing w:after="0"/>
        <w:ind w:firstLine="482"/>
        <w:rPr>
          <w:rFonts w:cs="Times New Roman"/>
          <w:b/>
          <w:bCs/>
          <w:kern w:val="21"/>
          <w:lang w:bidi="ar"/>
        </w:rPr>
      </w:pPr>
      <w:r>
        <w:rPr>
          <w:rFonts w:cs="Times New Roman" w:hint="eastAsia"/>
          <w:b/>
          <w:bCs/>
          <w:kern w:val="21"/>
          <w:lang w:bidi="ar"/>
        </w:rPr>
        <w:t>3</w:t>
      </w:r>
      <w:r>
        <w:rPr>
          <w:rFonts w:cs="Times New Roman" w:hint="eastAsia"/>
          <w:b/>
          <w:bCs/>
          <w:kern w:val="21"/>
          <w:lang w:bidi="ar"/>
        </w:rPr>
        <w:t>）施工扬尘</w:t>
      </w:r>
    </w:p>
    <w:p w14:paraId="75B59914" w14:textId="77777777" w:rsidR="00544649" w:rsidRDefault="00000000">
      <w:pPr>
        <w:adjustRightInd w:val="0"/>
        <w:snapToGrid w:val="0"/>
        <w:spacing w:after="0"/>
        <w:ind w:firstLine="480"/>
        <w:rPr>
          <w:rFonts w:cs="Times New Roman"/>
          <w:kern w:val="21"/>
          <w:lang w:bidi="ar"/>
        </w:rPr>
      </w:pPr>
      <w:r>
        <w:t>土建混凝土</w:t>
      </w:r>
      <w:r>
        <w:rPr>
          <w:rFonts w:hint="eastAsia"/>
        </w:rPr>
        <w:t>浇筑</w:t>
      </w:r>
      <w:r>
        <w:t>及运输车辆装卸材料和行驶时产生的扬尘；建筑材料的现场搬运及堆放扬尘；施工垃圾的清理及堆放扬尘；人来车</w:t>
      </w:r>
      <w:proofErr w:type="gramStart"/>
      <w:r>
        <w:t>往造成</w:t>
      </w:r>
      <w:proofErr w:type="gramEnd"/>
      <w:r>
        <w:t>的现场道路扬尘。</w:t>
      </w:r>
      <w:r>
        <w:rPr>
          <w:bCs/>
        </w:rPr>
        <w:t>经类比分析，施工场地扬尘浓度平均值约为</w:t>
      </w:r>
      <w:r>
        <w:rPr>
          <w:bCs/>
        </w:rPr>
        <w:t>3.5mg/m</w:t>
      </w:r>
      <w:r>
        <w:rPr>
          <w:bCs/>
          <w:vertAlign w:val="superscript"/>
        </w:rPr>
        <w:t>3</w:t>
      </w:r>
      <w:r>
        <w:rPr>
          <w:bCs/>
        </w:rPr>
        <w:t>。</w:t>
      </w:r>
    </w:p>
    <w:p w14:paraId="52BE9750" w14:textId="77777777" w:rsidR="00544649" w:rsidRDefault="00000000">
      <w:pPr>
        <w:pStyle w:val="aff2"/>
        <w:adjustRightInd w:val="0"/>
        <w:snapToGrid w:val="0"/>
        <w:spacing w:after="0"/>
        <w:ind w:firstLine="482"/>
        <w:rPr>
          <w:rFonts w:ascii="Times New Roman" w:hAnsi="Times New Roman" w:cs="Times New Roman"/>
          <w:b/>
          <w:bCs/>
          <w:kern w:val="21"/>
        </w:rPr>
      </w:pPr>
      <w:r>
        <w:rPr>
          <w:rFonts w:ascii="Times New Roman" w:hAnsi="Times New Roman" w:cs="Times New Roman"/>
          <w:b/>
          <w:bCs/>
          <w:kern w:val="21"/>
        </w:rPr>
        <w:t>（</w:t>
      </w:r>
      <w:r>
        <w:rPr>
          <w:rFonts w:ascii="Times New Roman" w:hAnsi="Times New Roman" w:cs="Times New Roman"/>
          <w:b/>
          <w:bCs/>
          <w:kern w:val="21"/>
        </w:rPr>
        <w:t>2</w:t>
      </w:r>
      <w:r>
        <w:rPr>
          <w:rFonts w:ascii="Times New Roman" w:hAnsi="Times New Roman" w:cs="Times New Roman"/>
          <w:b/>
          <w:bCs/>
          <w:kern w:val="21"/>
        </w:rPr>
        <w:t>）治理措施</w:t>
      </w:r>
    </w:p>
    <w:p w14:paraId="74BFCC6C" w14:textId="77777777" w:rsidR="00544649" w:rsidRDefault="00000000">
      <w:pPr>
        <w:pStyle w:val="a9"/>
        <w:adjustRightInd w:val="0"/>
        <w:snapToGrid w:val="0"/>
        <w:spacing w:after="0"/>
        <w:ind w:firstLine="482"/>
      </w:pPr>
      <w:r>
        <w:rPr>
          <w:rFonts w:cs="Times New Roman" w:hint="eastAsia"/>
          <w:b/>
          <w:bCs/>
          <w:kern w:val="21"/>
        </w:rPr>
        <w:t>1</w:t>
      </w:r>
      <w:r>
        <w:rPr>
          <w:rFonts w:cs="Times New Roman" w:hint="eastAsia"/>
          <w:b/>
          <w:bCs/>
          <w:kern w:val="21"/>
        </w:rPr>
        <w:t>）</w:t>
      </w:r>
      <w:r>
        <w:rPr>
          <w:b/>
          <w:bCs/>
        </w:rPr>
        <w:t>施工机械废气：</w:t>
      </w:r>
      <w:r>
        <w:t>施工期间，使用机动车运送原材料、设备和建筑机械设备的运转，均会排放一定量的</w:t>
      </w:r>
      <w:r>
        <w:t>CO</w:t>
      </w:r>
      <w:r>
        <w:t>、</w:t>
      </w:r>
      <w:r>
        <w:t>NOx</w:t>
      </w:r>
      <w:r>
        <w:t>以及未完全燃烧的</w:t>
      </w:r>
      <w:r>
        <w:t>THC</w:t>
      </w:r>
      <w:r>
        <w:t>等，其特点是排放量小，且属间断性无组织排放，由于其这一特点，加之施工场地开阔，扩散条件良好，因此对其不加处理也可达到相应的排放标准。在施工期内应多加注意施工设备的维护，使其能够正常的运行，提高设备原料的利用率。</w:t>
      </w:r>
    </w:p>
    <w:p w14:paraId="4266338A" w14:textId="77777777" w:rsidR="00544649" w:rsidRDefault="00000000">
      <w:pPr>
        <w:pStyle w:val="a9"/>
        <w:adjustRightInd w:val="0"/>
        <w:snapToGrid w:val="0"/>
        <w:spacing w:after="0"/>
        <w:ind w:firstLine="482"/>
      </w:pPr>
      <w:r>
        <w:rPr>
          <w:rFonts w:cs="Times New Roman" w:hint="eastAsia"/>
          <w:b/>
          <w:bCs/>
          <w:kern w:val="21"/>
        </w:rPr>
        <w:t>2</w:t>
      </w:r>
      <w:r>
        <w:rPr>
          <w:rFonts w:cs="Times New Roman" w:hint="eastAsia"/>
          <w:b/>
          <w:bCs/>
          <w:kern w:val="21"/>
        </w:rPr>
        <w:t>）</w:t>
      </w:r>
      <w:r>
        <w:rPr>
          <w:b/>
          <w:bCs/>
        </w:rPr>
        <w:t>装修</w:t>
      </w:r>
      <w:r>
        <w:rPr>
          <w:rFonts w:hint="eastAsia"/>
          <w:b/>
          <w:bCs/>
        </w:rPr>
        <w:t>工程</w:t>
      </w:r>
      <w:r>
        <w:rPr>
          <w:b/>
          <w:bCs/>
        </w:rPr>
        <w:t>废气：</w:t>
      </w:r>
      <w:r>
        <w:rPr>
          <w:bCs/>
        </w:rPr>
        <w:t>装修废气主要为</w:t>
      </w:r>
      <w:r>
        <w:t>装修阶段使用的涂料等挥发的有机废气等气体以及装修施工产生的扬尘，该废气的排放属无组织排放，涂料挥发废气其主要污染因子为二甲苯和甲苯等，此外还有极少量的汽油、丁醇和丙醇等。</w:t>
      </w:r>
      <w:r>
        <w:rPr>
          <w:bCs/>
        </w:rPr>
        <w:t>在建筑装饰装修过程中，装修材料和涂料的选用应按照国家质检总局颁布的《室内装修材料</w:t>
      </w:r>
      <w:r>
        <w:rPr>
          <w:bCs/>
        </w:rPr>
        <w:t>10</w:t>
      </w:r>
      <w:r>
        <w:rPr>
          <w:bCs/>
        </w:rPr>
        <w:t>项有害物质限量》规定进行，使用污染相对较小的环保型涂料和装修材料，以减少材料中有害物质的散发量。</w:t>
      </w:r>
      <w:r>
        <w:t>在装修期间，应加强室内的通风换气，装修结束完成以后，也应每天进行通风换气一至二个月后才能使用。由于装修时采用的三合板和涂料等中含有的甲醛、甲苯、二甲苯等影响环境质量的有毒有害物质挥发时间长，所以入住也要注意室内空气的流畅。装修扬尘则采用室内洒水降尘予以控制，降低施工扬尘产生量。</w:t>
      </w:r>
    </w:p>
    <w:p w14:paraId="65D414F7" w14:textId="77777777" w:rsidR="00544649" w:rsidRDefault="00000000">
      <w:pPr>
        <w:pStyle w:val="aff2"/>
        <w:adjustRightInd w:val="0"/>
        <w:snapToGrid w:val="0"/>
        <w:spacing w:after="0"/>
        <w:rPr>
          <w:rFonts w:ascii="Times New Roman" w:hAnsi="Times New Roman" w:cs="Times New Roman"/>
          <w:kern w:val="21"/>
        </w:rPr>
      </w:pPr>
      <w:r>
        <w:rPr>
          <w:rFonts w:ascii="Times New Roman" w:hAnsi="Times New Roman" w:cs="Times New Roman" w:hint="eastAsia"/>
          <w:kern w:val="21"/>
        </w:rPr>
        <w:t>3</w:t>
      </w:r>
      <w:r>
        <w:rPr>
          <w:rFonts w:ascii="Times New Roman" w:hAnsi="Times New Roman" w:cs="Times New Roman" w:hint="eastAsia"/>
          <w:kern w:val="21"/>
        </w:rPr>
        <w:t>）扬尘：建设单位应要求工程施工单位制定施工期环境管理计划，加强管理，按进度、有计划地进行文明施工。</w:t>
      </w:r>
    </w:p>
    <w:p w14:paraId="14352DC9" w14:textId="77777777" w:rsidR="00544649" w:rsidRDefault="00000000">
      <w:pPr>
        <w:adjustRightInd w:val="0"/>
        <w:snapToGrid w:val="0"/>
        <w:spacing w:after="0"/>
        <w:ind w:firstLine="482"/>
      </w:pPr>
      <w:r>
        <w:rPr>
          <w:b/>
        </w:rPr>
        <w:t>A.</w:t>
      </w:r>
      <w:r>
        <w:t>工程建设单位应按照《中华人民共和国环境影响评价法》和《建设项目环境保护管理条例》的相关规定，向当地环境保护行政主管部门提供施工扬尘防治实施方案，并提请排污申报。工程建设单位根据施工工序编制施工期内扬尘污染防治任务书，实</w:t>
      </w:r>
      <w:r>
        <w:lastRenderedPageBreak/>
        <w:t>施扬尘</w:t>
      </w:r>
      <w:proofErr w:type="gramStart"/>
      <w:r>
        <w:t>防治全</w:t>
      </w:r>
      <w:proofErr w:type="gramEnd"/>
      <w:r>
        <w:t>过程管理，责任到每个施工工序。</w:t>
      </w:r>
    </w:p>
    <w:p w14:paraId="572A3AA1" w14:textId="77777777" w:rsidR="00544649" w:rsidRDefault="00000000">
      <w:pPr>
        <w:adjustRightInd w:val="0"/>
        <w:snapToGrid w:val="0"/>
        <w:spacing w:after="0"/>
        <w:ind w:firstLine="482"/>
      </w:pPr>
      <w:r>
        <w:rPr>
          <w:b/>
        </w:rPr>
        <w:t>B.</w:t>
      </w:r>
      <w:r>
        <w:t>施工单位应根据《建设工程施工现场管理规定》的规定设置现场平面布置图、工程概况牌、安全生产牌、消防保卫牌、文明施工牌、环境保护牌、管理人员名单及监督电话牌等。</w:t>
      </w:r>
    </w:p>
    <w:p w14:paraId="0A181EB0" w14:textId="77777777" w:rsidR="00544649" w:rsidRDefault="00000000">
      <w:pPr>
        <w:adjustRightInd w:val="0"/>
        <w:snapToGrid w:val="0"/>
        <w:spacing w:after="0"/>
        <w:ind w:firstLine="482"/>
      </w:pPr>
      <w:r>
        <w:rPr>
          <w:b/>
        </w:rPr>
        <w:t>C.</w:t>
      </w:r>
      <w:r>
        <w:t>施工工地要做到工地周边围挡、物料堆放覆盖、土方开挖湿法作业、路面硬化、出入车辆清洗、渣土车辆密闭运输</w:t>
      </w:r>
      <w:r>
        <w:t>“</w:t>
      </w:r>
      <w:r>
        <w:t>六个百分之百</w:t>
      </w:r>
      <w:r>
        <w:t>”</w:t>
      </w:r>
      <w:r>
        <w:t>。</w:t>
      </w:r>
    </w:p>
    <w:p w14:paraId="5A5E0480" w14:textId="77777777" w:rsidR="00544649" w:rsidRDefault="00000000">
      <w:pPr>
        <w:adjustRightInd w:val="0"/>
        <w:snapToGrid w:val="0"/>
        <w:spacing w:after="0"/>
        <w:ind w:firstLine="482"/>
      </w:pPr>
      <w:r>
        <w:rPr>
          <w:b/>
        </w:rPr>
        <w:t>D.</w:t>
      </w:r>
      <w:r>
        <w:t>施工现场架设</w:t>
      </w:r>
      <w:r>
        <w:t>2.5m~3m</w:t>
      </w:r>
      <w:r>
        <w:t>高墙，封闭施工现场，采用密目安全网，以减少建筑结构和装修过程中的粉尘飞扬现象，降低粉尘向大气中的排放；</w:t>
      </w:r>
    </w:p>
    <w:p w14:paraId="63A831BF" w14:textId="77777777" w:rsidR="00544649" w:rsidRDefault="00000000">
      <w:pPr>
        <w:adjustRightInd w:val="0"/>
        <w:snapToGrid w:val="0"/>
        <w:spacing w:after="0"/>
        <w:ind w:firstLine="482"/>
        <w:rPr>
          <w:rFonts w:cs="Times New Roman"/>
          <w:kern w:val="21"/>
        </w:rPr>
      </w:pPr>
      <w:r>
        <w:rPr>
          <w:b/>
          <w:bCs/>
          <w:kern w:val="21"/>
        </w:rPr>
        <w:t>总体而言，项目施工期会对施工场地周围的环境空气质量造成一定的影响，但这些影响随着施工期的结束而结束。因此，项目施工期不会造成项目所在地环境空气质量明显恶化。</w:t>
      </w:r>
    </w:p>
    <w:p w14:paraId="4689452D" w14:textId="77777777" w:rsidR="00544649" w:rsidRDefault="00000000">
      <w:pPr>
        <w:keepNext/>
        <w:keepLines/>
        <w:numPr>
          <w:ilvl w:val="3"/>
          <w:numId w:val="9"/>
        </w:numPr>
        <w:adjustRightInd w:val="0"/>
        <w:snapToGrid w:val="0"/>
        <w:spacing w:after="0"/>
        <w:ind w:firstLineChars="0"/>
        <w:jc w:val="left"/>
        <w:outlineLvl w:val="3"/>
        <w:rPr>
          <w:rFonts w:cs="Times New Roman"/>
          <w:b/>
          <w:bCs/>
          <w:kern w:val="21"/>
        </w:rPr>
      </w:pPr>
      <w:r>
        <w:rPr>
          <w:rFonts w:cs="Times New Roman"/>
          <w:b/>
          <w:bCs/>
          <w:kern w:val="21"/>
        </w:rPr>
        <w:t>施工期噪声污染源强分析</w:t>
      </w:r>
    </w:p>
    <w:p w14:paraId="1B2FB28E" w14:textId="77777777" w:rsidR="00544649" w:rsidRDefault="00000000">
      <w:pPr>
        <w:adjustRightInd w:val="0"/>
        <w:snapToGrid w:val="0"/>
        <w:spacing w:after="0"/>
        <w:ind w:firstLine="482"/>
        <w:rPr>
          <w:rFonts w:cs="Times New Roman"/>
          <w:b/>
          <w:bCs/>
          <w:kern w:val="21"/>
          <w:szCs w:val="21"/>
        </w:rPr>
      </w:pPr>
      <w:r>
        <w:rPr>
          <w:rFonts w:cs="Times New Roman" w:hint="eastAsia"/>
          <w:b/>
          <w:bCs/>
          <w:kern w:val="21"/>
          <w:szCs w:val="21"/>
        </w:rPr>
        <w:t>（</w:t>
      </w:r>
      <w:r>
        <w:rPr>
          <w:rFonts w:cs="Times New Roman" w:hint="eastAsia"/>
          <w:b/>
          <w:bCs/>
          <w:kern w:val="21"/>
          <w:szCs w:val="21"/>
        </w:rPr>
        <w:t>1</w:t>
      </w:r>
      <w:r>
        <w:rPr>
          <w:rFonts w:cs="Times New Roman" w:hint="eastAsia"/>
          <w:b/>
          <w:bCs/>
          <w:kern w:val="21"/>
          <w:szCs w:val="21"/>
        </w:rPr>
        <w:t>）污染源分析</w:t>
      </w:r>
    </w:p>
    <w:p w14:paraId="4C036151" w14:textId="77777777" w:rsidR="00544649" w:rsidRDefault="00000000">
      <w:pPr>
        <w:adjustRightInd w:val="0"/>
        <w:snapToGrid w:val="0"/>
        <w:spacing w:after="0"/>
        <w:ind w:firstLine="480"/>
      </w:pPr>
      <w:r>
        <w:t>施工期噪声是本项目主要的环境影响因子之一，主要可分为机械噪声、施工作业噪声和施工车辆噪声。机械噪声主要由施工机械所造成，多为点声源；施工作业噪声主要指一些零星的敲打声、装卸车辆的撞击声、拆装模板的撞击声等，多为瞬间噪声，施工车辆的噪声属于交通噪声。不同施工阶段和不同施工机械发出的噪声水平是不同的，且有大量设备交互作业，因此施工作业噪声将会对施工场地内、外环境带来一定的影响。根据施工量，按经验计算各施工阶段的昼夜的主要噪声</w:t>
      </w:r>
      <w:proofErr w:type="gramStart"/>
      <w:r>
        <w:t>声源见</w:t>
      </w:r>
      <w:proofErr w:type="gramEnd"/>
      <w:r>
        <w:t>下表：</w:t>
      </w:r>
    </w:p>
    <w:p w14:paraId="38B92D9A" w14:textId="77777777" w:rsidR="00544649" w:rsidRDefault="00000000">
      <w:pPr>
        <w:numPr>
          <w:ilvl w:val="0"/>
          <w:numId w:val="24"/>
        </w:numPr>
        <w:adjustRightInd w:val="0"/>
        <w:snapToGrid w:val="0"/>
        <w:spacing w:beforeLines="20" w:before="62" w:afterLines="20" w:after="62" w:line="240" w:lineRule="auto"/>
        <w:ind w:firstLine="422"/>
        <w:jc w:val="center"/>
        <w:rPr>
          <w:rFonts w:cs="Times New Roman"/>
          <w:b/>
          <w:bCs/>
          <w:kern w:val="21"/>
          <w:sz w:val="21"/>
          <w:szCs w:val="21"/>
        </w:rPr>
      </w:pPr>
      <w:r>
        <w:rPr>
          <w:rFonts w:cs="Times New Roman"/>
          <w:b/>
          <w:bCs/>
          <w:kern w:val="21"/>
          <w:sz w:val="21"/>
          <w:szCs w:val="21"/>
        </w:rPr>
        <w:t>主要</w:t>
      </w:r>
      <w:r>
        <w:rPr>
          <w:rFonts w:cs="Times New Roman" w:hint="eastAsia"/>
          <w:b/>
          <w:bCs/>
          <w:kern w:val="21"/>
          <w:sz w:val="21"/>
          <w:szCs w:val="21"/>
        </w:rPr>
        <w:t>交通运输车辆</w:t>
      </w:r>
      <w:r>
        <w:rPr>
          <w:rFonts w:cs="Times New Roman"/>
          <w:b/>
          <w:bCs/>
          <w:kern w:val="21"/>
          <w:sz w:val="21"/>
          <w:szCs w:val="21"/>
        </w:rPr>
        <w:t>噪声声级</w:t>
      </w:r>
      <w:r>
        <w:rPr>
          <w:rFonts w:cs="Times New Roman" w:hint="eastAsia"/>
          <w:b/>
          <w:bCs/>
          <w:kern w:val="21"/>
          <w:sz w:val="21"/>
          <w:szCs w:val="21"/>
        </w:rPr>
        <w:t xml:space="preserve">  </w:t>
      </w:r>
      <w:r>
        <w:rPr>
          <w:rFonts w:cs="Times New Roman"/>
          <w:b/>
          <w:bCs/>
          <w:kern w:val="21"/>
          <w:sz w:val="21"/>
          <w:szCs w:val="21"/>
        </w:rPr>
        <w:t>单位：</w:t>
      </w:r>
      <w:r>
        <w:rPr>
          <w:rFonts w:cs="Times New Roman"/>
          <w:b/>
          <w:bCs/>
          <w:kern w:val="21"/>
          <w:sz w:val="21"/>
          <w:szCs w:val="21"/>
        </w:rPr>
        <w:t>dB</w:t>
      </w:r>
      <w:r>
        <w:rPr>
          <w:rFonts w:cs="Times New Roman"/>
          <w:b/>
          <w:bCs/>
          <w:kern w:val="21"/>
          <w:sz w:val="21"/>
          <w:szCs w:val="21"/>
        </w:rPr>
        <w:t>（</w:t>
      </w:r>
      <w:r>
        <w:rPr>
          <w:rFonts w:cs="Times New Roman"/>
          <w:b/>
          <w:bCs/>
          <w:kern w:val="21"/>
          <w:sz w:val="21"/>
          <w:szCs w:val="21"/>
        </w:rPr>
        <w:t>A</w:t>
      </w:r>
      <w:r>
        <w:rPr>
          <w:rFonts w:cs="Times New Roman"/>
          <w:b/>
          <w:bCs/>
          <w:kern w:val="21"/>
          <w:sz w:val="21"/>
          <w:szCs w:val="21"/>
        </w:rPr>
        <w:t>）</w:t>
      </w:r>
    </w:p>
    <w:tbl>
      <w:tblPr>
        <w:tblW w:w="90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35"/>
        <w:gridCol w:w="2661"/>
        <w:gridCol w:w="2424"/>
        <w:gridCol w:w="1640"/>
      </w:tblGrid>
      <w:tr w:rsidR="00544649" w14:paraId="7A56AAC4" w14:textId="77777777">
        <w:trPr>
          <w:trHeight w:val="403"/>
          <w:jc w:val="center"/>
        </w:trPr>
        <w:tc>
          <w:tcPr>
            <w:tcW w:w="2335" w:type="dxa"/>
            <w:vAlign w:val="center"/>
          </w:tcPr>
          <w:p w14:paraId="33174A3B" w14:textId="77777777" w:rsidR="00544649" w:rsidRDefault="00000000">
            <w:pPr>
              <w:adjustRightInd w:val="0"/>
              <w:snapToGrid w:val="0"/>
              <w:spacing w:after="0" w:line="240" w:lineRule="auto"/>
              <w:ind w:firstLineChars="0" w:firstLine="0"/>
              <w:jc w:val="center"/>
              <w:rPr>
                <w:sz w:val="21"/>
                <w:szCs w:val="21"/>
              </w:rPr>
            </w:pPr>
            <w:r>
              <w:rPr>
                <w:sz w:val="21"/>
                <w:szCs w:val="21"/>
              </w:rPr>
              <w:t>施工阶段</w:t>
            </w:r>
          </w:p>
        </w:tc>
        <w:tc>
          <w:tcPr>
            <w:tcW w:w="2661" w:type="dxa"/>
            <w:vAlign w:val="center"/>
          </w:tcPr>
          <w:p w14:paraId="1F8798BF" w14:textId="77777777" w:rsidR="00544649" w:rsidRDefault="00000000">
            <w:pPr>
              <w:adjustRightInd w:val="0"/>
              <w:snapToGrid w:val="0"/>
              <w:spacing w:after="0" w:line="240" w:lineRule="auto"/>
              <w:ind w:firstLineChars="0" w:firstLine="0"/>
              <w:jc w:val="center"/>
              <w:rPr>
                <w:b/>
                <w:sz w:val="21"/>
                <w:szCs w:val="21"/>
              </w:rPr>
            </w:pPr>
            <w:r>
              <w:rPr>
                <w:b/>
                <w:sz w:val="21"/>
                <w:szCs w:val="21"/>
              </w:rPr>
              <w:t>运输内容</w:t>
            </w:r>
          </w:p>
        </w:tc>
        <w:tc>
          <w:tcPr>
            <w:tcW w:w="2424" w:type="dxa"/>
            <w:vAlign w:val="center"/>
          </w:tcPr>
          <w:p w14:paraId="2FFB8CA9" w14:textId="77777777" w:rsidR="00544649" w:rsidRDefault="00000000">
            <w:pPr>
              <w:adjustRightInd w:val="0"/>
              <w:snapToGrid w:val="0"/>
              <w:spacing w:after="0" w:line="240" w:lineRule="auto"/>
              <w:ind w:firstLineChars="0" w:firstLine="0"/>
              <w:jc w:val="center"/>
              <w:rPr>
                <w:b/>
                <w:sz w:val="21"/>
                <w:szCs w:val="21"/>
              </w:rPr>
            </w:pPr>
            <w:r>
              <w:rPr>
                <w:b/>
                <w:sz w:val="21"/>
                <w:szCs w:val="21"/>
              </w:rPr>
              <w:t>车辆类型</w:t>
            </w:r>
          </w:p>
        </w:tc>
        <w:tc>
          <w:tcPr>
            <w:tcW w:w="1640" w:type="dxa"/>
            <w:vAlign w:val="center"/>
          </w:tcPr>
          <w:p w14:paraId="60500EDA" w14:textId="77777777" w:rsidR="00544649" w:rsidRDefault="00000000">
            <w:pPr>
              <w:adjustRightInd w:val="0"/>
              <w:snapToGrid w:val="0"/>
              <w:spacing w:after="0" w:line="240" w:lineRule="auto"/>
              <w:ind w:firstLineChars="0" w:firstLine="0"/>
              <w:jc w:val="center"/>
              <w:rPr>
                <w:b/>
                <w:sz w:val="21"/>
                <w:szCs w:val="21"/>
              </w:rPr>
            </w:pPr>
            <w:r>
              <w:rPr>
                <w:b/>
                <w:sz w:val="21"/>
                <w:szCs w:val="21"/>
              </w:rPr>
              <w:t>声源强度</w:t>
            </w:r>
            <w:r>
              <w:rPr>
                <w:b/>
                <w:sz w:val="21"/>
                <w:szCs w:val="21"/>
              </w:rPr>
              <w:t>[dB(A)]</w:t>
            </w:r>
          </w:p>
        </w:tc>
      </w:tr>
      <w:tr w:rsidR="00544649" w14:paraId="4664FAB0" w14:textId="77777777">
        <w:trPr>
          <w:trHeight w:val="328"/>
          <w:jc w:val="center"/>
        </w:trPr>
        <w:tc>
          <w:tcPr>
            <w:tcW w:w="2335" w:type="dxa"/>
            <w:vAlign w:val="center"/>
          </w:tcPr>
          <w:p w14:paraId="69E21EC8" w14:textId="77777777" w:rsidR="00544649" w:rsidRDefault="00000000">
            <w:pPr>
              <w:adjustRightInd w:val="0"/>
              <w:snapToGrid w:val="0"/>
              <w:spacing w:after="0" w:line="240" w:lineRule="auto"/>
              <w:ind w:firstLineChars="0" w:firstLine="0"/>
              <w:jc w:val="center"/>
              <w:rPr>
                <w:sz w:val="21"/>
                <w:szCs w:val="21"/>
              </w:rPr>
            </w:pPr>
            <w:r>
              <w:rPr>
                <w:sz w:val="21"/>
                <w:szCs w:val="21"/>
              </w:rPr>
              <w:t>土石方、主体阶段</w:t>
            </w:r>
          </w:p>
        </w:tc>
        <w:tc>
          <w:tcPr>
            <w:tcW w:w="2661" w:type="dxa"/>
            <w:vAlign w:val="center"/>
          </w:tcPr>
          <w:p w14:paraId="22C3C8FB" w14:textId="77777777" w:rsidR="00544649" w:rsidRDefault="00000000">
            <w:pPr>
              <w:adjustRightInd w:val="0"/>
              <w:snapToGrid w:val="0"/>
              <w:spacing w:after="0" w:line="240" w:lineRule="auto"/>
              <w:ind w:firstLineChars="0" w:firstLine="0"/>
              <w:jc w:val="center"/>
              <w:rPr>
                <w:sz w:val="21"/>
                <w:szCs w:val="21"/>
              </w:rPr>
            </w:pPr>
            <w:r>
              <w:rPr>
                <w:sz w:val="21"/>
                <w:szCs w:val="21"/>
              </w:rPr>
              <w:t>土石方、</w:t>
            </w:r>
            <w:proofErr w:type="gramStart"/>
            <w:r>
              <w:rPr>
                <w:sz w:val="21"/>
                <w:szCs w:val="21"/>
              </w:rPr>
              <w:t>建渣</w:t>
            </w:r>
            <w:r>
              <w:rPr>
                <w:rFonts w:hint="eastAsia"/>
                <w:sz w:val="21"/>
                <w:szCs w:val="21"/>
              </w:rPr>
              <w:t>转运</w:t>
            </w:r>
            <w:proofErr w:type="gramEnd"/>
          </w:p>
        </w:tc>
        <w:tc>
          <w:tcPr>
            <w:tcW w:w="2424" w:type="dxa"/>
            <w:vAlign w:val="center"/>
          </w:tcPr>
          <w:p w14:paraId="4C02155B" w14:textId="77777777" w:rsidR="00544649" w:rsidRDefault="00000000">
            <w:pPr>
              <w:adjustRightInd w:val="0"/>
              <w:snapToGrid w:val="0"/>
              <w:spacing w:after="0" w:line="240" w:lineRule="auto"/>
              <w:ind w:firstLineChars="0" w:firstLine="0"/>
              <w:jc w:val="center"/>
              <w:rPr>
                <w:sz w:val="21"/>
                <w:szCs w:val="21"/>
              </w:rPr>
            </w:pPr>
            <w:r>
              <w:rPr>
                <w:sz w:val="21"/>
                <w:szCs w:val="21"/>
              </w:rPr>
              <w:t>大型载重车</w:t>
            </w:r>
          </w:p>
        </w:tc>
        <w:tc>
          <w:tcPr>
            <w:tcW w:w="1640" w:type="dxa"/>
            <w:vAlign w:val="center"/>
          </w:tcPr>
          <w:p w14:paraId="06FA2B8A" w14:textId="77777777" w:rsidR="00544649" w:rsidRDefault="00000000">
            <w:pPr>
              <w:adjustRightInd w:val="0"/>
              <w:snapToGrid w:val="0"/>
              <w:spacing w:after="0" w:line="240" w:lineRule="auto"/>
              <w:ind w:firstLineChars="0" w:firstLine="0"/>
              <w:jc w:val="center"/>
              <w:rPr>
                <w:sz w:val="21"/>
                <w:szCs w:val="21"/>
              </w:rPr>
            </w:pPr>
            <w:r>
              <w:rPr>
                <w:sz w:val="21"/>
                <w:szCs w:val="21"/>
              </w:rPr>
              <w:t>84</w:t>
            </w:r>
            <w:r>
              <w:rPr>
                <w:rFonts w:hint="eastAsia"/>
                <w:sz w:val="21"/>
                <w:szCs w:val="21"/>
              </w:rPr>
              <w:t>~</w:t>
            </w:r>
            <w:r>
              <w:rPr>
                <w:sz w:val="21"/>
                <w:szCs w:val="21"/>
              </w:rPr>
              <w:t>89</w:t>
            </w:r>
          </w:p>
        </w:tc>
      </w:tr>
      <w:tr w:rsidR="00544649" w14:paraId="63C96FD1" w14:textId="77777777">
        <w:trPr>
          <w:trHeight w:val="312"/>
          <w:jc w:val="center"/>
        </w:trPr>
        <w:tc>
          <w:tcPr>
            <w:tcW w:w="2335" w:type="dxa"/>
            <w:vAlign w:val="center"/>
          </w:tcPr>
          <w:p w14:paraId="2AF21C90" w14:textId="77777777" w:rsidR="00544649" w:rsidRDefault="00000000">
            <w:pPr>
              <w:adjustRightInd w:val="0"/>
              <w:snapToGrid w:val="0"/>
              <w:spacing w:after="0" w:line="240" w:lineRule="auto"/>
              <w:ind w:firstLineChars="0" w:firstLine="0"/>
              <w:jc w:val="center"/>
              <w:rPr>
                <w:sz w:val="21"/>
                <w:szCs w:val="21"/>
              </w:rPr>
            </w:pPr>
            <w:r>
              <w:rPr>
                <w:sz w:val="21"/>
                <w:szCs w:val="21"/>
              </w:rPr>
              <w:t>底板与结构阶段</w:t>
            </w:r>
          </w:p>
        </w:tc>
        <w:tc>
          <w:tcPr>
            <w:tcW w:w="2661" w:type="dxa"/>
            <w:vAlign w:val="center"/>
          </w:tcPr>
          <w:p w14:paraId="253E85FF" w14:textId="77777777" w:rsidR="00544649" w:rsidRDefault="00000000">
            <w:pPr>
              <w:adjustRightInd w:val="0"/>
              <w:snapToGrid w:val="0"/>
              <w:spacing w:after="0" w:line="240" w:lineRule="auto"/>
              <w:ind w:firstLineChars="0" w:firstLine="0"/>
              <w:jc w:val="center"/>
              <w:rPr>
                <w:sz w:val="21"/>
                <w:szCs w:val="21"/>
              </w:rPr>
            </w:pPr>
            <w:r>
              <w:rPr>
                <w:sz w:val="21"/>
                <w:szCs w:val="21"/>
              </w:rPr>
              <w:t>钢筋、混凝土等</w:t>
            </w:r>
          </w:p>
        </w:tc>
        <w:tc>
          <w:tcPr>
            <w:tcW w:w="2424" w:type="dxa"/>
            <w:vAlign w:val="center"/>
          </w:tcPr>
          <w:p w14:paraId="6AA75EA0" w14:textId="77777777" w:rsidR="00544649" w:rsidRDefault="00000000">
            <w:pPr>
              <w:adjustRightInd w:val="0"/>
              <w:snapToGrid w:val="0"/>
              <w:spacing w:after="0" w:line="240" w:lineRule="auto"/>
              <w:ind w:firstLineChars="0" w:firstLine="0"/>
              <w:jc w:val="center"/>
              <w:rPr>
                <w:sz w:val="21"/>
                <w:szCs w:val="21"/>
              </w:rPr>
            </w:pPr>
            <w:r>
              <w:rPr>
                <w:sz w:val="21"/>
                <w:szCs w:val="21"/>
              </w:rPr>
              <w:t>混凝土罐车、载重车</w:t>
            </w:r>
          </w:p>
        </w:tc>
        <w:tc>
          <w:tcPr>
            <w:tcW w:w="1640" w:type="dxa"/>
            <w:vAlign w:val="center"/>
          </w:tcPr>
          <w:p w14:paraId="31E61BE8" w14:textId="77777777" w:rsidR="00544649" w:rsidRDefault="00000000">
            <w:pPr>
              <w:adjustRightInd w:val="0"/>
              <w:snapToGrid w:val="0"/>
              <w:spacing w:after="0" w:line="240" w:lineRule="auto"/>
              <w:ind w:firstLineChars="0" w:firstLine="0"/>
              <w:jc w:val="center"/>
              <w:rPr>
                <w:sz w:val="21"/>
                <w:szCs w:val="21"/>
              </w:rPr>
            </w:pPr>
            <w:r>
              <w:rPr>
                <w:sz w:val="21"/>
                <w:szCs w:val="21"/>
              </w:rPr>
              <w:t>80</w:t>
            </w:r>
            <w:r>
              <w:rPr>
                <w:rFonts w:hint="eastAsia"/>
                <w:sz w:val="21"/>
                <w:szCs w:val="21"/>
              </w:rPr>
              <w:t>~</w:t>
            </w:r>
            <w:r>
              <w:rPr>
                <w:sz w:val="21"/>
                <w:szCs w:val="21"/>
              </w:rPr>
              <w:t>85</w:t>
            </w:r>
          </w:p>
        </w:tc>
      </w:tr>
      <w:tr w:rsidR="00544649" w14:paraId="636C2756" w14:textId="77777777">
        <w:trPr>
          <w:trHeight w:val="288"/>
          <w:jc w:val="center"/>
        </w:trPr>
        <w:tc>
          <w:tcPr>
            <w:tcW w:w="2335" w:type="dxa"/>
            <w:vAlign w:val="center"/>
          </w:tcPr>
          <w:p w14:paraId="41D38B47" w14:textId="77777777" w:rsidR="00544649" w:rsidRDefault="00000000">
            <w:pPr>
              <w:adjustRightInd w:val="0"/>
              <w:snapToGrid w:val="0"/>
              <w:spacing w:after="0" w:line="240" w:lineRule="auto"/>
              <w:ind w:firstLineChars="0" w:firstLine="0"/>
              <w:jc w:val="center"/>
              <w:rPr>
                <w:sz w:val="21"/>
                <w:szCs w:val="21"/>
              </w:rPr>
            </w:pPr>
            <w:r>
              <w:rPr>
                <w:sz w:val="21"/>
                <w:szCs w:val="21"/>
              </w:rPr>
              <w:t>装修安装阶段</w:t>
            </w:r>
          </w:p>
        </w:tc>
        <w:tc>
          <w:tcPr>
            <w:tcW w:w="2661" w:type="dxa"/>
            <w:vAlign w:val="center"/>
          </w:tcPr>
          <w:p w14:paraId="6B930146" w14:textId="77777777" w:rsidR="00544649" w:rsidRDefault="00000000">
            <w:pPr>
              <w:adjustRightInd w:val="0"/>
              <w:snapToGrid w:val="0"/>
              <w:spacing w:after="0" w:line="240" w:lineRule="auto"/>
              <w:ind w:firstLineChars="0" w:firstLine="0"/>
              <w:jc w:val="center"/>
              <w:rPr>
                <w:sz w:val="21"/>
                <w:szCs w:val="21"/>
              </w:rPr>
            </w:pPr>
            <w:r>
              <w:rPr>
                <w:sz w:val="21"/>
                <w:szCs w:val="21"/>
              </w:rPr>
              <w:t>各种装修材料</w:t>
            </w:r>
            <w:r>
              <w:rPr>
                <w:rFonts w:hint="eastAsia"/>
                <w:sz w:val="21"/>
                <w:szCs w:val="21"/>
              </w:rPr>
              <w:t>及</w:t>
            </w:r>
            <w:r>
              <w:rPr>
                <w:sz w:val="21"/>
                <w:szCs w:val="21"/>
              </w:rPr>
              <w:t>必备设备</w:t>
            </w:r>
          </w:p>
        </w:tc>
        <w:tc>
          <w:tcPr>
            <w:tcW w:w="2424" w:type="dxa"/>
            <w:vAlign w:val="center"/>
          </w:tcPr>
          <w:p w14:paraId="01A4DC82" w14:textId="77777777" w:rsidR="00544649" w:rsidRDefault="00000000">
            <w:pPr>
              <w:adjustRightInd w:val="0"/>
              <w:snapToGrid w:val="0"/>
              <w:spacing w:after="0" w:line="240" w:lineRule="auto"/>
              <w:ind w:firstLineChars="0" w:firstLine="0"/>
              <w:jc w:val="center"/>
              <w:rPr>
                <w:sz w:val="21"/>
                <w:szCs w:val="21"/>
              </w:rPr>
            </w:pPr>
            <w:r>
              <w:rPr>
                <w:sz w:val="21"/>
                <w:szCs w:val="21"/>
              </w:rPr>
              <w:t>轻型载重卡车</w:t>
            </w:r>
          </w:p>
        </w:tc>
        <w:tc>
          <w:tcPr>
            <w:tcW w:w="1640" w:type="dxa"/>
            <w:vAlign w:val="center"/>
          </w:tcPr>
          <w:p w14:paraId="2CAC274B" w14:textId="77777777" w:rsidR="00544649" w:rsidRDefault="00000000">
            <w:pPr>
              <w:adjustRightInd w:val="0"/>
              <w:snapToGrid w:val="0"/>
              <w:spacing w:after="0" w:line="240" w:lineRule="auto"/>
              <w:ind w:firstLineChars="0" w:firstLine="0"/>
              <w:jc w:val="center"/>
              <w:rPr>
                <w:sz w:val="21"/>
                <w:szCs w:val="21"/>
              </w:rPr>
            </w:pPr>
            <w:r>
              <w:rPr>
                <w:sz w:val="21"/>
                <w:szCs w:val="21"/>
              </w:rPr>
              <w:t>75</w:t>
            </w:r>
            <w:r>
              <w:rPr>
                <w:rFonts w:hint="eastAsia"/>
                <w:sz w:val="21"/>
                <w:szCs w:val="21"/>
              </w:rPr>
              <w:t>~</w:t>
            </w:r>
            <w:r>
              <w:rPr>
                <w:sz w:val="21"/>
                <w:szCs w:val="21"/>
              </w:rPr>
              <w:t>80</w:t>
            </w:r>
          </w:p>
        </w:tc>
      </w:tr>
    </w:tbl>
    <w:p w14:paraId="472DF156" w14:textId="77777777" w:rsidR="00544649" w:rsidRDefault="00000000">
      <w:pPr>
        <w:numPr>
          <w:ilvl w:val="0"/>
          <w:numId w:val="24"/>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主要</w:t>
      </w:r>
      <w:r>
        <w:rPr>
          <w:rFonts w:cs="Times New Roman" w:hint="eastAsia"/>
          <w:b/>
          <w:bCs/>
          <w:kern w:val="21"/>
          <w:sz w:val="21"/>
          <w:szCs w:val="21"/>
        </w:rPr>
        <w:t>机械设备</w:t>
      </w:r>
      <w:r>
        <w:rPr>
          <w:rFonts w:cs="Times New Roman"/>
          <w:b/>
          <w:bCs/>
          <w:kern w:val="21"/>
          <w:sz w:val="21"/>
          <w:szCs w:val="21"/>
        </w:rPr>
        <w:t>噪声声级</w:t>
      </w:r>
      <w:r>
        <w:rPr>
          <w:rFonts w:cs="Times New Roman" w:hint="eastAsia"/>
          <w:b/>
          <w:bCs/>
          <w:kern w:val="21"/>
          <w:sz w:val="21"/>
          <w:szCs w:val="21"/>
        </w:rPr>
        <w:t xml:space="preserve">  </w:t>
      </w:r>
      <w:r>
        <w:rPr>
          <w:rFonts w:cs="Times New Roman"/>
          <w:b/>
          <w:bCs/>
          <w:kern w:val="21"/>
          <w:sz w:val="21"/>
          <w:szCs w:val="21"/>
        </w:rPr>
        <w:t>单位：</w:t>
      </w:r>
      <w:r>
        <w:rPr>
          <w:rFonts w:cs="Times New Roman"/>
          <w:b/>
          <w:bCs/>
          <w:kern w:val="21"/>
          <w:sz w:val="21"/>
          <w:szCs w:val="21"/>
        </w:rPr>
        <w:t>dB</w:t>
      </w:r>
      <w:r>
        <w:rPr>
          <w:rFonts w:cs="Times New Roman"/>
          <w:b/>
          <w:bCs/>
          <w:kern w:val="21"/>
          <w:sz w:val="21"/>
          <w:szCs w:val="21"/>
        </w:rPr>
        <w:t>（</w:t>
      </w:r>
      <w:r>
        <w:rPr>
          <w:rFonts w:cs="Times New Roman"/>
          <w:b/>
          <w:bCs/>
          <w:kern w:val="21"/>
          <w:sz w:val="21"/>
          <w:szCs w:val="21"/>
        </w:rPr>
        <w:t>A</w:t>
      </w:r>
      <w:r>
        <w:rPr>
          <w:rFonts w:cs="Times New Roman"/>
          <w:b/>
          <w:bCs/>
          <w:kern w:val="21"/>
          <w:sz w:val="21"/>
          <w:szCs w:val="21"/>
        </w:rPr>
        <w:t>）</w:t>
      </w:r>
    </w:p>
    <w:tbl>
      <w:tblPr>
        <w:tblW w:w="89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097"/>
        <w:gridCol w:w="1514"/>
        <w:gridCol w:w="1646"/>
        <w:gridCol w:w="1101"/>
        <w:gridCol w:w="899"/>
        <w:gridCol w:w="902"/>
        <w:gridCol w:w="899"/>
        <w:gridCol w:w="842"/>
      </w:tblGrid>
      <w:tr w:rsidR="00544649" w14:paraId="3F8176B2" w14:textId="77777777">
        <w:trPr>
          <w:jc w:val="center"/>
        </w:trPr>
        <w:tc>
          <w:tcPr>
            <w:tcW w:w="1097" w:type="dxa"/>
            <w:vMerge w:val="restart"/>
            <w:vAlign w:val="center"/>
          </w:tcPr>
          <w:p w14:paraId="48903F5E" w14:textId="77777777" w:rsidR="00544649" w:rsidRDefault="00000000">
            <w:pPr>
              <w:adjustRightInd w:val="0"/>
              <w:snapToGrid w:val="0"/>
              <w:spacing w:after="0" w:line="240" w:lineRule="auto"/>
              <w:ind w:firstLineChars="0" w:firstLine="0"/>
              <w:jc w:val="center"/>
              <w:rPr>
                <w:rFonts w:cs="Times New Roman"/>
                <w:b/>
                <w:sz w:val="21"/>
                <w:szCs w:val="21"/>
              </w:rPr>
            </w:pPr>
            <w:r>
              <w:rPr>
                <w:rFonts w:cs="Times New Roman"/>
                <w:b/>
                <w:sz w:val="21"/>
                <w:szCs w:val="21"/>
              </w:rPr>
              <w:t>施工阶段</w:t>
            </w:r>
          </w:p>
        </w:tc>
        <w:tc>
          <w:tcPr>
            <w:tcW w:w="1514" w:type="dxa"/>
            <w:vMerge w:val="restart"/>
            <w:vAlign w:val="center"/>
          </w:tcPr>
          <w:p w14:paraId="60DBCBCB" w14:textId="77777777" w:rsidR="00544649" w:rsidRDefault="00000000">
            <w:pPr>
              <w:adjustRightInd w:val="0"/>
              <w:snapToGrid w:val="0"/>
              <w:spacing w:after="0" w:line="240" w:lineRule="auto"/>
              <w:ind w:firstLineChars="0" w:firstLine="0"/>
              <w:jc w:val="center"/>
              <w:rPr>
                <w:rFonts w:cs="Times New Roman"/>
                <w:b/>
                <w:sz w:val="21"/>
                <w:szCs w:val="21"/>
              </w:rPr>
            </w:pPr>
            <w:r>
              <w:rPr>
                <w:rFonts w:cs="Times New Roman"/>
                <w:b/>
                <w:sz w:val="21"/>
                <w:szCs w:val="21"/>
              </w:rPr>
              <w:t>声源</w:t>
            </w:r>
          </w:p>
        </w:tc>
        <w:tc>
          <w:tcPr>
            <w:tcW w:w="1646" w:type="dxa"/>
            <w:vMerge w:val="restart"/>
            <w:vAlign w:val="center"/>
          </w:tcPr>
          <w:p w14:paraId="6B2611FF" w14:textId="77777777" w:rsidR="00544649" w:rsidRDefault="00000000">
            <w:pPr>
              <w:adjustRightInd w:val="0"/>
              <w:snapToGrid w:val="0"/>
              <w:spacing w:after="0" w:line="240" w:lineRule="auto"/>
              <w:ind w:firstLineChars="0" w:firstLine="0"/>
              <w:jc w:val="center"/>
              <w:rPr>
                <w:rFonts w:cs="Times New Roman"/>
                <w:b/>
                <w:sz w:val="21"/>
                <w:szCs w:val="21"/>
              </w:rPr>
            </w:pPr>
            <w:r>
              <w:rPr>
                <w:rFonts w:cs="Times New Roman"/>
                <w:b/>
                <w:sz w:val="21"/>
                <w:szCs w:val="21"/>
              </w:rPr>
              <w:t>声源强度</w:t>
            </w:r>
            <w:r>
              <w:rPr>
                <w:rFonts w:cs="Times New Roman"/>
                <w:b/>
                <w:sz w:val="21"/>
                <w:szCs w:val="21"/>
              </w:rPr>
              <w:t>[dB(A)]</w:t>
            </w:r>
          </w:p>
        </w:tc>
        <w:tc>
          <w:tcPr>
            <w:tcW w:w="1101" w:type="dxa"/>
            <w:vMerge w:val="restart"/>
            <w:vAlign w:val="center"/>
          </w:tcPr>
          <w:p w14:paraId="2E8D4904" w14:textId="77777777" w:rsidR="00544649" w:rsidRDefault="00000000">
            <w:pPr>
              <w:adjustRightInd w:val="0"/>
              <w:snapToGrid w:val="0"/>
              <w:spacing w:after="0" w:line="240" w:lineRule="auto"/>
              <w:ind w:firstLineChars="0" w:firstLine="0"/>
              <w:jc w:val="center"/>
              <w:rPr>
                <w:rFonts w:cs="Times New Roman"/>
                <w:b/>
                <w:sz w:val="21"/>
                <w:szCs w:val="21"/>
              </w:rPr>
            </w:pPr>
            <w:r>
              <w:rPr>
                <w:rFonts w:cs="Times New Roman"/>
                <w:b/>
                <w:sz w:val="21"/>
                <w:szCs w:val="21"/>
              </w:rPr>
              <w:t>噪声类型</w:t>
            </w:r>
          </w:p>
        </w:tc>
        <w:tc>
          <w:tcPr>
            <w:tcW w:w="3542" w:type="dxa"/>
            <w:gridSpan w:val="4"/>
            <w:vAlign w:val="center"/>
          </w:tcPr>
          <w:p w14:paraId="7D36EF26" w14:textId="77777777" w:rsidR="00544649" w:rsidRDefault="00000000">
            <w:pPr>
              <w:adjustRightInd w:val="0"/>
              <w:snapToGrid w:val="0"/>
              <w:spacing w:after="0" w:line="240" w:lineRule="auto"/>
              <w:ind w:firstLineChars="0" w:firstLine="0"/>
              <w:jc w:val="center"/>
              <w:rPr>
                <w:rFonts w:cs="Times New Roman"/>
                <w:b/>
                <w:sz w:val="21"/>
                <w:szCs w:val="21"/>
              </w:rPr>
            </w:pPr>
            <w:r>
              <w:rPr>
                <w:rFonts w:cs="Times New Roman"/>
                <w:b/>
                <w:sz w:val="21"/>
                <w:szCs w:val="21"/>
              </w:rPr>
              <w:t>场界噪声</w:t>
            </w:r>
            <w:r>
              <w:rPr>
                <w:rFonts w:cs="Times New Roman"/>
                <w:b/>
                <w:sz w:val="21"/>
                <w:szCs w:val="21"/>
              </w:rPr>
              <w:t xml:space="preserve"> [dB(A)]</w:t>
            </w:r>
          </w:p>
        </w:tc>
      </w:tr>
      <w:tr w:rsidR="00544649" w14:paraId="59EC9020" w14:textId="77777777">
        <w:trPr>
          <w:jc w:val="center"/>
        </w:trPr>
        <w:tc>
          <w:tcPr>
            <w:tcW w:w="1097" w:type="dxa"/>
            <w:vMerge/>
            <w:vAlign w:val="center"/>
          </w:tcPr>
          <w:p w14:paraId="64B36819" w14:textId="77777777" w:rsidR="00544649" w:rsidRDefault="00544649">
            <w:pPr>
              <w:adjustRightInd w:val="0"/>
              <w:snapToGrid w:val="0"/>
              <w:spacing w:after="0" w:line="240" w:lineRule="auto"/>
              <w:ind w:firstLineChars="0" w:firstLine="0"/>
              <w:jc w:val="center"/>
              <w:rPr>
                <w:rFonts w:cs="Times New Roman"/>
                <w:b/>
                <w:sz w:val="21"/>
                <w:szCs w:val="21"/>
              </w:rPr>
            </w:pPr>
          </w:p>
        </w:tc>
        <w:tc>
          <w:tcPr>
            <w:tcW w:w="1514" w:type="dxa"/>
            <w:vMerge/>
            <w:vAlign w:val="center"/>
          </w:tcPr>
          <w:p w14:paraId="51AD7454" w14:textId="77777777" w:rsidR="00544649" w:rsidRDefault="00544649">
            <w:pPr>
              <w:adjustRightInd w:val="0"/>
              <w:snapToGrid w:val="0"/>
              <w:spacing w:after="0" w:line="240" w:lineRule="auto"/>
              <w:ind w:firstLineChars="0" w:firstLine="0"/>
              <w:jc w:val="center"/>
              <w:rPr>
                <w:rFonts w:cs="Times New Roman"/>
                <w:b/>
                <w:sz w:val="21"/>
                <w:szCs w:val="21"/>
              </w:rPr>
            </w:pPr>
          </w:p>
        </w:tc>
        <w:tc>
          <w:tcPr>
            <w:tcW w:w="1646" w:type="dxa"/>
            <w:vMerge/>
            <w:vAlign w:val="center"/>
          </w:tcPr>
          <w:p w14:paraId="06548DEA" w14:textId="77777777" w:rsidR="00544649" w:rsidRDefault="00544649">
            <w:pPr>
              <w:adjustRightInd w:val="0"/>
              <w:snapToGrid w:val="0"/>
              <w:spacing w:after="0" w:line="240" w:lineRule="auto"/>
              <w:ind w:firstLineChars="0" w:firstLine="0"/>
              <w:jc w:val="center"/>
              <w:rPr>
                <w:rFonts w:cs="Times New Roman"/>
                <w:b/>
                <w:sz w:val="21"/>
                <w:szCs w:val="21"/>
              </w:rPr>
            </w:pPr>
          </w:p>
        </w:tc>
        <w:tc>
          <w:tcPr>
            <w:tcW w:w="1101" w:type="dxa"/>
            <w:vMerge/>
            <w:vAlign w:val="center"/>
          </w:tcPr>
          <w:p w14:paraId="74D503D9" w14:textId="77777777" w:rsidR="00544649" w:rsidRDefault="00544649">
            <w:pPr>
              <w:adjustRightInd w:val="0"/>
              <w:snapToGrid w:val="0"/>
              <w:spacing w:after="0" w:line="240" w:lineRule="auto"/>
              <w:ind w:firstLineChars="0" w:firstLine="0"/>
              <w:jc w:val="center"/>
              <w:rPr>
                <w:rFonts w:cs="Times New Roman"/>
                <w:b/>
                <w:sz w:val="21"/>
                <w:szCs w:val="21"/>
              </w:rPr>
            </w:pPr>
          </w:p>
        </w:tc>
        <w:tc>
          <w:tcPr>
            <w:tcW w:w="1801" w:type="dxa"/>
            <w:gridSpan w:val="2"/>
            <w:vAlign w:val="center"/>
          </w:tcPr>
          <w:p w14:paraId="2B01A4BA" w14:textId="77777777" w:rsidR="00544649" w:rsidRDefault="00000000">
            <w:pPr>
              <w:adjustRightInd w:val="0"/>
              <w:snapToGrid w:val="0"/>
              <w:spacing w:after="0" w:line="240" w:lineRule="auto"/>
              <w:ind w:firstLineChars="0" w:firstLine="0"/>
              <w:jc w:val="center"/>
              <w:rPr>
                <w:rFonts w:cs="Times New Roman"/>
                <w:b/>
                <w:sz w:val="21"/>
                <w:szCs w:val="21"/>
              </w:rPr>
            </w:pPr>
            <w:r>
              <w:rPr>
                <w:rFonts w:cs="Times New Roman"/>
                <w:b/>
                <w:sz w:val="21"/>
                <w:szCs w:val="21"/>
              </w:rPr>
              <w:t>场界值（未处理）</w:t>
            </w:r>
          </w:p>
        </w:tc>
        <w:tc>
          <w:tcPr>
            <w:tcW w:w="1741" w:type="dxa"/>
            <w:gridSpan w:val="2"/>
            <w:vAlign w:val="center"/>
          </w:tcPr>
          <w:p w14:paraId="79194803" w14:textId="77777777" w:rsidR="00544649" w:rsidRDefault="00000000">
            <w:pPr>
              <w:adjustRightInd w:val="0"/>
              <w:snapToGrid w:val="0"/>
              <w:spacing w:after="0" w:line="240" w:lineRule="auto"/>
              <w:ind w:firstLineChars="0" w:firstLine="0"/>
              <w:jc w:val="center"/>
              <w:rPr>
                <w:rFonts w:cs="Times New Roman"/>
                <w:b/>
                <w:sz w:val="21"/>
                <w:szCs w:val="21"/>
              </w:rPr>
            </w:pPr>
            <w:r>
              <w:rPr>
                <w:rFonts w:cs="Times New Roman"/>
                <w:b/>
                <w:sz w:val="21"/>
                <w:szCs w:val="21"/>
              </w:rPr>
              <w:t>标准值</w:t>
            </w:r>
          </w:p>
        </w:tc>
      </w:tr>
      <w:tr w:rsidR="00544649" w14:paraId="3F6BC942" w14:textId="77777777">
        <w:trPr>
          <w:jc w:val="center"/>
        </w:trPr>
        <w:tc>
          <w:tcPr>
            <w:tcW w:w="1097" w:type="dxa"/>
            <w:vMerge/>
            <w:vAlign w:val="center"/>
          </w:tcPr>
          <w:p w14:paraId="63621156" w14:textId="77777777" w:rsidR="00544649" w:rsidRDefault="00544649">
            <w:pPr>
              <w:adjustRightInd w:val="0"/>
              <w:snapToGrid w:val="0"/>
              <w:spacing w:after="0" w:line="240" w:lineRule="auto"/>
              <w:ind w:firstLineChars="0" w:firstLine="0"/>
              <w:jc w:val="center"/>
              <w:rPr>
                <w:rFonts w:cs="Times New Roman"/>
                <w:b/>
                <w:sz w:val="21"/>
                <w:szCs w:val="21"/>
              </w:rPr>
            </w:pPr>
          </w:p>
        </w:tc>
        <w:tc>
          <w:tcPr>
            <w:tcW w:w="1514" w:type="dxa"/>
            <w:vMerge/>
            <w:vAlign w:val="center"/>
          </w:tcPr>
          <w:p w14:paraId="443FF7CB" w14:textId="77777777" w:rsidR="00544649" w:rsidRDefault="00544649">
            <w:pPr>
              <w:adjustRightInd w:val="0"/>
              <w:snapToGrid w:val="0"/>
              <w:spacing w:after="0" w:line="240" w:lineRule="auto"/>
              <w:ind w:firstLineChars="0" w:firstLine="0"/>
              <w:jc w:val="center"/>
              <w:rPr>
                <w:rFonts w:cs="Times New Roman"/>
                <w:b/>
                <w:sz w:val="21"/>
                <w:szCs w:val="21"/>
              </w:rPr>
            </w:pPr>
          </w:p>
        </w:tc>
        <w:tc>
          <w:tcPr>
            <w:tcW w:w="1646" w:type="dxa"/>
            <w:vMerge/>
            <w:vAlign w:val="center"/>
          </w:tcPr>
          <w:p w14:paraId="651201A2" w14:textId="77777777" w:rsidR="00544649" w:rsidRDefault="00544649">
            <w:pPr>
              <w:adjustRightInd w:val="0"/>
              <w:snapToGrid w:val="0"/>
              <w:spacing w:after="0" w:line="240" w:lineRule="auto"/>
              <w:ind w:firstLineChars="0" w:firstLine="0"/>
              <w:jc w:val="center"/>
              <w:rPr>
                <w:rFonts w:cs="Times New Roman"/>
                <w:b/>
                <w:sz w:val="21"/>
                <w:szCs w:val="21"/>
              </w:rPr>
            </w:pPr>
          </w:p>
        </w:tc>
        <w:tc>
          <w:tcPr>
            <w:tcW w:w="1101" w:type="dxa"/>
            <w:vMerge/>
            <w:vAlign w:val="center"/>
          </w:tcPr>
          <w:p w14:paraId="7ED58A5A" w14:textId="77777777" w:rsidR="00544649" w:rsidRDefault="00544649">
            <w:pPr>
              <w:adjustRightInd w:val="0"/>
              <w:snapToGrid w:val="0"/>
              <w:spacing w:after="0" w:line="240" w:lineRule="auto"/>
              <w:ind w:firstLineChars="0" w:firstLine="0"/>
              <w:jc w:val="center"/>
              <w:rPr>
                <w:rFonts w:cs="Times New Roman"/>
                <w:b/>
                <w:sz w:val="21"/>
                <w:szCs w:val="21"/>
              </w:rPr>
            </w:pPr>
          </w:p>
        </w:tc>
        <w:tc>
          <w:tcPr>
            <w:tcW w:w="899" w:type="dxa"/>
            <w:vAlign w:val="center"/>
          </w:tcPr>
          <w:p w14:paraId="61298B1D" w14:textId="77777777" w:rsidR="00544649" w:rsidRDefault="00000000">
            <w:pPr>
              <w:adjustRightInd w:val="0"/>
              <w:snapToGrid w:val="0"/>
              <w:spacing w:after="0" w:line="240" w:lineRule="auto"/>
              <w:ind w:firstLineChars="0" w:firstLine="0"/>
              <w:jc w:val="center"/>
              <w:rPr>
                <w:rFonts w:cs="Times New Roman"/>
                <w:b/>
                <w:sz w:val="21"/>
                <w:szCs w:val="21"/>
              </w:rPr>
            </w:pPr>
            <w:r>
              <w:rPr>
                <w:rFonts w:cs="Times New Roman"/>
                <w:b/>
                <w:sz w:val="21"/>
                <w:szCs w:val="21"/>
              </w:rPr>
              <w:t>昼间</w:t>
            </w:r>
          </w:p>
        </w:tc>
        <w:tc>
          <w:tcPr>
            <w:tcW w:w="902" w:type="dxa"/>
            <w:vAlign w:val="center"/>
          </w:tcPr>
          <w:p w14:paraId="11CAD172" w14:textId="77777777" w:rsidR="00544649" w:rsidRDefault="00000000">
            <w:pPr>
              <w:adjustRightInd w:val="0"/>
              <w:snapToGrid w:val="0"/>
              <w:spacing w:after="0" w:line="240" w:lineRule="auto"/>
              <w:ind w:firstLineChars="0" w:firstLine="0"/>
              <w:jc w:val="center"/>
              <w:rPr>
                <w:rFonts w:cs="Times New Roman"/>
                <w:b/>
                <w:sz w:val="21"/>
                <w:szCs w:val="21"/>
              </w:rPr>
            </w:pPr>
            <w:r>
              <w:rPr>
                <w:rFonts w:cs="Times New Roman"/>
                <w:b/>
                <w:sz w:val="21"/>
                <w:szCs w:val="21"/>
              </w:rPr>
              <w:t>夜间</w:t>
            </w:r>
          </w:p>
        </w:tc>
        <w:tc>
          <w:tcPr>
            <w:tcW w:w="899" w:type="dxa"/>
            <w:vAlign w:val="center"/>
          </w:tcPr>
          <w:p w14:paraId="2CD1CA32" w14:textId="77777777" w:rsidR="00544649" w:rsidRDefault="00000000">
            <w:pPr>
              <w:adjustRightInd w:val="0"/>
              <w:snapToGrid w:val="0"/>
              <w:spacing w:after="0" w:line="240" w:lineRule="auto"/>
              <w:ind w:firstLineChars="0" w:firstLine="0"/>
              <w:jc w:val="center"/>
              <w:rPr>
                <w:rFonts w:cs="Times New Roman"/>
                <w:b/>
                <w:sz w:val="21"/>
                <w:szCs w:val="21"/>
              </w:rPr>
            </w:pPr>
            <w:r>
              <w:rPr>
                <w:rFonts w:cs="Times New Roman"/>
                <w:b/>
                <w:sz w:val="21"/>
                <w:szCs w:val="21"/>
              </w:rPr>
              <w:t>昼间</w:t>
            </w:r>
          </w:p>
        </w:tc>
        <w:tc>
          <w:tcPr>
            <w:tcW w:w="842" w:type="dxa"/>
            <w:vAlign w:val="center"/>
          </w:tcPr>
          <w:p w14:paraId="0746BA75" w14:textId="77777777" w:rsidR="00544649" w:rsidRDefault="00000000">
            <w:pPr>
              <w:adjustRightInd w:val="0"/>
              <w:snapToGrid w:val="0"/>
              <w:spacing w:after="0" w:line="240" w:lineRule="auto"/>
              <w:ind w:firstLineChars="0" w:firstLine="0"/>
              <w:jc w:val="center"/>
              <w:rPr>
                <w:rFonts w:cs="Times New Roman"/>
                <w:b/>
                <w:sz w:val="21"/>
                <w:szCs w:val="21"/>
              </w:rPr>
            </w:pPr>
            <w:r>
              <w:rPr>
                <w:rFonts w:cs="Times New Roman"/>
                <w:b/>
                <w:sz w:val="21"/>
                <w:szCs w:val="21"/>
              </w:rPr>
              <w:t>夜间</w:t>
            </w:r>
          </w:p>
        </w:tc>
      </w:tr>
      <w:tr w:rsidR="00544649" w14:paraId="0E009E49" w14:textId="77777777">
        <w:trPr>
          <w:cantSplit/>
          <w:jc w:val="center"/>
        </w:trPr>
        <w:tc>
          <w:tcPr>
            <w:tcW w:w="1097" w:type="dxa"/>
            <w:vMerge w:val="restart"/>
            <w:vAlign w:val="center"/>
          </w:tcPr>
          <w:p w14:paraId="2514D001" w14:textId="77777777" w:rsidR="00544649" w:rsidRDefault="00000000">
            <w:pPr>
              <w:adjustRightInd w:val="0"/>
              <w:snapToGrid w:val="0"/>
              <w:spacing w:after="0" w:line="240" w:lineRule="auto"/>
              <w:ind w:firstLineChars="0" w:firstLine="0"/>
              <w:jc w:val="center"/>
              <w:rPr>
                <w:rFonts w:cs="Times New Roman"/>
                <w:b/>
                <w:sz w:val="21"/>
                <w:szCs w:val="21"/>
              </w:rPr>
            </w:pPr>
            <w:r>
              <w:rPr>
                <w:rFonts w:cs="Times New Roman"/>
                <w:b/>
                <w:sz w:val="21"/>
                <w:szCs w:val="21"/>
              </w:rPr>
              <w:t>土石方、主体施工阶段</w:t>
            </w:r>
          </w:p>
        </w:tc>
        <w:tc>
          <w:tcPr>
            <w:tcW w:w="1514" w:type="dxa"/>
            <w:vAlign w:val="center"/>
          </w:tcPr>
          <w:p w14:paraId="2A7C86D7"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挖土机</w:t>
            </w:r>
          </w:p>
        </w:tc>
        <w:tc>
          <w:tcPr>
            <w:tcW w:w="1646" w:type="dxa"/>
            <w:vAlign w:val="center"/>
          </w:tcPr>
          <w:p w14:paraId="064D9CBB"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78~95</w:t>
            </w:r>
          </w:p>
        </w:tc>
        <w:tc>
          <w:tcPr>
            <w:tcW w:w="1101" w:type="dxa"/>
            <w:vMerge w:val="restart"/>
            <w:vAlign w:val="center"/>
          </w:tcPr>
          <w:p w14:paraId="6A82755E"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机械噪声</w:t>
            </w:r>
          </w:p>
        </w:tc>
        <w:tc>
          <w:tcPr>
            <w:tcW w:w="899" w:type="dxa"/>
            <w:vMerge w:val="restart"/>
            <w:vAlign w:val="center"/>
          </w:tcPr>
          <w:p w14:paraId="29DD8346"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75~85</w:t>
            </w:r>
          </w:p>
        </w:tc>
        <w:tc>
          <w:tcPr>
            <w:tcW w:w="902" w:type="dxa"/>
            <w:vMerge w:val="restart"/>
            <w:vAlign w:val="center"/>
          </w:tcPr>
          <w:p w14:paraId="3201CC07"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75~85</w:t>
            </w:r>
          </w:p>
        </w:tc>
        <w:tc>
          <w:tcPr>
            <w:tcW w:w="899" w:type="dxa"/>
            <w:vMerge w:val="restart"/>
            <w:vAlign w:val="center"/>
          </w:tcPr>
          <w:p w14:paraId="09FCF9D8"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70</w:t>
            </w:r>
          </w:p>
        </w:tc>
        <w:tc>
          <w:tcPr>
            <w:tcW w:w="842" w:type="dxa"/>
            <w:vMerge w:val="restart"/>
            <w:vAlign w:val="center"/>
          </w:tcPr>
          <w:p w14:paraId="49098A04"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55</w:t>
            </w:r>
          </w:p>
        </w:tc>
      </w:tr>
      <w:tr w:rsidR="00544649" w14:paraId="418C9B59" w14:textId="77777777">
        <w:trPr>
          <w:cantSplit/>
          <w:jc w:val="center"/>
        </w:trPr>
        <w:tc>
          <w:tcPr>
            <w:tcW w:w="1097" w:type="dxa"/>
            <w:vMerge/>
            <w:vAlign w:val="center"/>
          </w:tcPr>
          <w:p w14:paraId="48C52066" w14:textId="77777777" w:rsidR="00544649" w:rsidRDefault="00544649">
            <w:pPr>
              <w:adjustRightInd w:val="0"/>
              <w:snapToGrid w:val="0"/>
              <w:spacing w:after="0" w:line="240" w:lineRule="auto"/>
              <w:ind w:firstLineChars="0" w:firstLine="0"/>
              <w:jc w:val="center"/>
              <w:rPr>
                <w:rFonts w:cs="Times New Roman"/>
                <w:b/>
                <w:sz w:val="21"/>
                <w:szCs w:val="21"/>
              </w:rPr>
            </w:pPr>
          </w:p>
        </w:tc>
        <w:tc>
          <w:tcPr>
            <w:tcW w:w="1514" w:type="dxa"/>
            <w:vAlign w:val="center"/>
          </w:tcPr>
          <w:p w14:paraId="4D78C6A4"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冲击机</w:t>
            </w:r>
          </w:p>
        </w:tc>
        <w:tc>
          <w:tcPr>
            <w:tcW w:w="1646" w:type="dxa"/>
            <w:vAlign w:val="center"/>
          </w:tcPr>
          <w:p w14:paraId="2D695666"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95</w:t>
            </w:r>
          </w:p>
        </w:tc>
        <w:tc>
          <w:tcPr>
            <w:tcW w:w="1101" w:type="dxa"/>
            <w:vMerge/>
            <w:vAlign w:val="center"/>
          </w:tcPr>
          <w:p w14:paraId="3D245235"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35729C36"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902" w:type="dxa"/>
            <w:vMerge/>
            <w:vAlign w:val="center"/>
          </w:tcPr>
          <w:p w14:paraId="08DF9F1C"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05E7A056"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42" w:type="dxa"/>
            <w:vMerge/>
            <w:vAlign w:val="center"/>
          </w:tcPr>
          <w:p w14:paraId="21FEA855" w14:textId="77777777" w:rsidR="00544649" w:rsidRDefault="00544649">
            <w:pPr>
              <w:adjustRightInd w:val="0"/>
              <w:snapToGrid w:val="0"/>
              <w:spacing w:after="0" w:line="240" w:lineRule="auto"/>
              <w:ind w:firstLineChars="0" w:firstLine="0"/>
              <w:jc w:val="center"/>
              <w:rPr>
                <w:rFonts w:cs="Times New Roman"/>
                <w:sz w:val="21"/>
                <w:szCs w:val="21"/>
              </w:rPr>
            </w:pPr>
          </w:p>
        </w:tc>
      </w:tr>
      <w:tr w:rsidR="00544649" w14:paraId="53841147" w14:textId="77777777">
        <w:trPr>
          <w:cantSplit/>
          <w:jc w:val="center"/>
        </w:trPr>
        <w:tc>
          <w:tcPr>
            <w:tcW w:w="1097" w:type="dxa"/>
            <w:vMerge/>
            <w:vAlign w:val="center"/>
          </w:tcPr>
          <w:p w14:paraId="4A307056" w14:textId="77777777" w:rsidR="00544649" w:rsidRDefault="00544649">
            <w:pPr>
              <w:adjustRightInd w:val="0"/>
              <w:snapToGrid w:val="0"/>
              <w:spacing w:after="0" w:line="240" w:lineRule="auto"/>
              <w:ind w:firstLineChars="0" w:firstLine="0"/>
              <w:jc w:val="center"/>
              <w:rPr>
                <w:rFonts w:cs="Times New Roman"/>
                <w:b/>
                <w:sz w:val="21"/>
                <w:szCs w:val="21"/>
              </w:rPr>
            </w:pPr>
          </w:p>
        </w:tc>
        <w:tc>
          <w:tcPr>
            <w:tcW w:w="1514" w:type="dxa"/>
            <w:vAlign w:val="center"/>
          </w:tcPr>
          <w:p w14:paraId="3F526643"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空压机</w:t>
            </w:r>
          </w:p>
        </w:tc>
        <w:tc>
          <w:tcPr>
            <w:tcW w:w="1646" w:type="dxa"/>
            <w:vAlign w:val="center"/>
          </w:tcPr>
          <w:p w14:paraId="5729FC11"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75~85</w:t>
            </w:r>
          </w:p>
        </w:tc>
        <w:tc>
          <w:tcPr>
            <w:tcW w:w="1101" w:type="dxa"/>
            <w:vMerge/>
            <w:vAlign w:val="center"/>
          </w:tcPr>
          <w:p w14:paraId="00B80F51"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3030428F"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902" w:type="dxa"/>
            <w:vMerge/>
            <w:vAlign w:val="center"/>
          </w:tcPr>
          <w:p w14:paraId="46764144"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41B2A076"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42" w:type="dxa"/>
            <w:vMerge/>
            <w:vAlign w:val="center"/>
          </w:tcPr>
          <w:p w14:paraId="7CC2AD6C" w14:textId="77777777" w:rsidR="00544649" w:rsidRDefault="00544649">
            <w:pPr>
              <w:adjustRightInd w:val="0"/>
              <w:snapToGrid w:val="0"/>
              <w:spacing w:after="0" w:line="240" w:lineRule="auto"/>
              <w:ind w:firstLineChars="0" w:firstLine="0"/>
              <w:jc w:val="center"/>
              <w:rPr>
                <w:rFonts w:cs="Times New Roman"/>
                <w:sz w:val="21"/>
                <w:szCs w:val="21"/>
              </w:rPr>
            </w:pPr>
          </w:p>
        </w:tc>
      </w:tr>
      <w:tr w:rsidR="00544649" w14:paraId="1B161943" w14:textId="77777777">
        <w:trPr>
          <w:cantSplit/>
          <w:jc w:val="center"/>
        </w:trPr>
        <w:tc>
          <w:tcPr>
            <w:tcW w:w="1097" w:type="dxa"/>
            <w:vMerge/>
            <w:vAlign w:val="center"/>
          </w:tcPr>
          <w:p w14:paraId="0C97B32D" w14:textId="77777777" w:rsidR="00544649" w:rsidRDefault="00544649">
            <w:pPr>
              <w:adjustRightInd w:val="0"/>
              <w:snapToGrid w:val="0"/>
              <w:spacing w:after="0" w:line="240" w:lineRule="auto"/>
              <w:ind w:firstLineChars="0" w:firstLine="0"/>
              <w:jc w:val="center"/>
              <w:rPr>
                <w:rFonts w:cs="Times New Roman"/>
                <w:b/>
                <w:sz w:val="21"/>
                <w:szCs w:val="21"/>
              </w:rPr>
            </w:pPr>
          </w:p>
        </w:tc>
        <w:tc>
          <w:tcPr>
            <w:tcW w:w="1514" w:type="dxa"/>
            <w:vAlign w:val="center"/>
          </w:tcPr>
          <w:p w14:paraId="32C18BC8"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压缩机</w:t>
            </w:r>
          </w:p>
        </w:tc>
        <w:tc>
          <w:tcPr>
            <w:tcW w:w="1646" w:type="dxa"/>
            <w:vAlign w:val="center"/>
          </w:tcPr>
          <w:p w14:paraId="461C479B"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75~88</w:t>
            </w:r>
          </w:p>
        </w:tc>
        <w:tc>
          <w:tcPr>
            <w:tcW w:w="1101" w:type="dxa"/>
            <w:vMerge/>
            <w:vAlign w:val="center"/>
          </w:tcPr>
          <w:p w14:paraId="45F3D7E1"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36ADB306"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902" w:type="dxa"/>
            <w:vMerge/>
            <w:vAlign w:val="center"/>
          </w:tcPr>
          <w:p w14:paraId="40B9B051"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2EADE3AD"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42" w:type="dxa"/>
            <w:vMerge/>
            <w:vAlign w:val="center"/>
          </w:tcPr>
          <w:p w14:paraId="60042BED" w14:textId="77777777" w:rsidR="00544649" w:rsidRDefault="00544649">
            <w:pPr>
              <w:adjustRightInd w:val="0"/>
              <w:snapToGrid w:val="0"/>
              <w:spacing w:after="0" w:line="240" w:lineRule="auto"/>
              <w:ind w:firstLineChars="0" w:firstLine="0"/>
              <w:jc w:val="center"/>
              <w:rPr>
                <w:rFonts w:cs="Times New Roman"/>
                <w:sz w:val="21"/>
                <w:szCs w:val="21"/>
              </w:rPr>
            </w:pPr>
          </w:p>
        </w:tc>
      </w:tr>
      <w:tr w:rsidR="00544649" w14:paraId="6AE54191" w14:textId="77777777">
        <w:trPr>
          <w:cantSplit/>
          <w:trHeight w:val="226"/>
          <w:jc w:val="center"/>
        </w:trPr>
        <w:tc>
          <w:tcPr>
            <w:tcW w:w="1097" w:type="dxa"/>
            <w:vMerge w:val="restart"/>
            <w:vAlign w:val="center"/>
          </w:tcPr>
          <w:p w14:paraId="39D3E3FA" w14:textId="77777777" w:rsidR="00544649" w:rsidRDefault="00000000">
            <w:pPr>
              <w:adjustRightInd w:val="0"/>
              <w:snapToGrid w:val="0"/>
              <w:spacing w:after="0" w:line="240" w:lineRule="auto"/>
              <w:ind w:firstLineChars="0" w:firstLine="0"/>
              <w:jc w:val="center"/>
              <w:rPr>
                <w:rFonts w:cs="Times New Roman"/>
                <w:b/>
                <w:sz w:val="21"/>
                <w:szCs w:val="21"/>
              </w:rPr>
            </w:pPr>
            <w:r>
              <w:rPr>
                <w:rFonts w:cs="Times New Roman"/>
                <w:b/>
                <w:sz w:val="21"/>
                <w:szCs w:val="21"/>
              </w:rPr>
              <w:t>底板与结构阶段</w:t>
            </w:r>
          </w:p>
        </w:tc>
        <w:tc>
          <w:tcPr>
            <w:tcW w:w="1514" w:type="dxa"/>
            <w:vAlign w:val="center"/>
          </w:tcPr>
          <w:p w14:paraId="10DDAFFC"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混凝土输送泵</w:t>
            </w:r>
          </w:p>
        </w:tc>
        <w:tc>
          <w:tcPr>
            <w:tcW w:w="1646" w:type="dxa"/>
            <w:vAlign w:val="center"/>
          </w:tcPr>
          <w:p w14:paraId="23B518EF"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90~100</w:t>
            </w:r>
          </w:p>
        </w:tc>
        <w:tc>
          <w:tcPr>
            <w:tcW w:w="1101" w:type="dxa"/>
            <w:vMerge w:val="restart"/>
            <w:vAlign w:val="center"/>
          </w:tcPr>
          <w:p w14:paraId="758A601D"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机械噪声</w:t>
            </w:r>
          </w:p>
        </w:tc>
        <w:tc>
          <w:tcPr>
            <w:tcW w:w="899" w:type="dxa"/>
            <w:vMerge w:val="restart"/>
            <w:vAlign w:val="center"/>
          </w:tcPr>
          <w:p w14:paraId="589629D3"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70~85</w:t>
            </w:r>
          </w:p>
        </w:tc>
        <w:tc>
          <w:tcPr>
            <w:tcW w:w="902" w:type="dxa"/>
            <w:vMerge w:val="restart"/>
            <w:vAlign w:val="center"/>
          </w:tcPr>
          <w:p w14:paraId="13CF7612"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70~85</w:t>
            </w:r>
          </w:p>
        </w:tc>
        <w:tc>
          <w:tcPr>
            <w:tcW w:w="899" w:type="dxa"/>
            <w:vMerge w:val="restart"/>
            <w:vAlign w:val="center"/>
          </w:tcPr>
          <w:p w14:paraId="18F15207"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70</w:t>
            </w:r>
          </w:p>
        </w:tc>
        <w:tc>
          <w:tcPr>
            <w:tcW w:w="842" w:type="dxa"/>
            <w:vMerge w:val="restart"/>
            <w:vAlign w:val="center"/>
          </w:tcPr>
          <w:p w14:paraId="7CE4A6F0"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55</w:t>
            </w:r>
          </w:p>
        </w:tc>
      </w:tr>
      <w:tr w:rsidR="00544649" w14:paraId="7037979C" w14:textId="77777777">
        <w:trPr>
          <w:cantSplit/>
          <w:jc w:val="center"/>
        </w:trPr>
        <w:tc>
          <w:tcPr>
            <w:tcW w:w="1097" w:type="dxa"/>
            <w:vMerge/>
            <w:vAlign w:val="center"/>
          </w:tcPr>
          <w:p w14:paraId="78114598" w14:textId="77777777" w:rsidR="00544649" w:rsidRDefault="00544649">
            <w:pPr>
              <w:adjustRightInd w:val="0"/>
              <w:snapToGrid w:val="0"/>
              <w:spacing w:after="0" w:line="240" w:lineRule="auto"/>
              <w:ind w:firstLineChars="0" w:firstLine="0"/>
              <w:jc w:val="center"/>
              <w:rPr>
                <w:rFonts w:cs="Times New Roman"/>
                <w:b/>
                <w:sz w:val="21"/>
                <w:szCs w:val="21"/>
              </w:rPr>
            </w:pPr>
          </w:p>
        </w:tc>
        <w:tc>
          <w:tcPr>
            <w:tcW w:w="1514" w:type="dxa"/>
            <w:vAlign w:val="center"/>
          </w:tcPr>
          <w:p w14:paraId="49A7C40A"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振捣器</w:t>
            </w:r>
          </w:p>
        </w:tc>
        <w:tc>
          <w:tcPr>
            <w:tcW w:w="1646" w:type="dxa"/>
            <w:vAlign w:val="center"/>
          </w:tcPr>
          <w:p w14:paraId="44189C28"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100~105</w:t>
            </w:r>
          </w:p>
        </w:tc>
        <w:tc>
          <w:tcPr>
            <w:tcW w:w="1101" w:type="dxa"/>
            <w:vMerge/>
            <w:vAlign w:val="center"/>
          </w:tcPr>
          <w:p w14:paraId="7F2B9347"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45BE0873"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902" w:type="dxa"/>
            <w:vMerge/>
            <w:vAlign w:val="center"/>
          </w:tcPr>
          <w:p w14:paraId="2656EEC8"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701341AD"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42" w:type="dxa"/>
            <w:vMerge/>
            <w:vAlign w:val="center"/>
          </w:tcPr>
          <w:p w14:paraId="2DCB6D94" w14:textId="77777777" w:rsidR="00544649" w:rsidRDefault="00544649">
            <w:pPr>
              <w:adjustRightInd w:val="0"/>
              <w:snapToGrid w:val="0"/>
              <w:spacing w:after="0" w:line="240" w:lineRule="auto"/>
              <w:ind w:firstLineChars="0" w:firstLine="0"/>
              <w:jc w:val="center"/>
              <w:rPr>
                <w:rFonts w:cs="Times New Roman"/>
                <w:sz w:val="21"/>
                <w:szCs w:val="21"/>
              </w:rPr>
            </w:pPr>
          </w:p>
        </w:tc>
      </w:tr>
      <w:tr w:rsidR="00544649" w14:paraId="25A44929" w14:textId="77777777">
        <w:trPr>
          <w:cantSplit/>
          <w:jc w:val="center"/>
        </w:trPr>
        <w:tc>
          <w:tcPr>
            <w:tcW w:w="1097" w:type="dxa"/>
            <w:vMerge/>
            <w:vAlign w:val="center"/>
          </w:tcPr>
          <w:p w14:paraId="1FC03B80" w14:textId="77777777" w:rsidR="00544649" w:rsidRDefault="00544649">
            <w:pPr>
              <w:adjustRightInd w:val="0"/>
              <w:snapToGrid w:val="0"/>
              <w:spacing w:after="0" w:line="240" w:lineRule="auto"/>
              <w:ind w:firstLineChars="0" w:firstLine="0"/>
              <w:jc w:val="center"/>
              <w:rPr>
                <w:rFonts w:cs="Times New Roman"/>
                <w:b/>
                <w:sz w:val="21"/>
                <w:szCs w:val="21"/>
              </w:rPr>
            </w:pPr>
          </w:p>
        </w:tc>
        <w:tc>
          <w:tcPr>
            <w:tcW w:w="1514" w:type="dxa"/>
            <w:vAlign w:val="center"/>
          </w:tcPr>
          <w:p w14:paraId="2CB772D8"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电锯</w:t>
            </w:r>
          </w:p>
        </w:tc>
        <w:tc>
          <w:tcPr>
            <w:tcW w:w="1646" w:type="dxa"/>
            <w:vAlign w:val="center"/>
          </w:tcPr>
          <w:p w14:paraId="14BD9E0A"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100~105</w:t>
            </w:r>
          </w:p>
        </w:tc>
        <w:tc>
          <w:tcPr>
            <w:tcW w:w="1101" w:type="dxa"/>
            <w:vMerge/>
            <w:vAlign w:val="center"/>
          </w:tcPr>
          <w:p w14:paraId="4964A9BE"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35D0BC22"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902" w:type="dxa"/>
            <w:vMerge/>
            <w:vAlign w:val="center"/>
          </w:tcPr>
          <w:p w14:paraId="23CE4396"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3B03A629"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42" w:type="dxa"/>
            <w:vMerge/>
            <w:vAlign w:val="center"/>
          </w:tcPr>
          <w:p w14:paraId="160A567A" w14:textId="77777777" w:rsidR="00544649" w:rsidRDefault="00544649">
            <w:pPr>
              <w:adjustRightInd w:val="0"/>
              <w:snapToGrid w:val="0"/>
              <w:spacing w:after="0" w:line="240" w:lineRule="auto"/>
              <w:ind w:firstLineChars="0" w:firstLine="0"/>
              <w:jc w:val="center"/>
              <w:rPr>
                <w:rFonts w:cs="Times New Roman"/>
                <w:sz w:val="21"/>
                <w:szCs w:val="21"/>
              </w:rPr>
            </w:pPr>
          </w:p>
        </w:tc>
      </w:tr>
      <w:tr w:rsidR="00544649" w14:paraId="0CB87AB1" w14:textId="77777777">
        <w:trPr>
          <w:cantSplit/>
          <w:jc w:val="center"/>
        </w:trPr>
        <w:tc>
          <w:tcPr>
            <w:tcW w:w="1097" w:type="dxa"/>
            <w:vMerge/>
            <w:vAlign w:val="center"/>
          </w:tcPr>
          <w:p w14:paraId="2A975E45" w14:textId="77777777" w:rsidR="00544649" w:rsidRDefault="00544649">
            <w:pPr>
              <w:adjustRightInd w:val="0"/>
              <w:snapToGrid w:val="0"/>
              <w:spacing w:after="0" w:line="240" w:lineRule="auto"/>
              <w:ind w:firstLineChars="0" w:firstLine="0"/>
              <w:jc w:val="center"/>
              <w:rPr>
                <w:rFonts w:cs="Times New Roman"/>
                <w:b/>
                <w:sz w:val="21"/>
                <w:szCs w:val="21"/>
              </w:rPr>
            </w:pPr>
          </w:p>
        </w:tc>
        <w:tc>
          <w:tcPr>
            <w:tcW w:w="1514" w:type="dxa"/>
            <w:vAlign w:val="center"/>
          </w:tcPr>
          <w:p w14:paraId="0C0855A3"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电焊机</w:t>
            </w:r>
          </w:p>
        </w:tc>
        <w:tc>
          <w:tcPr>
            <w:tcW w:w="1646" w:type="dxa"/>
            <w:vAlign w:val="center"/>
          </w:tcPr>
          <w:p w14:paraId="36C9F627"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90~95</w:t>
            </w:r>
          </w:p>
        </w:tc>
        <w:tc>
          <w:tcPr>
            <w:tcW w:w="1101" w:type="dxa"/>
            <w:vMerge/>
            <w:vAlign w:val="center"/>
          </w:tcPr>
          <w:p w14:paraId="7CF508E3"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5F62DAAF"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902" w:type="dxa"/>
            <w:vMerge/>
            <w:vAlign w:val="center"/>
          </w:tcPr>
          <w:p w14:paraId="6E6C4CE7"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4BCF383F"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42" w:type="dxa"/>
            <w:vMerge/>
            <w:vAlign w:val="center"/>
          </w:tcPr>
          <w:p w14:paraId="67ADAC51" w14:textId="77777777" w:rsidR="00544649" w:rsidRDefault="00544649">
            <w:pPr>
              <w:adjustRightInd w:val="0"/>
              <w:snapToGrid w:val="0"/>
              <w:spacing w:after="0" w:line="240" w:lineRule="auto"/>
              <w:ind w:firstLineChars="0" w:firstLine="0"/>
              <w:jc w:val="center"/>
              <w:rPr>
                <w:rFonts w:cs="Times New Roman"/>
                <w:sz w:val="21"/>
                <w:szCs w:val="21"/>
              </w:rPr>
            </w:pPr>
          </w:p>
        </w:tc>
      </w:tr>
      <w:tr w:rsidR="00544649" w14:paraId="1D856328" w14:textId="77777777">
        <w:trPr>
          <w:cantSplit/>
          <w:jc w:val="center"/>
        </w:trPr>
        <w:tc>
          <w:tcPr>
            <w:tcW w:w="1097" w:type="dxa"/>
            <w:vMerge w:val="restart"/>
            <w:vAlign w:val="center"/>
          </w:tcPr>
          <w:p w14:paraId="1C4794EC" w14:textId="77777777" w:rsidR="00544649" w:rsidRDefault="00000000">
            <w:pPr>
              <w:adjustRightInd w:val="0"/>
              <w:snapToGrid w:val="0"/>
              <w:spacing w:after="0" w:line="240" w:lineRule="auto"/>
              <w:ind w:firstLineChars="0" w:firstLine="0"/>
              <w:jc w:val="center"/>
              <w:rPr>
                <w:rFonts w:cs="Times New Roman"/>
                <w:b/>
                <w:sz w:val="21"/>
                <w:szCs w:val="21"/>
              </w:rPr>
            </w:pPr>
            <w:r>
              <w:rPr>
                <w:rFonts w:cs="Times New Roman"/>
                <w:b/>
                <w:sz w:val="21"/>
                <w:szCs w:val="21"/>
              </w:rPr>
              <w:t>装修、安装阶段</w:t>
            </w:r>
          </w:p>
        </w:tc>
        <w:tc>
          <w:tcPr>
            <w:tcW w:w="1514" w:type="dxa"/>
            <w:vAlign w:val="center"/>
          </w:tcPr>
          <w:p w14:paraId="0128D331"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电钻</w:t>
            </w:r>
          </w:p>
        </w:tc>
        <w:tc>
          <w:tcPr>
            <w:tcW w:w="1646" w:type="dxa"/>
            <w:vAlign w:val="center"/>
          </w:tcPr>
          <w:p w14:paraId="163AADC9"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100~105</w:t>
            </w:r>
          </w:p>
        </w:tc>
        <w:tc>
          <w:tcPr>
            <w:tcW w:w="1101" w:type="dxa"/>
            <w:vMerge w:val="restart"/>
            <w:vAlign w:val="center"/>
          </w:tcPr>
          <w:p w14:paraId="6429A739"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机械噪声</w:t>
            </w:r>
          </w:p>
        </w:tc>
        <w:tc>
          <w:tcPr>
            <w:tcW w:w="899" w:type="dxa"/>
            <w:vMerge w:val="restart"/>
            <w:vAlign w:val="center"/>
          </w:tcPr>
          <w:p w14:paraId="2D012BAF"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80~95</w:t>
            </w:r>
          </w:p>
        </w:tc>
        <w:tc>
          <w:tcPr>
            <w:tcW w:w="902" w:type="dxa"/>
            <w:vMerge w:val="restart"/>
            <w:vAlign w:val="center"/>
          </w:tcPr>
          <w:p w14:paraId="20F59F02"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80~95</w:t>
            </w:r>
          </w:p>
        </w:tc>
        <w:tc>
          <w:tcPr>
            <w:tcW w:w="899" w:type="dxa"/>
            <w:vMerge w:val="restart"/>
            <w:vAlign w:val="center"/>
          </w:tcPr>
          <w:p w14:paraId="09E1DFAE"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70</w:t>
            </w:r>
          </w:p>
        </w:tc>
        <w:tc>
          <w:tcPr>
            <w:tcW w:w="842" w:type="dxa"/>
            <w:vMerge w:val="restart"/>
            <w:vAlign w:val="center"/>
          </w:tcPr>
          <w:p w14:paraId="394EC26B"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55</w:t>
            </w:r>
          </w:p>
        </w:tc>
      </w:tr>
      <w:tr w:rsidR="00544649" w14:paraId="5D771A2B" w14:textId="77777777">
        <w:trPr>
          <w:cantSplit/>
          <w:jc w:val="center"/>
        </w:trPr>
        <w:tc>
          <w:tcPr>
            <w:tcW w:w="1097" w:type="dxa"/>
            <w:vMerge/>
            <w:vAlign w:val="center"/>
          </w:tcPr>
          <w:p w14:paraId="2139B8AB"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1514" w:type="dxa"/>
            <w:vAlign w:val="center"/>
          </w:tcPr>
          <w:p w14:paraId="3E6E485F"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电锤</w:t>
            </w:r>
          </w:p>
        </w:tc>
        <w:tc>
          <w:tcPr>
            <w:tcW w:w="1646" w:type="dxa"/>
            <w:vAlign w:val="center"/>
          </w:tcPr>
          <w:p w14:paraId="27DB2C98"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100~105</w:t>
            </w:r>
          </w:p>
        </w:tc>
        <w:tc>
          <w:tcPr>
            <w:tcW w:w="1101" w:type="dxa"/>
            <w:vMerge/>
            <w:vAlign w:val="center"/>
          </w:tcPr>
          <w:p w14:paraId="1E4A9305"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2DF6EB74"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902" w:type="dxa"/>
            <w:vMerge/>
            <w:vAlign w:val="center"/>
          </w:tcPr>
          <w:p w14:paraId="74B3834D"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25C109B9"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42" w:type="dxa"/>
            <w:vMerge/>
            <w:vAlign w:val="center"/>
          </w:tcPr>
          <w:p w14:paraId="799ED5A5" w14:textId="77777777" w:rsidR="00544649" w:rsidRDefault="00544649">
            <w:pPr>
              <w:adjustRightInd w:val="0"/>
              <w:snapToGrid w:val="0"/>
              <w:spacing w:after="0" w:line="240" w:lineRule="auto"/>
              <w:ind w:firstLineChars="0" w:firstLine="0"/>
              <w:jc w:val="center"/>
              <w:rPr>
                <w:rFonts w:cs="Times New Roman"/>
                <w:sz w:val="21"/>
                <w:szCs w:val="21"/>
              </w:rPr>
            </w:pPr>
          </w:p>
        </w:tc>
      </w:tr>
      <w:tr w:rsidR="00544649" w14:paraId="2E9E072E" w14:textId="77777777">
        <w:trPr>
          <w:cantSplit/>
          <w:jc w:val="center"/>
        </w:trPr>
        <w:tc>
          <w:tcPr>
            <w:tcW w:w="1097" w:type="dxa"/>
            <w:vMerge/>
            <w:vAlign w:val="center"/>
          </w:tcPr>
          <w:p w14:paraId="3D33CDF2"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1514" w:type="dxa"/>
            <w:vAlign w:val="center"/>
          </w:tcPr>
          <w:p w14:paraId="07708D17"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手工钻</w:t>
            </w:r>
          </w:p>
        </w:tc>
        <w:tc>
          <w:tcPr>
            <w:tcW w:w="1646" w:type="dxa"/>
            <w:vAlign w:val="center"/>
          </w:tcPr>
          <w:p w14:paraId="03E16C79"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100~105</w:t>
            </w:r>
          </w:p>
        </w:tc>
        <w:tc>
          <w:tcPr>
            <w:tcW w:w="1101" w:type="dxa"/>
            <w:vMerge/>
            <w:vAlign w:val="center"/>
          </w:tcPr>
          <w:p w14:paraId="7A0B0B83"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14C58B37"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902" w:type="dxa"/>
            <w:vMerge/>
            <w:vAlign w:val="center"/>
          </w:tcPr>
          <w:p w14:paraId="797A82BC"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6BF66A9E"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42" w:type="dxa"/>
            <w:vMerge/>
            <w:vAlign w:val="center"/>
          </w:tcPr>
          <w:p w14:paraId="67652735" w14:textId="77777777" w:rsidR="00544649" w:rsidRDefault="00544649">
            <w:pPr>
              <w:adjustRightInd w:val="0"/>
              <w:snapToGrid w:val="0"/>
              <w:spacing w:after="0" w:line="240" w:lineRule="auto"/>
              <w:ind w:firstLineChars="0" w:firstLine="0"/>
              <w:jc w:val="center"/>
              <w:rPr>
                <w:rFonts w:cs="Times New Roman"/>
                <w:sz w:val="21"/>
                <w:szCs w:val="21"/>
              </w:rPr>
            </w:pPr>
          </w:p>
        </w:tc>
      </w:tr>
      <w:tr w:rsidR="00544649" w14:paraId="233C9AF2" w14:textId="77777777">
        <w:trPr>
          <w:cantSplit/>
          <w:jc w:val="center"/>
        </w:trPr>
        <w:tc>
          <w:tcPr>
            <w:tcW w:w="1097" w:type="dxa"/>
            <w:vMerge/>
            <w:vAlign w:val="center"/>
          </w:tcPr>
          <w:p w14:paraId="7F862AE7"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1514" w:type="dxa"/>
            <w:vAlign w:val="center"/>
          </w:tcPr>
          <w:p w14:paraId="5928CCCA"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无齿锯</w:t>
            </w:r>
          </w:p>
        </w:tc>
        <w:tc>
          <w:tcPr>
            <w:tcW w:w="1646" w:type="dxa"/>
            <w:vAlign w:val="center"/>
          </w:tcPr>
          <w:p w14:paraId="0D453861"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105</w:t>
            </w:r>
          </w:p>
        </w:tc>
        <w:tc>
          <w:tcPr>
            <w:tcW w:w="1101" w:type="dxa"/>
            <w:vMerge/>
            <w:vAlign w:val="center"/>
          </w:tcPr>
          <w:p w14:paraId="3390904B"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4BFC69C8"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902" w:type="dxa"/>
            <w:vMerge/>
            <w:vAlign w:val="center"/>
          </w:tcPr>
          <w:p w14:paraId="2D730402"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306D9F36"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42" w:type="dxa"/>
            <w:vMerge/>
            <w:vAlign w:val="center"/>
          </w:tcPr>
          <w:p w14:paraId="7881B654" w14:textId="77777777" w:rsidR="00544649" w:rsidRDefault="00544649">
            <w:pPr>
              <w:adjustRightInd w:val="0"/>
              <w:snapToGrid w:val="0"/>
              <w:spacing w:after="0" w:line="240" w:lineRule="auto"/>
              <w:ind w:firstLineChars="0" w:firstLine="0"/>
              <w:jc w:val="center"/>
              <w:rPr>
                <w:rFonts w:cs="Times New Roman"/>
                <w:sz w:val="21"/>
                <w:szCs w:val="21"/>
              </w:rPr>
            </w:pPr>
          </w:p>
        </w:tc>
      </w:tr>
      <w:tr w:rsidR="00544649" w14:paraId="1CF9F4C7" w14:textId="77777777">
        <w:trPr>
          <w:cantSplit/>
          <w:jc w:val="center"/>
        </w:trPr>
        <w:tc>
          <w:tcPr>
            <w:tcW w:w="1097" w:type="dxa"/>
            <w:vMerge/>
            <w:vAlign w:val="center"/>
          </w:tcPr>
          <w:p w14:paraId="6710F514"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1514" w:type="dxa"/>
            <w:vAlign w:val="center"/>
          </w:tcPr>
          <w:p w14:paraId="1096DED4"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多功能木工刨</w:t>
            </w:r>
          </w:p>
        </w:tc>
        <w:tc>
          <w:tcPr>
            <w:tcW w:w="1646" w:type="dxa"/>
            <w:vAlign w:val="center"/>
          </w:tcPr>
          <w:p w14:paraId="06EF2756"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90~100</w:t>
            </w:r>
          </w:p>
        </w:tc>
        <w:tc>
          <w:tcPr>
            <w:tcW w:w="1101" w:type="dxa"/>
            <w:vMerge/>
            <w:vAlign w:val="center"/>
          </w:tcPr>
          <w:p w14:paraId="1FC4CA30"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5B8D52E7"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902" w:type="dxa"/>
            <w:vMerge/>
            <w:vAlign w:val="center"/>
          </w:tcPr>
          <w:p w14:paraId="57B23BFD"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6BB42B1B"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42" w:type="dxa"/>
            <w:vMerge/>
            <w:vAlign w:val="center"/>
          </w:tcPr>
          <w:p w14:paraId="79E68E9C" w14:textId="77777777" w:rsidR="00544649" w:rsidRDefault="00544649">
            <w:pPr>
              <w:adjustRightInd w:val="0"/>
              <w:snapToGrid w:val="0"/>
              <w:spacing w:after="0" w:line="240" w:lineRule="auto"/>
              <w:ind w:firstLineChars="0" w:firstLine="0"/>
              <w:jc w:val="center"/>
              <w:rPr>
                <w:rFonts w:cs="Times New Roman"/>
                <w:sz w:val="21"/>
                <w:szCs w:val="21"/>
              </w:rPr>
            </w:pPr>
          </w:p>
        </w:tc>
      </w:tr>
      <w:tr w:rsidR="00544649" w14:paraId="11FFB8D1" w14:textId="77777777">
        <w:trPr>
          <w:cantSplit/>
          <w:jc w:val="center"/>
        </w:trPr>
        <w:tc>
          <w:tcPr>
            <w:tcW w:w="1097" w:type="dxa"/>
            <w:vMerge/>
            <w:vAlign w:val="center"/>
          </w:tcPr>
          <w:p w14:paraId="3C3044BE"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1514" w:type="dxa"/>
            <w:vAlign w:val="center"/>
          </w:tcPr>
          <w:p w14:paraId="22CA0DAF"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切割机</w:t>
            </w:r>
          </w:p>
        </w:tc>
        <w:tc>
          <w:tcPr>
            <w:tcW w:w="1646" w:type="dxa"/>
            <w:vAlign w:val="center"/>
          </w:tcPr>
          <w:p w14:paraId="3C7BB230"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100~105</w:t>
            </w:r>
          </w:p>
        </w:tc>
        <w:tc>
          <w:tcPr>
            <w:tcW w:w="1101" w:type="dxa"/>
            <w:vMerge/>
            <w:vAlign w:val="center"/>
          </w:tcPr>
          <w:p w14:paraId="706FBD71"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09C3885F"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902" w:type="dxa"/>
            <w:vMerge/>
            <w:vAlign w:val="center"/>
          </w:tcPr>
          <w:p w14:paraId="2D5362C7"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730143F5"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42" w:type="dxa"/>
            <w:vMerge/>
            <w:vAlign w:val="center"/>
          </w:tcPr>
          <w:p w14:paraId="1298FBC7" w14:textId="77777777" w:rsidR="00544649" w:rsidRDefault="00544649">
            <w:pPr>
              <w:adjustRightInd w:val="0"/>
              <w:snapToGrid w:val="0"/>
              <w:spacing w:after="0" w:line="240" w:lineRule="auto"/>
              <w:ind w:firstLineChars="0" w:firstLine="0"/>
              <w:jc w:val="center"/>
              <w:rPr>
                <w:rFonts w:cs="Times New Roman"/>
                <w:sz w:val="21"/>
                <w:szCs w:val="21"/>
              </w:rPr>
            </w:pPr>
          </w:p>
        </w:tc>
      </w:tr>
      <w:tr w:rsidR="00544649" w14:paraId="7F291C6D" w14:textId="77777777">
        <w:trPr>
          <w:cantSplit/>
          <w:jc w:val="center"/>
        </w:trPr>
        <w:tc>
          <w:tcPr>
            <w:tcW w:w="1097" w:type="dxa"/>
            <w:vMerge/>
            <w:vAlign w:val="center"/>
          </w:tcPr>
          <w:p w14:paraId="1A61F442"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1514" w:type="dxa"/>
            <w:vAlign w:val="center"/>
          </w:tcPr>
          <w:p w14:paraId="3AE442A5"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云石机</w:t>
            </w:r>
          </w:p>
        </w:tc>
        <w:tc>
          <w:tcPr>
            <w:tcW w:w="1646" w:type="dxa"/>
            <w:vAlign w:val="center"/>
          </w:tcPr>
          <w:p w14:paraId="61DD9665"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100~105</w:t>
            </w:r>
          </w:p>
        </w:tc>
        <w:tc>
          <w:tcPr>
            <w:tcW w:w="1101" w:type="dxa"/>
            <w:vMerge/>
            <w:vAlign w:val="center"/>
          </w:tcPr>
          <w:p w14:paraId="0CDF9476"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784F1854"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902" w:type="dxa"/>
            <w:vMerge/>
            <w:vAlign w:val="center"/>
          </w:tcPr>
          <w:p w14:paraId="0D6547D4"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0181467E"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42" w:type="dxa"/>
            <w:vMerge/>
            <w:vAlign w:val="center"/>
          </w:tcPr>
          <w:p w14:paraId="577A0545" w14:textId="77777777" w:rsidR="00544649" w:rsidRDefault="00544649">
            <w:pPr>
              <w:adjustRightInd w:val="0"/>
              <w:snapToGrid w:val="0"/>
              <w:spacing w:after="0" w:line="240" w:lineRule="auto"/>
              <w:ind w:firstLineChars="0" w:firstLine="0"/>
              <w:jc w:val="center"/>
              <w:rPr>
                <w:rFonts w:cs="Times New Roman"/>
                <w:sz w:val="21"/>
                <w:szCs w:val="21"/>
              </w:rPr>
            </w:pPr>
          </w:p>
        </w:tc>
      </w:tr>
      <w:tr w:rsidR="00544649" w14:paraId="2EA2D18A" w14:textId="77777777">
        <w:trPr>
          <w:cantSplit/>
          <w:jc w:val="center"/>
        </w:trPr>
        <w:tc>
          <w:tcPr>
            <w:tcW w:w="1097" w:type="dxa"/>
            <w:vMerge/>
            <w:vAlign w:val="center"/>
          </w:tcPr>
          <w:p w14:paraId="673490A2"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1514" w:type="dxa"/>
            <w:vAlign w:val="center"/>
          </w:tcPr>
          <w:p w14:paraId="669D8D9C"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角向磨光机</w:t>
            </w:r>
          </w:p>
        </w:tc>
        <w:tc>
          <w:tcPr>
            <w:tcW w:w="1646" w:type="dxa"/>
            <w:vAlign w:val="center"/>
          </w:tcPr>
          <w:p w14:paraId="454E960E"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100~105</w:t>
            </w:r>
          </w:p>
        </w:tc>
        <w:tc>
          <w:tcPr>
            <w:tcW w:w="1101" w:type="dxa"/>
            <w:vMerge/>
            <w:vAlign w:val="center"/>
          </w:tcPr>
          <w:p w14:paraId="72DF5EA4"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7E3EA552"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902" w:type="dxa"/>
            <w:vMerge/>
            <w:vAlign w:val="center"/>
          </w:tcPr>
          <w:p w14:paraId="445942C9"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99" w:type="dxa"/>
            <w:vMerge/>
            <w:vAlign w:val="center"/>
          </w:tcPr>
          <w:p w14:paraId="2F63E692"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842" w:type="dxa"/>
            <w:vMerge/>
            <w:vAlign w:val="center"/>
          </w:tcPr>
          <w:p w14:paraId="269148CE" w14:textId="77777777" w:rsidR="00544649" w:rsidRDefault="00544649">
            <w:pPr>
              <w:adjustRightInd w:val="0"/>
              <w:snapToGrid w:val="0"/>
              <w:spacing w:after="0" w:line="240" w:lineRule="auto"/>
              <w:ind w:firstLineChars="0" w:firstLine="0"/>
              <w:jc w:val="center"/>
              <w:rPr>
                <w:rFonts w:cs="Times New Roman"/>
                <w:sz w:val="21"/>
                <w:szCs w:val="21"/>
              </w:rPr>
            </w:pPr>
          </w:p>
        </w:tc>
      </w:tr>
    </w:tbl>
    <w:p w14:paraId="374D78A5" w14:textId="77777777" w:rsidR="00544649" w:rsidRDefault="00000000">
      <w:pPr>
        <w:adjustRightInd w:val="0"/>
        <w:snapToGrid w:val="0"/>
        <w:spacing w:after="0"/>
        <w:ind w:firstLine="480"/>
        <w:rPr>
          <w:rFonts w:cs="Times New Roman"/>
          <w:kern w:val="21"/>
        </w:rPr>
      </w:pPr>
      <w:r>
        <w:rPr>
          <w:rFonts w:cs="Times New Roman"/>
          <w:kern w:val="21"/>
        </w:rPr>
        <w:t>施工期的噪声影响是短期的，项目建成后，施工期噪声的影响也就此结束。但是由于施工机械均为强噪声源，施工期间噪声影响范围较大，因此必须采取严格的管理措施。</w:t>
      </w:r>
    </w:p>
    <w:p w14:paraId="321A1FCB" w14:textId="77777777" w:rsidR="00544649" w:rsidRDefault="00000000">
      <w:pPr>
        <w:adjustRightInd w:val="0"/>
        <w:snapToGrid w:val="0"/>
        <w:spacing w:after="0"/>
        <w:ind w:firstLine="482"/>
        <w:rPr>
          <w:rFonts w:cs="Times New Roman"/>
          <w:b/>
          <w:bCs/>
          <w:kern w:val="21"/>
        </w:rPr>
      </w:pPr>
      <w:r>
        <w:rPr>
          <w:rFonts w:cs="Times New Roman"/>
          <w:b/>
          <w:bCs/>
          <w:kern w:val="21"/>
        </w:rPr>
        <w:t>（</w:t>
      </w:r>
      <w:r>
        <w:rPr>
          <w:rFonts w:cs="Times New Roman"/>
          <w:b/>
          <w:bCs/>
          <w:kern w:val="21"/>
        </w:rPr>
        <w:t>2</w:t>
      </w:r>
      <w:r>
        <w:rPr>
          <w:rFonts w:cs="Times New Roman"/>
          <w:b/>
          <w:bCs/>
          <w:kern w:val="21"/>
        </w:rPr>
        <w:t>）治理措施：</w:t>
      </w:r>
    </w:p>
    <w:p w14:paraId="2F427E06" w14:textId="77777777" w:rsidR="00544649" w:rsidRDefault="00000000">
      <w:pPr>
        <w:adjustRightInd w:val="0"/>
        <w:snapToGrid w:val="0"/>
        <w:spacing w:after="0"/>
        <w:ind w:firstLine="480"/>
        <w:rPr>
          <w:rFonts w:cs="Times New Roman"/>
          <w:kern w:val="21"/>
          <w:szCs w:val="21"/>
        </w:rPr>
      </w:pPr>
      <w:r>
        <w:rPr>
          <w:rFonts w:cs="Times New Roman"/>
          <w:kern w:val="21"/>
          <w:szCs w:val="21"/>
        </w:rPr>
        <w:t>本项目的施工会对周围环境造成一定</w:t>
      </w:r>
      <w:r>
        <w:rPr>
          <w:rFonts w:cs="Times New Roman"/>
          <w:kern w:val="21"/>
          <w:szCs w:val="24"/>
        </w:rPr>
        <w:t>影响</w:t>
      </w:r>
      <w:r>
        <w:rPr>
          <w:rFonts w:cs="Times New Roman"/>
          <w:kern w:val="21"/>
          <w:szCs w:val="21"/>
        </w:rPr>
        <w:t>。因此，环评要求：</w:t>
      </w:r>
    </w:p>
    <w:p w14:paraId="24E96667" w14:textId="77777777" w:rsidR="00544649" w:rsidRDefault="00000000">
      <w:pPr>
        <w:adjustRightInd w:val="0"/>
        <w:snapToGrid w:val="0"/>
        <w:spacing w:after="0"/>
        <w:ind w:firstLine="480"/>
        <w:rPr>
          <w:rFonts w:cs="Times New Roman"/>
          <w:kern w:val="21"/>
          <w:sz w:val="21"/>
          <w:szCs w:val="21"/>
        </w:rPr>
      </w:pPr>
      <w:r>
        <w:rPr>
          <w:rFonts w:cs="Times New Roman"/>
          <w:kern w:val="21"/>
          <w:szCs w:val="24"/>
        </w:rPr>
        <w:t>1</w:t>
      </w:r>
      <w:r>
        <w:rPr>
          <w:rFonts w:cs="Times New Roman"/>
          <w:kern w:val="21"/>
          <w:szCs w:val="24"/>
        </w:rPr>
        <w:t>）根据《中华人民共和国噪声污染防治法》</w:t>
      </w:r>
      <w:r>
        <w:rPr>
          <w:rFonts w:cs="Times New Roman"/>
          <w:kern w:val="21"/>
        </w:rPr>
        <w:t>第二十九</w:t>
      </w:r>
      <w:r>
        <w:rPr>
          <w:rFonts w:cs="Times New Roman"/>
          <w:kern w:val="21"/>
          <w:szCs w:val="24"/>
        </w:rPr>
        <w:t>条规定：施工单位必须在工程开工</w:t>
      </w:r>
      <w:r>
        <w:rPr>
          <w:rFonts w:cs="Times New Roman"/>
          <w:kern w:val="21"/>
          <w:szCs w:val="24"/>
        </w:rPr>
        <w:t>15</w:t>
      </w:r>
      <w:r>
        <w:rPr>
          <w:rFonts w:cs="Times New Roman"/>
          <w:kern w:val="21"/>
          <w:szCs w:val="24"/>
        </w:rPr>
        <w:t>日以前向工程所在地县级以上地方人民政府环境保护行政主管部门申报工程项目名称、装修工程场所和期限、设备安装机械可能产生的环境噪声值以及所采取的环境噪声污染防治措施情况；</w:t>
      </w:r>
    </w:p>
    <w:p w14:paraId="290A3611" w14:textId="77777777" w:rsidR="00544649" w:rsidRDefault="00000000">
      <w:pPr>
        <w:adjustRightInd w:val="0"/>
        <w:snapToGrid w:val="0"/>
        <w:spacing w:after="0"/>
        <w:ind w:firstLine="480"/>
        <w:rPr>
          <w:rFonts w:cs="Times New Roman"/>
          <w:kern w:val="21"/>
          <w:szCs w:val="21"/>
        </w:rPr>
      </w:pPr>
      <w:r>
        <w:rPr>
          <w:rFonts w:cs="Times New Roman"/>
          <w:kern w:val="21"/>
          <w:szCs w:val="21"/>
        </w:rPr>
        <w:t>2</w:t>
      </w:r>
      <w:r>
        <w:rPr>
          <w:rFonts w:cs="Times New Roman"/>
          <w:kern w:val="21"/>
          <w:szCs w:val="21"/>
        </w:rPr>
        <w:t>）</w:t>
      </w:r>
      <w:r>
        <w:rPr>
          <w:rFonts w:cs="Times New Roman"/>
          <w:kern w:val="21"/>
          <w:szCs w:val="24"/>
        </w:rPr>
        <w:t>合理安排装修工程时间，高噪声工种</w:t>
      </w:r>
      <w:r>
        <w:rPr>
          <w:rFonts w:cs="Times New Roman"/>
          <w:kern w:val="21"/>
          <w:szCs w:val="21"/>
        </w:rPr>
        <w:t>禁止午休（</w:t>
      </w:r>
      <w:r>
        <w:rPr>
          <w:rFonts w:cs="Times New Roman"/>
          <w:kern w:val="21"/>
          <w:szCs w:val="21"/>
        </w:rPr>
        <w:t>12</w:t>
      </w:r>
      <w:r>
        <w:rPr>
          <w:rFonts w:cs="Times New Roman"/>
          <w:kern w:val="21"/>
          <w:szCs w:val="21"/>
        </w:rPr>
        <w:t>：</w:t>
      </w:r>
      <w:r>
        <w:rPr>
          <w:rFonts w:cs="Times New Roman"/>
          <w:kern w:val="21"/>
          <w:szCs w:val="21"/>
        </w:rPr>
        <w:t>00~14</w:t>
      </w:r>
      <w:r>
        <w:rPr>
          <w:rFonts w:cs="Times New Roman"/>
          <w:kern w:val="21"/>
          <w:szCs w:val="21"/>
        </w:rPr>
        <w:t>：</w:t>
      </w:r>
      <w:r>
        <w:rPr>
          <w:rFonts w:cs="Times New Roman"/>
          <w:kern w:val="21"/>
          <w:szCs w:val="21"/>
        </w:rPr>
        <w:t>00</w:t>
      </w:r>
      <w:r>
        <w:rPr>
          <w:rFonts w:cs="Times New Roman"/>
          <w:kern w:val="21"/>
          <w:szCs w:val="21"/>
        </w:rPr>
        <w:t>）和夜间（</w:t>
      </w:r>
      <w:r>
        <w:rPr>
          <w:rFonts w:cs="Times New Roman"/>
          <w:kern w:val="21"/>
          <w:szCs w:val="21"/>
        </w:rPr>
        <w:t>22</w:t>
      </w:r>
      <w:r>
        <w:rPr>
          <w:rFonts w:cs="Times New Roman"/>
          <w:kern w:val="21"/>
          <w:szCs w:val="21"/>
        </w:rPr>
        <w:t>：</w:t>
      </w:r>
      <w:r>
        <w:rPr>
          <w:rFonts w:cs="Times New Roman"/>
          <w:kern w:val="21"/>
          <w:szCs w:val="21"/>
        </w:rPr>
        <w:t>00~06</w:t>
      </w:r>
      <w:r>
        <w:rPr>
          <w:rFonts w:cs="Times New Roman"/>
          <w:kern w:val="21"/>
          <w:szCs w:val="21"/>
        </w:rPr>
        <w:t>：</w:t>
      </w:r>
      <w:r>
        <w:rPr>
          <w:rFonts w:cs="Times New Roman"/>
          <w:kern w:val="21"/>
          <w:szCs w:val="21"/>
        </w:rPr>
        <w:t>00</w:t>
      </w:r>
      <w:r>
        <w:rPr>
          <w:rFonts w:cs="Times New Roman"/>
          <w:kern w:val="21"/>
          <w:szCs w:val="21"/>
        </w:rPr>
        <w:t>）进行，避免在同一时间内集中使用大量的动力机械设备。如夜间需进行</w:t>
      </w:r>
      <w:r>
        <w:rPr>
          <w:rFonts w:cs="Times New Roman"/>
          <w:kern w:val="21"/>
          <w:szCs w:val="24"/>
        </w:rPr>
        <w:t>装修工程</w:t>
      </w:r>
      <w:r>
        <w:rPr>
          <w:rFonts w:cs="Times New Roman"/>
          <w:kern w:val="21"/>
          <w:szCs w:val="21"/>
        </w:rPr>
        <w:t>要求必须连续作业的强噪声作业，建设单位应首先征得</w:t>
      </w:r>
      <w:r>
        <w:rPr>
          <w:rFonts w:cs="Times New Roman"/>
          <w:kern w:val="21"/>
          <w:szCs w:val="24"/>
        </w:rPr>
        <w:t>项目</w:t>
      </w:r>
      <w:r>
        <w:rPr>
          <w:rFonts w:cs="Times New Roman"/>
          <w:kern w:val="21"/>
          <w:szCs w:val="21"/>
        </w:rPr>
        <w:t>所在地环保、建委、城管等主管部门同意。同时，要求施工单位严格执行《建筑施工场界环境噪声排放标准》（</w:t>
      </w:r>
      <w:r>
        <w:rPr>
          <w:rFonts w:cs="Times New Roman"/>
          <w:kern w:val="21"/>
          <w:szCs w:val="21"/>
        </w:rPr>
        <w:t>GB12523-2011</w:t>
      </w:r>
      <w:r>
        <w:rPr>
          <w:rFonts w:cs="Times New Roman"/>
          <w:kern w:val="21"/>
          <w:szCs w:val="21"/>
        </w:rPr>
        <w:t>）中的相关规定，施工期间的场界噪声必须满足《建筑施工场界环境噪声排放标准》（</w:t>
      </w:r>
      <w:r>
        <w:rPr>
          <w:rFonts w:cs="Times New Roman"/>
          <w:kern w:val="21"/>
          <w:szCs w:val="21"/>
        </w:rPr>
        <w:t>GB12523-2011</w:t>
      </w:r>
      <w:r>
        <w:rPr>
          <w:rFonts w:cs="Times New Roman"/>
          <w:kern w:val="21"/>
          <w:szCs w:val="21"/>
        </w:rPr>
        <w:t>）各</w:t>
      </w:r>
      <w:r>
        <w:rPr>
          <w:rFonts w:cs="Times New Roman"/>
          <w:kern w:val="21"/>
          <w:szCs w:val="24"/>
        </w:rPr>
        <w:t>阶段</w:t>
      </w:r>
      <w:r>
        <w:rPr>
          <w:rFonts w:cs="Times New Roman"/>
          <w:kern w:val="21"/>
          <w:szCs w:val="21"/>
        </w:rPr>
        <w:t>标准限值要求；</w:t>
      </w:r>
    </w:p>
    <w:p w14:paraId="3BE96D8E" w14:textId="77777777" w:rsidR="00544649" w:rsidRDefault="00000000">
      <w:pPr>
        <w:adjustRightInd w:val="0"/>
        <w:snapToGrid w:val="0"/>
        <w:spacing w:after="0"/>
        <w:ind w:firstLine="482"/>
        <w:rPr>
          <w:rFonts w:cs="Times New Roman"/>
          <w:b/>
          <w:bCs/>
          <w:kern w:val="21"/>
        </w:rPr>
      </w:pPr>
      <w:r>
        <w:rPr>
          <w:rFonts w:cs="Times New Roman"/>
          <w:b/>
          <w:bCs/>
          <w:kern w:val="21"/>
        </w:rPr>
        <w:t>施工期噪声经过采取上述措施治理后，其施工期间的场界噪声可以满足《建筑施工场界环境噪声排放标准》（</w:t>
      </w:r>
      <w:r>
        <w:rPr>
          <w:rFonts w:cs="Times New Roman"/>
          <w:b/>
          <w:bCs/>
          <w:kern w:val="21"/>
        </w:rPr>
        <w:t>GB12523-2011</w:t>
      </w:r>
      <w:r>
        <w:rPr>
          <w:rFonts w:cs="Times New Roman"/>
          <w:b/>
          <w:bCs/>
          <w:kern w:val="21"/>
        </w:rPr>
        <w:t>）标准的要求，实现达标排放，不会对</w:t>
      </w:r>
      <w:proofErr w:type="gramStart"/>
      <w:r>
        <w:rPr>
          <w:rFonts w:cs="Times New Roman"/>
          <w:b/>
          <w:bCs/>
          <w:kern w:val="21"/>
        </w:rPr>
        <w:t>周围声</w:t>
      </w:r>
      <w:proofErr w:type="gramEnd"/>
      <w:r>
        <w:rPr>
          <w:rFonts w:cs="Times New Roman"/>
          <w:b/>
          <w:bCs/>
          <w:kern w:val="21"/>
        </w:rPr>
        <w:t>环境产生不利影响。</w:t>
      </w:r>
    </w:p>
    <w:p w14:paraId="051CA945" w14:textId="77777777" w:rsidR="00544649" w:rsidRDefault="00000000">
      <w:pPr>
        <w:keepNext/>
        <w:keepLines/>
        <w:numPr>
          <w:ilvl w:val="3"/>
          <w:numId w:val="9"/>
        </w:numPr>
        <w:adjustRightInd w:val="0"/>
        <w:snapToGrid w:val="0"/>
        <w:spacing w:after="0"/>
        <w:ind w:firstLineChars="0"/>
        <w:jc w:val="left"/>
        <w:outlineLvl w:val="3"/>
        <w:rPr>
          <w:rFonts w:cs="Times New Roman"/>
          <w:b/>
          <w:bCs/>
          <w:kern w:val="21"/>
        </w:rPr>
      </w:pPr>
      <w:r>
        <w:rPr>
          <w:rFonts w:cs="Times New Roman"/>
          <w:b/>
          <w:bCs/>
          <w:kern w:val="21"/>
        </w:rPr>
        <w:t>施工期固体废弃物分析</w:t>
      </w:r>
    </w:p>
    <w:p w14:paraId="379676E3" w14:textId="77777777" w:rsidR="00544649" w:rsidRDefault="00000000">
      <w:pPr>
        <w:adjustRightInd w:val="0"/>
        <w:snapToGrid w:val="0"/>
        <w:spacing w:after="0"/>
        <w:ind w:firstLine="482"/>
        <w:rPr>
          <w:rFonts w:cs="Times New Roman"/>
          <w:b/>
          <w:bCs/>
          <w:kern w:val="21"/>
          <w:szCs w:val="21"/>
        </w:rPr>
      </w:pPr>
      <w:r>
        <w:rPr>
          <w:rFonts w:cs="Times New Roman" w:hint="eastAsia"/>
          <w:b/>
          <w:bCs/>
          <w:kern w:val="21"/>
          <w:szCs w:val="21"/>
        </w:rPr>
        <w:t>（</w:t>
      </w:r>
      <w:r>
        <w:rPr>
          <w:rFonts w:cs="Times New Roman" w:hint="eastAsia"/>
          <w:b/>
          <w:bCs/>
          <w:kern w:val="21"/>
          <w:szCs w:val="21"/>
        </w:rPr>
        <w:t>1</w:t>
      </w:r>
      <w:r>
        <w:rPr>
          <w:rFonts w:cs="Times New Roman" w:hint="eastAsia"/>
          <w:b/>
          <w:bCs/>
          <w:kern w:val="21"/>
          <w:szCs w:val="21"/>
        </w:rPr>
        <w:t>）污染源分析</w:t>
      </w:r>
    </w:p>
    <w:p w14:paraId="225BAC7F" w14:textId="77777777" w:rsidR="00544649" w:rsidRDefault="00000000">
      <w:pPr>
        <w:adjustRightInd w:val="0"/>
        <w:snapToGrid w:val="0"/>
        <w:spacing w:after="0"/>
        <w:ind w:firstLine="480"/>
        <w:rPr>
          <w:rFonts w:cs="Times New Roman"/>
          <w:kern w:val="21"/>
          <w:szCs w:val="24"/>
        </w:rPr>
      </w:pPr>
      <w:r>
        <w:rPr>
          <w:rFonts w:cs="Times New Roman" w:hint="eastAsia"/>
          <w:kern w:val="21"/>
          <w:szCs w:val="21"/>
        </w:rPr>
        <w:t>本项目施工期固体废弃物包括基础施工时产生的土石方、建筑垃圾、装修垃圾以及施工人员产生的生活垃圾。</w:t>
      </w:r>
    </w:p>
    <w:p w14:paraId="31F5494C"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1</w:t>
      </w:r>
      <w:r>
        <w:rPr>
          <w:rFonts w:cs="Times New Roman" w:hint="eastAsia"/>
          <w:kern w:val="21"/>
          <w:szCs w:val="21"/>
        </w:rPr>
        <w:t>）土石方</w:t>
      </w:r>
    </w:p>
    <w:p w14:paraId="2A09B530"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项目场地位于丘陵地块，但项目占用土地地形起伏相对平缓，项目施工期开挖土石方量较少，全部用于场地内回填、地势平整，无外运弃土产生。</w:t>
      </w:r>
    </w:p>
    <w:p w14:paraId="5178BE57"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lastRenderedPageBreak/>
        <w:t>2</w:t>
      </w:r>
      <w:r>
        <w:rPr>
          <w:rFonts w:cs="Times New Roman" w:hint="eastAsia"/>
          <w:kern w:val="21"/>
          <w:szCs w:val="21"/>
        </w:rPr>
        <w:t>）建筑垃圾</w:t>
      </w:r>
    </w:p>
    <w:p w14:paraId="202AE986"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主要包括砂石、石块、碎砖瓦、废木料、废金属、废钢筋、钢材等杂物。</w:t>
      </w:r>
    </w:p>
    <w:p w14:paraId="294D6BF5"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3</w:t>
      </w:r>
      <w:r>
        <w:rPr>
          <w:rFonts w:cs="Times New Roman" w:hint="eastAsia"/>
          <w:kern w:val="21"/>
          <w:szCs w:val="21"/>
        </w:rPr>
        <w:t>）装修垃圾</w:t>
      </w:r>
    </w:p>
    <w:p w14:paraId="1A336B46"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装修垃圾一般有废弃的砖块、砂、水泥块以及木屑等。</w:t>
      </w:r>
    </w:p>
    <w:p w14:paraId="41A72B08"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4</w:t>
      </w:r>
      <w:r>
        <w:rPr>
          <w:rFonts w:cs="Times New Roman" w:hint="eastAsia"/>
          <w:kern w:val="21"/>
          <w:szCs w:val="21"/>
        </w:rPr>
        <w:t>）生活垃圾</w:t>
      </w:r>
    </w:p>
    <w:p w14:paraId="452A9A23"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生活垃圾产生</w:t>
      </w:r>
      <w:proofErr w:type="gramStart"/>
      <w:r>
        <w:rPr>
          <w:rFonts w:cs="Times New Roman" w:hint="eastAsia"/>
          <w:kern w:val="21"/>
          <w:szCs w:val="21"/>
        </w:rPr>
        <w:t>量按照</w:t>
      </w:r>
      <w:proofErr w:type="gramEnd"/>
      <w:r>
        <w:rPr>
          <w:rFonts w:cs="Times New Roman" w:hint="eastAsia"/>
          <w:kern w:val="21"/>
          <w:szCs w:val="21"/>
        </w:rPr>
        <w:t>0.5kg/d</w:t>
      </w:r>
      <w:r>
        <w:rPr>
          <w:rFonts w:cs="Times New Roman" w:hint="eastAsia"/>
          <w:kern w:val="21"/>
          <w:szCs w:val="21"/>
        </w:rPr>
        <w:t>·人计算。预计施工高峰期施工人员有</w:t>
      </w:r>
      <w:r>
        <w:rPr>
          <w:rFonts w:cs="Times New Roman" w:hint="eastAsia"/>
          <w:kern w:val="21"/>
          <w:szCs w:val="21"/>
        </w:rPr>
        <w:t>30</w:t>
      </w:r>
      <w:r>
        <w:rPr>
          <w:rFonts w:cs="Times New Roman" w:hint="eastAsia"/>
          <w:kern w:val="21"/>
          <w:szCs w:val="21"/>
        </w:rPr>
        <w:t>人，项目施工期生活垃圾产生量为</w:t>
      </w:r>
      <w:r>
        <w:rPr>
          <w:rFonts w:cs="Times New Roman" w:hint="eastAsia"/>
          <w:kern w:val="21"/>
          <w:szCs w:val="21"/>
        </w:rPr>
        <w:t>15kg/d</w:t>
      </w:r>
      <w:r>
        <w:rPr>
          <w:rFonts w:cs="Times New Roman" w:hint="eastAsia"/>
          <w:kern w:val="21"/>
          <w:szCs w:val="21"/>
        </w:rPr>
        <w:t>。</w:t>
      </w:r>
    </w:p>
    <w:p w14:paraId="0E680E74" w14:textId="77777777" w:rsidR="00544649" w:rsidRDefault="00000000">
      <w:pPr>
        <w:adjustRightInd w:val="0"/>
        <w:snapToGrid w:val="0"/>
        <w:spacing w:after="0"/>
        <w:ind w:firstLine="482"/>
        <w:rPr>
          <w:rFonts w:cs="Times New Roman"/>
          <w:b/>
          <w:bCs/>
          <w:kern w:val="21"/>
          <w:szCs w:val="21"/>
        </w:rPr>
      </w:pPr>
      <w:r>
        <w:rPr>
          <w:rFonts w:cs="Times New Roman" w:hint="eastAsia"/>
          <w:b/>
          <w:bCs/>
          <w:kern w:val="21"/>
          <w:szCs w:val="21"/>
        </w:rPr>
        <w:t>（</w:t>
      </w:r>
      <w:r>
        <w:rPr>
          <w:rFonts w:cs="Times New Roman" w:hint="eastAsia"/>
          <w:b/>
          <w:bCs/>
          <w:kern w:val="21"/>
          <w:szCs w:val="21"/>
        </w:rPr>
        <w:t>2</w:t>
      </w:r>
      <w:r>
        <w:rPr>
          <w:rFonts w:cs="Times New Roman" w:hint="eastAsia"/>
          <w:b/>
          <w:bCs/>
          <w:kern w:val="21"/>
          <w:szCs w:val="21"/>
        </w:rPr>
        <w:t>）治理措施</w:t>
      </w:r>
    </w:p>
    <w:p w14:paraId="48FF3488"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1</w:t>
      </w:r>
      <w:r>
        <w:rPr>
          <w:rFonts w:cs="Times New Roman" w:hint="eastAsia"/>
          <w:kern w:val="21"/>
          <w:szCs w:val="21"/>
        </w:rPr>
        <w:t>）土石方</w:t>
      </w:r>
    </w:p>
    <w:p w14:paraId="018F2EAF"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根据业主介绍，项目施工开挖的土方均用于填方或场地平整，无弃土外运。评价对土方开挖及暂存过程提出相应的防治措施。</w:t>
      </w:r>
    </w:p>
    <w:p w14:paraId="6CFEAAEA"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A</w:t>
      </w:r>
      <w:r>
        <w:rPr>
          <w:rFonts w:cs="Times New Roman" w:hint="eastAsia"/>
          <w:kern w:val="21"/>
          <w:szCs w:val="21"/>
        </w:rPr>
        <w:t>、对开挖的土方进行分层剥离，将可用土单独保存。在开挖土石方时，遇降雨容易形成水土流失而造成对受纳水道的影响，因此，要求在进行开挖土石方作业时，在堆放场地周围设置排水沟及沉淀池，并且在雨季不进行开挖作业或只进行小规模作业，尽可能减少堆放</w:t>
      </w:r>
      <w:proofErr w:type="gramStart"/>
      <w:r>
        <w:rPr>
          <w:rFonts w:cs="Times New Roman" w:hint="eastAsia"/>
          <w:kern w:val="21"/>
          <w:szCs w:val="21"/>
        </w:rPr>
        <w:t>土形成</w:t>
      </w:r>
      <w:proofErr w:type="gramEnd"/>
      <w:r>
        <w:rPr>
          <w:rFonts w:cs="Times New Roman" w:hint="eastAsia"/>
          <w:kern w:val="21"/>
          <w:szCs w:val="21"/>
        </w:rPr>
        <w:t>水土流失现象。</w:t>
      </w:r>
    </w:p>
    <w:p w14:paraId="00EFCDD2"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B</w:t>
      </w:r>
      <w:r>
        <w:rPr>
          <w:rFonts w:cs="Times New Roman" w:hint="eastAsia"/>
          <w:kern w:val="21"/>
          <w:szCs w:val="21"/>
        </w:rPr>
        <w:t>、堆存于场地的土石方应加强围栏，表面加盖，加盖材料防雨。</w:t>
      </w:r>
    </w:p>
    <w:p w14:paraId="0AB7A538"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C</w:t>
      </w:r>
      <w:r>
        <w:rPr>
          <w:rFonts w:cs="Times New Roman" w:hint="eastAsia"/>
          <w:kern w:val="21"/>
          <w:szCs w:val="21"/>
        </w:rPr>
        <w:t>、开挖的土方及时运至堆放区域存放，应及时使用，不宜在场地内长期、大量堆存。严禁随意乱排。</w:t>
      </w:r>
    </w:p>
    <w:p w14:paraId="424A041A"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2</w:t>
      </w:r>
      <w:r>
        <w:rPr>
          <w:rFonts w:cs="Times New Roman" w:hint="eastAsia"/>
          <w:kern w:val="21"/>
          <w:szCs w:val="21"/>
        </w:rPr>
        <w:t>）建筑垃圾</w:t>
      </w:r>
    </w:p>
    <w:p w14:paraId="2C8C259D"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在施工现场应设置建筑废弃物临时堆场（树立标示牌）并进行防雨、防泄漏处理。施工生产的废料首先应考虑废料的回收利用，对钢筋、钢板、木材等下角料可分类回收，交废物收购站处理；对不能回收的建筑垃圾，如混凝土废料、含砖、石、砂的杂土等要求及时运往剑阁县指定的建筑垃圾堆放点堆放，并做好相应的防护措施；若实际施工时无法及时清运，在项目地集中堆放，做好防护措施，定时清运到指定垃圾场，以免影响环境质量。建筑垃圾清运车辆尽量不行走市区道路，避免给沿线地区增加车流量、造成交通堵塞。另外，建筑垃圾的清运时应加盖苫布，防止洒落，外运时间应该避开上下班的高峰期及人流物流的高峰时间。</w:t>
      </w:r>
    </w:p>
    <w:p w14:paraId="178BB0D5"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3</w:t>
      </w:r>
      <w:r>
        <w:rPr>
          <w:rFonts w:cs="Times New Roman" w:hint="eastAsia"/>
          <w:kern w:val="21"/>
          <w:szCs w:val="21"/>
        </w:rPr>
        <w:t>）装修垃圾：</w:t>
      </w:r>
    </w:p>
    <w:p w14:paraId="650BA914"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装修垃圾不能随意倾倒，而应用编织袋包装后运出屋外，放在指定地点，由环卫部门统一清运处理。</w:t>
      </w:r>
    </w:p>
    <w:p w14:paraId="0B624BF8"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为降低装修垃圾清运对环境的影响，外运以上各种建筑垃圾时，出场前一律清洗</w:t>
      </w:r>
      <w:r>
        <w:rPr>
          <w:rFonts w:cs="Times New Roman" w:hint="eastAsia"/>
          <w:kern w:val="21"/>
          <w:szCs w:val="21"/>
        </w:rPr>
        <w:lastRenderedPageBreak/>
        <w:t>轮胎，用毡布覆盖，尽量避免轮胎上的泥土掉落至路面而造成扬尘。</w:t>
      </w:r>
    </w:p>
    <w:p w14:paraId="55092B8E"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4</w:t>
      </w:r>
      <w:r>
        <w:rPr>
          <w:rFonts w:cs="Times New Roman" w:hint="eastAsia"/>
          <w:kern w:val="21"/>
          <w:szCs w:val="21"/>
        </w:rPr>
        <w:t>）生活垃圾：</w:t>
      </w:r>
    </w:p>
    <w:p w14:paraId="5BD8C4D8"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设置垃圾桶并且加盖，施工人员每日施工过程中产生的生活垃圾经生活垃圾桶集中收集后由环卫部门统一清运处理。不可就地填埋，不可随意丢弃。</w:t>
      </w:r>
    </w:p>
    <w:p w14:paraId="26047FA4" w14:textId="77777777" w:rsidR="00544649" w:rsidRDefault="00000000">
      <w:pPr>
        <w:adjustRightInd w:val="0"/>
        <w:snapToGrid w:val="0"/>
        <w:spacing w:after="0"/>
        <w:ind w:firstLine="480"/>
        <w:rPr>
          <w:rFonts w:cs="Times New Roman"/>
          <w:kern w:val="21"/>
          <w:szCs w:val="21"/>
        </w:rPr>
      </w:pPr>
      <w:r>
        <w:rPr>
          <w:rFonts w:cs="Times New Roman" w:hint="eastAsia"/>
          <w:kern w:val="21"/>
          <w:szCs w:val="21"/>
        </w:rPr>
        <w:t>综上所述，项目施工期在严格落实了</w:t>
      </w:r>
      <w:proofErr w:type="gramStart"/>
      <w:r>
        <w:rPr>
          <w:rFonts w:cs="Times New Roman" w:hint="eastAsia"/>
          <w:kern w:val="21"/>
          <w:szCs w:val="21"/>
        </w:rPr>
        <w:t>本环评提出</w:t>
      </w:r>
      <w:proofErr w:type="gramEnd"/>
      <w:r>
        <w:rPr>
          <w:rFonts w:cs="Times New Roman" w:hint="eastAsia"/>
          <w:kern w:val="21"/>
          <w:szCs w:val="21"/>
        </w:rPr>
        <w:t>的上述措施后，其施工期的固体废弃物可实现清洁处理和处置，不造成二次污染。环评要求，施工期间严禁将固体废物随意乱排。</w:t>
      </w:r>
    </w:p>
    <w:p w14:paraId="15A18302" w14:textId="77777777" w:rsidR="00544649" w:rsidRDefault="00000000">
      <w:pPr>
        <w:keepNext/>
        <w:keepLines/>
        <w:numPr>
          <w:ilvl w:val="3"/>
          <w:numId w:val="9"/>
        </w:numPr>
        <w:adjustRightInd w:val="0"/>
        <w:snapToGrid w:val="0"/>
        <w:spacing w:after="0"/>
        <w:ind w:firstLineChars="0"/>
        <w:jc w:val="left"/>
        <w:outlineLvl w:val="3"/>
        <w:rPr>
          <w:rFonts w:cs="Times New Roman"/>
          <w:b/>
          <w:bCs/>
          <w:kern w:val="21"/>
        </w:rPr>
      </w:pPr>
      <w:r>
        <w:rPr>
          <w:rFonts w:cs="Times New Roman"/>
          <w:b/>
          <w:bCs/>
          <w:kern w:val="21"/>
        </w:rPr>
        <w:t>施工期生态环境影响分析</w:t>
      </w:r>
    </w:p>
    <w:p w14:paraId="702BA1B1"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1</w:t>
      </w:r>
      <w:r>
        <w:rPr>
          <w:rFonts w:cs="Times New Roman" w:hint="eastAsia"/>
          <w:b/>
          <w:bCs/>
          <w:kern w:val="21"/>
        </w:rPr>
        <w:t>）影响分析</w:t>
      </w:r>
    </w:p>
    <w:p w14:paraId="54E6E575" w14:textId="77777777" w:rsidR="00544649" w:rsidRDefault="00000000">
      <w:pPr>
        <w:adjustRightInd w:val="0"/>
        <w:snapToGrid w:val="0"/>
        <w:spacing w:after="0"/>
        <w:ind w:firstLine="480"/>
        <w:rPr>
          <w:rFonts w:cs="Times New Roman"/>
          <w:kern w:val="21"/>
        </w:rPr>
      </w:pPr>
      <w:r>
        <w:rPr>
          <w:rFonts w:cs="Times New Roman" w:hint="eastAsia"/>
          <w:kern w:val="21"/>
        </w:rPr>
        <w:t>本项目用地不涉及风景名胜、自然遗产地、森林公园等特殊保护区，也无珍稀、保护动植物分布。项目用地现状覆盖有植被（主要为树林），项目的实施将会对现有植被造成破坏。项目实施过程中造成场地内土质结构松散，易被雨水冲刷造成水土流失，另外土方临时</w:t>
      </w:r>
      <w:proofErr w:type="gramStart"/>
      <w:r>
        <w:rPr>
          <w:rFonts w:cs="Times New Roman" w:hint="eastAsia"/>
          <w:kern w:val="21"/>
        </w:rPr>
        <w:t>堆场若</w:t>
      </w:r>
      <w:proofErr w:type="gramEnd"/>
      <w:r>
        <w:rPr>
          <w:rFonts w:cs="Times New Roman" w:hint="eastAsia"/>
          <w:kern w:val="21"/>
        </w:rPr>
        <w:t>未及时清运以及对堆场进行覆盖将由于雨水冲刷造成水土流失。</w:t>
      </w:r>
    </w:p>
    <w:p w14:paraId="1B252645"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2</w:t>
      </w:r>
      <w:r>
        <w:rPr>
          <w:rFonts w:cs="Times New Roman" w:hint="eastAsia"/>
          <w:b/>
          <w:bCs/>
          <w:kern w:val="21"/>
        </w:rPr>
        <w:t>）治理措施</w:t>
      </w:r>
    </w:p>
    <w:p w14:paraId="7B39EF2B" w14:textId="77777777" w:rsidR="00544649" w:rsidRDefault="00000000">
      <w:pPr>
        <w:adjustRightInd w:val="0"/>
        <w:snapToGrid w:val="0"/>
        <w:spacing w:after="0"/>
        <w:ind w:firstLine="480"/>
        <w:rPr>
          <w:rFonts w:cs="Times New Roman"/>
          <w:kern w:val="21"/>
        </w:rPr>
      </w:pPr>
      <w:r>
        <w:rPr>
          <w:rFonts w:cs="Times New Roman" w:hint="eastAsia"/>
          <w:kern w:val="21"/>
        </w:rPr>
        <w:t>1</w:t>
      </w:r>
      <w:r>
        <w:rPr>
          <w:rFonts w:cs="Times New Roman" w:hint="eastAsia"/>
          <w:kern w:val="21"/>
        </w:rPr>
        <w:t>）植被破坏</w:t>
      </w:r>
    </w:p>
    <w:p w14:paraId="7899371C" w14:textId="77777777" w:rsidR="00544649" w:rsidRDefault="00000000">
      <w:pPr>
        <w:adjustRightInd w:val="0"/>
        <w:snapToGrid w:val="0"/>
        <w:spacing w:after="0"/>
        <w:ind w:firstLine="480"/>
        <w:rPr>
          <w:rFonts w:cs="Times New Roman"/>
          <w:kern w:val="21"/>
        </w:rPr>
      </w:pPr>
      <w:r>
        <w:rPr>
          <w:rFonts w:cs="Times New Roman" w:hint="eastAsia"/>
          <w:kern w:val="21"/>
        </w:rPr>
        <w:t>A</w:t>
      </w:r>
      <w:r>
        <w:rPr>
          <w:rFonts w:cs="Times New Roman" w:hint="eastAsia"/>
          <w:kern w:val="21"/>
        </w:rPr>
        <w:t>、在施工作业过程中，不得随意开挖，强化生态环境保护意识，严格控制施工作业区，不得随意扩大范围，尽量减少对植被的破坏。</w:t>
      </w:r>
    </w:p>
    <w:p w14:paraId="28E41BFE" w14:textId="77777777" w:rsidR="00544649" w:rsidRDefault="00000000">
      <w:pPr>
        <w:adjustRightInd w:val="0"/>
        <w:snapToGrid w:val="0"/>
        <w:spacing w:after="0"/>
        <w:ind w:firstLine="480"/>
        <w:rPr>
          <w:rFonts w:cs="Times New Roman"/>
          <w:kern w:val="21"/>
        </w:rPr>
      </w:pPr>
      <w:r>
        <w:rPr>
          <w:rFonts w:cs="Times New Roman" w:hint="eastAsia"/>
          <w:kern w:val="21"/>
        </w:rPr>
        <w:t>B</w:t>
      </w:r>
      <w:r>
        <w:rPr>
          <w:rFonts w:cs="Times New Roman" w:hint="eastAsia"/>
          <w:kern w:val="21"/>
        </w:rPr>
        <w:t>、合理利用场地内原有树林植被设置绿化带，尽量保留可利用植被，降低生态影响。</w:t>
      </w:r>
    </w:p>
    <w:p w14:paraId="5212ABA0" w14:textId="77777777" w:rsidR="00544649" w:rsidRDefault="00000000">
      <w:pPr>
        <w:adjustRightInd w:val="0"/>
        <w:snapToGrid w:val="0"/>
        <w:spacing w:after="0"/>
        <w:ind w:firstLine="480"/>
        <w:rPr>
          <w:rFonts w:cs="Times New Roman"/>
          <w:kern w:val="21"/>
        </w:rPr>
      </w:pPr>
      <w:r>
        <w:rPr>
          <w:rFonts w:cs="Times New Roman" w:hint="eastAsia"/>
          <w:kern w:val="21"/>
        </w:rPr>
        <w:t>C</w:t>
      </w:r>
      <w:r>
        <w:rPr>
          <w:rFonts w:cs="Times New Roman" w:hint="eastAsia"/>
          <w:kern w:val="21"/>
        </w:rPr>
        <w:t>、项目实施后，对厂区内进行绿化，种植花草树木，尽量恢复区域绿化。</w:t>
      </w:r>
    </w:p>
    <w:p w14:paraId="314EF67D" w14:textId="77777777" w:rsidR="00544649" w:rsidRDefault="00000000">
      <w:pPr>
        <w:adjustRightInd w:val="0"/>
        <w:snapToGrid w:val="0"/>
        <w:spacing w:after="0"/>
        <w:ind w:firstLine="480"/>
        <w:rPr>
          <w:rFonts w:cs="Times New Roman"/>
          <w:kern w:val="21"/>
        </w:rPr>
      </w:pPr>
      <w:r>
        <w:rPr>
          <w:rFonts w:cs="Times New Roman" w:hint="eastAsia"/>
          <w:kern w:val="21"/>
        </w:rPr>
        <w:t>2</w:t>
      </w:r>
      <w:r>
        <w:rPr>
          <w:rFonts w:cs="Times New Roman" w:hint="eastAsia"/>
          <w:kern w:val="21"/>
        </w:rPr>
        <w:t>）水土流失</w:t>
      </w:r>
    </w:p>
    <w:p w14:paraId="3D52D953" w14:textId="77777777" w:rsidR="00544649" w:rsidRDefault="00000000">
      <w:pPr>
        <w:adjustRightInd w:val="0"/>
        <w:snapToGrid w:val="0"/>
        <w:spacing w:after="0"/>
        <w:ind w:firstLine="480"/>
        <w:rPr>
          <w:rFonts w:cs="Times New Roman"/>
          <w:kern w:val="21"/>
        </w:rPr>
      </w:pPr>
      <w:r>
        <w:rPr>
          <w:rFonts w:cs="Times New Roman" w:hint="eastAsia"/>
          <w:kern w:val="21"/>
        </w:rPr>
        <w:t>A</w:t>
      </w:r>
      <w:r>
        <w:rPr>
          <w:rFonts w:cs="Times New Roman" w:hint="eastAsia"/>
          <w:kern w:val="21"/>
        </w:rPr>
        <w:t>、整个施工过程中尽可能避开雨天开挖施工；</w:t>
      </w:r>
    </w:p>
    <w:p w14:paraId="2E681CAC" w14:textId="77777777" w:rsidR="00544649" w:rsidRDefault="00000000">
      <w:pPr>
        <w:adjustRightInd w:val="0"/>
        <w:snapToGrid w:val="0"/>
        <w:spacing w:after="0"/>
        <w:ind w:firstLine="480"/>
        <w:rPr>
          <w:rFonts w:cs="Times New Roman"/>
          <w:kern w:val="21"/>
        </w:rPr>
      </w:pPr>
      <w:r>
        <w:rPr>
          <w:rFonts w:cs="Times New Roman" w:hint="eastAsia"/>
          <w:kern w:val="21"/>
        </w:rPr>
        <w:t>B</w:t>
      </w:r>
      <w:r>
        <w:rPr>
          <w:rFonts w:cs="Times New Roman" w:hint="eastAsia"/>
          <w:kern w:val="21"/>
        </w:rPr>
        <w:t>、在施工作业过程中，不得随意开挖，强化生态环境保护意识，严格控制施工作业区，不得随意扩大范围，尽量减少对植被的破坏，保护水土资源；</w:t>
      </w:r>
    </w:p>
    <w:p w14:paraId="6B20ABF4" w14:textId="77777777" w:rsidR="00544649" w:rsidRDefault="00000000">
      <w:pPr>
        <w:adjustRightInd w:val="0"/>
        <w:snapToGrid w:val="0"/>
        <w:spacing w:after="0"/>
        <w:ind w:firstLine="480"/>
        <w:rPr>
          <w:rFonts w:cs="Times New Roman"/>
          <w:kern w:val="21"/>
        </w:rPr>
      </w:pPr>
      <w:r>
        <w:rPr>
          <w:rFonts w:cs="Times New Roman" w:hint="eastAsia"/>
          <w:kern w:val="21"/>
        </w:rPr>
        <w:t>C</w:t>
      </w:r>
      <w:r>
        <w:rPr>
          <w:rFonts w:cs="Times New Roman" w:hint="eastAsia"/>
          <w:kern w:val="21"/>
        </w:rPr>
        <w:t>、对于开挖土石方，减少临时堆放和不必要的转运过程，应尽快回填剩余用于场区内土地平整。环</w:t>
      </w:r>
      <w:proofErr w:type="gramStart"/>
      <w:r>
        <w:rPr>
          <w:rFonts w:cs="Times New Roman" w:hint="eastAsia"/>
          <w:kern w:val="21"/>
        </w:rPr>
        <w:t>评要求</w:t>
      </w:r>
      <w:proofErr w:type="gramEnd"/>
      <w:r>
        <w:rPr>
          <w:rFonts w:cs="Times New Roman" w:hint="eastAsia"/>
          <w:kern w:val="21"/>
        </w:rPr>
        <w:t>挖方时对土方进行剥离，可用土进行单独保存。</w:t>
      </w:r>
    </w:p>
    <w:p w14:paraId="6E37CAAA" w14:textId="77777777" w:rsidR="00544649" w:rsidRDefault="00000000">
      <w:pPr>
        <w:adjustRightInd w:val="0"/>
        <w:snapToGrid w:val="0"/>
        <w:spacing w:after="0"/>
        <w:ind w:firstLine="480"/>
        <w:rPr>
          <w:rFonts w:cs="Times New Roman"/>
          <w:kern w:val="21"/>
        </w:rPr>
      </w:pPr>
      <w:r>
        <w:rPr>
          <w:rFonts w:cs="Times New Roman" w:hint="eastAsia"/>
          <w:kern w:val="21"/>
        </w:rPr>
        <w:t>总体而言，项目建设对当地土地利用、区域生物多样性的影响小，项目的生态环境影响可接受。</w:t>
      </w:r>
    </w:p>
    <w:p w14:paraId="6D66D85C" w14:textId="77777777" w:rsidR="00544649" w:rsidRDefault="00000000">
      <w:pPr>
        <w:keepNext/>
        <w:keepLines/>
        <w:numPr>
          <w:ilvl w:val="1"/>
          <w:numId w:val="9"/>
        </w:numPr>
        <w:adjustRightInd w:val="0"/>
        <w:snapToGrid w:val="0"/>
        <w:spacing w:after="0"/>
        <w:ind w:firstLineChars="0"/>
        <w:outlineLvl w:val="1"/>
        <w:rPr>
          <w:rFonts w:cs="Times New Roman"/>
          <w:kern w:val="21"/>
        </w:rPr>
      </w:pPr>
      <w:bookmarkStart w:id="236" w:name="_Toc28823"/>
      <w:bookmarkStart w:id="237" w:name="_Toc195009848"/>
      <w:r>
        <w:rPr>
          <w:rFonts w:cs="Times New Roman"/>
          <w:b/>
          <w:bCs/>
          <w:kern w:val="21"/>
          <w:sz w:val="32"/>
          <w:szCs w:val="32"/>
        </w:rPr>
        <w:lastRenderedPageBreak/>
        <w:t>运营期工程分析</w:t>
      </w:r>
      <w:bookmarkEnd w:id="236"/>
      <w:bookmarkEnd w:id="237"/>
    </w:p>
    <w:p w14:paraId="1D874453"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238" w:name="_Toc28449"/>
      <w:bookmarkStart w:id="239" w:name="_Toc195009849"/>
      <w:r>
        <w:rPr>
          <w:rFonts w:cs="Times New Roman"/>
          <w:b/>
          <w:bCs/>
          <w:kern w:val="21"/>
          <w:sz w:val="28"/>
          <w:szCs w:val="24"/>
        </w:rPr>
        <w:t>运营期工艺流程</w:t>
      </w:r>
      <w:proofErr w:type="gramStart"/>
      <w:r>
        <w:rPr>
          <w:rFonts w:cs="Times New Roman"/>
          <w:b/>
          <w:bCs/>
          <w:kern w:val="21"/>
          <w:sz w:val="28"/>
          <w:szCs w:val="24"/>
        </w:rPr>
        <w:t>及产污环节</w:t>
      </w:r>
      <w:proofErr w:type="gramEnd"/>
      <w:r>
        <w:rPr>
          <w:rFonts w:cs="Times New Roman"/>
          <w:b/>
          <w:bCs/>
          <w:kern w:val="21"/>
          <w:sz w:val="28"/>
          <w:szCs w:val="24"/>
        </w:rPr>
        <w:t>分析</w:t>
      </w:r>
      <w:bookmarkEnd w:id="238"/>
      <w:bookmarkEnd w:id="239"/>
    </w:p>
    <w:p w14:paraId="10F834EB" w14:textId="77777777" w:rsidR="00544649" w:rsidRDefault="00000000">
      <w:pPr>
        <w:adjustRightInd w:val="0"/>
        <w:snapToGrid w:val="0"/>
        <w:spacing w:after="0"/>
        <w:ind w:firstLine="482"/>
        <w:rPr>
          <w:rFonts w:cs="Times New Roman"/>
          <w:kern w:val="21"/>
        </w:rPr>
      </w:pPr>
      <w:r>
        <w:rPr>
          <w:rFonts w:cs="Times New Roman" w:hint="eastAsia"/>
          <w:b/>
          <w:bCs/>
          <w:kern w:val="21"/>
        </w:rPr>
        <w:t>本项目不进行代种、孵化，项目</w:t>
      </w:r>
      <w:proofErr w:type="gramStart"/>
      <w:r>
        <w:rPr>
          <w:rFonts w:cs="Times New Roman" w:hint="eastAsia"/>
          <w:b/>
          <w:bCs/>
          <w:kern w:val="21"/>
        </w:rPr>
        <w:t>育雏场</w:t>
      </w:r>
      <w:proofErr w:type="gramEnd"/>
      <w:r>
        <w:rPr>
          <w:rFonts w:cs="Times New Roman" w:hint="eastAsia"/>
          <w:b/>
          <w:bCs/>
          <w:kern w:val="21"/>
        </w:rPr>
        <w:t>外购一日</w:t>
      </w:r>
      <w:proofErr w:type="gramStart"/>
      <w:r>
        <w:rPr>
          <w:rFonts w:cs="Times New Roman" w:hint="eastAsia"/>
          <w:b/>
          <w:bCs/>
          <w:kern w:val="21"/>
        </w:rPr>
        <w:t>龄</w:t>
      </w:r>
      <w:proofErr w:type="gramEnd"/>
      <w:r>
        <w:rPr>
          <w:rFonts w:cs="Times New Roman" w:hint="eastAsia"/>
          <w:b/>
          <w:bCs/>
          <w:kern w:val="21"/>
        </w:rPr>
        <w:t>小鸡进行饲养；不对淘汰鸡进行屠宰，不进行饲料加工、有机肥加工。</w:t>
      </w:r>
    </w:p>
    <w:p w14:paraId="1D12DBE3" w14:textId="77777777" w:rsidR="00544649" w:rsidRDefault="00000000">
      <w:pPr>
        <w:keepNext/>
        <w:keepLines/>
        <w:numPr>
          <w:ilvl w:val="3"/>
          <w:numId w:val="9"/>
        </w:numPr>
        <w:adjustRightInd w:val="0"/>
        <w:snapToGrid w:val="0"/>
        <w:spacing w:after="0"/>
        <w:ind w:firstLineChars="0"/>
        <w:jc w:val="left"/>
        <w:outlineLvl w:val="3"/>
        <w:rPr>
          <w:rFonts w:cs="Times New Roman"/>
          <w:b/>
          <w:bCs/>
          <w:kern w:val="21"/>
        </w:rPr>
      </w:pPr>
      <w:r>
        <w:rPr>
          <w:rFonts w:cs="Times New Roman"/>
          <w:b/>
          <w:bCs/>
          <w:kern w:val="21"/>
        </w:rPr>
        <w:t>养殖</w:t>
      </w:r>
      <w:r>
        <w:rPr>
          <w:rFonts w:cs="Times New Roman" w:hint="eastAsia"/>
          <w:b/>
          <w:bCs/>
          <w:kern w:val="21"/>
        </w:rPr>
        <w:t>工艺流程</w:t>
      </w:r>
      <w:proofErr w:type="gramStart"/>
      <w:r>
        <w:rPr>
          <w:rFonts w:cs="Times New Roman" w:hint="eastAsia"/>
          <w:b/>
          <w:bCs/>
          <w:kern w:val="21"/>
        </w:rPr>
        <w:t>及产污环节</w:t>
      </w:r>
      <w:proofErr w:type="gramEnd"/>
    </w:p>
    <w:p w14:paraId="778A5600" w14:textId="77777777" w:rsidR="00544649" w:rsidRDefault="00000000">
      <w:pPr>
        <w:adjustRightInd w:val="0"/>
        <w:snapToGrid w:val="0"/>
        <w:spacing w:after="0"/>
        <w:ind w:firstLine="480"/>
        <w:rPr>
          <w:rFonts w:cs="Times New Roman"/>
          <w:kern w:val="21"/>
        </w:rPr>
      </w:pPr>
      <w:r>
        <w:rPr>
          <w:rFonts w:cs="Times New Roman"/>
          <w:kern w:val="21"/>
        </w:rPr>
        <w:t>本项目鸡舍建筑均采用全封闭式环控鸡舍，饲养管理采用</w:t>
      </w:r>
      <w:proofErr w:type="gramStart"/>
      <w:r>
        <w:rPr>
          <w:rFonts w:cs="Times New Roman"/>
          <w:kern w:val="21"/>
        </w:rPr>
        <w:t>层叠式</w:t>
      </w:r>
      <w:proofErr w:type="gramEnd"/>
      <w:r>
        <w:rPr>
          <w:rFonts w:cs="Times New Roman"/>
          <w:kern w:val="21"/>
        </w:rPr>
        <w:t>笼养系统、自动光照、自动喂料、自动饮水、自动除粪，风机加</w:t>
      </w:r>
      <w:proofErr w:type="gramStart"/>
      <w:r>
        <w:rPr>
          <w:rFonts w:cs="Times New Roman"/>
          <w:kern w:val="21"/>
        </w:rPr>
        <w:t>湿帘配合</w:t>
      </w:r>
      <w:proofErr w:type="gramEnd"/>
      <w:r>
        <w:rPr>
          <w:rFonts w:cs="Times New Roman"/>
          <w:kern w:val="21"/>
        </w:rPr>
        <w:t>进行环境控制、自动集蛋。按不同生长阶段分别饲养在不同的鸡舍内。饲料营养上，根据鸡群生长的不同阶段和品种对营养的需求，</w:t>
      </w:r>
      <w:proofErr w:type="gramStart"/>
      <w:r>
        <w:rPr>
          <w:rFonts w:cs="Times New Roman"/>
          <w:kern w:val="21"/>
        </w:rPr>
        <w:t>配置低氮</w:t>
      </w:r>
      <w:r>
        <w:rPr>
          <w:rFonts w:cs="Times New Roman" w:hint="eastAsia"/>
          <w:kern w:val="21"/>
        </w:rPr>
        <w:t>无磷</w:t>
      </w:r>
      <w:proofErr w:type="gramEnd"/>
      <w:r>
        <w:rPr>
          <w:rFonts w:cs="Times New Roman" w:hint="eastAsia"/>
          <w:kern w:val="21"/>
        </w:rPr>
        <w:t>抗生素</w:t>
      </w:r>
      <w:r>
        <w:rPr>
          <w:rFonts w:cs="Times New Roman"/>
          <w:kern w:val="21"/>
        </w:rPr>
        <w:t>饲料，降低鸡粪对环境的污染，提高区域内畜禽承载能力。</w:t>
      </w:r>
    </w:p>
    <w:p w14:paraId="1112233B" w14:textId="77777777" w:rsidR="00544649" w:rsidRDefault="00000000">
      <w:pPr>
        <w:adjustRightInd w:val="0"/>
        <w:snapToGrid w:val="0"/>
        <w:spacing w:after="0"/>
        <w:ind w:firstLine="480"/>
        <w:rPr>
          <w:rFonts w:cs="Times New Roman"/>
          <w:kern w:val="21"/>
        </w:rPr>
      </w:pPr>
      <w:r>
        <w:rPr>
          <w:rFonts w:cs="Times New Roman"/>
          <w:kern w:val="21"/>
        </w:rPr>
        <w:t>项目养殖工艺流程详见下图。</w:t>
      </w:r>
    </w:p>
    <w:p w14:paraId="7FDE5131"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hint="eastAsia"/>
        </w:rPr>
        <w:object w:dxaOrig="6585" w:dyaOrig="6945" w14:anchorId="5416C65B">
          <v:shape id="_x0000_i1029" type="#_x0000_t75" style="width:329.25pt;height:347.25pt" o:ole="">
            <v:imagedata r:id="rId41" o:title=""/>
          </v:shape>
          <o:OLEObject Type="Embed" ProgID="Visio.Drawing.11" ShapeID="_x0000_i1029" DrawAspect="Content" ObjectID="_1806238025" r:id="rId42"/>
        </w:object>
      </w:r>
    </w:p>
    <w:p w14:paraId="0EDDBEF0" w14:textId="77777777" w:rsidR="00544649" w:rsidRDefault="00000000">
      <w:pPr>
        <w:numPr>
          <w:ilvl w:val="0"/>
          <w:numId w:val="23"/>
        </w:numPr>
        <w:adjustRightInd w:val="0"/>
        <w:snapToGrid w:val="0"/>
        <w:spacing w:beforeLines="20" w:before="62" w:afterLines="20" w:after="62" w:line="240" w:lineRule="auto"/>
        <w:ind w:left="0" w:firstLineChars="0" w:firstLine="0"/>
        <w:jc w:val="center"/>
        <w:rPr>
          <w:rFonts w:cs="Times New Roman"/>
          <w:kern w:val="21"/>
        </w:rPr>
      </w:pPr>
      <w:r>
        <w:rPr>
          <w:rFonts w:cs="Times New Roman"/>
          <w:b/>
          <w:bCs/>
          <w:kern w:val="21"/>
          <w:sz w:val="21"/>
          <w:szCs w:val="21"/>
        </w:rPr>
        <w:t>蛋鸡养殖生产工艺流程</w:t>
      </w:r>
      <w:proofErr w:type="gramStart"/>
      <w:r>
        <w:rPr>
          <w:rFonts w:cs="Times New Roman"/>
          <w:b/>
          <w:bCs/>
          <w:kern w:val="21"/>
          <w:sz w:val="21"/>
          <w:szCs w:val="21"/>
        </w:rPr>
        <w:t>及产污环节</w:t>
      </w:r>
      <w:proofErr w:type="gramEnd"/>
      <w:r>
        <w:rPr>
          <w:rFonts w:cs="Times New Roman"/>
          <w:b/>
          <w:bCs/>
          <w:kern w:val="21"/>
          <w:sz w:val="21"/>
          <w:szCs w:val="21"/>
        </w:rPr>
        <w:t>图</w:t>
      </w:r>
    </w:p>
    <w:p w14:paraId="6BF2B3A8" w14:textId="77777777" w:rsidR="00544649" w:rsidRDefault="00000000">
      <w:pPr>
        <w:adjustRightInd w:val="0"/>
        <w:snapToGrid w:val="0"/>
        <w:spacing w:after="0"/>
        <w:ind w:firstLine="482"/>
        <w:rPr>
          <w:rFonts w:cs="Times New Roman"/>
          <w:b/>
          <w:bCs/>
          <w:kern w:val="21"/>
        </w:rPr>
      </w:pPr>
      <w:r>
        <w:rPr>
          <w:rFonts w:cs="Times New Roman" w:hint="eastAsia"/>
          <w:b/>
          <w:bCs/>
          <w:kern w:val="21"/>
        </w:rPr>
        <w:t>运营期养殖工艺流程说明：</w:t>
      </w:r>
    </w:p>
    <w:p w14:paraId="58E33641" w14:textId="77777777" w:rsidR="00544649" w:rsidRDefault="00000000">
      <w:pPr>
        <w:adjustRightInd w:val="0"/>
        <w:snapToGrid w:val="0"/>
        <w:spacing w:after="0"/>
        <w:ind w:firstLine="482"/>
        <w:rPr>
          <w:rFonts w:cs="Times New Roman"/>
          <w:b/>
          <w:bCs/>
          <w:kern w:val="21"/>
        </w:rPr>
      </w:pPr>
      <w:r>
        <w:rPr>
          <w:rFonts w:cs="Times New Roman"/>
          <w:b/>
          <w:bCs/>
          <w:kern w:val="21"/>
        </w:rPr>
        <w:t>（</w:t>
      </w:r>
      <w:r>
        <w:rPr>
          <w:rFonts w:cs="Times New Roman"/>
          <w:b/>
          <w:bCs/>
          <w:kern w:val="21"/>
        </w:rPr>
        <w:t>1</w:t>
      </w:r>
      <w:r>
        <w:rPr>
          <w:rFonts w:cs="Times New Roman"/>
          <w:b/>
          <w:bCs/>
          <w:kern w:val="21"/>
        </w:rPr>
        <w:t>）饲养</w:t>
      </w:r>
      <w:r>
        <w:rPr>
          <w:rFonts w:cs="Times New Roman" w:hint="eastAsia"/>
          <w:b/>
          <w:bCs/>
          <w:kern w:val="21"/>
        </w:rPr>
        <w:t>阶段</w:t>
      </w:r>
    </w:p>
    <w:p w14:paraId="1FA55021" w14:textId="77777777" w:rsidR="00544649" w:rsidRDefault="00000000">
      <w:pPr>
        <w:pStyle w:val="a4"/>
        <w:adjustRightInd w:val="0"/>
        <w:snapToGrid w:val="0"/>
        <w:spacing w:after="0" w:line="360" w:lineRule="auto"/>
        <w:ind w:firstLineChars="200" w:firstLine="480"/>
        <w:rPr>
          <w:sz w:val="24"/>
          <w:szCs w:val="24"/>
        </w:rPr>
      </w:pPr>
      <w:r>
        <w:rPr>
          <w:rFonts w:hint="eastAsia"/>
          <w:sz w:val="24"/>
          <w:szCs w:val="24"/>
        </w:rPr>
        <w:t>本项目场内不进行孵化生产小鸡，外购鸡苗进行饲养。项目鸡只食用的饲料均为</w:t>
      </w:r>
      <w:r>
        <w:rPr>
          <w:rFonts w:hint="eastAsia"/>
          <w:sz w:val="24"/>
          <w:szCs w:val="24"/>
        </w:rPr>
        <w:lastRenderedPageBreak/>
        <w:t>外购，厂区内不进行饲料加工。</w:t>
      </w:r>
      <w:r>
        <w:rPr>
          <w:sz w:val="24"/>
          <w:szCs w:val="24"/>
        </w:rPr>
        <w:t>项目系蛋鸡集约化圈养，通过人工控制鸡舍的温度、湿度等环境条件，最大限度的获得鸡蛋的产量。项目选择产蛋率、存活率高的蛋鸡品种罗曼粉。</w:t>
      </w:r>
    </w:p>
    <w:p w14:paraId="23FFC6C6" w14:textId="77777777" w:rsidR="00544649" w:rsidRDefault="00000000">
      <w:pPr>
        <w:adjustRightInd w:val="0"/>
        <w:snapToGrid w:val="0"/>
        <w:spacing w:after="0"/>
        <w:ind w:firstLine="480"/>
        <w:rPr>
          <w:rFonts w:cs="Times New Roman"/>
          <w:kern w:val="21"/>
        </w:rPr>
      </w:pPr>
      <w:r>
        <w:rPr>
          <w:rFonts w:cs="Times New Roman" w:hint="eastAsia"/>
          <w:kern w:val="21"/>
          <w:szCs w:val="24"/>
        </w:rPr>
        <w:t>1</w:t>
      </w:r>
      <w:r>
        <w:rPr>
          <w:rFonts w:cs="Times New Roman" w:hint="eastAsia"/>
          <w:kern w:val="21"/>
          <w:szCs w:val="24"/>
        </w:rPr>
        <w:t>）饲料供应：</w:t>
      </w:r>
      <w:r>
        <w:rPr>
          <w:szCs w:val="24"/>
        </w:rPr>
        <w:t>项目不建设饲料加工厂，所需要的各种饲料</w:t>
      </w:r>
      <w:r>
        <w:rPr>
          <w:rFonts w:hint="eastAsia"/>
          <w:szCs w:val="24"/>
        </w:rPr>
        <w:t>直接</w:t>
      </w:r>
      <w:r>
        <w:rPr>
          <w:szCs w:val="24"/>
        </w:rPr>
        <w:t>外购。</w:t>
      </w:r>
      <w:r>
        <w:rPr>
          <w:rFonts w:hint="eastAsia"/>
          <w:szCs w:val="24"/>
        </w:rPr>
        <w:t>成品饲料由生产厂家通过专用饲料运输车辆运输至本项目场内，各鸡舍旁设置饲料塔存放饲料，饲料运输车辆自带上料系统，将饲料输送至饲料塔内储存，整个过程在密闭状态下进行。各鸡舍采用自动</w:t>
      </w:r>
      <w:proofErr w:type="gramStart"/>
      <w:r>
        <w:rPr>
          <w:rFonts w:hint="eastAsia"/>
          <w:szCs w:val="24"/>
        </w:rPr>
        <w:t>投料机投料</w:t>
      </w:r>
      <w:proofErr w:type="gramEnd"/>
      <w:r>
        <w:rPr>
          <w:rFonts w:hint="eastAsia"/>
          <w:szCs w:val="24"/>
        </w:rPr>
        <w:t>饲喂，机械化操作，定时定量供应饲料，保证鸡饮食需求。</w:t>
      </w:r>
    </w:p>
    <w:p w14:paraId="26796A08"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2</w:t>
      </w:r>
      <w:r>
        <w:rPr>
          <w:rFonts w:cs="Times New Roman" w:hint="eastAsia"/>
          <w:kern w:val="21"/>
          <w:szCs w:val="24"/>
        </w:rPr>
        <w:t>）饲养过程</w:t>
      </w:r>
    </w:p>
    <w:p w14:paraId="1AE56F0E" w14:textId="77777777" w:rsidR="00544649" w:rsidRDefault="00000000">
      <w:pPr>
        <w:adjustRightInd w:val="0"/>
        <w:snapToGrid w:val="0"/>
        <w:spacing w:after="0"/>
        <w:ind w:firstLine="480"/>
        <w:rPr>
          <w:szCs w:val="24"/>
        </w:rPr>
      </w:pPr>
      <w:r>
        <w:rPr>
          <w:rFonts w:hint="eastAsia"/>
          <w:szCs w:val="24"/>
        </w:rPr>
        <w:t>项目育雏鸡场外购</w:t>
      </w:r>
      <w:r>
        <w:rPr>
          <w:rFonts w:hint="eastAsia"/>
          <w:szCs w:val="24"/>
        </w:rPr>
        <w:t>1</w:t>
      </w:r>
      <w:r>
        <w:rPr>
          <w:rFonts w:hint="eastAsia"/>
          <w:szCs w:val="24"/>
        </w:rPr>
        <w:t>日</w:t>
      </w:r>
      <w:proofErr w:type="gramStart"/>
      <w:r>
        <w:rPr>
          <w:rFonts w:hint="eastAsia"/>
          <w:szCs w:val="24"/>
        </w:rPr>
        <w:t>龄</w:t>
      </w:r>
      <w:proofErr w:type="gramEnd"/>
      <w:r>
        <w:rPr>
          <w:rFonts w:hint="eastAsia"/>
          <w:szCs w:val="24"/>
        </w:rPr>
        <w:t>鸡苗</w:t>
      </w:r>
      <w:r>
        <w:rPr>
          <w:szCs w:val="24"/>
        </w:rPr>
        <w:t>进行</w:t>
      </w:r>
      <w:r>
        <w:rPr>
          <w:rFonts w:hint="eastAsia"/>
          <w:szCs w:val="24"/>
        </w:rPr>
        <w:t>饲养，育成青年鸡（</w:t>
      </w:r>
      <w:r>
        <w:rPr>
          <w:rFonts w:hint="eastAsia"/>
          <w:szCs w:val="24"/>
        </w:rPr>
        <w:t>105</w:t>
      </w:r>
      <w:r>
        <w:rPr>
          <w:rFonts w:hint="eastAsia"/>
          <w:szCs w:val="24"/>
        </w:rPr>
        <w:t>日龄）后转入蛋鸡养殖场，同时，每栋鸡舍全部出栏后需对场地进行清洗、消毒，场地清洗消毒空栏时间为</w:t>
      </w:r>
      <w:r>
        <w:rPr>
          <w:rFonts w:hint="eastAsia"/>
          <w:szCs w:val="24"/>
        </w:rPr>
        <w:t>30</w:t>
      </w:r>
      <w:r>
        <w:rPr>
          <w:rFonts w:hint="eastAsia"/>
          <w:szCs w:val="24"/>
        </w:rPr>
        <w:t>天。</w:t>
      </w:r>
    </w:p>
    <w:p w14:paraId="6EE21DC3" w14:textId="77777777" w:rsidR="00544649" w:rsidRDefault="00000000">
      <w:pPr>
        <w:adjustRightInd w:val="0"/>
        <w:snapToGrid w:val="0"/>
        <w:spacing w:after="0"/>
        <w:ind w:firstLine="480"/>
        <w:rPr>
          <w:szCs w:val="24"/>
        </w:rPr>
      </w:pPr>
      <w:r>
        <w:rPr>
          <w:rFonts w:hint="eastAsia"/>
          <w:szCs w:val="24"/>
        </w:rPr>
        <w:t>项目</w:t>
      </w:r>
      <w:proofErr w:type="gramStart"/>
      <w:r>
        <w:rPr>
          <w:rFonts w:hint="eastAsia"/>
          <w:szCs w:val="24"/>
        </w:rPr>
        <w:t>蛋鸡场鸡只</w:t>
      </w:r>
      <w:proofErr w:type="gramEnd"/>
      <w:r>
        <w:rPr>
          <w:rFonts w:hint="eastAsia"/>
          <w:szCs w:val="24"/>
        </w:rPr>
        <w:t>来源于育雏场，蛋鸡经</w:t>
      </w:r>
      <w:r>
        <w:rPr>
          <w:rFonts w:hint="eastAsia"/>
          <w:szCs w:val="24"/>
        </w:rPr>
        <w:t>390</w:t>
      </w:r>
      <w:r>
        <w:rPr>
          <w:rFonts w:hint="eastAsia"/>
          <w:szCs w:val="24"/>
        </w:rPr>
        <w:t>天产蛋期后淘汰外售，同时对每栋鸡舍以及蛋鸡室外活动场地进行清洗、消毒，场地清洗消毒空栏时间为</w:t>
      </w:r>
      <w:r>
        <w:rPr>
          <w:rFonts w:hint="eastAsia"/>
          <w:szCs w:val="24"/>
        </w:rPr>
        <w:t>15</w:t>
      </w:r>
      <w:r>
        <w:rPr>
          <w:rFonts w:hint="eastAsia"/>
          <w:szCs w:val="24"/>
        </w:rPr>
        <w:t>天。</w:t>
      </w:r>
    </w:p>
    <w:p w14:paraId="739CAC16" w14:textId="77777777" w:rsidR="00544649" w:rsidRDefault="00000000">
      <w:pPr>
        <w:adjustRightInd w:val="0"/>
        <w:snapToGrid w:val="0"/>
        <w:spacing w:after="0"/>
        <w:ind w:firstLine="480"/>
        <w:rPr>
          <w:szCs w:val="24"/>
        </w:rPr>
      </w:pPr>
      <w:r>
        <w:rPr>
          <w:rFonts w:hint="eastAsia"/>
          <w:szCs w:val="24"/>
        </w:rPr>
        <w:t>本项目蛋鸡场采用非笼养方式（半开放式散养），</w:t>
      </w:r>
      <w:r>
        <w:rPr>
          <w:rFonts w:cs="Times New Roman" w:hint="eastAsia"/>
          <w:kern w:val="21"/>
          <w:szCs w:val="24"/>
        </w:rPr>
        <w:t>每个鸡舍两侧分别配套设置</w:t>
      </w:r>
      <w:r>
        <w:rPr>
          <w:rFonts w:cs="Times New Roman" w:hint="eastAsia"/>
          <w:kern w:val="21"/>
          <w:szCs w:val="24"/>
        </w:rPr>
        <w:t>1200m</w:t>
      </w:r>
      <w:r>
        <w:rPr>
          <w:rFonts w:cs="Times New Roman" w:hint="eastAsia"/>
          <w:kern w:val="21"/>
          <w:szCs w:val="24"/>
          <w:vertAlign w:val="superscript"/>
        </w:rPr>
        <w:t>2</w:t>
      </w:r>
      <w:r>
        <w:rPr>
          <w:rFonts w:cs="Times New Roman" w:hint="eastAsia"/>
          <w:kern w:val="21"/>
          <w:szCs w:val="24"/>
        </w:rPr>
        <w:t>的蛋鸡活动区，为蛋鸡白天活动区域。室外活动区四周设置防护网，室外活动区地面硬化，地面上方铺设</w:t>
      </w:r>
      <w:r>
        <w:rPr>
          <w:rFonts w:cs="Times New Roman" w:hint="eastAsia"/>
          <w:kern w:val="21"/>
          <w:szCs w:val="24"/>
        </w:rPr>
        <w:t>10cm</w:t>
      </w:r>
      <w:r>
        <w:rPr>
          <w:rFonts w:cs="Times New Roman" w:hint="eastAsia"/>
          <w:kern w:val="21"/>
          <w:szCs w:val="24"/>
        </w:rPr>
        <w:t>厚的木屑，上部为透明透光的玻璃顶棚。</w:t>
      </w:r>
      <w:r>
        <w:rPr>
          <w:rFonts w:hint="eastAsia"/>
          <w:szCs w:val="24"/>
        </w:rPr>
        <w:t>非笼养蛋鸡在有足够只有活动空间的情况下可以表达自然行为，在整体上可以达到较高的健康水平，从而能够生产更高更安全性和品质的鸡蛋，保证良好的营养水平。</w:t>
      </w:r>
    </w:p>
    <w:p w14:paraId="5C82B7B5" w14:textId="77777777" w:rsidR="00544649" w:rsidRDefault="00000000">
      <w:pPr>
        <w:adjustRightInd w:val="0"/>
        <w:snapToGrid w:val="0"/>
        <w:spacing w:after="0"/>
        <w:ind w:firstLine="480"/>
        <w:rPr>
          <w:szCs w:val="24"/>
        </w:rPr>
      </w:pPr>
      <w:r>
        <w:rPr>
          <w:rFonts w:hint="eastAsia"/>
          <w:szCs w:val="24"/>
        </w:rPr>
        <w:t>半开放式散养模式下，蛋鸡活动范围包括屋舍和屋舍周围一定大小的室外活动区域，舍内有完善的饲养设施，根据天气情况等因素，给予蛋鸡一定时间的室外活动时间。</w:t>
      </w:r>
    </w:p>
    <w:p w14:paraId="1DCE945D" w14:textId="77777777" w:rsidR="00544649" w:rsidRDefault="00000000">
      <w:pPr>
        <w:adjustRightInd w:val="0"/>
        <w:snapToGrid w:val="0"/>
        <w:spacing w:after="0"/>
        <w:ind w:firstLine="480"/>
        <w:rPr>
          <w:rFonts w:cs="Times New Roman"/>
          <w:kern w:val="21"/>
          <w:szCs w:val="24"/>
        </w:rPr>
      </w:pPr>
      <w:r>
        <w:rPr>
          <w:rFonts w:cs="Times New Roman" w:hint="eastAsia"/>
          <w:kern w:val="21"/>
        </w:rPr>
        <w:t>在厂区进口设有消毒设施，进场人员先进入消毒间消毒后再进入饲养区，</w:t>
      </w:r>
      <w:proofErr w:type="gramStart"/>
      <w:r>
        <w:rPr>
          <w:rFonts w:cs="Times New Roman" w:hint="eastAsia"/>
          <w:kern w:val="21"/>
        </w:rPr>
        <w:t>饲养区</w:t>
      </w:r>
      <w:proofErr w:type="gramEnd"/>
      <w:r>
        <w:rPr>
          <w:rFonts w:cs="Times New Roman" w:hint="eastAsia"/>
          <w:kern w:val="21"/>
        </w:rPr>
        <w:t>设有围栏，隔绝与外界往来，内设清洁道和</w:t>
      </w:r>
      <w:proofErr w:type="gramStart"/>
      <w:r>
        <w:rPr>
          <w:rFonts w:cs="Times New Roman" w:hint="eastAsia"/>
          <w:kern w:val="21"/>
        </w:rPr>
        <w:t>污道</w:t>
      </w:r>
      <w:proofErr w:type="gramEnd"/>
      <w:r>
        <w:rPr>
          <w:rFonts w:cs="Times New Roman" w:hint="eastAsia"/>
          <w:kern w:val="21"/>
        </w:rPr>
        <w:t>。清洁道为运输饲料人员的流动路线，</w:t>
      </w:r>
      <w:proofErr w:type="gramStart"/>
      <w:r>
        <w:rPr>
          <w:rFonts w:cs="Times New Roman" w:hint="eastAsia"/>
          <w:kern w:val="21"/>
        </w:rPr>
        <w:t>污道专用</w:t>
      </w:r>
      <w:proofErr w:type="gramEnd"/>
      <w:r>
        <w:rPr>
          <w:rFonts w:cs="Times New Roman" w:hint="eastAsia"/>
          <w:kern w:val="21"/>
        </w:rPr>
        <w:t>于运出粪便及废弃物的流动路线。此外，养殖区还设置专职兽医，负责日常防疫、治疗等工作。</w:t>
      </w:r>
    </w:p>
    <w:p w14:paraId="191E860F"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2</w:t>
      </w:r>
      <w:r>
        <w:rPr>
          <w:rFonts w:cs="Times New Roman" w:hint="eastAsia"/>
          <w:b/>
          <w:bCs/>
          <w:kern w:val="21"/>
        </w:rPr>
        <w:t>）蛋鸡产蛋</w:t>
      </w:r>
    </w:p>
    <w:p w14:paraId="4309B1DC" w14:textId="77777777" w:rsidR="00544649" w:rsidRDefault="00000000">
      <w:pPr>
        <w:adjustRightInd w:val="0"/>
        <w:snapToGrid w:val="0"/>
        <w:spacing w:after="0"/>
        <w:ind w:firstLine="480"/>
        <w:rPr>
          <w:rFonts w:cs="Times New Roman"/>
          <w:kern w:val="21"/>
        </w:rPr>
      </w:pPr>
      <w:r>
        <w:rPr>
          <w:rFonts w:hint="eastAsia"/>
          <w:szCs w:val="24"/>
        </w:rPr>
        <w:t>蛋鸡养殖场</w:t>
      </w:r>
      <w:r>
        <w:rPr>
          <w:szCs w:val="24"/>
        </w:rPr>
        <w:t>引进</w:t>
      </w:r>
      <w:r>
        <w:rPr>
          <w:rFonts w:hint="eastAsia"/>
          <w:szCs w:val="24"/>
        </w:rPr>
        <w:t>青年</w:t>
      </w:r>
      <w:r>
        <w:rPr>
          <w:szCs w:val="24"/>
        </w:rPr>
        <w:t>蛋鸡为</w:t>
      </w:r>
      <w:r>
        <w:rPr>
          <w:rFonts w:hint="eastAsia"/>
          <w:szCs w:val="24"/>
        </w:rPr>
        <w:t>105</w:t>
      </w:r>
      <w:r>
        <w:rPr>
          <w:szCs w:val="24"/>
        </w:rPr>
        <w:t>日龄，</w:t>
      </w:r>
      <w:r>
        <w:rPr>
          <w:rFonts w:hint="eastAsia"/>
          <w:szCs w:val="24"/>
        </w:rPr>
        <w:t>蛋鸡舍每批次经饲养</w:t>
      </w:r>
      <w:r>
        <w:rPr>
          <w:rFonts w:hint="eastAsia"/>
          <w:szCs w:val="24"/>
        </w:rPr>
        <w:t>390</w:t>
      </w:r>
      <w:r>
        <w:rPr>
          <w:rFonts w:hint="eastAsia"/>
          <w:szCs w:val="24"/>
        </w:rPr>
        <w:t>天产蛋期</w:t>
      </w:r>
      <w:r>
        <w:rPr>
          <w:szCs w:val="24"/>
        </w:rPr>
        <w:t>后，蛋鸡</w:t>
      </w:r>
      <w:r>
        <w:rPr>
          <w:rFonts w:hint="eastAsia"/>
          <w:szCs w:val="24"/>
        </w:rPr>
        <w:t>淘汰</w:t>
      </w:r>
      <w:r>
        <w:rPr>
          <w:szCs w:val="24"/>
        </w:rPr>
        <w:t>外售</w:t>
      </w:r>
      <w:r>
        <w:rPr>
          <w:rFonts w:hint="eastAsia"/>
          <w:szCs w:val="24"/>
        </w:rPr>
        <w:t>，厂区内不涉及鸡的宰杀。同时，每栋鸡舍全部出栏后需对场地进行清洗、消毒，场地清洗消毒空栏时间为</w:t>
      </w:r>
      <w:r>
        <w:rPr>
          <w:rFonts w:hint="eastAsia"/>
          <w:szCs w:val="24"/>
        </w:rPr>
        <w:t>15</w:t>
      </w:r>
      <w:r>
        <w:rPr>
          <w:rFonts w:hint="eastAsia"/>
          <w:szCs w:val="24"/>
        </w:rPr>
        <w:t>天。</w:t>
      </w:r>
    </w:p>
    <w:p w14:paraId="65F9188A" w14:textId="77777777" w:rsidR="00544649" w:rsidRDefault="00000000">
      <w:pPr>
        <w:adjustRightInd w:val="0"/>
        <w:snapToGrid w:val="0"/>
        <w:spacing w:after="0"/>
        <w:ind w:firstLine="480"/>
        <w:rPr>
          <w:rFonts w:cs="Times New Roman"/>
          <w:b/>
          <w:bCs/>
          <w:kern w:val="21"/>
        </w:rPr>
      </w:pPr>
      <w:r>
        <w:rPr>
          <w:rFonts w:cs="Times New Roman"/>
          <w:kern w:val="21"/>
        </w:rPr>
        <w:t>在整个产蛋期喂料量、体重和光照的控制非常关键，直接影响到鸡群的产蛋率，</w:t>
      </w:r>
      <w:r>
        <w:rPr>
          <w:rFonts w:cs="Times New Roman"/>
          <w:kern w:val="21"/>
        </w:rPr>
        <w:lastRenderedPageBreak/>
        <w:t>产蛋期饲料的营养和稳定性决定了鸡群生产潜力的发挥。每天收集所产的鸡蛋送往蛋库直接外售。同一栋蛋鸡的淘汰在</w:t>
      </w:r>
      <w:r>
        <w:rPr>
          <w:rFonts w:cs="Times New Roman"/>
          <w:kern w:val="21"/>
        </w:rPr>
        <w:t>1</w:t>
      </w:r>
      <w:r>
        <w:rPr>
          <w:rFonts w:cs="Times New Roman"/>
          <w:kern w:val="21"/>
        </w:rPr>
        <w:t>天内完成。</w:t>
      </w:r>
    </w:p>
    <w:p w14:paraId="202F5B3F"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3</w:t>
      </w:r>
      <w:r>
        <w:rPr>
          <w:rFonts w:cs="Times New Roman" w:hint="eastAsia"/>
          <w:b/>
          <w:bCs/>
          <w:kern w:val="21"/>
        </w:rPr>
        <w:t>）鸡蛋收集与筛选</w:t>
      </w:r>
    </w:p>
    <w:p w14:paraId="53CC560E" w14:textId="77777777" w:rsidR="00544649" w:rsidRDefault="00000000">
      <w:pPr>
        <w:adjustRightInd w:val="0"/>
        <w:snapToGrid w:val="0"/>
        <w:spacing w:after="0"/>
        <w:ind w:firstLine="480"/>
        <w:rPr>
          <w:rFonts w:cs="Times New Roman"/>
          <w:kern w:val="21"/>
        </w:rPr>
      </w:pPr>
      <w:r>
        <w:rPr>
          <w:rFonts w:cs="Times New Roman"/>
          <w:kern w:val="21"/>
        </w:rPr>
        <w:t>本项目采用传送带</w:t>
      </w:r>
      <w:proofErr w:type="gramStart"/>
      <w:r>
        <w:rPr>
          <w:rFonts w:cs="Times New Roman"/>
          <w:kern w:val="21"/>
        </w:rPr>
        <w:t>式集蛋</w:t>
      </w:r>
      <w:proofErr w:type="gramEnd"/>
      <w:r>
        <w:rPr>
          <w:rFonts w:cs="Times New Roman"/>
          <w:kern w:val="21"/>
        </w:rPr>
        <w:t>工艺，</w:t>
      </w:r>
      <w:proofErr w:type="gramStart"/>
      <w:r>
        <w:rPr>
          <w:rFonts w:cs="Times New Roman"/>
          <w:kern w:val="21"/>
        </w:rPr>
        <w:t>集蛋带</w:t>
      </w:r>
      <w:proofErr w:type="gramEnd"/>
      <w:r>
        <w:rPr>
          <w:rFonts w:cs="Times New Roman"/>
          <w:kern w:val="21"/>
        </w:rPr>
        <w:t>为电驱动。蛋鸡舍内鸡笼为倾斜设置，鸡蛋产出经斜坡收集至</w:t>
      </w:r>
      <w:proofErr w:type="gramStart"/>
      <w:r>
        <w:rPr>
          <w:rFonts w:cs="Times New Roman"/>
          <w:kern w:val="21"/>
        </w:rPr>
        <w:t>纵向集蛋带上</w:t>
      </w:r>
      <w:proofErr w:type="gramEnd"/>
      <w:r>
        <w:rPr>
          <w:rFonts w:cs="Times New Roman"/>
          <w:kern w:val="21"/>
        </w:rPr>
        <w:t>，由</w:t>
      </w:r>
      <w:proofErr w:type="gramStart"/>
      <w:r>
        <w:rPr>
          <w:rFonts w:cs="Times New Roman"/>
          <w:kern w:val="21"/>
        </w:rPr>
        <w:t>纵向集蛋带</w:t>
      </w:r>
      <w:proofErr w:type="gramEnd"/>
      <w:r>
        <w:rPr>
          <w:rFonts w:cs="Times New Roman"/>
          <w:kern w:val="21"/>
        </w:rPr>
        <w:t>平稳输送至鸡舍一端的中央</w:t>
      </w:r>
      <w:proofErr w:type="gramStart"/>
      <w:r>
        <w:rPr>
          <w:rFonts w:cs="Times New Roman"/>
          <w:kern w:val="21"/>
        </w:rPr>
        <w:t>集蛋系统</w:t>
      </w:r>
      <w:proofErr w:type="gramEnd"/>
      <w:r>
        <w:rPr>
          <w:rFonts w:cs="Times New Roman"/>
          <w:kern w:val="21"/>
        </w:rPr>
        <w:t>中，</w:t>
      </w:r>
      <w:r>
        <w:rPr>
          <w:rFonts w:cs="Times New Roman" w:hint="eastAsia"/>
          <w:kern w:val="21"/>
        </w:rPr>
        <w:t>通过整列使其均匀的分布于滚轮输送带上，由中央</w:t>
      </w:r>
      <w:proofErr w:type="gramStart"/>
      <w:r>
        <w:rPr>
          <w:rFonts w:cs="Times New Roman" w:hint="eastAsia"/>
          <w:kern w:val="21"/>
        </w:rPr>
        <w:t>集蛋系统</w:t>
      </w:r>
      <w:proofErr w:type="gramEnd"/>
      <w:r>
        <w:rPr>
          <w:rFonts w:cs="Times New Roman" w:hint="eastAsia"/>
          <w:kern w:val="21"/>
        </w:rPr>
        <w:t>通过轨道输送进入</w:t>
      </w:r>
      <w:proofErr w:type="gramStart"/>
      <w:r>
        <w:rPr>
          <w:rFonts w:cs="Times New Roman" w:hint="eastAsia"/>
          <w:kern w:val="21"/>
        </w:rPr>
        <w:t>洗蛋间内</w:t>
      </w:r>
      <w:proofErr w:type="gramEnd"/>
      <w:r>
        <w:rPr>
          <w:rFonts w:cs="Times New Roman" w:hint="eastAsia"/>
          <w:kern w:val="21"/>
        </w:rPr>
        <w:t>的分级机，使用鸡蛋分级机将鸡蛋按照大小、重量进行初级分选。用清水</w:t>
      </w:r>
      <w:proofErr w:type="gramStart"/>
      <w:r>
        <w:rPr>
          <w:rFonts w:cs="Times New Roman" w:hint="eastAsia"/>
          <w:kern w:val="21"/>
        </w:rPr>
        <w:t>对脏蛋表面</w:t>
      </w:r>
      <w:proofErr w:type="gramEnd"/>
      <w:r>
        <w:rPr>
          <w:rFonts w:cs="Times New Roman" w:hint="eastAsia"/>
          <w:kern w:val="21"/>
        </w:rPr>
        <w:t>进行清洗，后经暖风设备干燥后进行紫外线灭菌，随后在鸡蛋表面喷一层食品级白油，喷油结束后进行光检，合格蛋品进入重量分级系统，分级后的蛋品包装外售。</w:t>
      </w:r>
      <w:r>
        <w:rPr>
          <w:rFonts w:cs="Times New Roman"/>
          <w:kern w:val="21"/>
        </w:rPr>
        <w:t>此过程会产生</w:t>
      </w:r>
      <w:r>
        <w:rPr>
          <w:rFonts w:cs="Times New Roman" w:hint="eastAsia"/>
          <w:kern w:val="21"/>
        </w:rPr>
        <w:t>不合格鸡蛋和废包装材料</w:t>
      </w:r>
      <w:r>
        <w:rPr>
          <w:rFonts w:cs="Times New Roman"/>
          <w:kern w:val="21"/>
        </w:rPr>
        <w:t>。</w:t>
      </w:r>
      <w:r>
        <w:rPr>
          <w:rFonts w:cs="Times New Roman" w:hint="eastAsia"/>
          <w:kern w:val="21"/>
        </w:rPr>
        <w:t>不合格蛋收集后交由有机肥厂作为原料。</w:t>
      </w:r>
    </w:p>
    <w:p w14:paraId="610E2C94" w14:textId="77777777" w:rsidR="00544649" w:rsidRDefault="00000000">
      <w:pPr>
        <w:adjustRightInd w:val="0"/>
        <w:snapToGrid w:val="0"/>
        <w:spacing w:after="0"/>
        <w:ind w:firstLine="480"/>
        <w:rPr>
          <w:rFonts w:cs="Times New Roman"/>
          <w:kern w:val="21"/>
        </w:rPr>
      </w:pPr>
      <w:r>
        <w:rPr>
          <w:rFonts w:cs="Times New Roman" w:hint="eastAsia"/>
          <w:kern w:val="21"/>
        </w:rPr>
        <w:t>鸡蛋分级工艺流程见下图。</w:t>
      </w:r>
    </w:p>
    <w:bookmarkStart w:id="240" w:name="OLE_LINK28"/>
    <w:p w14:paraId="77D10D44" w14:textId="77777777" w:rsidR="00544649" w:rsidRDefault="00000000">
      <w:pPr>
        <w:adjustRightInd w:val="0"/>
        <w:snapToGrid w:val="0"/>
        <w:spacing w:after="0" w:line="240" w:lineRule="auto"/>
        <w:ind w:firstLineChars="0" w:firstLine="0"/>
        <w:jc w:val="center"/>
        <w:rPr>
          <w:rFonts w:cs="Times New Roman"/>
          <w:kern w:val="21"/>
        </w:rPr>
      </w:pPr>
      <w:r>
        <w:rPr>
          <w:rFonts w:hint="eastAsia"/>
        </w:rPr>
        <w:object w:dxaOrig="3840" w:dyaOrig="6045" w14:anchorId="210E3EB8">
          <v:shape id="_x0000_i1030" type="#_x0000_t75" style="width:192pt;height:302.25pt" o:ole="">
            <v:imagedata r:id="rId43" o:title=""/>
          </v:shape>
          <o:OLEObject Type="Embed" ProgID="Visio.Drawing.11" ShapeID="_x0000_i1030" DrawAspect="Content" ObjectID="_1806238026" r:id="rId44"/>
        </w:object>
      </w:r>
      <w:bookmarkEnd w:id="240"/>
    </w:p>
    <w:p w14:paraId="29F6F24D" w14:textId="77777777" w:rsidR="00544649" w:rsidRDefault="00000000">
      <w:pPr>
        <w:numPr>
          <w:ilvl w:val="0"/>
          <w:numId w:val="23"/>
        </w:numPr>
        <w:adjustRightInd w:val="0"/>
        <w:snapToGrid w:val="0"/>
        <w:spacing w:beforeLines="20" w:before="62" w:afterLines="20" w:after="62" w:line="240" w:lineRule="auto"/>
        <w:ind w:left="0" w:firstLineChars="0" w:firstLine="0"/>
        <w:jc w:val="center"/>
        <w:rPr>
          <w:rFonts w:cs="Times New Roman"/>
          <w:kern w:val="21"/>
        </w:rPr>
      </w:pPr>
      <w:r>
        <w:rPr>
          <w:rFonts w:cs="Times New Roman"/>
          <w:b/>
          <w:bCs/>
          <w:kern w:val="21"/>
          <w:sz w:val="21"/>
          <w:szCs w:val="21"/>
        </w:rPr>
        <w:t>鸡</w:t>
      </w:r>
      <w:r>
        <w:rPr>
          <w:rFonts w:cs="Times New Roman" w:hint="eastAsia"/>
          <w:b/>
          <w:bCs/>
          <w:kern w:val="21"/>
          <w:sz w:val="21"/>
          <w:szCs w:val="21"/>
        </w:rPr>
        <w:t>蛋分级包装工艺流程</w:t>
      </w:r>
      <w:r>
        <w:rPr>
          <w:rFonts w:cs="Times New Roman"/>
          <w:b/>
          <w:bCs/>
          <w:kern w:val="21"/>
          <w:sz w:val="21"/>
          <w:szCs w:val="21"/>
        </w:rPr>
        <w:t>图</w:t>
      </w:r>
    </w:p>
    <w:p w14:paraId="7B498D3B" w14:textId="77777777" w:rsidR="00544649" w:rsidRDefault="00000000">
      <w:pPr>
        <w:numPr>
          <w:ilvl w:val="2"/>
          <w:numId w:val="9"/>
        </w:numPr>
        <w:adjustRightInd w:val="0"/>
        <w:snapToGrid w:val="0"/>
        <w:spacing w:after="0"/>
        <w:ind w:firstLineChars="0"/>
        <w:outlineLvl w:val="2"/>
        <w:rPr>
          <w:rFonts w:cs="Times New Roman"/>
          <w:b/>
          <w:bCs/>
          <w:kern w:val="21"/>
          <w:sz w:val="28"/>
          <w:szCs w:val="24"/>
        </w:rPr>
      </w:pPr>
      <w:bookmarkStart w:id="241" w:name="_Toc195009850"/>
      <w:r>
        <w:rPr>
          <w:rFonts w:cs="Times New Roman" w:hint="eastAsia"/>
          <w:b/>
          <w:bCs/>
          <w:kern w:val="21"/>
          <w:sz w:val="28"/>
          <w:szCs w:val="24"/>
        </w:rPr>
        <w:t>运营</w:t>
      </w:r>
      <w:proofErr w:type="gramStart"/>
      <w:r>
        <w:rPr>
          <w:rFonts w:cs="Times New Roman" w:hint="eastAsia"/>
          <w:b/>
          <w:bCs/>
          <w:kern w:val="21"/>
          <w:sz w:val="28"/>
          <w:szCs w:val="24"/>
        </w:rPr>
        <w:t>期污染</w:t>
      </w:r>
      <w:proofErr w:type="gramEnd"/>
      <w:r>
        <w:rPr>
          <w:rFonts w:cs="Times New Roman" w:hint="eastAsia"/>
          <w:b/>
          <w:bCs/>
          <w:kern w:val="21"/>
          <w:sz w:val="28"/>
          <w:szCs w:val="24"/>
        </w:rPr>
        <w:t>物产生及治理措施</w:t>
      </w:r>
      <w:bookmarkEnd w:id="241"/>
    </w:p>
    <w:p w14:paraId="4FBC089E" w14:textId="77777777" w:rsidR="00544649" w:rsidRDefault="00000000">
      <w:pPr>
        <w:keepNext/>
        <w:keepLines/>
        <w:numPr>
          <w:ilvl w:val="3"/>
          <w:numId w:val="9"/>
        </w:numPr>
        <w:adjustRightInd w:val="0"/>
        <w:snapToGrid w:val="0"/>
        <w:spacing w:after="0"/>
        <w:ind w:firstLineChars="0"/>
        <w:jc w:val="left"/>
        <w:outlineLvl w:val="3"/>
        <w:rPr>
          <w:rFonts w:cs="Times New Roman"/>
          <w:b/>
          <w:bCs/>
          <w:kern w:val="21"/>
        </w:rPr>
      </w:pPr>
      <w:r>
        <w:rPr>
          <w:rFonts w:cs="Times New Roman"/>
          <w:b/>
          <w:bCs/>
          <w:kern w:val="21"/>
        </w:rPr>
        <w:t>废气污染物产生及治理措施</w:t>
      </w:r>
    </w:p>
    <w:p w14:paraId="7BA37CB9" w14:textId="77777777" w:rsidR="00544649" w:rsidRDefault="00000000">
      <w:pPr>
        <w:adjustRightInd w:val="0"/>
        <w:snapToGrid w:val="0"/>
        <w:spacing w:after="0"/>
        <w:ind w:firstLine="480"/>
        <w:rPr>
          <w:rFonts w:cs="Times New Roman"/>
          <w:kern w:val="21"/>
        </w:rPr>
      </w:pPr>
      <w:r>
        <w:rPr>
          <w:rFonts w:cs="Times New Roman" w:hint="eastAsia"/>
          <w:kern w:val="21"/>
        </w:rPr>
        <w:t>根据项目特点及工艺流程，本项目废气主要为鸡舍恶臭（污染因子主要为</w:t>
      </w:r>
      <w:r>
        <w:rPr>
          <w:rFonts w:cs="Times New Roman" w:hint="eastAsia"/>
          <w:kern w:val="21"/>
        </w:rPr>
        <w:t>NH</w:t>
      </w:r>
      <w:r>
        <w:rPr>
          <w:rFonts w:cs="Times New Roman" w:hint="eastAsia"/>
          <w:kern w:val="21"/>
          <w:vertAlign w:val="subscript"/>
        </w:rPr>
        <w:t>3</w:t>
      </w:r>
      <w:r>
        <w:rPr>
          <w:rFonts w:cs="Times New Roman" w:hint="eastAsia"/>
          <w:kern w:val="21"/>
        </w:rPr>
        <w:t>、</w:t>
      </w:r>
      <w:r>
        <w:rPr>
          <w:rFonts w:cs="Times New Roman" w:hint="eastAsia"/>
          <w:kern w:val="21"/>
        </w:rPr>
        <w:t>H</w:t>
      </w:r>
      <w:r>
        <w:rPr>
          <w:rFonts w:cs="Times New Roman" w:hint="eastAsia"/>
          <w:kern w:val="21"/>
          <w:vertAlign w:val="subscript"/>
        </w:rPr>
        <w:t>2</w:t>
      </w:r>
      <w:r>
        <w:rPr>
          <w:rFonts w:cs="Times New Roman" w:hint="eastAsia"/>
          <w:kern w:val="21"/>
        </w:rPr>
        <w:t>S</w:t>
      </w:r>
      <w:r>
        <w:rPr>
          <w:rFonts w:cs="Times New Roman" w:hint="eastAsia"/>
          <w:kern w:val="21"/>
        </w:rPr>
        <w:t>、臭气浓度）、备用发电机燃烧废气、食堂油烟、天然气燃烧废气、育雏舍加热设备燃烧废气、锅炉废气。</w:t>
      </w:r>
      <w:r>
        <w:rPr>
          <w:rFonts w:cs="Times New Roman"/>
          <w:kern w:val="21"/>
        </w:rPr>
        <w:t>项目饲料直接外购成品颗粒饲料，不进行</w:t>
      </w:r>
      <w:r>
        <w:rPr>
          <w:rFonts w:cs="Times New Roman" w:hint="eastAsia"/>
          <w:kern w:val="21"/>
        </w:rPr>
        <w:t>饲料</w:t>
      </w:r>
      <w:r>
        <w:rPr>
          <w:rFonts w:cs="Times New Roman"/>
          <w:kern w:val="21"/>
        </w:rPr>
        <w:t>加工，无粉尘等产生。</w:t>
      </w:r>
    </w:p>
    <w:p w14:paraId="49F4B18E" w14:textId="77777777" w:rsidR="00544649" w:rsidRDefault="00000000">
      <w:pPr>
        <w:adjustRightInd w:val="0"/>
        <w:snapToGrid w:val="0"/>
        <w:spacing w:after="0"/>
        <w:ind w:firstLine="482"/>
        <w:rPr>
          <w:rFonts w:cs="Times New Roman"/>
          <w:b/>
          <w:bCs/>
          <w:kern w:val="21"/>
        </w:rPr>
      </w:pPr>
      <w:r>
        <w:rPr>
          <w:rFonts w:cs="Times New Roman" w:hint="eastAsia"/>
          <w:b/>
          <w:bCs/>
          <w:kern w:val="21"/>
        </w:rPr>
        <w:lastRenderedPageBreak/>
        <w:t>1</w:t>
      </w:r>
      <w:r>
        <w:rPr>
          <w:rFonts w:cs="Times New Roman" w:hint="eastAsia"/>
          <w:b/>
          <w:bCs/>
          <w:kern w:val="21"/>
        </w:rPr>
        <w:t>、</w:t>
      </w:r>
      <w:r>
        <w:rPr>
          <w:rFonts w:cs="Times New Roman"/>
          <w:b/>
          <w:bCs/>
          <w:kern w:val="21"/>
        </w:rPr>
        <w:t>鸡舍恶臭</w:t>
      </w:r>
    </w:p>
    <w:p w14:paraId="4B4C613D" w14:textId="77777777" w:rsidR="00544649" w:rsidRDefault="00000000">
      <w:pPr>
        <w:adjustRightInd w:val="0"/>
        <w:snapToGrid w:val="0"/>
        <w:spacing w:after="0"/>
        <w:ind w:firstLine="482"/>
        <w:rPr>
          <w:rFonts w:cs="Times New Roman"/>
          <w:b/>
          <w:bCs/>
          <w:kern w:val="21"/>
        </w:rPr>
      </w:pPr>
      <w:r>
        <w:rPr>
          <w:rFonts w:cs="Times New Roman" w:hint="eastAsia"/>
          <w:b/>
          <w:bCs/>
          <w:kern w:val="21"/>
        </w:rPr>
        <w:t>A</w:t>
      </w:r>
      <w:r>
        <w:rPr>
          <w:rFonts w:cs="Times New Roman" w:hint="eastAsia"/>
          <w:b/>
          <w:bCs/>
          <w:kern w:val="21"/>
        </w:rPr>
        <w:t>、育雏鸡场废气污染物产生</w:t>
      </w:r>
    </w:p>
    <w:p w14:paraId="4C3B3408"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1</w:t>
      </w:r>
      <w:r>
        <w:rPr>
          <w:rFonts w:cs="Times New Roman" w:hint="eastAsia"/>
          <w:b/>
          <w:bCs/>
          <w:kern w:val="21"/>
        </w:rPr>
        <w:t>）源强分析</w:t>
      </w:r>
    </w:p>
    <w:p w14:paraId="1DD1D88F" w14:textId="77777777" w:rsidR="00544649" w:rsidRDefault="00000000">
      <w:pPr>
        <w:adjustRightInd w:val="0"/>
        <w:snapToGrid w:val="0"/>
        <w:spacing w:after="0"/>
        <w:ind w:firstLine="482"/>
        <w:rPr>
          <w:rFonts w:cs="Times New Roman"/>
          <w:b/>
          <w:bCs/>
          <w:kern w:val="21"/>
        </w:rPr>
      </w:pPr>
      <w:r>
        <w:rPr>
          <w:rFonts w:cs="Times New Roman" w:hint="eastAsia"/>
          <w:b/>
          <w:bCs/>
          <w:kern w:val="21"/>
        </w:rPr>
        <w:t>略</w:t>
      </w:r>
    </w:p>
    <w:p w14:paraId="3592D696" w14:textId="77777777" w:rsidR="00544649" w:rsidRDefault="00000000">
      <w:pPr>
        <w:adjustRightInd w:val="0"/>
        <w:snapToGrid w:val="0"/>
        <w:spacing w:after="0"/>
        <w:ind w:firstLine="482"/>
        <w:rPr>
          <w:rFonts w:cs="Times New Roman"/>
          <w:kern w:val="21"/>
        </w:rPr>
      </w:pPr>
      <w:r>
        <w:rPr>
          <w:rFonts w:cs="Times New Roman" w:hint="eastAsia"/>
          <w:b/>
          <w:bCs/>
          <w:kern w:val="21"/>
        </w:rPr>
        <w:t>（</w:t>
      </w:r>
      <w:r>
        <w:rPr>
          <w:rFonts w:cs="Times New Roman" w:hint="eastAsia"/>
          <w:b/>
          <w:bCs/>
          <w:kern w:val="21"/>
        </w:rPr>
        <w:t>2</w:t>
      </w:r>
      <w:r>
        <w:rPr>
          <w:rFonts w:cs="Times New Roman" w:hint="eastAsia"/>
          <w:b/>
          <w:bCs/>
          <w:kern w:val="21"/>
        </w:rPr>
        <w:t>）育雏鸡舍及蛋鸡舍恶臭</w:t>
      </w:r>
      <w:r>
        <w:rPr>
          <w:rFonts w:cs="Times New Roman"/>
          <w:b/>
          <w:bCs/>
          <w:kern w:val="21"/>
        </w:rPr>
        <w:t>治理措施</w:t>
      </w:r>
    </w:p>
    <w:p w14:paraId="5D3EFB40" w14:textId="77777777" w:rsidR="00544649" w:rsidRDefault="00000000">
      <w:pPr>
        <w:adjustRightInd w:val="0"/>
        <w:snapToGrid w:val="0"/>
        <w:spacing w:after="0"/>
        <w:ind w:firstLine="480"/>
        <w:rPr>
          <w:rFonts w:cs="Times New Roman"/>
          <w:kern w:val="21"/>
        </w:rPr>
      </w:pPr>
      <w:r>
        <w:rPr>
          <w:rFonts w:cs="Times New Roman"/>
          <w:kern w:val="21"/>
        </w:rPr>
        <w:t>由于散发恶臭的源多，而且是以无组织排放的面</w:t>
      </w:r>
      <w:proofErr w:type="gramStart"/>
      <w:r>
        <w:rPr>
          <w:rFonts w:cs="Times New Roman"/>
          <w:kern w:val="21"/>
        </w:rPr>
        <w:t>源形式</w:t>
      </w:r>
      <w:proofErr w:type="gramEnd"/>
      <w:r>
        <w:rPr>
          <w:rFonts w:cs="Times New Roman"/>
          <w:kern w:val="21"/>
        </w:rPr>
        <w:t>排放弥散于空气中，要消除和克服这种恶臭异味对场区内和场界外近距离的影响是不易做到的，影响养殖场恶臭产生的主要因素是清粪方式、管理水平、粪便和污水的无害化处理程度等。</w:t>
      </w:r>
    </w:p>
    <w:p w14:paraId="5439C062" w14:textId="77777777" w:rsidR="00544649" w:rsidRDefault="00000000">
      <w:pPr>
        <w:adjustRightInd w:val="0"/>
        <w:snapToGrid w:val="0"/>
        <w:spacing w:after="0"/>
        <w:ind w:firstLine="480"/>
        <w:rPr>
          <w:rFonts w:cs="Times New Roman"/>
          <w:kern w:val="21"/>
        </w:rPr>
      </w:pPr>
      <w:r>
        <w:rPr>
          <w:rFonts w:cs="Times New Roman"/>
          <w:kern w:val="21"/>
        </w:rPr>
        <w:t>为减轻恶臭气体对环境的影响，要求项目方在生产全过程中注意以下事项，以期将恶臭对环境的影响降低至最小：</w:t>
      </w:r>
    </w:p>
    <w:p w14:paraId="46964C4A" w14:textId="77777777" w:rsidR="00544649" w:rsidRDefault="00000000">
      <w:pPr>
        <w:adjustRightInd w:val="0"/>
        <w:snapToGrid w:val="0"/>
        <w:spacing w:after="0"/>
        <w:ind w:firstLine="480"/>
        <w:rPr>
          <w:rFonts w:cs="Times New Roman"/>
          <w:kern w:val="21"/>
        </w:rPr>
      </w:pPr>
      <w:r>
        <w:rPr>
          <w:rFonts w:cs="Times New Roman" w:hint="eastAsia"/>
          <w:kern w:val="21"/>
        </w:rPr>
        <w:t>①加强鸡舍管理。本项目</w:t>
      </w:r>
      <w:r>
        <w:rPr>
          <w:rFonts w:cs="Times New Roman"/>
          <w:kern w:val="21"/>
        </w:rPr>
        <w:t>采用干清粪工艺，鸡粪日产日清，蛋鸡舍产生的鸡粪用自动刮粪机清粪，</w:t>
      </w:r>
      <w:r>
        <w:rPr>
          <w:rFonts w:cs="Times New Roman" w:hint="eastAsia"/>
          <w:kern w:val="21"/>
        </w:rPr>
        <w:t>鸡粪</w:t>
      </w:r>
      <w:r>
        <w:rPr>
          <w:rFonts w:cs="Times New Roman"/>
          <w:kern w:val="21"/>
        </w:rPr>
        <w:t>直接刮至输送机皮带</w:t>
      </w:r>
      <w:r>
        <w:rPr>
          <w:rFonts w:cs="Times New Roman" w:hint="eastAsia"/>
          <w:kern w:val="21"/>
        </w:rPr>
        <w:t>，由密闭皮带输送机转运</w:t>
      </w:r>
      <w:r>
        <w:rPr>
          <w:rFonts w:cs="Times New Roman"/>
          <w:kern w:val="21"/>
        </w:rPr>
        <w:t>至密闭转运车，</w:t>
      </w:r>
      <w:r>
        <w:rPr>
          <w:rFonts w:ascii="宋体" w:hAnsi="宋体" w:cs="宋体"/>
          <w:kern w:val="21"/>
          <w:szCs w:val="24"/>
        </w:rPr>
        <w:t>通过减少粪便的停留时间，大大降低了鸡舍废气的产生；加强鸡舍消毒杀菌，减少微生物发酵，防止恶臭产生。</w:t>
      </w:r>
    </w:p>
    <w:p w14:paraId="14CF5B72" w14:textId="77777777" w:rsidR="00544649" w:rsidRDefault="00000000">
      <w:pPr>
        <w:adjustRightInd w:val="0"/>
        <w:snapToGrid w:val="0"/>
        <w:spacing w:after="0"/>
        <w:ind w:firstLine="480"/>
        <w:rPr>
          <w:rFonts w:ascii="宋体" w:hAnsi="宋体" w:cs="宋体" w:hint="eastAsia"/>
          <w:kern w:val="21"/>
          <w:szCs w:val="24"/>
        </w:rPr>
      </w:pPr>
      <w:r>
        <w:rPr>
          <w:rFonts w:cs="Times New Roman" w:hint="eastAsia"/>
          <w:kern w:val="21"/>
        </w:rPr>
        <w:t>②加强鸡舍通风</w:t>
      </w:r>
      <w:r>
        <w:rPr>
          <w:rFonts w:ascii="宋体" w:hAnsi="宋体" w:cs="宋体"/>
          <w:kern w:val="21"/>
          <w:szCs w:val="24"/>
        </w:rPr>
        <w:t>。鸡舍墙面设置通风设备，安装风机，加强舍内通风；同时，保持鸡舍的清洁和干燥。</w:t>
      </w:r>
    </w:p>
    <w:p w14:paraId="71F3DA82" w14:textId="77777777" w:rsidR="00544649" w:rsidRDefault="00000000">
      <w:pPr>
        <w:adjustRightInd w:val="0"/>
        <w:snapToGrid w:val="0"/>
        <w:spacing w:after="0"/>
        <w:ind w:firstLine="480"/>
        <w:rPr>
          <w:rFonts w:cs="Times New Roman"/>
          <w:kern w:val="21"/>
        </w:rPr>
      </w:pPr>
      <w:r>
        <w:rPr>
          <w:rFonts w:cs="Times New Roman" w:hint="eastAsia"/>
          <w:kern w:val="21"/>
        </w:rPr>
        <w:t>③</w:t>
      </w:r>
      <w:r>
        <w:rPr>
          <w:rFonts w:cs="Times New Roman"/>
          <w:kern w:val="21"/>
        </w:rPr>
        <w:t>科学设计日粮，</w:t>
      </w:r>
      <w:r>
        <w:rPr>
          <w:rFonts w:ascii="宋体" w:hAnsi="宋体" w:cs="宋体"/>
          <w:kern w:val="21"/>
          <w:szCs w:val="24"/>
        </w:rPr>
        <w:t>选择优质饲料，合理使用饲料添加剂。提高饲料利用率，提高日粮的消化率、减少干物质</w:t>
      </w:r>
      <w:r>
        <w:rPr>
          <w:rFonts w:cs="Times New Roman"/>
          <w:kern w:val="21"/>
        </w:rPr>
        <w:t>（特别是蛋白质）排出量，既减少肠道臭气的产生，又可减少粪便排出</w:t>
      </w:r>
      <w:r>
        <w:rPr>
          <w:rFonts w:cs="Times New Roman" w:hint="eastAsia"/>
          <w:kern w:val="21"/>
        </w:rPr>
        <w:t>。</w:t>
      </w:r>
      <w:r>
        <w:rPr>
          <w:rFonts w:cs="Times New Roman"/>
          <w:kern w:val="21"/>
        </w:rPr>
        <w:t>后臭气的产生，这是减少恶臭来源的有效措施。试验证明，日粮消化率由</w:t>
      </w:r>
      <w:r>
        <w:rPr>
          <w:rFonts w:cs="Times New Roman"/>
          <w:kern w:val="21"/>
        </w:rPr>
        <w:t>85%</w:t>
      </w:r>
      <w:r>
        <w:rPr>
          <w:rFonts w:cs="Times New Roman"/>
          <w:kern w:val="21"/>
        </w:rPr>
        <w:t>提高至</w:t>
      </w:r>
      <w:r>
        <w:rPr>
          <w:rFonts w:cs="Times New Roman"/>
          <w:kern w:val="21"/>
        </w:rPr>
        <w:t>90%</w:t>
      </w:r>
      <w:r>
        <w:rPr>
          <w:rFonts w:cs="Times New Roman"/>
          <w:kern w:val="21"/>
        </w:rPr>
        <w:t>，粪便干物质排出量就减少三分之一；日粮蛋白质减少</w:t>
      </w:r>
      <w:r>
        <w:rPr>
          <w:rFonts w:cs="Times New Roman"/>
          <w:kern w:val="21"/>
        </w:rPr>
        <w:t>2%</w:t>
      </w:r>
      <w:r>
        <w:rPr>
          <w:rFonts w:cs="Times New Roman"/>
          <w:kern w:val="21"/>
        </w:rPr>
        <w:t>，粪便排泄量就降低</w:t>
      </w:r>
      <w:r>
        <w:rPr>
          <w:rFonts w:cs="Times New Roman"/>
          <w:kern w:val="21"/>
        </w:rPr>
        <w:t>20%</w:t>
      </w:r>
      <w:r>
        <w:rPr>
          <w:rFonts w:cs="Times New Roman"/>
          <w:kern w:val="21"/>
        </w:rPr>
        <w:t>。可采用氨基酸平衡的低蛋白日粮和采用稀饲喂</w:t>
      </w:r>
      <w:proofErr w:type="gramStart"/>
      <w:r>
        <w:rPr>
          <w:rFonts w:cs="Times New Roman"/>
          <w:kern w:val="21"/>
        </w:rPr>
        <w:t>养方式</w:t>
      </w:r>
      <w:proofErr w:type="gramEnd"/>
      <w:r>
        <w:rPr>
          <w:rFonts w:cs="Times New Roman"/>
          <w:kern w:val="21"/>
        </w:rPr>
        <w:t>减少恶臭的产生。</w:t>
      </w:r>
    </w:p>
    <w:p w14:paraId="3312B2FA" w14:textId="77777777" w:rsidR="00544649" w:rsidRDefault="00000000">
      <w:pPr>
        <w:adjustRightInd w:val="0"/>
        <w:snapToGrid w:val="0"/>
        <w:spacing w:after="0"/>
        <w:ind w:firstLine="480"/>
        <w:rPr>
          <w:rFonts w:cs="Times New Roman"/>
          <w:kern w:val="21"/>
        </w:rPr>
      </w:pPr>
      <w:r>
        <w:rPr>
          <w:rFonts w:cs="Times New Roman" w:hint="eastAsia"/>
          <w:kern w:val="21"/>
        </w:rPr>
        <w:t>④</w:t>
      </w:r>
      <w:r>
        <w:rPr>
          <w:rFonts w:cs="Times New Roman"/>
          <w:kern w:val="21"/>
        </w:rPr>
        <w:t>合理种植绿化隔离带。</w:t>
      </w:r>
      <w:r>
        <w:rPr>
          <w:rFonts w:ascii="宋体" w:hAnsi="宋体" w:cs="宋体"/>
          <w:kern w:val="21"/>
          <w:szCs w:val="24"/>
        </w:rPr>
        <w:t>种植绿色植物，通过光合作用吸收部分二氧化碳，并吸收部分空气中的有毒有害气体，达到净化空气的目的。绿化植物具有一定的吸收有害气体，减轻恶臭异味的作用。此外，场内还应尽可能多种花草、果树。各季的果树花和花卉香味可以降低或减轻恶臭味在空气中的浓度，达到防护的目的。</w:t>
      </w:r>
    </w:p>
    <w:p w14:paraId="6F68DD23" w14:textId="77777777" w:rsidR="00544649" w:rsidRDefault="00000000">
      <w:pPr>
        <w:widowControl/>
        <w:adjustRightInd w:val="0"/>
        <w:snapToGrid w:val="0"/>
        <w:spacing w:after="0"/>
        <w:ind w:firstLine="480"/>
        <w:rPr>
          <w:rFonts w:cs="Times New Roman"/>
          <w:kern w:val="21"/>
        </w:rPr>
      </w:pPr>
      <w:r>
        <w:rPr>
          <w:rFonts w:cs="Times New Roman" w:hint="eastAsia"/>
          <w:kern w:val="21"/>
        </w:rPr>
        <w:t>⑤</w:t>
      </w:r>
      <w:r>
        <w:rPr>
          <w:rFonts w:ascii="宋体" w:hAnsi="宋体" w:cs="宋体" w:hint="eastAsia"/>
          <w:kern w:val="21"/>
          <w:szCs w:val="24"/>
          <w:lang w:bidi="ar"/>
        </w:rPr>
        <w:t>喷洒除臭剂。</w:t>
      </w:r>
      <w:r>
        <w:rPr>
          <w:rFonts w:cs="Times New Roman"/>
          <w:kern w:val="21"/>
        </w:rPr>
        <w:t>每</w:t>
      </w:r>
      <w:r>
        <w:rPr>
          <w:rFonts w:cs="Times New Roman" w:hint="eastAsia"/>
          <w:kern w:val="21"/>
        </w:rPr>
        <w:t>日定时在鸡舍内部、鸡舍周围及鸡粪转运车间</w:t>
      </w:r>
      <w:r>
        <w:rPr>
          <w:rFonts w:cs="Times New Roman"/>
          <w:kern w:val="21"/>
        </w:rPr>
        <w:t>喷洒除臭剂，减少恶臭污染。</w:t>
      </w:r>
    </w:p>
    <w:p w14:paraId="24F86A06" w14:textId="77777777" w:rsidR="00544649" w:rsidRDefault="00000000">
      <w:pPr>
        <w:pStyle w:val="aff2"/>
        <w:adjustRightInd w:val="0"/>
        <w:snapToGrid w:val="0"/>
        <w:spacing w:after="0"/>
        <w:rPr>
          <w:kern w:val="21"/>
        </w:rPr>
      </w:pPr>
      <w:r>
        <w:rPr>
          <w:rFonts w:ascii="Times New Roman" w:hAnsi="Times New Roman" w:cs="Times New Roman" w:hint="eastAsia"/>
          <w:kern w:val="21"/>
        </w:rPr>
        <w:t>⑥</w:t>
      </w:r>
      <w:r>
        <w:rPr>
          <w:rFonts w:ascii="宋体" w:hAnsi="宋体"/>
          <w:kern w:val="21"/>
        </w:rPr>
        <w:t>严格划定卫生防护距离。以鸡舍</w:t>
      </w:r>
      <w:r>
        <w:rPr>
          <w:rFonts w:ascii="Times New Roman" w:hAnsi="Times New Roman" w:cs="Times New Roman"/>
          <w:kern w:val="21"/>
          <w:szCs w:val="22"/>
        </w:rPr>
        <w:t>设置</w:t>
      </w:r>
      <w:r>
        <w:rPr>
          <w:rFonts w:ascii="Times New Roman" w:hAnsi="Times New Roman" w:cs="Times New Roman"/>
          <w:kern w:val="21"/>
          <w:szCs w:val="22"/>
        </w:rPr>
        <w:t>200m</w:t>
      </w:r>
      <w:r>
        <w:rPr>
          <w:rFonts w:ascii="Times New Roman" w:hAnsi="Times New Roman" w:cs="Times New Roman"/>
          <w:kern w:val="21"/>
          <w:szCs w:val="22"/>
        </w:rPr>
        <w:t>卫生防护距离；同时，禁止卫生防护距离内新建居民住宅、医院、学校等民用设施和食品、医药等对大气环境质量要求较</w:t>
      </w:r>
      <w:r>
        <w:rPr>
          <w:rFonts w:ascii="Times New Roman" w:hAnsi="Times New Roman" w:cs="Times New Roman" w:hint="eastAsia"/>
          <w:kern w:val="21"/>
          <w:szCs w:val="22"/>
        </w:rPr>
        <w:t>高的</w:t>
      </w:r>
      <w:r>
        <w:rPr>
          <w:rFonts w:ascii="Times New Roman" w:hAnsi="Times New Roman" w:cs="Times New Roman"/>
          <w:kern w:val="21"/>
          <w:szCs w:val="22"/>
        </w:rPr>
        <w:t>企业，最大程度减少臭气的影响。</w:t>
      </w:r>
    </w:p>
    <w:p w14:paraId="690827A4" w14:textId="77777777" w:rsidR="00544649" w:rsidRDefault="00000000">
      <w:pPr>
        <w:adjustRightInd w:val="0"/>
        <w:snapToGrid w:val="0"/>
        <w:spacing w:after="0"/>
        <w:ind w:firstLine="482"/>
        <w:rPr>
          <w:rFonts w:cs="Times New Roman"/>
          <w:b/>
          <w:bCs/>
          <w:kern w:val="21"/>
        </w:rPr>
      </w:pPr>
      <w:r>
        <w:rPr>
          <w:rFonts w:cs="Times New Roman" w:hint="eastAsia"/>
          <w:b/>
          <w:bCs/>
          <w:kern w:val="21"/>
        </w:rPr>
        <w:lastRenderedPageBreak/>
        <w:t>（</w:t>
      </w:r>
      <w:r>
        <w:rPr>
          <w:rFonts w:cs="Times New Roman" w:hint="eastAsia"/>
          <w:b/>
          <w:bCs/>
          <w:kern w:val="21"/>
        </w:rPr>
        <w:t>3</w:t>
      </w:r>
      <w:r>
        <w:rPr>
          <w:rFonts w:cs="Times New Roman" w:hint="eastAsia"/>
          <w:b/>
          <w:bCs/>
          <w:kern w:val="21"/>
        </w:rPr>
        <w:t>）污染物排放情况</w:t>
      </w:r>
    </w:p>
    <w:p w14:paraId="4A7E6DF8" w14:textId="77777777" w:rsidR="00544649" w:rsidRDefault="00000000">
      <w:pPr>
        <w:adjustRightInd w:val="0"/>
        <w:snapToGrid w:val="0"/>
        <w:spacing w:after="0"/>
        <w:ind w:firstLine="480"/>
        <w:rPr>
          <w:rFonts w:cs="Times New Roman"/>
          <w:kern w:val="21"/>
        </w:rPr>
      </w:pPr>
      <w:r>
        <w:rPr>
          <w:rFonts w:cs="Times New Roman" w:hint="eastAsia"/>
          <w:kern w:val="21"/>
        </w:rPr>
        <w:t>略</w:t>
      </w:r>
    </w:p>
    <w:p w14:paraId="1834BA4E" w14:textId="77777777" w:rsidR="00544649" w:rsidRDefault="00000000">
      <w:pPr>
        <w:adjustRightInd w:val="0"/>
        <w:snapToGrid w:val="0"/>
        <w:spacing w:after="0"/>
        <w:ind w:firstLine="482"/>
        <w:rPr>
          <w:rFonts w:cs="Times New Roman"/>
          <w:b/>
          <w:bCs/>
          <w:kern w:val="21"/>
        </w:rPr>
      </w:pPr>
      <w:r>
        <w:rPr>
          <w:rFonts w:cs="Times New Roman" w:hint="eastAsia"/>
          <w:b/>
          <w:bCs/>
          <w:kern w:val="21"/>
        </w:rPr>
        <w:t>2</w:t>
      </w:r>
      <w:r>
        <w:rPr>
          <w:rFonts w:cs="Times New Roman" w:hint="eastAsia"/>
          <w:b/>
          <w:bCs/>
          <w:kern w:val="21"/>
        </w:rPr>
        <w:t>、</w:t>
      </w:r>
      <w:r>
        <w:rPr>
          <w:rFonts w:cs="Times New Roman"/>
          <w:b/>
          <w:bCs/>
          <w:kern w:val="21"/>
        </w:rPr>
        <w:t>备用柴油发电机废气</w:t>
      </w:r>
    </w:p>
    <w:p w14:paraId="39DBEFE5" w14:textId="77777777" w:rsidR="00544649" w:rsidRDefault="00000000">
      <w:pPr>
        <w:adjustRightInd w:val="0"/>
        <w:snapToGrid w:val="0"/>
        <w:spacing w:after="0"/>
        <w:ind w:firstLine="480"/>
        <w:rPr>
          <w:rFonts w:cs="Times New Roman"/>
          <w:kern w:val="21"/>
        </w:rPr>
      </w:pPr>
      <w:r>
        <w:rPr>
          <w:rFonts w:cs="Times New Roman"/>
          <w:kern w:val="21"/>
        </w:rPr>
        <w:t>本项目</w:t>
      </w:r>
      <w:proofErr w:type="gramStart"/>
      <w:r>
        <w:rPr>
          <w:rFonts w:cs="Times New Roman" w:hint="eastAsia"/>
          <w:kern w:val="21"/>
        </w:rPr>
        <w:t>育雏场</w:t>
      </w:r>
      <w:proofErr w:type="gramEnd"/>
      <w:r>
        <w:rPr>
          <w:rFonts w:cs="Times New Roman"/>
          <w:kern w:val="21"/>
        </w:rPr>
        <w:t>配备柴油发电机组</w:t>
      </w:r>
      <w:r>
        <w:rPr>
          <w:rFonts w:cs="Times New Roman"/>
          <w:kern w:val="21"/>
        </w:rPr>
        <w:t>2</w:t>
      </w:r>
      <w:r>
        <w:rPr>
          <w:rFonts w:cs="Times New Roman"/>
          <w:kern w:val="21"/>
        </w:rPr>
        <w:t>台</w:t>
      </w:r>
      <w:r>
        <w:rPr>
          <w:rFonts w:cs="Times New Roman" w:hint="eastAsia"/>
          <w:kern w:val="21"/>
        </w:rPr>
        <w:t>（</w:t>
      </w:r>
      <w:r>
        <w:rPr>
          <w:rFonts w:cs="Times New Roman" w:hint="eastAsia"/>
          <w:kern w:val="21"/>
        </w:rPr>
        <w:t>200kw</w:t>
      </w:r>
      <w:r>
        <w:rPr>
          <w:rFonts w:cs="Times New Roman" w:hint="eastAsia"/>
          <w:kern w:val="21"/>
        </w:rPr>
        <w:t>）</w:t>
      </w:r>
      <w:r>
        <w:rPr>
          <w:rFonts w:cs="Times New Roman"/>
          <w:kern w:val="21"/>
        </w:rPr>
        <w:t>，</w:t>
      </w:r>
      <w:r>
        <w:rPr>
          <w:rFonts w:cs="Times New Roman" w:hint="eastAsia"/>
          <w:kern w:val="21"/>
        </w:rPr>
        <w:t>蛋鸡场配备</w:t>
      </w:r>
      <w:r>
        <w:rPr>
          <w:rFonts w:cs="Times New Roman"/>
          <w:kern w:val="21"/>
        </w:rPr>
        <w:t>柴油发电机组</w:t>
      </w:r>
      <w:r>
        <w:rPr>
          <w:rFonts w:cs="Times New Roman"/>
          <w:kern w:val="21"/>
        </w:rPr>
        <w:t>2</w:t>
      </w:r>
      <w:r>
        <w:rPr>
          <w:rFonts w:cs="Times New Roman"/>
          <w:kern w:val="21"/>
        </w:rPr>
        <w:t>台</w:t>
      </w:r>
      <w:r>
        <w:rPr>
          <w:rFonts w:cs="Times New Roman" w:hint="eastAsia"/>
          <w:kern w:val="21"/>
        </w:rPr>
        <w:t>（</w:t>
      </w:r>
      <w:r>
        <w:rPr>
          <w:rFonts w:cs="Times New Roman" w:hint="eastAsia"/>
          <w:kern w:val="21"/>
        </w:rPr>
        <w:t>300kw</w:t>
      </w:r>
      <w:r>
        <w:rPr>
          <w:rFonts w:cs="Times New Roman" w:hint="eastAsia"/>
          <w:kern w:val="21"/>
        </w:rPr>
        <w:t>），</w:t>
      </w:r>
      <w:r>
        <w:rPr>
          <w:rFonts w:cs="Times New Roman"/>
          <w:kern w:val="21"/>
        </w:rPr>
        <w:t>置于专用的</w:t>
      </w:r>
      <w:r>
        <w:rPr>
          <w:rFonts w:cs="Times New Roman" w:hint="eastAsia"/>
          <w:kern w:val="21"/>
        </w:rPr>
        <w:t>备用发电机</w:t>
      </w:r>
      <w:r>
        <w:rPr>
          <w:rFonts w:cs="Times New Roman"/>
          <w:kern w:val="21"/>
        </w:rPr>
        <w:t>房内，排烟管口加装阻火器。发电机仅停电时临时使用，采用</w:t>
      </w:r>
      <w:r>
        <w:rPr>
          <w:rFonts w:cs="Times New Roman"/>
          <w:kern w:val="21"/>
        </w:rPr>
        <w:t>0#</w:t>
      </w:r>
      <w:r>
        <w:rPr>
          <w:rFonts w:cs="Times New Roman"/>
          <w:kern w:val="21"/>
        </w:rPr>
        <w:t>柴油作为燃料，主要污染物为烟尘、</w:t>
      </w:r>
      <w:r>
        <w:rPr>
          <w:rFonts w:cs="Times New Roman"/>
          <w:kern w:val="21"/>
        </w:rPr>
        <w:t>CO</w:t>
      </w:r>
      <w:r>
        <w:rPr>
          <w:rFonts w:cs="Times New Roman"/>
          <w:kern w:val="21"/>
          <w:vertAlign w:val="subscript"/>
        </w:rPr>
        <w:t>2</w:t>
      </w:r>
      <w:r>
        <w:rPr>
          <w:rFonts w:cs="Times New Roman"/>
          <w:kern w:val="21"/>
        </w:rPr>
        <w:t>、</w:t>
      </w:r>
      <w:r>
        <w:rPr>
          <w:rFonts w:cs="Times New Roman"/>
          <w:kern w:val="21"/>
        </w:rPr>
        <w:t>CO</w:t>
      </w:r>
      <w:r>
        <w:rPr>
          <w:rFonts w:cs="Times New Roman"/>
          <w:kern w:val="21"/>
        </w:rPr>
        <w:t>、</w:t>
      </w:r>
      <w:r>
        <w:rPr>
          <w:rFonts w:cs="Times New Roman"/>
          <w:kern w:val="21"/>
        </w:rPr>
        <w:t>HC</w:t>
      </w:r>
      <w:r>
        <w:rPr>
          <w:rFonts w:cs="Times New Roman"/>
          <w:kern w:val="21"/>
        </w:rPr>
        <w:t>、</w:t>
      </w:r>
      <w:r>
        <w:rPr>
          <w:rFonts w:cs="Times New Roman"/>
          <w:kern w:val="21"/>
        </w:rPr>
        <w:t>NOx</w:t>
      </w:r>
      <w:r>
        <w:rPr>
          <w:rFonts w:cs="Times New Roman"/>
          <w:kern w:val="21"/>
        </w:rPr>
        <w:t>、</w:t>
      </w:r>
      <w:r>
        <w:rPr>
          <w:rFonts w:cs="Times New Roman"/>
          <w:kern w:val="21"/>
        </w:rPr>
        <w:t>SO</w:t>
      </w:r>
      <w:r>
        <w:rPr>
          <w:rFonts w:cs="Times New Roman"/>
          <w:kern w:val="21"/>
          <w:vertAlign w:val="subscript"/>
        </w:rPr>
        <w:t>2</w:t>
      </w:r>
      <w:r>
        <w:rPr>
          <w:rFonts w:cs="Times New Roman"/>
          <w:kern w:val="21"/>
        </w:rPr>
        <w:t>等。</w:t>
      </w:r>
      <w:r>
        <w:rPr>
          <w:rFonts w:cs="Times New Roman"/>
          <w:kern w:val="21"/>
        </w:rPr>
        <w:t>0#</w:t>
      </w:r>
      <w:r>
        <w:rPr>
          <w:rFonts w:cs="Times New Roman"/>
          <w:kern w:val="21"/>
        </w:rPr>
        <w:t>柴油属清洁能源，其燃油产生的废气污染物量较少，且发电机使用频率较低，每月工作时间不超过</w:t>
      </w:r>
      <w:r>
        <w:rPr>
          <w:rFonts w:cs="Times New Roman" w:hint="eastAsia"/>
          <w:kern w:val="21"/>
        </w:rPr>
        <w:t>2</w:t>
      </w:r>
      <w:r>
        <w:rPr>
          <w:rFonts w:cs="Times New Roman"/>
          <w:kern w:val="21"/>
        </w:rPr>
        <w:t>h</w:t>
      </w:r>
      <w:r>
        <w:rPr>
          <w:rFonts w:cs="Times New Roman"/>
          <w:kern w:val="21"/>
        </w:rPr>
        <w:t>，全年工作时间不超过</w:t>
      </w:r>
      <w:r>
        <w:rPr>
          <w:rFonts w:cs="Times New Roman" w:hint="eastAsia"/>
          <w:kern w:val="21"/>
        </w:rPr>
        <w:t>24</w:t>
      </w:r>
      <w:r>
        <w:rPr>
          <w:rFonts w:cs="Times New Roman"/>
          <w:kern w:val="21"/>
        </w:rPr>
        <w:t>h</w:t>
      </w:r>
      <w:r>
        <w:rPr>
          <w:rFonts w:cs="Times New Roman" w:hint="eastAsia"/>
          <w:kern w:val="21"/>
        </w:rPr>
        <w:t>。</w:t>
      </w:r>
    </w:p>
    <w:p w14:paraId="458EE873" w14:textId="77777777" w:rsidR="00544649" w:rsidRDefault="00000000">
      <w:pPr>
        <w:adjustRightInd w:val="0"/>
        <w:snapToGrid w:val="0"/>
        <w:spacing w:after="0"/>
        <w:ind w:firstLine="480"/>
        <w:rPr>
          <w:rFonts w:cs="Times New Roman"/>
          <w:kern w:val="21"/>
        </w:rPr>
      </w:pPr>
      <w:r>
        <w:rPr>
          <w:rFonts w:cs="Times New Roman"/>
          <w:kern w:val="21"/>
        </w:rPr>
        <w:t>建设单位拟在柴油发电机房和采用机械送、排风的形式，发电机房内保持着良好的通风性，柴油发电机产生的废气先由自身携带的废气净化装置处理，处理后的废气经独立的机械通风系统引至</w:t>
      </w:r>
      <w:r>
        <w:rPr>
          <w:rFonts w:cs="Times New Roman" w:hint="eastAsia"/>
          <w:kern w:val="21"/>
        </w:rPr>
        <w:t>房顶</w:t>
      </w:r>
      <w:r>
        <w:rPr>
          <w:rFonts w:cs="Times New Roman"/>
          <w:kern w:val="21"/>
        </w:rPr>
        <w:t>排放。柴油发电机使用频率较低，只要严格按要求操作，控制好燃烧状况，燃烧废气中的主要污染物</w:t>
      </w:r>
      <w:r>
        <w:rPr>
          <w:rFonts w:cs="Times New Roman" w:hint="eastAsia"/>
          <w:kern w:val="21"/>
        </w:rPr>
        <w:t>颗粒物、</w:t>
      </w:r>
      <w:r>
        <w:rPr>
          <w:rFonts w:cs="Times New Roman"/>
          <w:kern w:val="21"/>
        </w:rPr>
        <w:t>NOx</w:t>
      </w:r>
      <w:r>
        <w:rPr>
          <w:rFonts w:cs="Times New Roman"/>
          <w:kern w:val="21"/>
        </w:rPr>
        <w:t>、</w:t>
      </w:r>
      <w:r>
        <w:rPr>
          <w:rFonts w:cs="Times New Roman"/>
          <w:kern w:val="21"/>
        </w:rPr>
        <w:t>SO</w:t>
      </w:r>
      <w:r>
        <w:rPr>
          <w:rFonts w:cs="Times New Roman"/>
          <w:kern w:val="21"/>
          <w:vertAlign w:val="subscript"/>
        </w:rPr>
        <w:t>2</w:t>
      </w:r>
      <w:r>
        <w:rPr>
          <w:rFonts w:cs="Times New Roman"/>
          <w:kern w:val="21"/>
        </w:rPr>
        <w:t>的最高排放浓度均可得到有效控制。因此，备用柴油发电机废气对外环境影响不明显，对环境空气质量影响较小</w:t>
      </w:r>
      <w:r>
        <w:rPr>
          <w:rFonts w:cs="Times New Roman" w:hint="eastAsia"/>
          <w:kern w:val="21"/>
        </w:rPr>
        <w:t>。</w:t>
      </w:r>
    </w:p>
    <w:p w14:paraId="16786FD4" w14:textId="77777777" w:rsidR="00544649" w:rsidRDefault="00000000">
      <w:pPr>
        <w:adjustRightInd w:val="0"/>
        <w:snapToGrid w:val="0"/>
        <w:spacing w:after="0"/>
        <w:ind w:firstLine="482"/>
        <w:rPr>
          <w:rFonts w:cs="Times New Roman"/>
          <w:b/>
          <w:bCs/>
          <w:kern w:val="21"/>
        </w:rPr>
      </w:pPr>
      <w:r>
        <w:rPr>
          <w:rFonts w:cs="Times New Roman" w:hint="eastAsia"/>
          <w:b/>
          <w:bCs/>
          <w:kern w:val="21"/>
        </w:rPr>
        <w:t>3</w:t>
      </w:r>
      <w:r>
        <w:rPr>
          <w:rFonts w:cs="Times New Roman" w:hint="eastAsia"/>
          <w:b/>
          <w:bCs/>
          <w:kern w:val="21"/>
        </w:rPr>
        <w:t>、</w:t>
      </w:r>
      <w:r>
        <w:rPr>
          <w:rFonts w:cs="Times New Roman"/>
          <w:b/>
          <w:bCs/>
          <w:kern w:val="21"/>
        </w:rPr>
        <w:t>餐饮油烟</w:t>
      </w:r>
    </w:p>
    <w:p w14:paraId="2566C8A5" w14:textId="77777777" w:rsidR="00544649" w:rsidRDefault="00000000">
      <w:pPr>
        <w:adjustRightInd w:val="0"/>
        <w:snapToGrid w:val="0"/>
        <w:spacing w:after="0"/>
        <w:ind w:firstLine="482"/>
        <w:rPr>
          <w:rFonts w:cs="Times New Roman"/>
          <w:b/>
          <w:bCs/>
          <w:kern w:val="21"/>
        </w:rPr>
      </w:pPr>
      <w:r>
        <w:rPr>
          <w:rFonts w:cs="Times New Roman" w:hint="eastAsia"/>
          <w:b/>
          <w:bCs/>
          <w:kern w:val="21"/>
        </w:rPr>
        <w:t>A</w:t>
      </w:r>
      <w:r>
        <w:rPr>
          <w:rFonts w:cs="Times New Roman" w:hint="eastAsia"/>
          <w:b/>
          <w:bCs/>
          <w:kern w:val="21"/>
        </w:rPr>
        <w:t>、育雏鸡场餐饮油烟</w:t>
      </w:r>
    </w:p>
    <w:p w14:paraId="732C375B" w14:textId="77777777" w:rsidR="00544649" w:rsidRDefault="00000000">
      <w:pPr>
        <w:adjustRightInd w:val="0"/>
        <w:snapToGrid w:val="0"/>
        <w:spacing w:after="0"/>
        <w:ind w:firstLine="480"/>
        <w:rPr>
          <w:rFonts w:cs="Times New Roman"/>
          <w:kern w:val="21"/>
        </w:rPr>
      </w:pPr>
      <w:r>
        <w:rPr>
          <w:rFonts w:cs="Times New Roman"/>
          <w:kern w:val="21"/>
        </w:rPr>
        <w:t>本项目</w:t>
      </w:r>
      <w:proofErr w:type="gramStart"/>
      <w:r>
        <w:rPr>
          <w:rFonts w:cs="Times New Roman" w:hint="eastAsia"/>
          <w:kern w:val="21"/>
        </w:rPr>
        <w:t>育雏场</w:t>
      </w:r>
      <w:r>
        <w:rPr>
          <w:rFonts w:cs="Times New Roman"/>
          <w:kern w:val="21"/>
        </w:rPr>
        <w:t>人员</w:t>
      </w:r>
      <w:proofErr w:type="gramEnd"/>
      <w:r>
        <w:rPr>
          <w:rFonts w:cs="Times New Roman" w:hint="eastAsia"/>
          <w:kern w:val="21"/>
        </w:rPr>
        <w:t>共计</w:t>
      </w:r>
      <w:r>
        <w:rPr>
          <w:rFonts w:cs="Times New Roman" w:hint="eastAsia"/>
          <w:kern w:val="21"/>
        </w:rPr>
        <w:t>8</w:t>
      </w:r>
      <w:r>
        <w:rPr>
          <w:rFonts w:cs="Times New Roman" w:hint="eastAsia"/>
          <w:kern w:val="21"/>
        </w:rPr>
        <w:t>人，均在场内食宿，场内配套建设员工</w:t>
      </w:r>
      <w:r>
        <w:rPr>
          <w:rFonts w:cs="Times New Roman"/>
          <w:kern w:val="21"/>
        </w:rPr>
        <w:t>食堂，产生的废气主要为食堂油烟。油烟指烹调油烟，由水蒸气和油脂组成，它是食用油加热到</w:t>
      </w:r>
      <w:r>
        <w:rPr>
          <w:rFonts w:cs="Times New Roman"/>
          <w:kern w:val="21"/>
        </w:rPr>
        <w:t>250℃</w:t>
      </w:r>
      <w:r>
        <w:rPr>
          <w:rFonts w:cs="Times New Roman"/>
          <w:kern w:val="21"/>
        </w:rPr>
        <w:t>以上，油脂发生氧化、水解、聚合、裂解等反应，随沸腾的油挥发出来的烹调烟气。</w:t>
      </w:r>
    </w:p>
    <w:p w14:paraId="0254A0F6" w14:textId="77777777" w:rsidR="00544649" w:rsidRDefault="00000000">
      <w:pPr>
        <w:adjustRightInd w:val="0"/>
        <w:snapToGrid w:val="0"/>
        <w:spacing w:after="0"/>
        <w:ind w:firstLine="482"/>
        <w:rPr>
          <w:rFonts w:cs="Times New Roman"/>
          <w:kern w:val="21"/>
        </w:rPr>
      </w:pPr>
      <w:r>
        <w:rPr>
          <w:rFonts w:cs="Times New Roman" w:hint="eastAsia"/>
          <w:b/>
          <w:bCs/>
          <w:kern w:val="21"/>
        </w:rPr>
        <w:t>源强分析</w:t>
      </w:r>
      <w:r>
        <w:rPr>
          <w:rFonts w:cs="Times New Roman"/>
          <w:b/>
          <w:bCs/>
          <w:kern w:val="21"/>
        </w:rPr>
        <w:t>：</w:t>
      </w:r>
      <w:bookmarkStart w:id="242" w:name="_Hlk185857126"/>
      <w:r>
        <w:rPr>
          <w:rFonts w:cs="Times New Roman" w:hint="eastAsia"/>
          <w:kern w:val="21"/>
        </w:rPr>
        <w:t>略</w:t>
      </w:r>
      <w:r>
        <w:rPr>
          <w:rFonts w:cs="Times New Roman"/>
          <w:kern w:val="21"/>
        </w:rPr>
        <w:t>。</w:t>
      </w:r>
      <w:bookmarkEnd w:id="242"/>
    </w:p>
    <w:p w14:paraId="2F298CDD" w14:textId="77777777" w:rsidR="00544649" w:rsidRDefault="00000000">
      <w:pPr>
        <w:adjustRightInd w:val="0"/>
        <w:snapToGrid w:val="0"/>
        <w:spacing w:after="0"/>
        <w:ind w:firstLine="482"/>
        <w:rPr>
          <w:rFonts w:cs="Times New Roman"/>
          <w:kern w:val="21"/>
        </w:rPr>
      </w:pPr>
      <w:r>
        <w:rPr>
          <w:rFonts w:cs="Times New Roman"/>
          <w:b/>
          <w:bCs/>
          <w:kern w:val="21"/>
        </w:rPr>
        <w:t>治理措施及排放情况</w:t>
      </w:r>
      <w:r>
        <w:rPr>
          <w:rFonts w:cs="Times New Roman"/>
          <w:kern w:val="21"/>
        </w:rPr>
        <w:t>：</w:t>
      </w:r>
      <w:r>
        <w:rPr>
          <w:rFonts w:cs="Times New Roman" w:hint="eastAsia"/>
          <w:kern w:val="21"/>
        </w:rPr>
        <w:t>略</w:t>
      </w:r>
    </w:p>
    <w:p w14:paraId="5402F896" w14:textId="77777777" w:rsidR="00544649" w:rsidRDefault="00000000">
      <w:pPr>
        <w:adjustRightInd w:val="0"/>
        <w:snapToGrid w:val="0"/>
        <w:spacing w:after="0"/>
        <w:ind w:firstLine="482"/>
        <w:rPr>
          <w:rFonts w:cs="Times New Roman"/>
          <w:b/>
          <w:bCs/>
          <w:kern w:val="21"/>
        </w:rPr>
      </w:pPr>
      <w:r>
        <w:rPr>
          <w:rFonts w:cs="Times New Roman" w:hint="eastAsia"/>
          <w:b/>
          <w:bCs/>
          <w:kern w:val="21"/>
        </w:rPr>
        <w:t>4</w:t>
      </w:r>
      <w:r>
        <w:rPr>
          <w:rFonts w:cs="Times New Roman" w:hint="eastAsia"/>
          <w:b/>
          <w:bCs/>
          <w:kern w:val="21"/>
        </w:rPr>
        <w:t>、污水处理站恶臭</w:t>
      </w:r>
    </w:p>
    <w:p w14:paraId="11078450"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1</w:t>
      </w:r>
      <w:r>
        <w:rPr>
          <w:rFonts w:cs="Times New Roman" w:hint="eastAsia"/>
          <w:b/>
          <w:bCs/>
          <w:kern w:val="21"/>
        </w:rPr>
        <w:t>）源强分析</w:t>
      </w:r>
    </w:p>
    <w:p w14:paraId="7EF54983" w14:textId="77777777" w:rsidR="00544649" w:rsidRDefault="00000000">
      <w:pPr>
        <w:adjustRightInd w:val="0"/>
        <w:snapToGrid w:val="0"/>
        <w:spacing w:after="0"/>
        <w:ind w:firstLine="482"/>
        <w:rPr>
          <w:b/>
          <w:bCs/>
        </w:rPr>
      </w:pPr>
      <w:r>
        <w:rPr>
          <w:rFonts w:hint="eastAsia"/>
          <w:b/>
          <w:bCs/>
        </w:rPr>
        <w:t>略</w:t>
      </w:r>
    </w:p>
    <w:p w14:paraId="5D2B756C" w14:textId="77777777" w:rsidR="00544649" w:rsidRDefault="00000000">
      <w:pPr>
        <w:adjustRightInd w:val="0"/>
        <w:snapToGrid w:val="0"/>
        <w:spacing w:after="0"/>
        <w:ind w:firstLine="482"/>
        <w:rPr>
          <w:b/>
          <w:bCs/>
        </w:rPr>
      </w:pPr>
      <w:r>
        <w:rPr>
          <w:rFonts w:hint="eastAsia"/>
          <w:b/>
          <w:bCs/>
        </w:rPr>
        <w:t>（</w:t>
      </w:r>
      <w:r>
        <w:rPr>
          <w:rFonts w:hint="eastAsia"/>
          <w:b/>
          <w:bCs/>
        </w:rPr>
        <w:t>2</w:t>
      </w:r>
      <w:r>
        <w:rPr>
          <w:rFonts w:hint="eastAsia"/>
          <w:b/>
          <w:bCs/>
        </w:rPr>
        <w:t>）治理措施</w:t>
      </w:r>
    </w:p>
    <w:p w14:paraId="550DB41B" w14:textId="77777777" w:rsidR="00544649" w:rsidRDefault="00000000">
      <w:pPr>
        <w:adjustRightInd w:val="0"/>
        <w:snapToGrid w:val="0"/>
        <w:spacing w:after="0"/>
        <w:ind w:firstLine="480"/>
        <w:rPr>
          <w:rFonts w:cs="Times New Roman"/>
          <w:kern w:val="21"/>
        </w:rPr>
      </w:pPr>
      <w:r>
        <w:rPr>
          <w:rFonts w:cs="Times New Roman" w:hint="eastAsia"/>
          <w:kern w:val="21"/>
        </w:rPr>
        <w:t>略。</w:t>
      </w:r>
    </w:p>
    <w:p w14:paraId="09C35F88" w14:textId="77777777" w:rsidR="00544649" w:rsidRDefault="00000000">
      <w:pPr>
        <w:adjustRightInd w:val="0"/>
        <w:snapToGrid w:val="0"/>
        <w:spacing w:after="0"/>
        <w:ind w:firstLine="482"/>
        <w:rPr>
          <w:rFonts w:cs="Times New Roman"/>
          <w:b/>
          <w:bCs/>
          <w:kern w:val="21"/>
        </w:rPr>
      </w:pPr>
      <w:r>
        <w:rPr>
          <w:rFonts w:cs="Times New Roman" w:hint="eastAsia"/>
          <w:b/>
          <w:bCs/>
          <w:kern w:val="21"/>
        </w:rPr>
        <w:t>5</w:t>
      </w:r>
      <w:r>
        <w:rPr>
          <w:rFonts w:cs="Times New Roman" w:hint="eastAsia"/>
          <w:b/>
          <w:bCs/>
          <w:kern w:val="21"/>
        </w:rPr>
        <w:t>、锅炉废气</w:t>
      </w:r>
    </w:p>
    <w:p w14:paraId="27349137"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1</w:t>
      </w:r>
      <w:r>
        <w:rPr>
          <w:rFonts w:cs="Times New Roman" w:hint="eastAsia"/>
          <w:b/>
          <w:bCs/>
          <w:kern w:val="21"/>
        </w:rPr>
        <w:t>）源强分析</w:t>
      </w:r>
    </w:p>
    <w:p w14:paraId="0CE315AA" w14:textId="77777777" w:rsidR="00544649" w:rsidRDefault="00000000">
      <w:pPr>
        <w:adjustRightInd w:val="0"/>
        <w:snapToGrid w:val="0"/>
        <w:spacing w:after="0"/>
        <w:ind w:firstLine="480"/>
      </w:pPr>
      <w:r>
        <w:rPr>
          <w:rFonts w:hint="eastAsia"/>
        </w:rPr>
        <w:t>略</w:t>
      </w:r>
    </w:p>
    <w:p w14:paraId="7EC2CB4F" w14:textId="77777777" w:rsidR="00544649" w:rsidRDefault="00000000">
      <w:pPr>
        <w:adjustRightInd w:val="0"/>
        <w:snapToGrid w:val="0"/>
        <w:spacing w:after="0"/>
        <w:ind w:firstLine="482"/>
        <w:rPr>
          <w:b/>
          <w:bCs/>
        </w:rPr>
      </w:pPr>
      <w:r>
        <w:rPr>
          <w:rFonts w:hint="eastAsia"/>
          <w:b/>
          <w:bCs/>
        </w:rPr>
        <w:t>（</w:t>
      </w:r>
      <w:r>
        <w:rPr>
          <w:rFonts w:hint="eastAsia"/>
          <w:b/>
          <w:bCs/>
        </w:rPr>
        <w:t>2</w:t>
      </w:r>
      <w:r>
        <w:rPr>
          <w:rFonts w:hint="eastAsia"/>
          <w:b/>
          <w:bCs/>
        </w:rPr>
        <w:t>）治理措施</w:t>
      </w:r>
    </w:p>
    <w:p w14:paraId="11FE8A84" w14:textId="77777777" w:rsidR="00544649" w:rsidRDefault="00000000">
      <w:pPr>
        <w:tabs>
          <w:tab w:val="left" w:pos="2010"/>
        </w:tabs>
        <w:adjustRightInd w:val="0"/>
        <w:snapToGrid w:val="0"/>
        <w:spacing w:after="0"/>
        <w:ind w:firstLine="480"/>
        <w:rPr>
          <w:rStyle w:val="aff"/>
        </w:rPr>
      </w:pPr>
      <w:r>
        <w:rPr>
          <w:rFonts w:hint="eastAsia"/>
        </w:rPr>
        <w:t>略</w:t>
      </w:r>
      <w:r>
        <w:t>。</w:t>
      </w:r>
    </w:p>
    <w:p w14:paraId="6D14A452" w14:textId="77777777" w:rsidR="00544649" w:rsidRDefault="00000000">
      <w:pPr>
        <w:tabs>
          <w:tab w:val="left" w:pos="2010"/>
        </w:tabs>
        <w:adjustRightInd w:val="0"/>
        <w:snapToGrid w:val="0"/>
        <w:spacing w:after="0"/>
        <w:ind w:firstLine="482"/>
        <w:rPr>
          <w:rStyle w:val="aff"/>
          <w:b/>
          <w:bCs/>
          <w:sz w:val="24"/>
          <w:szCs w:val="24"/>
        </w:rPr>
      </w:pPr>
      <w:r>
        <w:rPr>
          <w:rStyle w:val="aff"/>
          <w:rFonts w:hint="eastAsia"/>
          <w:b/>
          <w:bCs/>
          <w:sz w:val="24"/>
          <w:szCs w:val="24"/>
        </w:rPr>
        <w:lastRenderedPageBreak/>
        <w:t>（</w:t>
      </w:r>
      <w:r>
        <w:rPr>
          <w:rStyle w:val="aff"/>
          <w:rFonts w:hint="eastAsia"/>
          <w:b/>
          <w:bCs/>
          <w:sz w:val="24"/>
          <w:szCs w:val="24"/>
        </w:rPr>
        <w:t>3</w:t>
      </w:r>
      <w:r>
        <w:rPr>
          <w:rStyle w:val="aff"/>
          <w:rFonts w:hint="eastAsia"/>
          <w:b/>
          <w:bCs/>
          <w:sz w:val="24"/>
          <w:szCs w:val="24"/>
        </w:rPr>
        <w:t>）排放情况</w:t>
      </w:r>
    </w:p>
    <w:p w14:paraId="6F9E6C54" w14:textId="77777777" w:rsidR="00544649" w:rsidRDefault="00000000">
      <w:pPr>
        <w:tabs>
          <w:tab w:val="left" w:pos="2010"/>
        </w:tabs>
        <w:adjustRightInd w:val="0"/>
        <w:snapToGrid w:val="0"/>
        <w:spacing w:after="0"/>
        <w:ind w:firstLine="480"/>
        <w:rPr>
          <w:rStyle w:val="aff"/>
          <w:sz w:val="24"/>
          <w:szCs w:val="24"/>
        </w:rPr>
      </w:pPr>
      <w:r>
        <w:rPr>
          <w:rStyle w:val="aff"/>
          <w:rFonts w:hint="eastAsia"/>
          <w:sz w:val="24"/>
          <w:szCs w:val="24"/>
        </w:rPr>
        <w:t>略</w:t>
      </w:r>
      <w:r>
        <w:rPr>
          <w:rFonts w:cs="Times New Roman" w:hint="eastAsia"/>
          <w:szCs w:val="24"/>
        </w:rPr>
        <w:t>。</w:t>
      </w:r>
    </w:p>
    <w:p w14:paraId="7730E761"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废水污染物产生及治理措施</w:t>
      </w:r>
    </w:p>
    <w:p w14:paraId="2A2958DE" w14:textId="77777777" w:rsidR="00544649" w:rsidRDefault="00000000">
      <w:pPr>
        <w:adjustRightInd w:val="0"/>
        <w:snapToGrid w:val="0"/>
        <w:spacing w:after="0"/>
        <w:ind w:firstLine="480"/>
        <w:rPr>
          <w:rFonts w:cs="Times New Roman"/>
          <w:kern w:val="21"/>
        </w:rPr>
      </w:pPr>
      <w:r>
        <w:rPr>
          <w:rFonts w:cs="Times New Roman" w:hint="eastAsia"/>
          <w:kern w:val="21"/>
        </w:rPr>
        <w:t>本项目采取干清粪工艺，仅蛋鸡换批次时</w:t>
      </w:r>
      <w:r>
        <w:rPr>
          <w:rFonts w:cs="Times New Roman"/>
          <w:kern w:val="21"/>
        </w:rPr>
        <w:t>采用</w:t>
      </w:r>
      <w:r>
        <w:rPr>
          <w:rFonts w:cs="Times New Roman" w:hint="eastAsia"/>
          <w:kern w:val="21"/>
        </w:rPr>
        <w:t>自来水清洗鸡舍，清洗废水</w:t>
      </w:r>
      <w:r>
        <w:rPr>
          <w:rFonts w:ascii="宋体" w:hAnsi="宋体" w:cs="宋体" w:hint="eastAsia"/>
          <w:kern w:val="21"/>
          <w:szCs w:val="24"/>
        </w:rPr>
        <w:t>排入场内污水处理站</w:t>
      </w:r>
      <w:r>
        <w:rPr>
          <w:rFonts w:ascii="宋体" w:hAnsi="宋体" w:cs="宋体"/>
          <w:kern w:val="21"/>
          <w:szCs w:val="24"/>
        </w:rPr>
        <w:t>处理后用作</w:t>
      </w:r>
      <w:r>
        <w:rPr>
          <w:rFonts w:ascii="宋体" w:hAnsi="宋体" w:cs="宋体" w:hint="eastAsia"/>
          <w:kern w:val="21"/>
          <w:szCs w:val="24"/>
        </w:rPr>
        <w:t>林地灌溉；</w:t>
      </w:r>
      <w:r>
        <w:rPr>
          <w:rFonts w:cs="Times New Roman" w:hint="eastAsia"/>
          <w:kern w:val="21"/>
        </w:rPr>
        <w:t>降温水帘用水循环使用，定期补充新鲜水，无废水产生。本</w:t>
      </w:r>
      <w:r>
        <w:rPr>
          <w:rFonts w:ascii="宋体" w:hAnsi="宋体" w:cs="宋体"/>
          <w:kern w:val="21"/>
          <w:szCs w:val="24"/>
        </w:rPr>
        <w:t>项目</w:t>
      </w:r>
      <w:r>
        <w:rPr>
          <w:rFonts w:ascii="宋体" w:hAnsi="宋体" w:cs="宋体" w:hint="eastAsia"/>
          <w:kern w:val="21"/>
          <w:szCs w:val="24"/>
        </w:rPr>
        <w:t>废水为生活污水及餐厨</w:t>
      </w:r>
      <w:r>
        <w:rPr>
          <w:rFonts w:ascii="宋体" w:hAnsi="宋体" w:cs="宋体"/>
          <w:kern w:val="21"/>
          <w:szCs w:val="24"/>
        </w:rPr>
        <w:t>废水</w:t>
      </w:r>
      <w:r>
        <w:rPr>
          <w:rFonts w:ascii="宋体" w:hAnsi="宋体" w:cs="宋体" w:hint="eastAsia"/>
          <w:kern w:val="21"/>
          <w:szCs w:val="24"/>
        </w:rPr>
        <w:t>、鸡舍冲洗废水、蛋品清洗废水，餐厨</w:t>
      </w:r>
      <w:r>
        <w:rPr>
          <w:rFonts w:ascii="宋体" w:hAnsi="宋体" w:cs="宋体"/>
          <w:kern w:val="21"/>
          <w:szCs w:val="24"/>
        </w:rPr>
        <w:t>废水经</w:t>
      </w:r>
      <w:r>
        <w:rPr>
          <w:rFonts w:cs="Times New Roman"/>
          <w:kern w:val="21"/>
        </w:rPr>
        <w:t>隔油装置</w:t>
      </w:r>
      <w:r>
        <w:rPr>
          <w:rFonts w:ascii="宋体" w:hAnsi="宋体" w:cs="宋体"/>
          <w:kern w:val="21"/>
          <w:szCs w:val="24"/>
        </w:rPr>
        <w:t>处理后与</w:t>
      </w:r>
      <w:r>
        <w:rPr>
          <w:rFonts w:ascii="宋体" w:hAnsi="宋体" w:cs="宋体" w:hint="eastAsia"/>
          <w:kern w:val="21"/>
          <w:szCs w:val="24"/>
        </w:rPr>
        <w:t>其他废水</w:t>
      </w:r>
      <w:r>
        <w:rPr>
          <w:rFonts w:ascii="宋体" w:hAnsi="宋体" w:cs="宋体"/>
          <w:kern w:val="21"/>
          <w:szCs w:val="24"/>
        </w:rPr>
        <w:t>一起</w:t>
      </w:r>
      <w:r>
        <w:rPr>
          <w:rFonts w:ascii="宋体" w:hAnsi="宋体" w:cs="宋体" w:hint="eastAsia"/>
          <w:kern w:val="21"/>
          <w:szCs w:val="24"/>
        </w:rPr>
        <w:t>排入场内污水处理站</w:t>
      </w:r>
      <w:r>
        <w:rPr>
          <w:rFonts w:ascii="宋体" w:hAnsi="宋体" w:cs="宋体"/>
          <w:kern w:val="21"/>
          <w:szCs w:val="24"/>
        </w:rPr>
        <w:t>处理后用作</w:t>
      </w:r>
      <w:r>
        <w:rPr>
          <w:rFonts w:ascii="宋体" w:hAnsi="宋体" w:cs="宋体" w:hint="eastAsia"/>
          <w:kern w:val="21"/>
          <w:szCs w:val="24"/>
        </w:rPr>
        <w:t>林地灌溉。</w:t>
      </w:r>
    </w:p>
    <w:p w14:paraId="59EAB1D3"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1</w:t>
      </w:r>
      <w:r>
        <w:rPr>
          <w:rFonts w:cs="Times New Roman" w:hint="eastAsia"/>
          <w:b/>
          <w:bCs/>
          <w:kern w:val="21"/>
        </w:rPr>
        <w:t>）源强核算：</w:t>
      </w:r>
    </w:p>
    <w:p w14:paraId="01AAE915" w14:textId="77777777" w:rsidR="00544649" w:rsidRDefault="00000000">
      <w:pPr>
        <w:adjustRightInd w:val="0"/>
        <w:snapToGrid w:val="0"/>
        <w:spacing w:after="0"/>
        <w:ind w:firstLine="480"/>
        <w:rPr>
          <w:rFonts w:cs="Times New Roman"/>
          <w:kern w:val="21"/>
        </w:rPr>
      </w:pPr>
      <w:r>
        <w:rPr>
          <w:rFonts w:cs="Times New Roman" w:hint="eastAsia"/>
          <w:kern w:val="21"/>
        </w:rPr>
        <w:t>略。</w:t>
      </w:r>
    </w:p>
    <w:p w14:paraId="4A207857"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2</w:t>
      </w:r>
      <w:r>
        <w:rPr>
          <w:rFonts w:cs="Times New Roman" w:hint="eastAsia"/>
          <w:b/>
          <w:bCs/>
          <w:kern w:val="21"/>
        </w:rPr>
        <w:t>）治理措施：</w:t>
      </w:r>
    </w:p>
    <w:p w14:paraId="448C6CAA" w14:textId="77777777" w:rsidR="00544649" w:rsidRDefault="00000000">
      <w:pPr>
        <w:adjustRightInd w:val="0"/>
        <w:snapToGrid w:val="0"/>
        <w:spacing w:after="0"/>
        <w:ind w:firstLine="480"/>
        <w:rPr>
          <w:rFonts w:cs="Times New Roman"/>
          <w:kern w:val="21"/>
        </w:rPr>
      </w:pPr>
      <w:r>
        <w:rPr>
          <w:rFonts w:hint="eastAsia"/>
        </w:rPr>
        <w:t>略</w:t>
      </w:r>
      <w:r>
        <w:rPr>
          <w:rFonts w:cs="Times New Roman" w:hint="eastAsia"/>
          <w:kern w:val="21"/>
        </w:rPr>
        <w:t>。</w:t>
      </w:r>
    </w:p>
    <w:p w14:paraId="5A319BBC"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噪声产生及治理措施</w:t>
      </w:r>
    </w:p>
    <w:p w14:paraId="2D71A21F" w14:textId="77777777" w:rsidR="00544649" w:rsidRDefault="00000000">
      <w:pPr>
        <w:adjustRightInd w:val="0"/>
        <w:snapToGrid w:val="0"/>
        <w:spacing w:after="0"/>
        <w:ind w:firstLine="480"/>
        <w:rPr>
          <w:rFonts w:cs="Times New Roman"/>
          <w:kern w:val="21"/>
        </w:rPr>
      </w:pPr>
      <w:r>
        <w:rPr>
          <w:rFonts w:cs="Times New Roman"/>
          <w:kern w:val="21"/>
        </w:rPr>
        <w:t>项目运营期噪声主要为设备噪声、鸡叫声、风机噪声等，根据类比调查，其源强为</w:t>
      </w:r>
      <w:r>
        <w:rPr>
          <w:rFonts w:cs="Times New Roman"/>
          <w:kern w:val="21"/>
        </w:rPr>
        <w:t>70~</w:t>
      </w:r>
      <w:r>
        <w:rPr>
          <w:rFonts w:cs="Times New Roman" w:hint="eastAsia"/>
          <w:kern w:val="21"/>
        </w:rPr>
        <w:t>90</w:t>
      </w:r>
      <w:r>
        <w:rPr>
          <w:rFonts w:cs="Times New Roman"/>
          <w:kern w:val="21"/>
        </w:rPr>
        <w:t>dB</w:t>
      </w:r>
      <w:r>
        <w:rPr>
          <w:rFonts w:cs="Times New Roman"/>
          <w:kern w:val="21"/>
        </w:rPr>
        <w:t>（</w:t>
      </w:r>
      <w:r>
        <w:rPr>
          <w:rFonts w:cs="Times New Roman"/>
          <w:kern w:val="21"/>
        </w:rPr>
        <w:t>A</w:t>
      </w:r>
      <w:r>
        <w:rPr>
          <w:rFonts w:cs="Times New Roman"/>
          <w:kern w:val="21"/>
        </w:rPr>
        <w:t>）。</w:t>
      </w:r>
    </w:p>
    <w:p w14:paraId="23B53A9E" w14:textId="77777777" w:rsidR="00544649" w:rsidRDefault="00000000">
      <w:pPr>
        <w:adjustRightInd w:val="0"/>
        <w:snapToGrid w:val="0"/>
        <w:spacing w:after="0"/>
        <w:ind w:firstLine="480"/>
        <w:rPr>
          <w:rFonts w:cs="Times New Roman"/>
          <w:kern w:val="21"/>
        </w:rPr>
      </w:pPr>
      <w:r>
        <w:rPr>
          <w:rFonts w:cs="Times New Roman"/>
          <w:kern w:val="21"/>
        </w:rPr>
        <w:t>项目养殖场内的鸡舍为砖混结构，采用彩钢顶棚，</w:t>
      </w:r>
      <w:proofErr w:type="gramStart"/>
      <w:r>
        <w:rPr>
          <w:rFonts w:cs="Times New Roman"/>
          <w:kern w:val="21"/>
        </w:rPr>
        <w:t>除门和</w:t>
      </w:r>
      <w:proofErr w:type="gramEnd"/>
      <w:r>
        <w:rPr>
          <w:rFonts w:cs="Times New Roman"/>
          <w:kern w:val="21"/>
        </w:rPr>
        <w:t>排风口以外，为密闭养殖，墙体可隔音，并且养殖区周围为大面积的山林，易于降噪，项目拟采取的措施有：</w:t>
      </w:r>
    </w:p>
    <w:p w14:paraId="7A9689A6" w14:textId="77777777" w:rsidR="00544649" w:rsidRDefault="00000000">
      <w:pPr>
        <w:adjustRightInd w:val="0"/>
        <w:snapToGrid w:val="0"/>
        <w:spacing w:after="0"/>
        <w:ind w:firstLine="480"/>
        <w:rPr>
          <w:rFonts w:cs="Times New Roman"/>
          <w:kern w:val="21"/>
        </w:rPr>
      </w:pPr>
      <w:r>
        <w:rPr>
          <w:rFonts w:cs="Times New Roman"/>
          <w:kern w:val="21"/>
        </w:rPr>
        <w:fldChar w:fldCharType="begin"/>
      </w:r>
      <w:r>
        <w:rPr>
          <w:rFonts w:cs="Times New Roman"/>
          <w:kern w:val="21"/>
        </w:rPr>
        <w:instrText xml:space="preserve"> = 1 \* GB3 \* MERGEFORMAT </w:instrText>
      </w:r>
      <w:r>
        <w:rPr>
          <w:rFonts w:cs="Times New Roman"/>
          <w:kern w:val="21"/>
        </w:rPr>
        <w:fldChar w:fldCharType="separate"/>
      </w:r>
      <w:r>
        <w:t>①</w:t>
      </w:r>
      <w:r>
        <w:rPr>
          <w:rFonts w:cs="Times New Roman"/>
          <w:kern w:val="21"/>
        </w:rPr>
        <w:fldChar w:fldCharType="end"/>
      </w:r>
      <w:r>
        <w:rPr>
          <w:rFonts w:cs="Times New Roman"/>
          <w:kern w:val="21"/>
        </w:rPr>
        <w:t>通风设备、</w:t>
      </w:r>
      <w:r>
        <w:rPr>
          <w:rFonts w:cs="Times New Roman"/>
          <w:kern w:val="21"/>
          <w:szCs w:val="21"/>
        </w:rPr>
        <w:t>清粪设备、</w:t>
      </w:r>
      <w:proofErr w:type="gramStart"/>
      <w:r>
        <w:rPr>
          <w:rFonts w:cs="Times New Roman"/>
          <w:kern w:val="21"/>
          <w:szCs w:val="21"/>
        </w:rPr>
        <w:t>集蛋设备</w:t>
      </w:r>
      <w:proofErr w:type="gramEnd"/>
      <w:r>
        <w:rPr>
          <w:rFonts w:cs="Times New Roman"/>
          <w:kern w:val="21"/>
          <w:szCs w:val="21"/>
        </w:rPr>
        <w:t>、水泵以及添加饲料设备</w:t>
      </w:r>
      <w:r>
        <w:rPr>
          <w:rFonts w:cs="Times New Roman"/>
          <w:kern w:val="21"/>
        </w:rPr>
        <w:t>采用低噪声型，且其吊装设备采用减振吊装、落地式安装设备采用弹簧减振器或橡胶减振垫，</w:t>
      </w:r>
      <w:proofErr w:type="gramStart"/>
      <w:r>
        <w:rPr>
          <w:rFonts w:cs="Times New Roman"/>
          <w:kern w:val="21"/>
        </w:rPr>
        <w:t>进出口设软接头</w:t>
      </w:r>
      <w:proofErr w:type="gramEnd"/>
      <w:r>
        <w:rPr>
          <w:rFonts w:cs="Times New Roman"/>
          <w:kern w:val="21"/>
        </w:rPr>
        <w:t>，风机进出口风管处安装消声设备，设置单独引风机房，四周采用墙体隔声。</w:t>
      </w:r>
    </w:p>
    <w:p w14:paraId="7C2BA5BA" w14:textId="77777777" w:rsidR="00544649" w:rsidRDefault="00000000">
      <w:pPr>
        <w:adjustRightInd w:val="0"/>
        <w:snapToGrid w:val="0"/>
        <w:spacing w:after="0"/>
        <w:ind w:firstLine="480"/>
        <w:rPr>
          <w:rFonts w:cs="Times New Roman"/>
          <w:kern w:val="21"/>
        </w:rPr>
      </w:pPr>
      <w:r>
        <w:rPr>
          <w:rFonts w:hint="eastAsia"/>
          <w:kern w:val="21"/>
        </w:rPr>
        <w:fldChar w:fldCharType="begin"/>
      </w:r>
      <w:r>
        <w:rPr>
          <w:rFonts w:hint="eastAsia"/>
          <w:kern w:val="21"/>
        </w:rPr>
        <w:instrText>= 2 \* GB3</w:instrText>
      </w:r>
      <w:r>
        <w:rPr>
          <w:rFonts w:hint="eastAsia"/>
          <w:kern w:val="21"/>
        </w:rPr>
        <w:fldChar w:fldCharType="separate"/>
      </w:r>
      <w:r>
        <w:rPr>
          <w:rFonts w:hint="eastAsia"/>
          <w:kern w:val="21"/>
        </w:rPr>
        <w:t>②</w:t>
      </w:r>
      <w:r>
        <w:rPr>
          <w:rFonts w:hint="eastAsia"/>
          <w:kern w:val="21"/>
        </w:rPr>
        <w:fldChar w:fldCharType="end"/>
      </w:r>
      <w:r>
        <w:rPr>
          <w:rFonts w:cs="Times New Roman"/>
          <w:kern w:val="21"/>
        </w:rPr>
        <w:t>鸡叫声属于间断性噪声源，养殖场通过合理安排饲养时间、注意管理，防止鸡受到惊吓造成鸣叫而扰民；禁止非工作人员随意进场，减少对鸡舍的干扰；鸡舍墙壁为砖砌墙，墙中加</w:t>
      </w:r>
      <w:r>
        <w:rPr>
          <w:rFonts w:cs="Times New Roman"/>
          <w:kern w:val="21"/>
        </w:rPr>
        <w:t>60mm</w:t>
      </w:r>
      <w:r>
        <w:rPr>
          <w:rFonts w:cs="Times New Roman"/>
          <w:kern w:val="21"/>
        </w:rPr>
        <w:t>厚聚苯保温板，有效隔声降噪。将鸡只运进和运出的时间安排在昼间，尽可能地减少鸡叫噪声对周围居民的影响。</w:t>
      </w:r>
    </w:p>
    <w:p w14:paraId="3181DDA9" w14:textId="77777777" w:rsidR="00544649" w:rsidRDefault="00000000">
      <w:pPr>
        <w:adjustRightInd w:val="0"/>
        <w:snapToGrid w:val="0"/>
        <w:spacing w:after="0"/>
        <w:ind w:firstLine="480"/>
        <w:rPr>
          <w:rFonts w:cs="Times New Roman"/>
          <w:kern w:val="21"/>
        </w:rPr>
      </w:pPr>
      <w:r>
        <w:rPr>
          <w:rFonts w:cs="Times New Roman"/>
          <w:kern w:val="21"/>
        </w:rPr>
        <w:fldChar w:fldCharType="begin"/>
      </w:r>
      <w:r>
        <w:rPr>
          <w:rFonts w:cs="Times New Roman"/>
          <w:kern w:val="21"/>
        </w:rPr>
        <w:instrText xml:space="preserve"> = 3 \* GB3 \* MERGEFORMAT </w:instrText>
      </w:r>
      <w:r>
        <w:rPr>
          <w:rFonts w:cs="Times New Roman"/>
          <w:kern w:val="21"/>
        </w:rPr>
        <w:fldChar w:fldCharType="separate"/>
      </w:r>
      <w:r>
        <w:t>③</w:t>
      </w:r>
      <w:r>
        <w:rPr>
          <w:rFonts w:cs="Times New Roman"/>
          <w:kern w:val="21"/>
        </w:rPr>
        <w:fldChar w:fldCharType="end"/>
      </w:r>
      <w:r>
        <w:rPr>
          <w:rFonts w:cs="Times New Roman"/>
          <w:kern w:val="21"/>
        </w:rPr>
        <w:t>场内对车辆采取限速、禁鸣的要求，可以有效降低车辆运输带来的噪声；另外，运输车辆沿途必须按规范操作，尽量少鸣笛，以免对周围村民生活造成影响或因鸣笛使鸡只受到惊吓鸣叫而扰民。</w:t>
      </w:r>
    </w:p>
    <w:p w14:paraId="5E21776E" w14:textId="77777777" w:rsidR="00544649" w:rsidRDefault="00000000">
      <w:pPr>
        <w:adjustRightInd w:val="0"/>
        <w:snapToGrid w:val="0"/>
        <w:spacing w:after="0"/>
        <w:ind w:firstLine="480"/>
        <w:rPr>
          <w:rFonts w:cs="Times New Roman"/>
          <w:kern w:val="21"/>
        </w:rPr>
      </w:pPr>
      <w:r>
        <w:rPr>
          <w:rFonts w:cs="Times New Roman"/>
          <w:kern w:val="21"/>
        </w:rPr>
        <w:fldChar w:fldCharType="begin"/>
      </w:r>
      <w:r>
        <w:rPr>
          <w:rFonts w:cs="Times New Roman"/>
          <w:kern w:val="21"/>
        </w:rPr>
        <w:instrText xml:space="preserve"> = 4 \* GB3 \* MERGEFORMAT </w:instrText>
      </w:r>
      <w:r>
        <w:rPr>
          <w:rFonts w:cs="Times New Roman"/>
          <w:kern w:val="21"/>
        </w:rPr>
        <w:fldChar w:fldCharType="separate"/>
      </w:r>
      <w:r>
        <w:t>④</w:t>
      </w:r>
      <w:r>
        <w:rPr>
          <w:rFonts w:cs="Times New Roman"/>
          <w:kern w:val="21"/>
        </w:rPr>
        <w:fldChar w:fldCharType="end"/>
      </w:r>
      <w:r>
        <w:rPr>
          <w:rFonts w:cs="Times New Roman"/>
          <w:kern w:val="21"/>
        </w:rPr>
        <w:t>场区四周种植乔木及灌木，加强场区内绿化，充分利用建筑物、绿化带阻隔声波传播；在绿化隔声的同时，吸收一定的臭气。</w:t>
      </w:r>
    </w:p>
    <w:p w14:paraId="44EFAB66" w14:textId="77777777" w:rsidR="00544649" w:rsidRDefault="00000000">
      <w:pPr>
        <w:adjustRightInd w:val="0"/>
        <w:snapToGrid w:val="0"/>
        <w:spacing w:after="0"/>
        <w:ind w:firstLine="480"/>
        <w:rPr>
          <w:rFonts w:cs="Times New Roman"/>
          <w:kern w:val="21"/>
        </w:rPr>
      </w:pPr>
      <w:r>
        <w:rPr>
          <w:rFonts w:cs="Times New Roman"/>
          <w:kern w:val="21"/>
        </w:rPr>
        <w:t>采取上述措施后可有效降低噪声值，再加上</w:t>
      </w:r>
      <w:r>
        <w:rPr>
          <w:rFonts w:cs="Times New Roman" w:hint="eastAsia"/>
          <w:kern w:val="21"/>
        </w:rPr>
        <w:t>厂</w:t>
      </w:r>
      <w:r>
        <w:rPr>
          <w:rFonts w:cs="Times New Roman"/>
          <w:kern w:val="21"/>
        </w:rPr>
        <w:t>界距离衰减和隔声屏障，项目运营过程中产生的噪声能够满足《工业企业厂界环境噪声排放标准》（</w:t>
      </w:r>
      <w:r>
        <w:rPr>
          <w:rFonts w:cs="Times New Roman"/>
          <w:kern w:val="21"/>
        </w:rPr>
        <w:t>GB12348-2008</w:t>
      </w:r>
      <w:r>
        <w:rPr>
          <w:rFonts w:cs="Times New Roman"/>
          <w:kern w:val="21"/>
        </w:rPr>
        <w:t>）中的</w:t>
      </w:r>
      <w:r>
        <w:rPr>
          <w:rFonts w:cs="Times New Roman"/>
          <w:kern w:val="21"/>
        </w:rPr>
        <w:t>2</w:t>
      </w:r>
      <w:r>
        <w:rPr>
          <w:rFonts w:cs="Times New Roman"/>
          <w:kern w:val="21"/>
        </w:rPr>
        <w:t>类标准。</w:t>
      </w:r>
    </w:p>
    <w:p w14:paraId="398F4C3C"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lastRenderedPageBreak/>
        <w:t>固体废物产生及治理措施</w:t>
      </w:r>
    </w:p>
    <w:p w14:paraId="496C6E04" w14:textId="77777777" w:rsidR="00544649" w:rsidRDefault="00000000">
      <w:pPr>
        <w:adjustRightInd w:val="0"/>
        <w:snapToGrid w:val="0"/>
        <w:spacing w:after="0"/>
        <w:ind w:firstLine="480"/>
        <w:rPr>
          <w:rFonts w:cs="Times New Roman"/>
          <w:kern w:val="21"/>
        </w:rPr>
      </w:pPr>
      <w:r>
        <w:rPr>
          <w:rFonts w:cs="Times New Roman"/>
          <w:kern w:val="21"/>
        </w:rPr>
        <w:t>根据工艺流程</w:t>
      </w:r>
      <w:proofErr w:type="gramStart"/>
      <w:r>
        <w:rPr>
          <w:rFonts w:cs="Times New Roman"/>
          <w:kern w:val="21"/>
        </w:rPr>
        <w:t>和产污环节</w:t>
      </w:r>
      <w:proofErr w:type="gramEnd"/>
      <w:r>
        <w:rPr>
          <w:rFonts w:cs="Times New Roman"/>
          <w:kern w:val="21"/>
        </w:rPr>
        <w:t>分析结果，</w:t>
      </w:r>
      <w:r>
        <w:rPr>
          <w:rFonts w:cs="Times New Roman" w:hint="eastAsia"/>
          <w:kern w:val="21"/>
        </w:rPr>
        <w:t>本</w:t>
      </w:r>
      <w:r>
        <w:rPr>
          <w:rFonts w:cs="Times New Roman"/>
          <w:kern w:val="21"/>
        </w:rPr>
        <w:t>项目运营期产生的固体废物主要为鸡粪、饲料残渣及散落羽毛、</w:t>
      </w:r>
      <w:r>
        <w:rPr>
          <w:rFonts w:cs="Times New Roman" w:hint="eastAsia"/>
          <w:kern w:val="21"/>
        </w:rPr>
        <w:t>废垫料、不合格鸡蛋</w:t>
      </w:r>
      <w:r>
        <w:rPr>
          <w:rFonts w:cs="Times New Roman"/>
          <w:kern w:val="21"/>
        </w:rPr>
        <w:t>、病死鸡、</w:t>
      </w:r>
      <w:r>
        <w:rPr>
          <w:rFonts w:cs="Times New Roman" w:hint="eastAsia"/>
          <w:kern w:val="21"/>
        </w:rPr>
        <w:t>畜禽医疗废物</w:t>
      </w:r>
      <w:r>
        <w:rPr>
          <w:rFonts w:cs="Times New Roman"/>
          <w:kern w:val="21"/>
        </w:rPr>
        <w:t>、</w:t>
      </w:r>
      <w:r>
        <w:rPr>
          <w:rFonts w:cs="Times New Roman" w:hint="eastAsia"/>
          <w:kern w:val="21"/>
        </w:rPr>
        <w:t>鸡蛋喷油废油桶、废包装材料、</w:t>
      </w:r>
      <w:r>
        <w:rPr>
          <w:rFonts w:cs="Times New Roman"/>
          <w:kern w:val="21"/>
        </w:rPr>
        <w:t>生活垃圾及餐厨垃圾</w:t>
      </w:r>
      <w:r>
        <w:rPr>
          <w:rFonts w:cs="Times New Roman" w:hint="eastAsia"/>
          <w:kern w:val="21"/>
        </w:rPr>
        <w:t>、废润滑油、废润滑油桶、废含油抹布及手套、废紫外线灯管、废柴油桶、污水处理站污泥</w:t>
      </w:r>
      <w:r>
        <w:rPr>
          <w:rFonts w:cs="Times New Roman"/>
          <w:kern w:val="21"/>
        </w:rPr>
        <w:t>。</w:t>
      </w:r>
    </w:p>
    <w:p w14:paraId="5FC56F96" w14:textId="77777777" w:rsidR="00544649" w:rsidRDefault="00000000">
      <w:pPr>
        <w:adjustRightInd w:val="0"/>
        <w:snapToGrid w:val="0"/>
        <w:spacing w:after="0"/>
        <w:ind w:firstLine="482"/>
        <w:rPr>
          <w:rFonts w:cs="Times New Roman"/>
          <w:b/>
          <w:bCs/>
          <w:kern w:val="21"/>
        </w:rPr>
      </w:pPr>
      <w:r>
        <w:rPr>
          <w:rFonts w:cs="Times New Roman" w:hint="eastAsia"/>
          <w:b/>
          <w:bCs/>
          <w:kern w:val="21"/>
        </w:rPr>
        <w:t>1</w:t>
      </w:r>
      <w:r>
        <w:rPr>
          <w:rFonts w:cs="Times New Roman" w:hint="eastAsia"/>
          <w:b/>
          <w:bCs/>
          <w:kern w:val="21"/>
        </w:rPr>
        <w:t>、</w:t>
      </w:r>
      <w:r>
        <w:rPr>
          <w:rFonts w:cs="Times New Roman"/>
          <w:b/>
          <w:bCs/>
          <w:kern w:val="21"/>
        </w:rPr>
        <w:t>一般固废</w:t>
      </w:r>
    </w:p>
    <w:p w14:paraId="3456A90E" w14:textId="77777777" w:rsidR="00544649" w:rsidRDefault="00000000">
      <w:pPr>
        <w:adjustRightInd w:val="0"/>
        <w:snapToGrid w:val="0"/>
        <w:spacing w:after="0"/>
        <w:ind w:firstLine="482"/>
        <w:rPr>
          <w:rFonts w:cs="Times New Roman"/>
          <w:b/>
          <w:bCs/>
          <w:kern w:val="21"/>
        </w:rPr>
      </w:pPr>
      <w:bookmarkStart w:id="243" w:name="_Hlk185445944"/>
      <w:r>
        <w:rPr>
          <w:rFonts w:cs="Times New Roman" w:hint="eastAsia"/>
          <w:b/>
          <w:bCs/>
          <w:kern w:val="21"/>
        </w:rPr>
        <w:t>（</w:t>
      </w:r>
      <w:r>
        <w:rPr>
          <w:rFonts w:cs="Times New Roman" w:hint="eastAsia"/>
          <w:b/>
          <w:bCs/>
          <w:kern w:val="21"/>
        </w:rPr>
        <w:t>1</w:t>
      </w:r>
      <w:r>
        <w:rPr>
          <w:rFonts w:cs="Times New Roman" w:hint="eastAsia"/>
          <w:b/>
          <w:bCs/>
          <w:kern w:val="21"/>
        </w:rPr>
        <w:t>）</w:t>
      </w:r>
      <w:r>
        <w:rPr>
          <w:rFonts w:cs="Times New Roman"/>
          <w:b/>
          <w:bCs/>
          <w:kern w:val="21"/>
        </w:rPr>
        <w:t>鸡粪</w:t>
      </w:r>
    </w:p>
    <w:bookmarkEnd w:id="243"/>
    <w:p w14:paraId="51263319" w14:textId="77777777" w:rsidR="00544649" w:rsidRDefault="00000000">
      <w:pPr>
        <w:pStyle w:val="af5"/>
        <w:widowControl/>
        <w:adjustRightInd w:val="0"/>
        <w:snapToGrid w:val="0"/>
        <w:spacing w:beforeAutospacing="0" w:after="0" w:afterAutospacing="0"/>
        <w:ind w:firstLine="480"/>
        <w:jc w:val="both"/>
        <w:rPr>
          <w:kern w:val="21"/>
        </w:rPr>
      </w:pPr>
      <w:r>
        <w:rPr>
          <w:kern w:val="21"/>
        </w:rPr>
        <w:t>鸡粪属于《一般固体废物分类与代码》</w:t>
      </w:r>
      <w:r>
        <w:rPr>
          <w:rFonts w:hint="eastAsia"/>
          <w:kern w:val="21"/>
        </w:rPr>
        <w:t>（</w:t>
      </w:r>
      <w:r>
        <w:rPr>
          <w:kern w:val="21"/>
        </w:rPr>
        <w:t>GB/T39198-2020</w:t>
      </w:r>
      <w:r>
        <w:rPr>
          <w:rFonts w:hint="eastAsia"/>
          <w:kern w:val="21"/>
        </w:rPr>
        <w:t>）</w:t>
      </w:r>
      <w:r>
        <w:rPr>
          <w:kern w:val="21"/>
        </w:rPr>
        <w:t>表</w:t>
      </w:r>
      <w:r>
        <w:rPr>
          <w:kern w:val="21"/>
        </w:rPr>
        <w:t>1</w:t>
      </w:r>
      <w:r>
        <w:rPr>
          <w:kern w:val="21"/>
        </w:rPr>
        <w:t>中一般固体废物</w:t>
      </w:r>
      <w:r>
        <w:rPr>
          <w:rFonts w:hint="eastAsia"/>
          <w:kern w:val="21"/>
        </w:rPr>
        <w:t>-</w:t>
      </w:r>
      <w:r>
        <w:rPr>
          <w:kern w:val="21"/>
        </w:rPr>
        <w:t>33</w:t>
      </w:r>
      <w:r>
        <w:rPr>
          <w:kern w:val="21"/>
        </w:rPr>
        <w:t>畜禽粪肥</w:t>
      </w:r>
      <w:r>
        <w:rPr>
          <w:rFonts w:hint="eastAsia"/>
          <w:kern w:val="21"/>
        </w:rPr>
        <w:t>。鸡粪日产日清</w:t>
      </w:r>
      <w:r>
        <w:rPr>
          <w:kern w:val="21"/>
        </w:rPr>
        <w:t>，清理时先启动鸡粪传送带，</w:t>
      </w:r>
      <w:proofErr w:type="gramStart"/>
      <w:r>
        <w:rPr>
          <w:kern w:val="21"/>
        </w:rPr>
        <w:t>利用刮粪板</w:t>
      </w:r>
      <w:proofErr w:type="gramEnd"/>
      <w:r>
        <w:rPr>
          <w:kern w:val="21"/>
        </w:rPr>
        <w:t>把全部鸡粪从纵向传送带刮入横向传送带，再由横向传送带</w:t>
      </w:r>
      <w:r>
        <w:rPr>
          <w:rFonts w:hint="eastAsia"/>
          <w:kern w:val="21"/>
        </w:rPr>
        <w:t>将鸡粪密闭</w:t>
      </w:r>
      <w:r>
        <w:rPr>
          <w:kern w:val="21"/>
        </w:rPr>
        <w:t>输送至</w:t>
      </w:r>
      <w:r>
        <w:rPr>
          <w:rFonts w:hint="eastAsia"/>
          <w:kern w:val="21"/>
        </w:rPr>
        <w:t>密闭</w:t>
      </w:r>
      <w:r>
        <w:rPr>
          <w:kern w:val="21"/>
        </w:rPr>
        <w:t>粪车</w:t>
      </w:r>
      <w:r>
        <w:rPr>
          <w:rFonts w:hint="eastAsia"/>
          <w:kern w:val="21"/>
        </w:rPr>
        <w:t>，本项目鸡粪日产日清，运至四川省田宝生物科技有限公司</w:t>
      </w:r>
      <w:r>
        <w:rPr>
          <w:kern w:val="21"/>
        </w:rPr>
        <w:t>进行有机肥生产</w:t>
      </w:r>
      <w:r>
        <w:rPr>
          <w:rFonts w:hint="eastAsia"/>
          <w:kern w:val="21"/>
        </w:rPr>
        <w:t>，资源综合利用，不外排</w:t>
      </w:r>
      <w:r>
        <w:rPr>
          <w:kern w:val="21"/>
        </w:rPr>
        <w:t>。</w:t>
      </w:r>
    </w:p>
    <w:p w14:paraId="6897AB9C" w14:textId="77777777" w:rsidR="00544649" w:rsidRDefault="00000000">
      <w:pPr>
        <w:adjustRightInd w:val="0"/>
        <w:snapToGrid w:val="0"/>
        <w:spacing w:after="0"/>
        <w:ind w:firstLine="482"/>
        <w:rPr>
          <w:rFonts w:cs="Times New Roman"/>
          <w:b/>
          <w:bCs/>
          <w:kern w:val="21"/>
        </w:rPr>
      </w:pPr>
      <w:bookmarkStart w:id="244" w:name="_Hlk185445965"/>
      <w:r>
        <w:rPr>
          <w:rFonts w:cs="Times New Roman" w:hint="eastAsia"/>
          <w:b/>
          <w:bCs/>
          <w:kern w:val="21"/>
        </w:rPr>
        <w:t>（</w:t>
      </w:r>
      <w:r>
        <w:rPr>
          <w:rFonts w:cs="Times New Roman" w:hint="eastAsia"/>
          <w:b/>
          <w:bCs/>
          <w:kern w:val="21"/>
        </w:rPr>
        <w:t>2</w:t>
      </w:r>
      <w:r>
        <w:rPr>
          <w:rFonts w:cs="Times New Roman" w:hint="eastAsia"/>
          <w:b/>
          <w:bCs/>
          <w:kern w:val="21"/>
        </w:rPr>
        <w:t>）</w:t>
      </w:r>
      <w:r>
        <w:rPr>
          <w:rFonts w:cs="Times New Roman"/>
          <w:b/>
          <w:bCs/>
          <w:kern w:val="21"/>
        </w:rPr>
        <w:t>散落羽毛</w:t>
      </w:r>
    </w:p>
    <w:p w14:paraId="05EEE01E" w14:textId="77777777" w:rsidR="00544649" w:rsidRDefault="00000000">
      <w:pPr>
        <w:autoSpaceDE w:val="0"/>
        <w:autoSpaceDN w:val="0"/>
        <w:adjustRightInd w:val="0"/>
        <w:snapToGrid w:val="0"/>
        <w:spacing w:after="0"/>
        <w:ind w:firstLine="480"/>
        <w:rPr>
          <w:szCs w:val="21"/>
        </w:rPr>
      </w:pPr>
      <w:r>
        <w:rPr>
          <w:rFonts w:cs="Times New Roman"/>
          <w:kern w:val="21"/>
        </w:rPr>
        <w:t>散落羽毛属于《一般固体废物分类与代码》</w:t>
      </w:r>
      <w:r>
        <w:rPr>
          <w:rFonts w:cs="Times New Roman" w:hint="eastAsia"/>
          <w:kern w:val="21"/>
        </w:rPr>
        <w:t>（</w:t>
      </w:r>
      <w:r>
        <w:rPr>
          <w:rFonts w:cs="Times New Roman"/>
          <w:kern w:val="21"/>
        </w:rPr>
        <w:t>GB/T39198-2020</w:t>
      </w:r>
      <w:r>
        <w:rPr>
          <w:rFonts w:cs="Times New Roman" w:hint="eastAsia"/>
          <w:kern w:val="21"/>
        </w:rPr>
        <w:t>）</w:t>
      </w:r>
      <w:r>
        <w:rPr>
          <w:rFonts w:cs="Times New Roman"/>
          <w:kern w:val="21"/>
        </w:rPr>
        <w:t>表</w:t>
      </w:r>
      <w:r>
        <w:rPr>
          <w:rFonts w:cs="Times New Roman"/>
          <w:kern w:val="21"/>
        </w:rPr>
        <w:t>1</w:t>
      </w:r>
      <w:r>
        <w:rPr>
          <w:rFonts w:cs="Times New Roman"/>
          <w:kern w:val="21"/>
        </w:rPr>
        <w:t>中</w:t>
      </w:r>
      <w:r>
        <w:rPr>
          <w:rFonts w:cs="Times New Roman" w:hint="eastAsia"/>
          <w:kern w:val="21"/>
        </w:rPr>
        <w:t>非特定行业生产过程中产生的一般固体废物，环评要求：在项目正式投运前，建设单位与</w:t>
      </w:r>
      <w:r>
        <w:rPr>
          <w:rFonts w:hint="eastAsia"/>
          <w:szCs w:val="21"/>
        </w:rPr>
        <w:t>有合法手续及处理能力的有机肥公司签订处置协议，</w:t>
      </w:r>
      <w:r>
        <w:rPr>
          <w:szCs w:val="21"/>
        </w:rPr>
        <w:t>羽毛</w:t>
      </w:r>
      <w:r>
        <w:rPr>
          <w:rFonts w:hint="eastAsia"/>
          <w:szCs w:val="21"/>
        </w:rPr>
        <w:t>收集后交由有机肥公司处理</w:t>
      </w:r>
      <w:r>
        <w:rPr>
          <w:szCs w:val="21"/>
        </w:rPr>
        <w:t>。</w:t>
      </w:r>
    </w:p>
    <w:p w14:paraId="38189AD8"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3</w:t>
      </w:r>
      <w:r>
        <w:rPr>
          <w:rFonts w:cs="Times New Roman" w:hint="eastAsia"/>
          <w:b/>
          <w:bCs/>
          <w:kern w:val="21"/>
        </w:rPr>
        <w:t>）饲料残渣</w:t>
      </w:r>
    </w:p>
    <w:p w14:paraId="47E517E5" w14:textId="77777777" w:rsidR="00544649" w:rsidRDefault="00000000">
      <w:pPr>
        <w:autoSpaceDE w:val="0"/>
        <w:autoSpaceDN w:val="0"/>
        <w:adjustRightInd w:val="0"/>
        <w:snapToGrid w:val="0"/>
        <w:spacing w:after="0"/>
        <w:ind w:firstLine="480"/>
        <w:rPr>
          <w:szCs w:val="21"/>
        </w:rPr>
      </w:pPr>
      <w:r>
        <w:rPr>
          <w:rFonts w:cs="Times New Roman"/>
          <w:kern w:val="21"/>
        </w:rPr>
        <w:t>饲料残渣属于《一般固体废物分类与代码》</w:t>
      </w:r>
      <w:r>
        <w:rPr>
          <w:rFonts w:cs="Times New Roman" w:hint="eastAsia"/>
          <w:kern w:val="21"/>
        </w:rPr>
        <w:t>（</w:t>
      </w:r>
      <w:r>
        <w:rPr>
          <w:rFonts w:cs="Times New Roman"/>
          <w:kern w:val="21"/>
        </w:rPr>
        <w:t>GB/T39198-2020</w:t>
      </w:r>
      <w:r>
        <w:rPr>
          <w:rFonts w:cs="Times New Roman" w:hint="eastAsia"/>
          <w:kern w:val="21"/>
        </w:rPr>
        <w:t>）</w:t>
      </w:r>
      <w:r>
        <w:rPr>
          <w:rFonts w:cs="Times New Roman"/>
          <w:kern w:val="21"/>
        </w:rPr>
        <w:t>表</w:t>
      </w:r>
      <w:r>
        <w:rPr>
          <w:rFonts w:cs="Times New Roman"/>
          <w:kern w:val="21"/>
        </w:rPr>
        <w:t>1</w:t>
      </w:r>
      <w:r>
        <w:rPr>
          <w:rFonts w:cs="Times New Roman"/>
          <w:kern w:val="21"/>
        </w:rPr>
        <w:t>中</w:t>
      </w:r>
      <w:r>
        <w:rPr>
          <w:rFonts w:cs="Times New Roman" w:hint="eastAsia"/>
          <w:kern w:val="21"/>
        </w:rPr>
        <w:t>非特定行业生产过程中产生的一般固体废物，环评要求：在项目正式投运前，建设单位与</w:t>
      </w:r>
      <w:r>
        <w:rPr>
          <w:rFonts w:hint="eastAsia"/>
          <w:szCs w:val="21"/>
        </w:rPr>
        <w:t>有合法手续及处理能力的有机肥公司签订处置协议，饲料残渣收集后交由有机肥公司处理</w:t>
      </w:r>
      <w:r>
        <w:rPr>
          <w:szCs w:val="21"/>
        </w:rPr>
        <w:t>。</w:t>
      </w:r>
    </w:p>
    <w:p w14:paraId="3AD27E63"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4</w:t>
      </w:r>
      <w:r>
        <w:rPr>
          <w:rFonts w:cs="Times New Roman" w:hint="eastAsia"/>
          <w:b/>
          <w:bCs/>
          <w:kern w:val="21"/>
        </w:rPr>
        <w:t>）</w:t>
      </w:r>
      <w:r>
        <w:rPr>
          <w:rFonts w:cs="Times New Roman"/>
          <w:b/>
          <w:bCs/>
          <w:kern w:val="21"/>
        </w:rPr>
        <w:t>病死鸡</w:t>
      </w:r>
    </w:p>
    <w:bookmarkEnd w:id="244"/>
    <w:p w14:paraId="29FD804F" w14:textId="77777777" w:rsidR="00544649" w:rsidRDefault="00000000">
      <w:pPr>
        <w:adjustRightInd w:val="0"/>
        <w:snapToGrid w:val="0"/>
        <w:spacing w:after="0"/>
        <w:ind w:firstLine="480"/>
        <w:rPr>
          <w:rFonts w:cs="Times New Roman"/>
          <w:kern w:val="21"/>
        </w:rPr>
      </w:pPr>
      <w:r>
        <w:rPr>
          <w:rFonts w:cs="Times New Roman"/>
          <w:kern w:val="21"/>
        </w:rPr>
        <w:t>根据中华人民共和国国务院第</w:t>
      </w:r>
      <w:r>
        <w:rPr>
          <w:rFonts w:cs="Times New Roman"/>
          <w:kern w:val="21"/>
        </w:rPr>
        <w:t>450</w:t>
      </w:r>
      <w:r>
        <w:rPr>
          <w:rFonts w:cs="Times New Roman"/>
          <w:kern w:val="21"/>
        </w:rPr>
        <w:t>号令《重大动物疫情应急条例》，畜禽养殖业出现重大疫情和传染病时，政府监管部门和养殖业主对出现的病、死畜禽采取集中应急销毁处理制度，此时出现的病、死畜禽不属于养殖业主无害化处理范围。因此，当发生疫情等突发事件时，应按照当地政府相关要求进行防疫。</w:t>
      </w:r>
    </w:p>
    <w:p w14:paraId="1A59778F" w14:textId="77777777" w:rsidR="00544649" w:rsidRDefault="00000000">
      <w:pPr>
        <w:adjustRightInd w:val="0"/>
        <w:snapToGrid w:val="0"/>
        <w:spacing w:after="0"/>
        <w:ind w:firstLine="480"/>
        <w:rPr>
          <w:b/>
          <w:bCs/>
          <w:kern w:val="21"/>
        </w:rPr>
      </w:pPr>
      <w:r>
        <w:rPr>
          <w:rFonts w:cs="Times New Roman"/>
          <w:kern w:val="21"/>
        </w:rPr>
        <w:t>本项目病死鸡</w:t>
      </w:r>
      <w:r>
        <w:rPr>
          <w:rFonts w:cs="Times New Roman" w:hint="eastAsia"/>
          <w:kern w:val="21"/>
        </w:rPr>
        <w:t>暂存于病检室内放置的冰柜中（有效容积</w:t>
      </w:r>
      <w:r>
        <w:rPr>
          <w:rFonts w:cs="Times New Roman" w:hint="eastAsia"/>
          <w:kern w:val="21"/>
        </w:rPr>
        <w:t>1.5m</w:t>
      </w:r>
      <w:r>
        <w:rPr>
          <w:rFonts w:cs="Times New Roman" w:hint="eastAsia"/>
          <w:kern w:val="21"/>
          <w:vertAlign w:val="superscript"/>
        </w:rPr>
        <w:t>3</w:t>
      </w:r>
      <w:r>
        <w:rPr>
          <w:rFonts w:cs="Times New Roman" w:hint="eastAsia"/>
          <w:kern w:val="21"/>
        </w:rPr>
        <w:t>），产生当日由广元</w:t>
      </w:r>
      <w:proofErr w:type="gramStart"/>
      <w:r>
        <w:rPr>
          <w:rFonts w:cs="Times New Roman" w:hint="eastAsia"/>
          <w:kern w:val="21"/>
        </w:rPr>
        <w:t>市朗坤环保</w:t>
      </w:r>
      <w:proofErr w:type="gramEnd"/>
      <w:r>
        <w:rPr>
          <w:rFonts w:cs="Times New Roman" w:hint="eastAsia"/>
          <w:kern w:val="21"/>
        </w:rPr>
        <w:t>有限公司使用专业车辆到项目养殖场转运病死鸡，最终由广元</w:t>
      </w:r>
      <w:proofErr w:type="gramStart"/>
      <w:r>
        <w:rPr>
          <w:rFonts w:cs="Times New Roman" w:hint="eastAsia"/>
          <w:kern w:val="21"/>
        </w:rPr>
        <w:t>市朗坤环保</w:t>
      </w:r>
      <w:proofErr w:type="gramEnd"/>
      <w:r>
        <w:rPr>
          <w:rFonts w:cs="Times New Roman" w:hint="eastAsia"/>
          <w:kern w:val="21"/>
        </w:rPr>
        <w:t>有限公司进行统一无害化处理。</w:t>
      </w:r>
    </w:p>
    <w:p w14:paraId="754C62F1" w14:textId="77777777" w:rsidR="00544649" w:rsidRDefault="00000000">
      <w:pPr>
        <w:adjustRightInd w:val="0"/>
        <w:snapToGrid w:val="0"/>
        <w:spacing w:after="0"/>
        <w:ind w:firstLine="482"/>
        <w:rPr>
          <w:rFonts w:cs="Times New Roman"/>
          <w:b/>
          <w:bCs/>
          <w:kern w:val="21"/>
        </w:rPr>
      </w:pPr>
      <w:bookmarkStart w:id="245" w:name="_Hlk185445980"/>
      <w:r>
        <w:rPr>
          <w:rFonts w:cs="Times New Roman" w:hint="eastAsia"/>
          <w:b/>
          <w:bCs/>
          <w:kern w:val="21"/>
        </w:rPr>
        <w:t>（</w:t>
      </w:r>
      <w:r>
        <w:rPr>
          <w:rFonts w:cs="Times New Roman" w:hint="eastAsia"/>
          <w:b/>
          <w:bCs/>
          <w:kern w:val="21"/>
        </w:rPr>
        <w:t>4</w:t>
      </w:r>
      <w:r>
        <w:rPr>
          <w:rFonts w:cs="Times New Roman" w:hint="eastAsia"/>
          <w:b/>
          <w:bCs/>
          <w:kern w:val="21"/>
        </w:rPr>
        <w:t>）不合格鸡蛋</w:t>
      </w:r>
    </w:p>
    <w:p w14:paraId="0E7CA806" w14:textId="77777777" w:rsidR="00544649" w:rsidRDefault="00000000">
      <w:pPr>
        <w:autoSpaceDE w:val="0"/>
        <w:autoSpaceDN w:val="0"/>
        <w:adjustRightInd w:val="0"/>
        <w:snapToGrid w:val="0"/>
        <w:spacing w:after="0"/>
        <w:ind w:firstLine="480"/>
        <w:rPr>
          <w:rFonts w:cs="Times New Roman"/>
          <w:kern w:val="21"/>
        </w:rPr>
      </w:pPr>
      <w:r>
        <w:rPr>
          <w:rFonts w:cs="Times New Roman" w:hint="eastAsia"/>
          <w:kern w:val="21"/>
        </w:rPr>
        <w:t>不合格鸡蛋</w:t>
      </w:r>
      <w:r>
        <w:rPr>
          <w:rFonts w:cs="Times New Roman"/>
          <w:kern w:val="21"/>
        </w:rPr>
        <w:t>属于《一般固体废物分类与代码》</w:t>
      </w:r>
      <w:r>
        <w:rPr>
          <w:rFonts w:cs="Times New Roman" w:hint="eastAsia"/>
          <w:kern w:val="21"/>
        </w:rPr>
        <w:t>（</w:t>
      </w:r>
      <w:r>
        <w:rPr>
          <w:rFonts w:cs="Times New Roman"/>
          <w:kern w:val="21"/>
        </w:rPr>
        <w:t>GB/T39198-2020</w:t>
      </w:r>
      <w:r>
        <w:rPr>
          <w:rFonts w:cs="Times New Roman" w:hint="eastAsia"/>
          <w:kern w:val="21"/>
        </w:rPr>
        <w:t>）</w:t>
      </w:r>
      <w:r>
        <w:rPr>
          <w:rFonts w:cs="Times New Roman"/>
          <w:kern w:val="21"/>
        </w:rPr>
        <w:t>表</w:t>
      </w:r>
      <w:r>
        <w:rPr>
          <w:rFonts w:cs="Times New Roman"/>
          <w:kern w:val="21"/>
        </w:rPr>
        <w:t>1</w:t>
      </w:r>
      <w:r>
        <w:rPr>
          <w:rFonts w:cs="Times New Roman"/>
          <w:kern w:val="21"/>
        </w:rPr>
        <w:t>中食品、饮料等行业产生的一般固体废物</w:t>
      </w:r>
      <w:r>
        <w:rPr>
          <w:rFonts w:cs="Times New Roman"/>
          <w:kern w:val="21"/>
        </w:rPr>
        <w:t>——39</w:t>
      </w:r>
      <w:r>
        <w:rPr>
          <w:rFonts w:cs="Times New Roman"/>
          <w:kern w:val="21"/>
        </w:rPr>
        <w:t>其他食品加工废物，</w:t>
      </w:r>
      <w:r>
        <w:rPr>
          <w:rFonts w:cs="Times New Roman" w:hint="eastAsia"/>
          <w:kern w:val="21"/>
        </w:rPr>
        <w:t>环评要求：在项目正式投运</w:t>
      </w:r>
      <w:r>
        <w:rPr>
          <w:rFonts w:cs="Times New Roman" w:hint="eastAsia"/>
          <w:kern w:val="21"/>
        </w:rPr>
        <w:lastRenderedPageBreak/>
        <w:t>前，建设单位与</w:t>
      </w:r>
      <w:r>
        <w:rPr>
          <w:rFonts w:hint="eastAsia"/>
          <w:szCs w:val="21"/>
        </w:rPr>
        <w:t>有合法手续及处理能力的有机肥公司签订处置协议，不合格蛋品收集后交由有机肥公司处理</w:t>
      </w:r>
      <w:r>
        <w:rPr>
          <w:szCs w:val="21"/>
        </w:rPr>
        <w:t>。</w:t>
      </w:r>
    </w:p>
    <w:p w14:paraId="5F469404" w14:textId="77777777" w:rsidR="00544649" w:rsidRDefault="00000000">
      <w:pPr>
        <w:adjustRightInd w:val="0"/>
        <w:snapToGrid w:val="0"/>
        <w:spacing w:after="0"/>
        <w:ind w:firstLine="482"/>
        <w:rPr>
          <w:rFonts w:cs="Times New Roman"/>
          <w:kern w:val="21"/>
        </w:rPr>
      </w:pPr>
      <w:r>
        <w:rPr>
          <w:rFonts w:cs="Times New Roman" w:hint="eastAsia"/>
          <w:b/>
          <w:bCs/>
          <w:kern w:val="21"/>
        </w:rPr>
        <w:t>（</w:t>
      </w:r>
      <w:r>
        <w:rPr>
          <w:rFonts w:cs="Times New Roman" w:hint="eastAsia"/>
          <w:b/>
          <w:bCs/>
          <w:kern w:val="21"/>
        </w:rPr>
        <w:t>5</w:t>
      </w:r>
      <w:r>
        <w:rPr>
          <w:rFonts w:cs="Times New Roman" w:hint="eastAsia"/>
          <w:b/>
          <w:bCs/>
          <w:kern w:val="21"/>
        </w:rPr>
        <w:t>）</w:t>
      </w:r>
      <w:r>
        <w:rPr>
          <w:rFonts w:cs="Times New Roman"/>
          <w:b/>
          <w:bCs/>
          <w:kern w:val="21"/>
        </w:rPr>
        <w:t>生活垃圾</w:t>
      </w:r>
    </w:p>
    <w:p w14:paraId="31A9533E" w14:textId="77777777" w:rsidR="00544649" w:rsidRDefault="00000000">
      <w:pPr>
        <w:adjustRightInd w:val="0"/>
        <w:snapToGrid w:val="0"/>
        <w:spacing w:after="0"/>
        <w:ind w:firstLine="480"/>
        <w:rPr>
          <w:rFonts w:cs="Times New Roman"/>
          <w:kern w:val="21"/>
        </w:rPr>
      </w:pPr>
      <w:r>
        <w:rPr>
          <w:rFonts w:cs="Times New Roman" w:hint="eastAsia"/>
          <w:kern w:val="21"/>
        </w:rPr>
        <w:t>本项目各场内设置有生活垃圾桶，</w:t>
      </w:r>
      <w:r>
        <w:rPr>
          <w:rFonts w:cs="Times New Roman"/>
          <w:kern w:val="21"/>
        </w:rPr>
        <w:t>生活垃圾及时收集后转运至垃圾中转站，由环卫部门统一处理。</w:t>
      </w:r>
    </w:p>
    <w:p w14:paraId="47EB39AE"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6</w:t>
      </w:r>
      <w:r>
        <w:rPr>
          <w:rFonts w:cs="Times New Roman" w:hint="eastAsia"/>
          <w:b/>
          <w:bCs/>
          <w:kern w:val="21"/>
        </w:rPr>
        <w:t>）</w:t>
      </w:r>
      <w:r>
        <w:rPr>
          <w:rFonts w:cs="Times New Roman"/>
          <w:b/>
          <w:bCs/>
          <w:kern w:val="21"/>
        </w:rPr>
        <w:t>餐厨垃圾</w:t>
      </w:r>
      <w:r>
        <w:rPr>
          <w:rFonts w:cs="Times New Roman" w:hint="eastAsia"/>
          <w:b/>
          <w:bCs/>
          <w:kern w:val="21"/>
        </w:rPr>
        <w:t>（含隔油池浮油）</w:t>
      </w:r>
    </w:p>
    <w:p w14:paraId="66AFC3B2" w14:textId="77777777" w:rsidR="00544649" w:rsidRDefault="00000000">
      <w:pPr>
        <w:adjustRightInd w:val="0"/>
        <w:snapToGrid w:val="0"/>
        <w:spacing w:after="0"/>
        <w:ind w:firstLine="480"/>
        <w:rPr>
          <w:rFonts w:cs="Times New Roman"/>
          <w:kern w:val="21"/>
        </w:rPr>
      </w:pPr>
      <w:r>
        <w:rPr>
          <w:rFonts w:cs="Times New Roman"/>
          <w:kern w:val="21"/>
        </w:rPr>
        <w:t>报告要求建设单位将本项目产生的餐厨垃圾</w:t>
      </w:r>
      <w:r>
        <w:rPr>
          <w:rFonts w:cs="Times New Roman" w:hint="eastAsia"/>
          <w:kern w:val="21"/>
        </w:rPr>
        <w:t>（含隔油池浮油）</w:t>
      </w:r>
      <w:r>
        <w:rPr>
          <w:rFonts w:cs="Times New Roman"/>
          <w:kern w:val="21"/>
        </w:rPr>
        <w:t>交由餐厨垃圾处理资质单位处置。</w:t>
      </w:r>
    </w:p>
    <w:p w14:paraId="7FF36C8F"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7</w:t>
      </w:r>
      <w:r>
        <w:rPr>
          <w:rFonts w:cs="Times New Roman" w:hint="eastAsia"/>
          <w:b/>
          <w:bCs/>
          <w:kern w:val="21"/>
        </w:rPr>
        <w:t>）</w:t>
      </w:r>
      <w:r>
        <w:rPr>
          <w:rFonts w:cs="Times New Roman"/>
          <w:b/>
          <w:bCs/>
          <w:kern w:val="21"/>
        </w:rPr>
        <w:t>废包装材料</w:t>
      </w:r>
    </w:p>
    <w:p w14:paraId="3898B58B" w14:textId="77777777" w:rsidR="00544649" w:rsidRDefault="00000000">
      <w:pPr>
        <w:adjustRightInd w:val="0"/>
        <w:snapToGrid w:val="0"/>
        <w:spacing w:after="0"/>
        <w:ind w:firstLine="480"/>
        <w:rPr>
          <w:rFonts w:cs="Times New Roman"/>
          <w:kern w:val="21"/>
        </w:rPr>
      </w:pPr>
      <w:r>
        <w:rPr>
          <w:rFonts w:cs="Times New Roman" w:hint="eastAsia"/>
          <w:kern w:val="21"/>
        </w:rPr>
        <w:t>项目蛋库包装鲜鸡蛋过程会产生少量的废包装材料，</w:t>
      </w:r>
      <w:r>
        <w:rPr>
          <w:rFonts w:cs="Times New Roman"/>
          <w:kern w:val="21"/>
        </w:rPr>
        <w:t>属一般固体废物，</w:t>
      </w:r>
      <w:r>
        <w:rPr>
          <w:rFonts w:cs="Times New Roman" w:hint="eastAsia"/>
          <w:kern w:val="21"/>
        </w:rPr>
        <w:t>收集后外售废品回收站</w:t>
      </w:r>
      <w:r>
        <w:rPr>
          <w:rFonts w:cs="Times New Roman"/>
          <w:kern w:val="21"/>
        </w:rPr>
        <w:t>。</w:t>
      </w:r>
      <w:bookmarkEnd w:id="245"/>
    </w:p>
    <w:p w14:paraId="55795842"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8</w:t>
      </w:r>
      <w:r>
        <w:rPr>
          <w:rFonts w:cs="Times New Roman" w:hint="eastAsia"/>
          <w:b/>
          <w:bCs/>
          <w:kern w:val="21"/>
        </w:rPr>
        <w:t>）污水处理污泥</w:t>
      </w:r>
    </w:p>
    <w:p w14:paraId="053AE39D" w14:textId="77777777" w:rsidR="00544649" w:rsidRDefault="00000000">
      <w:pPr>
        <w:adjustRightInd w:val="0"/>
        <w:snapToGrid w:val="0"/>
        <w:spacing w:after="0"/>
        <w:ind w:firstLine="480"/>
      </w:pPr>
      <w:r>
        <w:rPr>
          <w:rFonts w:hint="eastAsia"/>
        </w:rPr>
        <w:t>根据《一般固体废物分类与代码》（</w:t>
      </w:r>
      <w:r>
        <w:rPr>
          <w:rFonts w:hint="eastAsia"/>
        </w:rPr>
        <w:t>GB/T39198-2020</w:t>
      </w:r>
      <w:r>
        <w:rPr>
          <w:rFonts w:hint="eastAsia"/>
        </w:rPr>
        <w:t>），污</w:t>
      </w:r>
      <w:r>
        <w:rPr>
          <w:rFonts w:cs="Times New Roman"/>
        </w:rPr>
        <w:t>泥属于</w:t>
      </w:r>
      <w:r>
        <w:rPr>
          <w:rFonts w:cs="Times New Roman" w:hint="eastAsia"/>
        </w:rPr>
        <w:t>“</w:t>
      </w:r>
      <w:r>
        <w:rPr>
          <w:rFonts w:cs="Times New Roman"/>
        </w:rPr>
        <w:t>Ⅵ</w:t>
      </w:r>
      <w:r>
        <w:rPr>
          <w:rFonts w:cs="Times New Roman" w:hint="eastAsia"/>
        </w:rPr>
        <w:t>非特定行业生产过程中产生的一般固体废物，代码</w:t>
      </w:r>
      <w:r>
        <w:rPr>
          <w:rFonts w:cs="Times New Roman" w:hint="eastAsia"/>
        </w:rPr>
        <w:t>462-001-62</w:t>
      </w:r>
      <w:r>
        <w:rPr>
          <w:rFonts w:cs="Times New Roman" w:hint="eastAsia"/>
        </w:rPr>
        <w:t>，污水处理及其再生利用过程中产生的有机废水污泥”</w:t>
      </w:r>
      <w:r>
        <w:rPr>
          <w:rFonts w:cs="Times New Roman"/>
        </w:rPr>
        <w:t>，污泥压滤机脱水处理后</w:t>
      </w:r>
      <w:r>
        <w:rPr>
          <w:rFonts w:cs="Times New Roman" w:hint="eastAsia"/>
        </w:rPr>
        <w:t>收集后交由有处理能力的公司</w:t>
      </w:r>
      <w:r>
        <w:rPr>
          <w:rFonts w:cs="Times New Roman"/>
        </w:rPr>
        <w:t>作为有机肥生产原料使用。</w:t>
      </w:r>
    </w:p>
    <w:p w14:paraId="3F3AA72C" w14:textId="77777777" w:rsidR="00544649" w:rsidRDefault="00000000">
      <w:pPr>
        <w:adjustRightInd w:val="0"/>
        <w:snapToGrid w:val="0"/>
        <w:spacing w:after="0"/>
        <w:ind w:firstLine="482"/>
        <w:rPr>
          <w:b/>
          <w:bCs/>
        </w:rPr>
      </w:pPr>
      <w:r>
        <w:rPr>
          <w:rFonts w:hint="eastAsia"/>
          <w:b/>
          <w:bCs/>
        </w:rPr>
        <w:t>（</w:t>
      </w:r>
      <w:r>
        <w:rPr>
          <w:rFonts w:hint="eastAsia"/>
          <w:b/>
          <w:bCs/>
        </w:rPr>
        <w:t>9</w:t>
      </w:r>
      <w:r>
        <w:rPr>
          <w:rFonts w:hint="eastAsia"/>
          <w:b/>
          <w:bCs/>
        </w:rPr>
        <w:t>）垫料</w:t>
      </w:r>
    </w:p>
    <w:p w14:paraId="482C121C" w14:textId="77777777" w:rsidR="00544649" w:rsidRDefault="00000000">
      <w:pPr>
        <w:adjustRightInd w:val="0"/>
        <w:snapToGrid w:val="0"/>
        <w:spacing w:after="0"/>
        <w:ind w:firstLine="480"/>
        <w:rPr>
          <w:rFonts w:cs="Times New Roman"/>
          <w:kern w:val="21"/>
        </w:rPr>
      </w:pPr>
      <w:r>
        <w:rPr>
          <w:rFonts w:cs="Times New Roman" w:hint="eastAsia"/>
          <w:kern w:val="21"/>
        </w:rPr>
        <w:t>本项目蛋鸡场每栋鸡舍外设置有蛋鸡室外活动区，场地铺设有垫料（木屑），根更换垫料</w:t>
      </w:r>
      <w:r>
        <w:rPr>
          <w:rFonts w:hint="eastAsia"/>
        </w:rPr>
        <w:t>收集后交由有处理能力的公司进行有机肥生产</w:t>
      </w:r>
      <w:r>
        <w:t>使用</w:t>
      </w:r>
      <w:r>
        <w:rPr>
          <w:rFonts w:cs="Times New Roman" w:hint="eastAsia"/>
          <w:kern w:val="21"/>
        </w:rPr>
        <w:t>。</w:t>
      </w:r>
    </w:p>
    <w:p w14:paraId="5DBF8ED1" w14:textId="77777777" w:rsidR="00544649" w:rsidRDefault="00000000">
      <w:pPr>
        <w:adjustRightInd w:val="0"/>
        <w:snapToGrid w:val="0"/>
        <w:spacing w:after="0"/>
        <w:ind w:firstLine="480"/>
        <w:rPr>
          <w:rFonts w:cs="Times New Roman"/>
          <w:kern w:val="21"/>
        </w:rPr>
      </w:pPr>
      <w:r>
        <w:rPr>
          <w:rFonts w:cs="Times New Roman" w:hint="eastAsia"/>
          <w:kern w:val="21"/>
        </w:rPr>
        <w:t>（</w:t>
      </w:r>
      <w:r>
        <w:rPr>
          <w:rFonts w:cs="Times New Roman" w:hint="eastAsia"/>
          <w:kern w:val="21"/>
        </w:rPr>
        <w:t>10</w:t>
      </w:r>
      <w:r>
        <w:rPr>
          <w:rFonts w:cs="Times New Roman" w:hint="eastAsia"/>
          <w:kern w:val="21"/>
        </w:rPr>
        <w:t>）鸡蛋喷油废油桶</w:t>
      </w:r>
    </w:p>
    <w:p w14:paraId="18D6CF2E" w14:textId="77777777" w:rsidR="00544649" w:rsidRDefault="00000000">
      <w:pPr>
        <w:adjustRightInd w:val="0"/>
        <w:snapToGrid w:val="0"/>
        <w:spacing w:after="0"/>
        <w:ind w:firstLine="480"/>
        <w:rPr>
          <w:rFonts w:cs="Times New Roman"/>
          <w:kern w:val="21"/>
        </w:rPr>
      </w:pPr>
      <w:r>
        <w:rPr>
          <w:rFonts w:cs="Times New Roman" w:hint="eastAsia"/>
          <w:kern w:val="21"/>
        </w:rPr>
        <w:t>本项目蛋品车间需采用食品级白油对蛋壳表面进行喷油，废油桶</w:t>
      </w:r>
      <w:r>
        <w:rPr>
          <w:rFonts w:cs="Times New Roman"/>
          <w:kern w:val="21"/>
        </w:rPr>
        <w:t>属于《一般固体废物分类与代码》</w:t>
      </w:r>
      <w:r>
        <w:rPr>
          <w:rFonts w:cs="Times New Roman" w:hint="eastAsia"/>
          <w:kern w:val="21"/>
        </w:rPr>
        <w:t>（</w:t>
      </w:r>
      <w:r>
        <w:rPr>
          <w:rFonts w:cs="Times New Roman"/>
          <w:kern w:val="21"/>
        </w:rPr>
        <w:t>GB/T39198-2020</w:t>
      </w:r>
      <w:r>
        <w:rPr>
          <w:rFonts w:cs="Times New Roman" w:hint="eastAsia"/>
          <w:kern w:val="21"/>
        </w:rPr>
        <w:t>）</w:t>
      </w:r>
      <w:r>
        <w:rPr>
          <w:rFonts w:cs="Times New Roman"/>
          <w:kern w:val="21"/>
        </w:rPr>
        <w:t>表</w:t>
      </w:r>
      <w:r>
        <w:rPr>
          <w:rFonts w:cs="Times New Roman"/>
          <w:kern w:val="21"/>
        </w:rPr>
        <w:t>1</w:t>
      </w:r>
      <w:r>
        <w:rPr>
          <w:rFonts w:cs="Times New Roman"/>
          <w:kern w:val="21"/>
        </w:rPr>
        <w:t>中食品、饮料等行业产生的一般固体废物</w:t>
      </w:r>
      <w:r>
        <w:rPr>
          <w:rFonts w:cs="Times New Roman"/>
          <w:kern w:val="21"/>
        </w:rPr>
        <w:t>——39</w:t>
      </w:r>
      <w:r>
        <w:rPr>
          <w:rFonts w:cs="Times New Roman"/>
          <w:kern w:val="21"/>
        </w:rPr>
        <w:t>其他食品加工废物</w:t>
      </w:r>
      <w:r>
        <w:rPr>
          <w:rFonts w:cs="Times New Roman" w:hint="eastAsia"/>
          <w:kern w:val="21"/>
        </w:rPr>
        <w:t>，经收集后交由环卫部门清运处置。</w:t>
      </w:r>
    </w:p>
    <w:p w14:paraId="03D6D6BB" w14:textId="77777777" w:rsidR="00544649" w:rsidRDefault="00000000">
      <w:pPr>
        <w:adjustRightInd w:val="0"/>
        <w:snapToGrid w:val="0"/>
        <w:spacing w:after="0"/>
        <w:ind w:firstLine="482"/>
        <w:rPr>
          <w:rFonts w:cs="Times New Roman"/>
          <w:b/>
          <w:bCs/>
          <w:kern w:val="21"/>
        </w:rPr>
      </w:pPr>
      <w:r>
        <w:rPr>
          <w:rFonts w:cs="Times New Roman" w:hint="eastAsia"/>
          <w:b/>
          <w:bCs/>
          <w:kern w:val="21"/>
        </w:rPr>
        <w:t>2</w:t>
      </w:r>
      <w:r>
        <w:rPr>
          <w:rFonts w:cs="Times New Roman" w:hint="eastAsia"/>
          <w:b/>
          <w:bCs/>
          <w:kern w:val="21"/>
        </w:rPr>
        <w:t>、</w:t>
      </w:r>
      <w:r>
        <w:rPr>
          <w:rFonts w:cs="Times New Roman"/>
          <w:b/>
          <w:bCs/>
          <w:kern w:val="21"/>
        </w:rPr>
        <w:t>危险废物</w:t>
      </w:r>
    </w:p>
    <w:p w14:paraId="5EFF9F11" w14:textId="77777777" w:rsidR="00544649" w:rsidRDefault="00000000">
      <w:pPr>
        <w:adjustRightInd w:val="0"/>
        <w:snapToGrid w:val="0"/>
        <w:spacing w:after="0"/>
        <w:ind w:firstLine="482"/>
        <w:rPr>
          <w:rFonts w:cs="Times New Roman"/>
          <w:kern w:val="21"/>
        </w:rPr>
      </w:pPr>
      <w:r>
        <w:rPr>
          <w:rFonts w:cs="Times New Roman"/>
          <w:b/>
          <w:kern w:val="21"/>
          <w:szCs w:val="24"/>
        </w:rPr>
        <w:t>环评要求：</w:t>
      </w:r>
    </w:p>
    <w:p w14:paraId="0F864737" w14:textId="77777777" w:rsidR="00544649" w:rsidRDefault="00000000">
      <w:pPr>
        <w:widowControl/>
        <w:adjustRightInd w:val="0"/>
        <w:snapToGrid w:val="0"/>
        <w:spacing w:after="0"/>
        <w:ind w:firstLine="480"/>
        <w:rPr>
          <w:rFonts w:cs="Times New Roman"/>
          <w:bCs/>
          <w:kern w:val="21"/>
          <w:szCs w:val="24"/>
        </w:rPr>
      </w:pPr>
      <w:r>
        <w:rPr>
          <w:rFonts w:cs="Times New Roman"/>
          <w:bCs/>
          <w:kern w:val="21"/>
          <w:szCs w:val="24"/>
        </w:rPr>
        <w:t>厂内产生固</w:t>
      </w:r>
      <w:proofErr w:type="gramStart"/>
      <w:r>
        <w:rPr>
          <w:rFonts w:cs="Times New Roman"/>
          <w:bCs/>
          <w:kern w:val="21"/>
          <w:szCs w:val="24"/>
        </w:rPr>
        <w:t>废必须</w:t>
      </w:r>
      <w:proofErr w:type="gramEnd"/>
      <w:r>
        <w:rPr>
          <w:rFonts w:cs="Times New Roman"/>
          <w:bCs/>
          <w:kern w:val="21"/>
          <w:szCs w:val="24"/>
        </w:rPr>
        <w:t>分类堆放，</w:t>
      </w:r>
      <w:r>
        <w:rPr>
          <w:rFonts w:cs="Times New Roman" w:hint="eastAsia"/>
          <w:bCs/>
          <w:kern w:val="21"/>
          <w:szCs w:val="24"/>
        </w:rPr>
        <w:t>项目</w:t>
      </w:r>
      <w:proofErr w:type="gramStart"/>
      <w:r>
        <w:rPr>
          <w:rFonts w:cs="Times New Roman" w:hint="eastAsia"/>
          <w:bCs/>
          <w:kern w:val="21"/>
          <w:szCs w:val="24"/>
        </w:rPr>
        <w:t>育雏场</w:t>
      </w:r>
      <w:proofErr w:type="gramEnd"/>
      <w:r>
        <w:rPr>
          <w:rFonts w:cs="Times New Roman" w:hint="eastAsia"/>
          <w:bCs/>
          <w:kern w:val="21"/>
          <w:szCs w:val="24"/>
        </w:rPr>
        <w:t>及蛋鸡场分别</w:t>
      </w:r>
      <w:r>
        <w:rPr>
          <w:rFonts w:cs="Times New Roman"/>
          <w:bCs/>
          <w:kern w:val="21"/>
          <w:szCs w:val="24"/>
        </w:rPr>
        <w:t>设</w:t>
      </w:r>
      <w:r>
        <w:rPr>
          <w:rFonts w:cs="Times New Roman" w:hint="eastAsia"/>
          <w:bCs/>
          <w:kern w:val="21"/>
          <w:szCs w:val="24"/>
        </w:rPr>
        <w:t>置一个危险废物</w:t>
      </w:r>
      <w:r>
        <w:rPr>
          <w:rFonts w:cs="Times New Roman"/>
          <w:bCs/>
          <w:kern w:val="21"/>
          <w:szCs w:val="24"/>
        </w:rPr>
        <w:t>暂存间</w:t>
      </w:r>
      <w:r>
        <w:rPr>
          <w:rFonts w:cs="Times New Roman" w:hint="eastAsia"/>
          <w:bCs/>
          <w:kern w:val="21"/>
          <w:szCs w:val="24"/>
        </w:rPr>
        <w:t>（</w:t>
      </w:r>
      <w:r>
        <w:rPr>
          <w:rFonts w:cs="Times New Roman" w:hint="eastAsia"/>
          <w:bCs/>
          <w:kern w:val="21"/>
          <w:szCs w:val="24"/>
        </w:rPr>
        <w:t>10m</w:t>
      </w:r>
      <w:r>
        <w:rPr>
          <w:rFonts w:cs="Times New Roman" w:hint="eastAsia"/>
          <w:bCs/>
          <w:kern w:val="21"/>
          <w:szCs w:val="24"/>
          <w:vertAlign w:val="superscript"/>
        </w:rPr>
        <w:t>2</w:t>
      </w:r>
      <w:r>
        <w:rPr>
          <w:rFonts w:cs="Times New Roman" w:hint="eastAsia"/>
          <w:bCs/>
          <w:kern w:val="21"/>
          <w:szCs w:val="24"/>
        </w:rPr>
        <w:t>），废润滑油、废润滑油桶、废含油抹布及手套、畜禽医疗废物、废紫外线灯管等暂存于本项目</w:t>
      </w:r>
      <w:proofErr w:type="gramStart"/>
      <w:r>
        <w:rPr>
          <w:rFonts w:cs="Times New Roman" w:hint="eastAsia"/>
          <w:bCs/>
          <w:kern w:val="21"/>
          <w:szCs w:val="24"/>
        </w:rPr>
        <w:t>场内危废暂存</w:t>
      </w:r>
      <w:proofErr w:type="gramEnd"/>
      <w:r>
        <w:rPr>
          <w:rFonts w:cs="Times New Roman" w:hint="eastAsia"/>
          <w:bCs/>
          <w:kern w:val="21"/>
          <w:szCs w:val="24"/>
        </w:rPr>
        <w:t>间。</w:t>
      </w:r>
      <w:r>
        <w:rPr>
          <w:rFonts w:cs="Times New Roman"/>
          <w:bCs/>
          <w:kern w:val="21"/>
          <w:szCs w:val="24"/>
        </w:rPr>
        <w:t>针对具体危险废物严格按照国家相关要求进行分类回收和存放，禁止将危险废物混入非危险废物中贮存；</w:t>
      </w:r>
      <w:proofErr w:type="gramStart"/>
      <w:r>
        <w:rPr>
          <w:rFonts w:cs="Times New Roman"/>
          <w:bCs/>
          <w:kern w:val="21"/>
          <w:szCs w:val="24"/>
        </w:rPr>
        <w:t>危废暂存</w:t>
      </w:r>
      <w:proofErr w:type="gramEnd"/>
      <w:r>
        <w:rPr>
          <w:rFonts w:cs="Times New Roman"/>
          <w:bCs/>
          <w:kern w:val="21"/>
          <w:szCs w:val="24"/>
        </w:rPr>
        <w:t>区必须按规范设计，拟采取人工防渗措施、废液收集措施</w:t>
      </w:r>
      <w:r>
        <w:rPr>
          <w:rFonts w:cs="Times New Roman"/>
          <w:kern w:val="21"/>
        </w:rPr>
        <w:t>，并进行</w:t>
      </w:r>
      <w:r>
        <w:rPr>
          <w:rFonts w:cs="Times New Roman" w:hint="eastAsia"/>
          <w:kern w:val="21"/>
        </w:rPr>
        <w:t>防风、防晒、防雨、防漏、防渗、防腐</w:t>
      </w:r>
      <w:r>
        <w:rPr>
          <w:rFonts w:cs="Times New Roman"/>
          <w:kern w:val="21"/>
        </w:rPr>
        <w:t>处理。</w:t>
      </w:r>
      <w:r>
        <w:rPr>
          <w:rFonts w:cs="Times New Roman"/>
          <w:bCs/>
          <w:kern w:val="21"/>
          <w:szCs w:val="24"/>
        </w:rPr>
        <w:t>项目危险废物在出厂前分类收集</w:t>
      </w:r>
      <w:proofErr w:type="gramStart"/>
      <w:r>
        <w:rPr>
          <w:rFonts w:cs="Times New Roman"/>
          <w:bCs/>
          <w:kern w:val="21"/>
          <w:szCs w:val="24"/>
        </w:rPr>
        <w:t>到危废桶</w:t>
      </w:r>
      <w:proofErr w:type="gramEnd"/>
      <w:r>
        <w:rPr>
          <w:rFonts w:cs="Times New Roman"/>
          <w:bCs/>
          <w:kern w:val="21"/>
          <w:szCs w:val="24"/>
        </w:rPr>
        <w:t>或料斗，由专业运输单位负责运输。</w:t>
      </w:r>
    </w:p>
    <w:p w14:paraId="56B950F8" w14:textId="77777777" w:rsidR="00544649" w:rsidRDefault="00000000">
      <w:pPr>
        <w:adjustRightInd w:val="0"/>
        <w:snapToGrid w:val="0"/>
        <w:spacing w:after="0"/>
        <w:ind w:firstLine="480"/>
        <w:rPr>
          <w:rFonts w:cs="Times New Roman"/>
          <w:kern w:val="21"/>
        </w:rPr>
      </w:pPr>
      <w:r>
        <w:rPr>
          <w:bCs/>
          <w:kern w:val="21"/>
        </w:rPr>
        <w:lastRenderedPageBreak/>
        <w:t>危险废物的运输过程应采取必要的风险防范与应急措施：危险废物的包装严格执行《危险货物运输包装通用技术条件》（</w:t>
      </w:r>
      <w:r>
        <w:rPr>
          <w:bCs/>
          <w:kern w:val="21"/>
        </w:rPr>
        <w:t>GB12463-</w:t>
      </w:r>
      <w:r>
        <w:rPr>
          <w:rFonts w:hint="eastAsia"/>
          <w:bCs/>
          <w:kern w:val="21"/>
        </w:rPr>
        <w:t>2009</w:t>
      </w:r>
      <w:r>
        <w:rPr>
          <w:bCs/>
          <w:kern w:val="21"/>
        </w:rPr>
        <w:t>），《危险货物运输包装标志》（</w:t>
      </w:r>
      <w:r>
        <w:rPr>
          <w:bCs/>
          <w:kern w:val="21"/>
        </w:rPr>
        <w:t>GB190</w:t>
      </w:r>
      <w:r>
        <w:rPr>
          <w:rFonts w:hint="eastAsia"/>
          <w:bCs/>
          <w:kern w:val="21"/>
        </w:rPr>
        <w:t>-2009</w:t>
      </w:r>
      <w:r>
        <w:rPr>
          <w:bCs/>
          <w:kern w:val="21"/>
        </w:rPr>
        <w:t>）规范</w:t>
      </w:r>
      <w:r>
        <w:rPr>
          <w:rFonts w:cs="Times New Roman"/>
          <w:kern w:val="21"/>
          <w:szCs w:val="24"/>
        </w:rPr>
        <w:t>要求</w:t>
      </w:r>
      <w:r>
        <w:rPr>
          <w:bCs/>
          <w:kern w:val="21"/>
        </w:rPr>
        <w:t>；在危险废物的收集与运输方面的管理中，严格执行《</w:t>
      </w:r>
      <w:r>
        <w:rPr>
          <w:rFonts w:hint="eastAsia"/>
          <w:bCs/>
          <w:kern w:val="21"/>
        </w:rPr>
        <w:t>危险废物转移管理办法</w:t>
      </w:r>
      <w:r>
        <w:rPr>
          <w:bCs/>
          <w:kern w:val="21"/>
        </w:rPr>
        <w:t>》、《道路危险货物运输管理规定》、《汽车危险货物运输规则》、《道路运输危险货物</w:t>
      </w:r>
      <w:r>
        <w:rPr>
          <w:rFonts w:cs="Times New Roman"/>
          <w:kern w:val="21"/>
          <w:szCs w:val="24"/>
        </w:rPr>
        <w:t>车辆</w:t>
      </w:r>
      <w:r>
        <w:rPr>
          <w:bCs/>
          <w:kern w:val="21"/>
        </w:rPr>
        <w:t>标志》等相关废物转移与道路运输法规；使用密闭式车辆运输，并尽可能安排在夜间或车辆较少的非高峰时段进行；车辆所载危险废物应注明废物来源、性质，不能混合运输性质不相容的危险废物，车辆应设置明显的危害标志，以便引起</w:t>
      </w:r>
      <w:r>
        <w:rPr>
          <w:rFonts w:hint="eastAsia"/>
          <w:bCs/>
          <w:kern w:val="21"/>
        </w:rPr>
        <w:t>其他</w:t>
      </w:r>
      <w:r>
        <w:rPr>
          <w:bCs/>
          <w:kern w:val="21"/>
        </w:rPr>
        <w:t>车辆的重视；避免在恶劣的天气进行运输作业；运输危险废物的单位应当制定在发生意外事故时采取的防范和应急措施；驾驶员应接受专业培训，具备有关化学危险品的专业知识，知晓所运送危险废物的性质，以配合有关部门的救援；一旦发生污染事故，能根据事先</w:t>
      </w:r>
      <w:r>
        <w:rPr>
          <w:rFonts w:hint="eastAsia"/>
          <w:bCs/>
          <w:kern w:val="21"/>
        </w:rPr>
        <w:t>制定</w:t>
      </w:r>
      <w:r>
        <w:rPr>
          <w:bCs/>
          <w:kern w:val="21"/>
        </w:rPr>
        <w:t>应急预案迅速做出反应，及时通知当地环保和卫生部门，采取应急措施，将损失减小到最低程度。</w:t>
      </w:r>
    </w:p>
    <w:p w14:paraId="1E64271E" w14:textId="77777777" w:rsidR="00544649" w:rsidRDefault="00000000">
      <w:pPr>
        <w:keepNext/>
        <w:keepLines/>
        <w:numPr>
          <w:ilvl w:val="1"/>
          <w:numId w:val="9"/>
        </w:numPr>
        <w:adjustRightInd w:val="0"/>
        <w:snapToGrid w:val="0"/>
        <w:spacing w:after="0"/>
        <w:ind w:firstLineChars="0"/>
        <w:outlineLvl w:val="1"/>
        <w:rPr>
          <w:rFonts w:cs="Times New Roman"/>
          <w:b/>
          <w:bCs/>
          <w:kern w:val="21"/>
          <w:sz w:val="28"/>
          <w:szCs w:val="28"/>
        </w:rPr>
      </w:pPr>
      <w:bookmarkStart w:id="246" w:name="_Toc195009851"/>
      <w:r>
        <w:rPr>
          <w:rFonts w:cs="Times New Roman" w:hint="eastAsia"/>
          <w:b/>
          <w:bCs/>
          <w:kern w:val="21"/>
          <w:sz w:val="32"/>
          <w:szCs w:val="32"/>
        </w:rPr>
        <w:t>总量控制</w:t>
      </w:r>
      <w:bookmarkEnd w:id="246"/>
    </w:p>
    <w:p w14:paraId="033D6865" w14:textId="77777777" w:rsidR="00544649" w:rsidRDefault="00000000">
      <w:pPr>
        <w:pStyle w:val="aff2"/>
        <w:adjustRightInd w:val="0"/>
        <w:snapToGrid w:val="0"/>
        <w:spacing w:after="0"/>
        <w:rPr>
          <w:rFonts w:ascii="Times New Roman" w:hAnsi="Times New Roman" w:cs="Times New Roman"/>
          <w:kern w:val="21"/>
        </w:rPr>
      </w:pPr>
      <w:r>
        <w:rPr>
          <w:rFonts w:cs="Times New Roman" w:hint="eastAsia"/>
          <w:kern w:val="21"/>
        </w:rPr>
        <w:t>贯彻落实国家和四川省污染物排放总量控制规划是实现环境保护目标的重大举措之一。实施总量控制将促进资源、能源的合理利用和优化配置，加速产业结构调整，实现经济增长方式的根本转变；实施总量控制可以较好地处理经济发展与环境保护之间的协调关系，推动可持续发展战略的实行。</w:t>
      </w:r>
    </w:p>
    <w:p w14:paraId="65DA8A89"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8"/>
        </w:rPr>
      </w:pPr>
      <w:bookmarkStart w:id="247" w:name="_Toc195009852"/>
      <w:r>
        <w:rPr>
          <w:rFonts w:cs="Times New Roman" w:hint="eastAsia"/>
          <w:b/>
          <w:bCs/>
          <w:kern w:val="21"/>
          <w:sz w:val="28"/>
          <w:szCs w:val="28"/>
        </w:rPr>
        <w:t>总量控制的目的与原则</w:t>
      </w:r>
      <w:bookmarkEnd w:id="247"/>
    </w:p>
    <w:p w14:paraId="0C018B2F" w14:textId="77777777" w:rsidR="00544649" w:rsidRDefault="00000000">
      <w:pPr>
        <w:adjustRightInd w:val="0"/>
        <w:snapToGrid w:val="0"/>
        <w:spacing w:after="0"/>
        <w:ind w:firstLine="480"/>
        <w:rPr>
          <w:rFonts w:cs="Times New Roman"/>
          <w:kern w:val="21"/>
        </w:rPr>
      </w:pPr>
      <w:r>
        <w:rPr>
          <w:rFonts w:cs="Times New Roman"/>
          <w:kern w:val="21"/>
        </w:rPr>
        <w:t>实施污染源总量控制，有利于科学揭示环境容量资源有限的事实，促进区域的环境容量资源的优化配置和生态工业体系的整体设计和形成，保证环境质量达标和区域可持续发展。</w:t>
      </w:r>
    </w:p>
    <w:p w14:paraId="32453349" w14:textId="77777777" w:rsidR="00544649" w:rsidRDefault="00000000">
      <w:pPr>
        <w:adjustRightInd w:val="0"/>
        <w:snapToGrid w:val="0"/>
        <w:spacing w:after="0"/>
        <w:ind w:firstLine="480"/>
        <w:rPr>
          <w:rFonts w:cs="Times New Roman"/>
          <w:kern w:val="21"/>
        </w:rPr>
      </w:pPr>
      <w:r>
        <w:rPr>
          <w:rFonts w:cs="Times New Roman"/>
          <w:kern w:val="21"/>
        </w:rPr>
        <w:t>公平合理原则。在总量确定阶段有污染源之间的平权原则：在污染负荷分配阶段有平方比例削减法、按贡献率削减污染源负荷的原则。</w:t>
      </w:r>
    </w:p>
    <w:p w14:paraId="23CD4D9D" w14:textId="77777777" w:rsidR="00544649" w:rsidRDefault="00000000">
      <w:pPr>
        <w:adjustRightInd w:val="0"/>
        <w:snapToGrid w:val="0"/>
        <w:spacing w:after="0"/>
        <w:ind w:firstLine="480"/>
        <w:rPr>
          <w:rFonts w:cs="Times New Roman"/>
          <w:kern w:val="21"/>
        </w:rPr>
      </w:pPr>
      <w:r>
        <w:rPr>
          <w:rFonts w:cs="Times New Roman"/>
          <w:kern w:val="21"/>
        </w:rPr>
        <w:t>经济优化原则。该原则以治理费用为目标函数，以环境目标值为约束条件，使系统的污染治理投资费用总和最小，求得各污染源的允许排放负荷。</w:t>
      </w:r>
    </w:p>
    <w:p w14:paraId="16274E90" w14:textId="77777777" w:rsidR="00544649" w:rsidRDefault="00000000">
      <w:pPr>
        <w:adjustRightInd w:val="0"/>
        <w:snapToGrid w:val="0"/>
        <w:spacing w:after="0"/>
        <w:ind w:firstLine="480"/>
        <w:rPr>
          <w:rFonts w:cs="Times New Roman"/>
          <w:kern w:val="21"/>
        </w:rPr>
      </w:pPr>
      <w:r>
        <w:rPr>
          <w:rFonts w:cs="Times New Roman"/>
          <w:kern w:val="21"/>
        </w:rPr>
        <w:t>有效性原则。在总量控制规划方案的实施中，一方面由于经济发展，环境目标的限制，不能一步到位，需分期实施。在实施过程中，还需依据社会经济的发展而不断修订。只有这样，总量控制方案才能得以在实践中实施。</w:t>
      </w:r>
    </w:p>
    <w:p w14:paraId="7CFDAB92"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8"/>
        </w:rPr>
      </w:pPr>
      <w:bookmarkStart w:id="248" w:name="_Toc195009853"/>
      <w:r>
        <w:rPr>
          <w:rFonts w:cs="Times New Roman" w:hint="eastAsia"/>
          <w:b/>
          <w:bCs/>
          <w:kern w:val="21"/>
          <w:sz w:val="28"/>
          <w:szCs w:val="28"/>
        </w:rPr>
        <w:t>总量建议</w:t>
      </w:r>
      <w:bookmarkEnd w:id="248"/>
    </w:p>
    <w:p w14:paraId="2AAC0843" w14:textId="77777777" w:rsidR="00544649" w:rsidRDefault="00000000">
      <w:pPr>
        <w:adjustRightInd w:val="0"/>
        <w:snapToGrid w:val="0"/>
        <w:spacing w:after="0"/>
        <w:ind w:firstLine="480"/>
        <w:rPr>
          <w:rFonts w:cs="Times New Roman"/>
          <w:kern w:val="21"/>
        </w:rPr>
      </w:pPr>
      <w:r>
        <w:rPr>
          <w:rFonts w:cs="Times New Roman"/>
          <w:kern w:val="21"/>
        </w:rPr>
        <w:t>本项目为养殖类项目，产生的废气主要为</w:t>
      </w:r>
      <w:r>
        <w:rPr>
          <w:rFonts w:cs="Times New Roman" w:hint="eastAsia"/>
          <w:kern w:val="21"/>
        </w:rPr>
        <w:t>鸡舍及污水处理站</w:t>
      </w:r>
      <w:r>
        <w:rPr>
          <w:rFonts w:cs="Times New Roman"/>
          <w:kern w:val="21"/>
        </w:rPr>
        <w:t>恶臭</w:t>
      </w:r>
      <w:r>
        <w:rPr>
          <w:rFonts w:cs="Times New Roman" w:hint="eastAsia"/>
          <w:kern w:val="21"/>
        </w:rPr>
        <w:t>、食堂油烟、天</w:t>
      </w:r>
      <w:r>
        <w:rPr>
          <w:rFonts w:cs="Times New Roman" w:hint="eastAsia"/>
          <w:kern w:val="21"/>
        </w:rPr>
        <w:lastRenderedPageBreak/>
        <w:t>然气加热设备燃烧废气、锅炉废气，本项目</w:t>
      </w:r>
      <w:r>
        <w:rPr>
          <w:rFonts w:cs="Times New Roman"/>
          <w:kern w:val="21"/>
        </w:rPr>
        <w:t>大气污染总量控制指标</w:t>
      </w:r>
      <w:r>
        <w:rPr>
          <w:szCs w:val="24"/>
        </w:rPr>
        <w:t>为：</w:t>
      </w:r>
      <w:r>
        <w:rPr>
          <w:szCs w:val="24"/>
        </w:rPr>
        <w:t>N</w:t>
      </w:r>
      <w:r>
        <w:rPr>
          <w:rFonts w:hint="eastAsia"/>
          <w:szCs w:val="24"/>
        </w:rPr>
        <w:t>O</w:t>
      </w:r>
      <w:r>
        <w:rPr>
          <w:szCs w:val="24"/>
        </w:rPr>
        <w:t>x</w:t>
      </w:r>
      <w:r>
        <w:rPr>
          <w:rFonts w:cs="Times New Roman" w:hint="eastAsia"/>
          <w:kern w:val="21"/>
        </w:rPr>
        <w:t>；</w:t>
      </w:r>
      <w:r>
        <w:rPr>
          <w:rFonts w:cs="Times New Roman"/>
          <w:kern w:val="21"/>
        </w:rPr>
        <w:t>项目营运期</w:t>
      </w:r>
      <w:r>
        <w:rPr>
          <w:rFonts w:cs="Times New Roman" w:hint="eastAsia"/>
          <w:kern w:val="21"/>
        </w:rPr>
        <w:t>食堂餐厨废水、</w:t>
      </w:r>
      <w:r>
        <w:rPr>
          <w:rFonts w:cs="Times New Roman"/>
          <w:kern w:val="21"/>
        </w:rPr>
        <w:t>员工生活污水</w:t>
      </w:r>
      <w:r>
        <w:rPr>
          <w:rFonts w:cs="Times New Roman" w:hint="eastAsia"/>
          <w:kern w:val="21"/>
        </w:rPr>
        <w:t>、鸡舍冲洗废水、蛋品清洗废水经场内污水处理站处理达标后，用作周边林地灌溉</w:t>
      </w:r>
      <w:r>
        <w:rPr>
          <w:rFonts w:cs="Times New Roman"/>
          <w:kern w:val="21"/>
        </w:rPr>
        <w:t>，</w:t>
      </w:r>
      <w:r>
        <w:rPr>
          <w:rFonts w:cs="Times New Roman" w:hint="eastAsia"/>
          <w:kern w:val="21"/>
        </w:rPr>
        <w:t>无外排废水，</w:t>
      </w:r>
      <w:r>
        <w:rPr>
          <w:rFonts w:cs="Times New Roman"/>
          <w:kern w:val="21"/>
        </w:rPr>
        <w:t>不涉及废</w:t>
      </w:r>
      <w:r>
        <w:rPr>
          <w:rFonts w:cs="Times New Roman" w:hint="eastAsia"/>
          <w:kern w:val="21"/>
        </w:rPr>
        <w:t>水</w:t>
      </w:r>
      <w:r>
        <w:rPr>
          <w:rFonts w:cs="Times New Roman"/>
          <w:kern w:val="21"/>
        </w:rPr>
        <w:t>总量控制污染物。</w:t>
      </w:r>
    </w:p>
    <w:p w14:paraId="24C5AE82" w14:textId="77777777" w:rsidR="00544649" w:rsidRDefault="00000000">
      <w:pPr>
        <w:adjustRightInd w:val="0"/>
        <w:snapToGrid w:val="0"/>
        <w:spacing w:after="0"/>
        <w:ind w:firstLine="480"/>
        <w:rPr>
          <w:rFonts w:cs="Times New Roman"/>
          <w:kern w:val="21"/>
        </w:rPr>
      </w:pPr>
      <w:r>
        <w:rPr>
          <w:rFonts w:cs="Times New Roman"/>
          <w:kern w:val="21"/>
        </w:rPr>
        <w:t>因此，根据本项目的排污特征，本次评价涉及</w:t>
      </w:r>
      <w:r>
        <w:rPr>
          <w:rFonts w:cs="Times New Roman" w:hint="eastAsia"/>
          <w:kern w:val="21"/>
        </w:rPr>
        <w:t>污染物</w:t>
      </w:r>
      <w:r>
        <w:rPr>
          <w:rFonts w:cs="Times New Roman"/>
          <w:kern w:val="21"/>
        </w:rPr>
        <w:t>总量控制指标</w:t>
      </w:r>
      <w:r>
        <w:rPr>
          <w:szCs w:val="24"/>
        </w:rPr>
        <w:t>为：</w:t>
      </w:r>
      <w:r>
        <w:rPr>
          <w:szCs w:val="24"/>
        </w:rPr>
        <w:t>N</w:t>
      </w:r>
      <w:r>
        <w:rPr>
          <w:rFonts w:hint="eastAsia"/>
          <w:szCs w:val="24"/>
        </w:rPr>
        <w:t>O</w:t>
      </w:r>
      <w:r>
        <w:rPr>
          <w:szCs w:val="24"/>
        </w:rPr>
        <w:t>x</w:t>
      </w:r>
      <w:r>
        <w:rPr>
          <w:rFonts w:cs="Times New Roman"/>
          <w:kern w:val="21"/>
        </w:rPr>
        <w:t>。</w:t>
      </w:r>
    </w:p>
    <w:p w14:paraId="503ABAA0" w14:textId="77777777" w:rsidR="00544649" w:rsidRDefault="00544649">
      <w:pPr>
        <w:pStyle w:val="aff2"/>
        <w:adjustRightInd w:val="0"/>
        <w:snapToGrid w:val="0"/>
        <w:spacing w:after="0"/>
        <w:ind w:firstLine="562"/>
        <w:rPr>
          <w:rFonts w:ascii="Times New Roman" w:hAnsi="Times New Roman" w:cs="Times New Roman"/>
          <w:b/>
          <w:bCs/>
          <w:kern w:val="21"/>
          <w:sz w:val="28"/>
          <w:szCs w:val="28"/>
        </w:rPr>
      </w:pPr>
    </w:p>
    <w:p w14:paraId="78167AB7" w14:textId="77777777" w:rsidR="00544649" w:rsidRDefault="00544649">
      <w:pPr>
        <w:pStyle w:val="aff2"/>
        <w:adjustRightInd w:val="0"/>
        <w:snapToGrid w:val="0"/>
        <w:spacing w:after="0"/>
        <w:rPr>
          <w:rFonts w:ascii="Times New Roman" w:hAnsi="Times New Roman" w:cs="Times New Roman"/>
          <w:kern w:val="21"/>
        </w:rPr>
        <w:sectPr w:rsidR="00544649">
          <w:pgSz w:w="11906" w:h="16838"/>
          <w:pgMar w:top="1134" w:right="1531" w:bottom="1134" w:left="1531" w:header="851" w:footer="794" w:gutter="0"/>
          <w:cols w:space="425"/>
          <w:docGrid w:type="lines" w:linePitch="312"/>
        </w:sectPr>
      </w:pPr>
    </w:p>
    <w:p w14:paraId="116EC295" w14:textId="77777777" w:rsidR="00544649" w:rsidRDefault="00000000">
      <w:pPr>
        <w:keepNext/>
        <w:keepLines/>
        <w:pageBreakBefore/>
        <w:numPr>
          <w:ilvl w:val="0"/>
          <w:numId w:val="9"/>
        </w:numPr>
        <w:adjustRightInd w:val="0"/>
        <w:snapToGrid w:val="0"/>
        <w:spacing w:after="0"/>
        <w:ind w:firstLineChars="0"/>
        <w:outlineLvl w:val="0"/>
        <w:rPr>
          <w:rFonts w:cs="Times New Roman"/>
          <w:b/>
          <w:bCs/>
          <w:kern w:val="21"/>
          <w:sz w:val="36"/>
          <w:szCs w:val="36"/>
        </w:rPr>
      </w:pPr>
      <w:bookmarkStart w:id="249" w:name="_Toc18869"/>
      <w:bookmarkStart w:id="250" w:name="_Toc7072"/>
      <w:bookmarkStart w:id="251" w:name="_Toc195009854"/>
      <w:r>
        <w:rPr>
          <w:rFonts w:cs="Times New Roman"/>
          <w:b/>
          <w:bCs/>
          <w:kern w:val="21"/>
          <w:sz w:val="36"/>
          <w:szCs w:val="36"/>
        </w:rPr>
        <w:lastRenderedPageBreak/>
        <w:t>区域自然环境概况</w:t>
      </w:r>
      <w:bookmarkEnd w:id="249"/>
      <w:bookmarkEnd w:id="250"/>
      <w:bookmarkEnd w:id="251"/>
    </w:p>
    <w:p w14:paraId="612B8A98"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252" w:name="_Toc5831"/>
      <w:bookmarkStart w:id="253" w:name="_Toc195009855"/>
      <w:r>
        <w:rPr>
          <w:rFonts w:cs="Times New Roman"/>
          <w:b/>
          <w:bCs/>
          <w:kern w:val="21"/>
          <w:sz w:val="32"/>
          <w:szCs w:val="32"/>
        </w:rPr>
        <w:t>地理位置</w:t>
      </w:r>
      <w:bookmarkEnd w:id="252"/>
      <w:bookmarkEnd w:id="253"/>
    </w:p>
    <w:p w14:paraId="5E70D976" w14:textId="77777777" w:rsidR="00544649" w:rsidRDefault="00000000">
      <w:pPr>
        <w:adjustRightInd w:val="0"/>
        <w:snapToGrid w:val="0"/>
        <w:spacing w:after="0"/>
        <w:ind w:firstLine="480"/>
        <w:rPr>
          <w:rFonts w:cs="Times New Roman"/>
          <w:kern w:val="21"/>
        </w:rPr>
      </w:pPr>
      <w:r>
        <w:rPr>
          <w:rFonts w:cs="Times New Roman" w:hint="eastAsia"/>
          <w:kern w:val="21"/>
        </w:rPr>
        <w:t>项目所在剑阁县位于四川盆地北部边缘，是连接四川与陕西、甘肃的通道。地理位置介于东经</w:t>
      </w:r>
      <w:r>
        <w:rPr>
          <w:rFonts w:cs="Times New Roman" w:hint="eastAsia"/>
          <w:kern w:val="21"/>
        </w:rPr>
        <w:t>105</w:t>
      </w:r>
      <w:r>
        <w:rPr>
          <w:rFonts w:cs="Times New Roman" w:hint="eastAsia"/>
          <w:kern w:val="21"/>
        </w:rPr>
        <w:t>°</w:t>
      </w:r>
      <w:r>
        <w:rPr>
          <w:rFonts w:cs="Times New Roman" w:hint="eastAsia"/>
          <w:kern w:val="21"/>
        </w:rPr>
        <w:t>09</w:t>
      </w:r>
      <w:proofErr w:type="gramStart"/>
      <w:r>
        <w:rPr>
          <w:rFonts w:cs="Times New Roman" w:hint="eastAsia"/>
          <w:kern w:val="21"/>
        </w:rPr>
        <w:t>’</w:t>
      </w:r>
      <w:proofErr w:type="gramEnd"/>
      <w:r>
        <w:rPr>
          <w:rFonts w:cs="Times New Roman" w:hint="eastAsia"/>
          <w:kern w:val="21"/>
        </w:rPr>
        <w:t>～</w:t>
      </w:r>
      <w:r>
        <w:rPr>
          <w:rFonts w:cs="Times New Roman" w:hint="eastAsia"/>
          <w:kern w:val="21"/>
        </w:rPr>
        <w:t>105</w:t>
      </w:r>
      <w:r>
        <w:rPr>
          <w:rFonts w:cs="Times New Roman" w:hint="eastAsia"/>
          <w:kern w:val="21"/>
        </w:rPr>
        <w:t>°</w:t>
      </w:r>
      <w:r>
        <w:rPr>
          <w:rFonts w:cs="Times New Roman" w:hint="eastAsia"/>
          <w:kern w:val="21"/>
        </w:rPr>
        <w:t>49</w:t>
      </w:r>
      <w:proofErr w:type="gramStart"/>
      <w:r>
        <w:rPr>
          <w:rFonts w:cs="Times New Roman" w:hint="eastAsia"/>
          <w:kern w:val="21"/>
        </w:rPr>
        <w:t>’</w:t>
      </w:r>
      <w:proofErr w:type="gramEnd"/>
      <w:r>
        <w:rPr>
          <w:rFonts w:cs="Times New Roman" w:hint="eastAsia"/>
          <w:kern w:val="21"/>
        </w:rPr>
        <w:t>和北纬</w:t>
      </w:r>
      <w:r>
        <w:rPr>
          <w:rFonts w:cs="Times New Roman" w:hint="eastAsia"/>
          <w:kern w:val="21"/>
        </w:rPr>
        <w:t>31</w:t>
      </w:r>
      <w:r>
        <w:rPr>
          <w:rFonts w:cs="Times New Roman" w:hint="eastAsia"/>
          <w:kern w:val="21"/>
        </w:rPr>
        <w:t>°</w:t>
      </w:r>
      <w:r>
        <w:rPr>
          <w:rFonts w:cs="Times New Roman" w:hint="eastAsia"/>
          <w:kern w:val="21"/>
        </w:rPr>
        <w:t>31</w:t>
      </w:r>
      <w:proofErr w:type="gramStart"/>
      <w:r>
        <w:rPr>
          <w:rFonts w:cs="Times New Roman" w:hint="eastAsia"/>
          <w:kern w:val="21"/>
        </w:rPr>
        <w:t>’</w:t>
      </w:r>
      <w:proofErr w:type="gramEnd"/>
      <w:r>
        <w:rPr>
          <w:rFonts w:cs="Times New Roman" w:hint="eastAsia"/>
          <w:kern w:val="21"/>
        </w:rPr>
        <w:t>～</w:t>
      </w:r>
      <w:r>
        <w:rPr>
          <w:rFonts w:cs="Times New Roman" w:hint="eastAsia"/>
          <w:kern w:val="21"/>
        </w:rPr>
        <w:t>32</w:t>
      </w:r>
      <w:r>
        <w:rPr>
          <w:rFonts w:cs="Times New Roman" w:hint="eastAsia"/>
          <w:kern w:val="21"/>
        </w:rPr>
        <w:t>°</w:t>
      </w:r>
      <w:r>
        <w:rPr>
          <w:rFonts w:cs="Times New Roman" w:hint="eastAsia"/>
          <w:kern w:val="21"/>
        </w:rPr>
        <w:t>17</w:t>
      </w:r>
      <w:proofErr w:type="gramStart"/>
      <w:r>
        <w:rPr>
          <w:rFonts w:cs="Times New Roman" w:hint="eastAsia"/>
          <w:kern w:val="21"/>
        </w:rPr>
        <w:t>’</w:t>
      </w:r>
      <w:proofErr w:type="gramEnd"/>
      <w:r>
        <w:rPr>
          <w:rFonts w:cs="Times New Roman" w:hint="eastAsia"/>
          <w:kern w:val="21"/>
        </w:rPr>
        <w:t>之间。东邻苍溪县，西接梓潼县、江油市，南连阆中、南部县，北接广元市青川县、利州区、元坝区，地势西北高，东南低，低山地貌特点显著。剑阁县城经高速公路到广元市区约</w:t>
      </w:r>
      <w:r>
        <w:rPr>
          <w:rFonts w:cs="Times New Roman" w:hint="eastAsia"/>
          <w:kern w:val="21"/>
        </w:rPr>
        <w:t>35km</w:t>
      </w:r>
      <w:r>
        <w:rPr>
          <w:rFonts w:cs="Times New Roman" w:hint="eastAsia"/>
          <w:kern w:val="21"/>
        </w:rPr>
        <w:t>，距成都市区约</w:t>
      </w:r>
      <w:r>
        <w:rPr>
          <w:rFonts w:cs="Times New Roman" w:hint="eastAsia"/>
          <w:kern w:val="21"/>
        </w:rPr>
        <w:t>302km</w:t>
      </w:r>
      <w:r>
        <w:rPr>
          <w:rFonts w:cs="Times New Roman" w:hint="eastAsia"/>
          <w:kern w:val="21"/>
        </w:rPr>
        <w:t>，剑阁县交通方便。县城距广元市区</w:t>
      </w:r>
      <w:r>
        <w:rPr>
          <w:rFonts w:cs="Times New Roman" w:hint="eastAsia"/>
          <w:kern w:val="21"/>
        </w:rPr>
        <w:t>40km</w:t>
      </w:r>
      <w:r>
        <w:rPr>
          <w:rFonts w:cs="Times New Roman" w:hint="eastAsia"/>
          <w:kern w:val="21"/>
        </w:rPr>
        <w:t>，距广元盘龙机场</w:t>
      </w:r>
      <w:r>
        <w:rPr>
          <w:rFonts w:cs="Times New Roman" w:hint="eastAsia"/>
          <w:kern w:val="21"/>
        </w:rPr>
        <w:t>20km</w:t>
      </w:r>
      <w:r>
        <w:rPr>
          <w:rFonts w:cs="Times New Roman" w:hint="eastAsia"/>
          <w:kern w:val="21"/>
        </w:rPr>
        <w:t>，有高铁站剑门关站（西成高速铁路）和火车站沙溪坝站（宝成铁路），位于成都</w:t>
      </w:r>
      <w:r>
        <w:rPr>
          <w:rFonts w:cs="Times New Roman" w:hint="eastAsia"/>
          <w:kern w:val="21"/>
        </w:rPr>
        <w:t>1</w:t>
      </w:r>
      <w:r>
        <w:rPr>
          <w:rFonts w:cs="Times New Roman" w:hint="eastAsia"/>
          <w:kern w:val="21"/>
        </w:rPr>
        <w:t>小时高铁圈、西安和重庆</w:t>
      </w:r>
      <w:r>
        <w:rPr>
          <w:rFonts w:cs="Times New Roman" w:hint="eastAsia"/>
          <w:kern w:val="21"/>
        </w:rPr>
        <w:t>2</w:t>
      </w:r>
      <w:r>
        <w:rPr>
          <w:rFonts w:cs="Times New Roman" w:hint="eastAsia"/>
          <w:kern w:val="21"/>
        </w:rPr>
        <w:t>小时高铁圈、兰州</w:t>
      </w:r>
      <w:r>
        <w:rPr>
          <w:rFonts w:cs="Times New Roman" w:hint="eastAsia"/>
          <w:kern w:val="21"/>
        </w:rPr>
        <w:t>3</w:t>
      </w:r>
      <w:r>
        <w:rPr>
          <w:rFonts w:cs="Times New Roman" w:hint="eastAsia"/>
          <w:kern w:val="21"/>
        </w:rPr>
        <w:t>小时高铁圈。剑阁县是自古以来的西南交通要道，有“蜀北屏障、两川咽喉”之称，处于成渝经济区和关中平原城市群的重要纽带上。剑阁县处于成渝双城经济圈“四化同步、城乡融合、五区共兴”战略部署的川东北生态示范区中，是建设川陕甘结合部现代化中心城市的战略要地。</w:t>
      </w:r>
    </w:p>
    <w:p w14:paraId="2A536174" w14:textId="77777777" w:rsidR="00544649" w:rsidRDefault="00000000">
      <w:pPr>
        <w:adjustRightInd w:val="0"/>
        <w:snapToGrid w:val="0"/>
        <w:spacing w:after="0"/>
        <w:ind w:firstLine="480"/>
        <w:rPr>
          <w:rFonts w:cs="Times New Roman"/>
          <w:kern w:val="21"/>
        </w:rPr>
      </w:pPr>
      <w:r>
        <w:rPr>
          <w:rFonts w:cs="Times New Roman" w:hint="eastAsia"/>
          <w:kern w:val="21"/>
        </w:rPr>
        <w:t>剑门关镇隶属四川省广元市剑阁县，位于四川盆地北部边缘，剑阁县北部，东与张王镇、高观镇接壤，南、西与</w:t>
      </w:r>
      <w:proofErr w:type="gramStart"/>
      <w:r>
        <w:rPr>
          <w:rFonts w:cs="Times New Roman" w:hint="eastAsia"/>
          <w:kern w:val="21"/>
        </w:rPr>
        <w:t>汉阳镇相连</w:t>
      </w:r>
      <w:proofErr w:type="gramEnd"/>
      <w:r>
        <w:rPr>
          <w:rFonts w:cs="Times New Roman" w:hint="eastAsia"/>
          <w:kern w:val="21"/>
        </w:rPr>
        <w:t>，北与下寺镇、昭化区毗邻，辖区面积</w:t>
      </w:r>
      <w:r>
        <w:rPr>
          <w:rFonts w:cs="Times New Roman" w:hint="eastAsia"/>
          <w:kern w:val="21"/>
        </w:rPr>
        <w:t>174.43</w:t>
      </w:r>
      <w:r>
        <w:rPr>
          <w:rFonts w:cs="Times New Roman" w:hint="eastAsia"/>
          <w:kern w:val="21"/>
        </w:rPr>
        <w:t>平方公里。</w:t>
      </w:r>
    </w:p>
    <w:p w14:paraId="5BCE73F5" w14:textId="77777777" w:rsidR="00544649" w:rsidRDefault="00000000">
      <w:pPr>
        <w:adjustRightInd w:val="0"/>
        <w:snapToGrid w:val="0"/>
        <w:spacing w:after="0"/>
        <w:ind w:firstLine="480"/>
        <w:rPr>
          <w:rFonts w:cs="Times New Roman"/>
          <w:kern w:val="21"/>
        </w:rPr>
      </w:pPr>
      <w:r>
        <w:rPr>
          <w:rFonts w:cs="Times New Roman" w:hint="eastAsia"/>
          <w:kern w:val="21"/>
        </w:rPr>
        <w:t>本项目建设位置位于剑阁县剑门关镇，项目地理位置详见附图</w:t>
      </w:r>
      <w:r>
        <w:rPr>
          <w:rFonts w:cs="Times New Roman" w:hint="eastAsia"/>
          <w:kern w:val="21"/>
        </w:rPr>
        <w:t>1</w:t>
      </w:r>
      <w:r>
        <w:rPr>
          <w:rFonts w:cs="Times New Roman" w:hint="eastAsia"/>
          <w:kern w:val="21"/>
        </w:rPr>
        <w:t>。</w:t>
      </w:r>
    </w:p>
    <w:p w14:paraId="1A436F86"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254" w:name="_Toc14362"/>
      <w:bookmarkStart w:id="255" w:name="_Toc195009856"/>
      <w:r>
        <w:rPr>
          <w:rFonts w:cs="Times New Roman"/>
          <w:b/>
          <w:bCs/>
          <w:kern w:val="21"/>
          <w:sz w:val="32"/>
          <w:szCs w:val="32"/>
        </w:rPr>
        <w:t>地形地貌</w:t>
      </w:r>
      <w:bookmarkEnd w:id="254"/>
      <w:bookmarkEnd w:id="255"/>
    </w:p>
    <w:p w14:paraId="281A2247" w14:textId="77777777" w:rsidR="00544649" w:rsidRDefault="00000000">
      <w:pPr>
        <w:adjustRightInd w:val="0"/>
        <w:snapToGrid w:val="0"/>
        <w:spacing w:after="0"/>
        <w:ind w:firstLine="480"/>
        <w:rPr>
          <w:rFonts w:cs="Times New Roman"/>
          <w:kern w:val="21"/>
          <w:szCs w:val="24"/>
          <w:lang w:bidi="ar"/>
        </w:rPr>
      </w:pPr>
      <w:r>
        <w:rPr>
          <w:rFonts w:cs="Times New Roman" w:hint="eastAsia"/>
          <w:kern w:val="21"/>
          <w:szCs w:val="24"/>
          <w:lang w:bidi="ar"/>
        </w:rPr>
        <w:t>剑阁县位于四川盆地北部边缘，守剑门关险，是连接四川与陕西、甘肃的通道，地势险峻，为秦</w:t>
      </w:r>
      <w:proofErr w:type="gramStart"/>
      <w:r>
        <w:rPr>
          <w:rFonts w:cs="Times New Roman" w:hint="eastAsia"/>
          <w:kern w:val="21"/>
          <w:szCs w:val="24"/>
          <w:lang w:bidi="ar"/>
        </w:rPr>
        <w:t>蜀交通</w:t>
      </w:r>
      <w:proofErr w:type="gramEnd"/>
      <w:r>
        <w:rPr>
          <w:rFonts w:cs="Times New Roman" w:hint="eastAsia"/>
          <w:kern w:val="21"/>
          <w:szCs w:val="24"/>
          <w:lang w:bidi="ar"/>
        </w:rPr>
        <w:t>咽喉，战略地位十分重要。地势西北高、东南低，低山地貌特点显著。地貌形态差异悬殊，海拔</w:t>
      </w:r>
      <w:r>
        <w:rPr>
          <w:rFonts w:cs="Times New Roman" w:hint="eastAsia"/>
          <w:kern w:val="21"/>
          <w:szCs w:val="24"/>
          <w:lang w:bidi="ar"/>
        </w:rPr>
        <w:t>500-700</w:t>
      </w:r>
      <w:r>
        <w:rPr>
          <w:rFonts w:cs="Times New Roman" w:hint="eastAsia"/>
          <w:kern w:val="21"/>
          <w:szCs w:val="24"/>
          <w:lang w:bidi="ar"/>
        </w:rPr>
        <w:t>米</w:t>
      </w:r>
      <w:proofErr w:type="gramStart"/>
      <w:r>
        <w:rPr>
          <w:rFonts w:cs="Times New Roman" w:hint="eastAsia"/>
          <w:kern w:val="21"/>
          <w:szCs w:val="24"/>
          <w:lang w:bidi="ar"/>
        </w:rPr>
        <w:t>宽谷低山区</w:t>
      </w:r>
      <w:proofErr w:type="gramEnd"/>
      <w:r>
        <w:rPr>
          <w:rFonts w:cs="Times New Roman" w:hint="eastAsia"/>
          <w:kern w:val="21"/>
          <w:szCs w:val="24"/>
          <w:lang w:bidi="ar"/>
        </w:rPr>
        <w:t>占总面积</w:t>
      </w:r>
      <w:r>
        <w:rPr>
          <w:rFonts w:cs="Times New Roman" w:hint="eastAsia"/>
          <w:kern w:val="21"/>
          <w:szCs w:val="24"/>
          <w:lang w:bidi="ar"/>
        </w:rPr>
        <w:t>50.34%</w:t>
      </w:r>
      <w:r>
        <w:rPr>
          <w:rFonts w:cs="Times New Roman" w:hint="eastAsia"/>
          <w:kern w:val="21"/>
          <w:szCs w:val="24"/>
          <w:lang w:bidi="ar"/>
        </w:rPr>
        <w:t>；海拔</w:t>
      </w:r>
      <w:r>
        <w:rPr>
          <w:rFonts w:cs="Times New Roman" w:hint="eastAsia"/>
          <w:kern w:val="21"/>
          <w:szCs w:val="24"/>
          <w:lang w:bidi="ar"/>
        </w:rPr>
        <w:t>700-1000</w:t>
      </w:r>
      <w:r>
        <w:rPr>
          <w:rFonts w:cs="Times New Roman" w:hint="eastAsia"/>
          <w:kern w:val="21"/>
          <w:szCs w:val="24"/>
          <w:lang w:bidi="ar"/>
        </w:rPr>
        <w:t>米</w:t>
      </w:r>
      <w:proofErr w:type="gramStart"/>
      <w:r>
        <w:rPr>
          <w:rFonts w:cs="Times New Roman" w:hint="eastAsia"/>
          <w:kern w:val="21"/>
          <w:szCs w:val="24"/>
          <w:lang w:bidi="ar"/>
        </w:rPr>
        <w:t>窄谷低</w:t>
      </w:r>
      <w:proofErr w:type="gramEnd"/>
      <w:r>
        <w:rPr>
          <w:rFonts w:cs="Times New Roman" w:hint="eastAsia"/>
          <w:kern w:val="21"/>
          <w:szCs w:val="24"/>
          <w:lang w:bidi="ar"/>
        </w:rPr>
        <w:t>山区占总面积</w:t>
      </w:r>
      <w:r>
        <w:rPr>
          <w:rFonts w:cs="Times New Roman" w:hint="eastAsia"/>
          <w:kern w:val="21"/>
          <w:szCs w:val="24"/>
          <w:lang w:bidi="ar"/>
        </w:rPr>
        <w:t>40.23%</w:t>
      </w:r>
      <w:r>
        <w:rPr>
          <w:rFonts w:cs="Times New Roman" w:hint="eastAsia"/>
          <w:kern w:val="21"/>
          <w:szCs w:val="24"/>
          <w:lang w:bidi="ar"/>
        </w:rPr>
        <w:t>。地貌类型以低山区为主。剑门山地处四川盆地北部边缘断褶带。在侏罗纪时期（距今约</w:t>
      </w:r>
      <w:r>
        <w:rPr>
          <w:rFonts w:cs="Times New Roman" w:hint="eastAsia"/>
          <w:kern w:val="21"/>
          <w:szCs w:val="24"/>
          <w:lang w:bidi="ar"/>
        </w:rPr>
        <w:t>2</w:t>
      </w:r>
      <w:r>
        <w:rPr>
          <w:rFonts w:cs="Times New Roman" w:hint="eastAsia"/>
          <w:kern w:val="21"/>
          <w:szCs w:val="24"/>
          <w:lang w:bidi="ar"/>
        </w:rPr>
        <w:t>亿～</w:t>
      </w:r>
      <w:r>
        <w:rPr>
          <w:rFonts w:cs="Times New Roman" w:hint="eastAsia"/>
          <w:kern w:val="21"/>
          <w:szCs w:val="24"/>
          <w:lang w:bidi="ar"/>
        </w:rPr>
        <w:t>1.4</w:t>
      </w:r>
      <w:r>
        <w:rPr>
          <w:rFonts w:cs="Times New Roman" w:hint="eastAsia"/>
          <w:kern w:val="21"/>
          <w:szCs w:val="24"/>
          <w:lang w:bidi="ar"/>
        </w:rPr>
        <w:t>亿年），四川周围隆起成山，盆地积水成湖，因受强烈风化侵蚀作用，山地为湖盆提供丰富的沉积物，形成</w:t>
      </w:r>
      <w:proofErr w:type="gramStart"/>
      <w:r>
        <w:rPr>
          <w:rFonts w:cs="Times New Roman" w:hint="eastAsia"/>
          <w:kern w:val="21"/>
          <w:szCs w:val="24"/>
          <w:lang w:bidi="ar"/>
        </w:rPr>
        <w:t>南北巴湖和蜀湖</w:t>
      </w:r>
      <w:proofErr w:type="gramEnd"/>
      <w:r>
        <w:rPr>
          <w:rFonts w:cs="Times New Roman" w:hint="eastAsia"/>
          <w:kern w:val="21"/>
          <w:szCs w:val="24"/>
          <w:lang w:bidi="ar"/>
        </w:rPr>
        <w:t>。白垩纪时期（距今</w:t>
      </w:r>
      <w:r>
        <w:rPr>
          <w:rFonts w:cs="Times New Roman" w:hint="eastAsia"/>
          <w:kern w:val="21"/>
          <w:szCs w:val="24"/>
          <w:lang w:bidi="ar"/>
        </w:rPr>
        <w:t>1.4</w:t>
      </w:r>
      <w:r>
        <w:rPr>
          <w:rFonts w:cs="Times New Roman" w:hint="eastAsia"/>
          <w:kern w:val="21"/>
          <w:szCs w:val="24"/>
          <w:lang w:bidi="ar"/>
        </w:rPr>
        <w:t>亿</w:t>
      </w:r>
      <w:r>
        <w:rPr>
          <w:rFonts w:cs="Times New Roman" w:hint="eastAsia"/>
          <w:kern w:val="21"/>
          <w:szCs w:val="24"/>
          <w:lang w:bidi="ar"/>
        </w:rPr>
        <w:t>-0.65</w:t>
      </w:r>
      <w:r>
        <w:rPr>
          <w:rFonts w:cs="Times New Roman" w:hint="eastAsia"/>
          <w:kern w:val="21"/>
          <w:szCs w:val="24"/>
          <w:lang w:bidi="ar"/>
        </w:rPr>
        <w:t>亿年）剑门山脉正处在</w:t>
      </w:r>
      <w:proofErr w:type="gramStart"/>
      <w:r>
        <w:rPr>
          <w:rFonts w:cs="Times New Roman" w:hint="eastAsia"/>
          <w:kern w:val="21"/>
          <w:szCs w:val="24"/>
          <w:lang w:bidi="ar"/>
        </w:rPr>
        <w:t>蜀</w:t>
      </w:r>
      <w:proofErr w:type="gramEnd"/>
      <w:r>
        <w:rPr>
          <w:rFonts w:cs="Times New Roman" w:hint="eastAsia"/>
          <w:kern w:val="21"/>
          <w:szCs w:val="24"/>
          <w:lang w:bidi="ar"/>
        </w:rPr>
        <w:t>湖北部边缘龙门山前山带，当龙门</w:t>
      </w:r>
      <w:proofErr w:type="gramStart"/>
      <w:r>
        <w:rPr>
          <w:rFonts w:cs="Times New Roman" w:hint="eastAsia"/>
          <w:kern w:val="21"/>
          <w:szCs w:val="24"/>
          <w:lang w:bidi="ar"/>
        </w:rPr>
        <w:t>山强烈</w:t>
      </w:r>
      <w:proofErr w:type="gramEnd"/>
      <w:r>
        <w:rPr>
          <w:rFonts w:cs="Times New Roman" w:hint="eastAsia"/>
          <w:kern w:val="21"/>
          <w:szCs w:val="24"/>
          <w:lang w:bidi="ar"/>
        </w:rPr>
        <w:t>上升时，形成剑门</w:t>
      </w:r>
      <w:proofErr w:type="gramStart"/>
      <w:r>
        <w:rPr>
          <w:rFonts w:cs="Times New Roman" w:hint="eastAsia"/>
          <w:kern w:val="21"/>
          <w:szCs w:val="24"/>
          <w:lang w:bidi="ar"/>
        </w:rPr>
        <w:t>洪积堆</w:t>
      </w:r>
      <w:proofErr w:type="gramEnd"/>
      <w:r>
        <w:rPr>
          <w:rFonts w:cs="Times New Roman" w:hint="eastAsia"/>
          <w:kern w:val="21"/>
          <w:szCs w:val="24"/>
          <w:lang w:bidi="ar"/>
        </w:rPr>
        <w:t>与剑门砾岩。在喜马拉雅运动中，龙门山再次强烈上升，剑门山再被凸显，形成今天的剑门山。剑门山古称梁山，由大、小剑山组成，为剑门山脉西南段，距剑阁县城</w:t>
      </w:r>
      <w:r>
        <w:rPr>
          <w:rFonts w:cs="Times New Roman" w:hint="eastAsia"/>
          <w:kern w:val="21"/>
          <w:szCs w:val="24"/>
          <w:lang w:bidi="ar"/>
        </w:rPr>
        <w:t>12</w:t>
      </w:r>
      <w:r>
        <w:rPr>
          <w:rFonts w:cs="Times New Roman" w:hint="eastAsia"/>
          <w:kern w:val="21"/>
          <w:szCs w:val="24"/>
          <w:lang w:bidi="ar"/>
        </w:rPr>
        <w:t>千米，其山峻岭横空，危崖高耸，从东北向西南蜿蜒伸展，长达百余里，气势磅礴。主峰大剑山，峰如剑插，石壁横亘，</w:t>
      </w:r>
      <w:proofErr w:type="gramStart"/>
      <w:r>
        <w:rPr>
          <w:rFonts w:cs="Times New Roman" w:hint="eastAsia"/>
          <w:kern w:val="21"/>
          <w:szCs w:val="24"/>
          <w:lang w:bidi="ar"/>
        </w:rPr>
        <w:t>森若城郭</w:t>
      </w:r>
      <w:proofErr w:type="gramEnd"/>
      <w:r>
        <w:rPr>
          <w:rFonts w:cs="Times New Roman" w:hint="eastAsia"/>
          <w:kern w:val="21"/>
          <w:szCs w:val="24"/>
          <w:lang w:bidi="ar"/>
        </w:rPr>
        <w:t>，峭壁中断，两崖对峙，一线中通，形似大门，故称“剑门”。</w:t>
      </w:r>
    </w:p>
    <w:p w14:paraId="0F59B2E5"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256" w:name="_Toc18579"/>
      <w:bookmarkStart w:id="257" w:name="_Toc7290"/>
      <w:bookmarkStart w:id="258" w:name="_Toc195009857"/>
      <w:r>
        <w:rPr>
          <w:rFonts w:cs="Times New Roman"/>
          <w:b/>
          <w:bCs/>
          <w:kern w:val="21"/>
          <w:sz w:val="32"/>
          <w:szCs w:val="32"/>
        </w:rPr>
        <w:lastRenderedPageBreak/>
        <w:t>气候、气象特征</w:t>
      </w:r>
      <w:bookmarkEnd w:id="256"/>
      <w:bookmarkEnd w:id="257"/>
      <w:bookmarkEnd w:id="258"/>
    </w:p>
    <w:p w14:paraId="7F30C6A4" w14:textId="77777777" w:rsidR="00544649" w:rsidRDefault="00000000">
      <w:pPr>
        <w:adjustRightInd w:val="0"/>
        <w:snapToGrid w:val="0"/>
        <w:spacing w:after="0"/>
        <w:ind w:firstLine="480"/>
        <w:rPr>
          <w:rFonts w:cs="Times New Roman"/>
          <w:kern w:val="21"/>
        </w:rPr>
      </w:pPr>
      <w:r>
        <w:rPr>
          <w:rFonts w:cs="Times New Roman" w:hint="eastAsia"/>
          <w:kern w:val="21"/>
        </w:rPr>
        <w:t>剑阁属亚热带湿润季风气候，四季分明，气候温和，雨量充沛。由于辖区面积大，受海拔高差和多变地貌影响，垂直气候明显，小区域气候差异大。剑阁县年平均气温</w:t>
      </w:r>
      <w:r>
        <w:rPr>
          <w:rFonts w:cs="Times New Roman" w:hint="eastAsia"/>
          <w:kern w:val="21"/>
        </w:rPr>
        <w:t>15.7</w:t>
      </w:r>
      <w:r>
        <w:rPr>
          <w:rFonts w:cs="Times New Roman" w:hint="eastAsia"/>
          <w:kern w:val="21"/>
        </w:rPr>
        <w:t>℃，最冷月（</w:t>
      </w:r>
      <w:r>
        <w:rPr>
          <w:rFonts w:cs="Times New Roman" w:hint="eastAsia"/>
          <w:kern w:val="21"/>
        </w:rPr>
        <w:t>1</w:t>
      </w:r>
      <w:r>
        <w:rPr>
          <w:rFonts w:cs="Times New Roman" w:hint="eastAsia"/>
          <w:kern w:val="21"/>
        </w:rPr>
        <w:t>月）平均气温</w:t>
      </w:r>
      <w:r>
        <w:rPr>
          <w:rFonts w:cs="Times New Roman" w:hint="eastAsia"/>
          <w:kern w:val="21"/>
        </w:rPr>
        <w:t>4.8</w:t>
      </w:r>
      <w:r>
        <w:rPr>
          <w:rFonts w:cs="Times New Roman" w:hint="eastAsia"/>
          <w:kern w:val="21"/>
        </w:rPr>
        <w:t>℃，最热月（</w:t>
      </w:r>
      <w:r>
        <w:rPr>
          <w:rFonts w:cs="Times New Roman" w:hint="eastAsia"/>
          <w:kern w:val="21"/>
        </w:rPr>
        <w:t>7</w:t>
      </w:r>
      <w:r>
        <w:rPr>
          <w:rFonts w:cs="Times New Roman" w:hint="eastAsia"/>
          <w:kern w:val="21"/>
        </w:rPr>
        <w:t>月）平均气温</w:t>
      </w:r>
      <w:r>
        <w:rPr>
          <w:rFonts w:cs="Times New Roman" w:hint="eastAsia"/>
          <w:kern w:val="21"/>
        </w:rPr>
        <w:t>25.6</w:t>
      </w:r>
      <w:r>
        <w:rPr>
          <w:rFonts w:cs="Times New Roman" w:hint="eastAsia"/>
          <w:kern w:val="21"/>
        </w:rPr>
        <w:t>℃，历史极端最低气温</w:t>
      </w:r>
      <w:r>
        <w:rPr>
          <w:rFonts w:cs="Times New Roman" w:hint="eastAsia"/>
          <w:kern w:val="21"/>
        </w:rPr>
        <w:t>-7.1</w:t>
      </w:r>
      <w:r>
        <w:rPr>
          <w:rFonts w:cs="Times New Roman" w:hint="eastAsia"/>
          <w:kern w:val="21"/>
        </w:rPr>
        <w:t>℃，极端最高气温</w:t>
      </w:r>
      <w:r>
        <w:rPr>
          <w:rFonts w:cs="Times New Roman" w:hint="eastAsia"/>
          <w:kern w:val="21"/>
        </w:rPr>
        <w:t>39.6</w:t>
      </w:r>
      <w:r>
        <w:rPr>
          <w:rFonts w:cs="Times New Roman" w:hint="eastAsia"/>
          <w:kern w:val="21"/>
        </w:rPr>
        <w:t>℃；雨量时空分布不均，年平均降雨量</w:t>
      </w:r>
      <w:r>
        <w:rPr>
          <w:rFonts w:cs="Times New Roman" w:hint="eastAsia"/>
          <w:kern w:val="21"/>
        </w:rPr>
        <w:t>1003.9mm</w:t>
      </w:r>
      <w:r>
        <w:rPr>
          <w:rFonts w:cs="Times New Roman" w:hint="eastAsia"/>
          <w:kern w:val="21"/>
        </w:rPr>
        <w:t>，其中</w:t>
      </w:r>
      <w:r>
        <w:rPr>
          <w:rFonts w:cs="Times New Roman" w:hint="eastAsia"/>
          <w:kern w:val="21"/>
        </w:rPr>
        <w:t>5-10</w:t>
      </w:r>
      <w:r>
        <w:rPr>
          <w:rFonts w:cs="Times New Roman" w:hint="eastAsia"/>
          <w:kern w:val="21"/>
        </w:rPr>
        <w:t>月降雨量</w:t>
      </w:r>
      <w:r>
        <w:rPr>
          <w:rFonts w:cs="Times New Roman" w:hint="eastAsia"/>
          <w:kern w:val="21"/>
        </w:rPr>
        <w:t>880.7mm</w:t>
      </w:r>
      <w:r>
        <w:rPr>
          <w:rFonts w:cs="Times New Roman" w:hint="eastAsia"/>
          <w:kern w:val="21"/>
        </w:rPr>
        <w:t>，占全年降雨量的</w:t>
      </w:r>
      <w:r>
        <w:rPr>
          <w:rFonts w:cs="Times New Roman" w:hint="eastAsia"/>
          <w:kern w:val="21"/>
        </w:rPr>
        <w:t>87.7%</w:t>
      </w:r>
      <w:r>
        <w:rPr>
          <w:rFonts w:cs="Times New Roman" w:hint="eastAsia"/>
          <w:kern w:val="21"/>
        </w:rPr>
        <w:t>；年平均日照时数</w:t>
      </w:r>
      <w:r>
        <w:rPr>
          <w:rFonts w:cs="Times New Roman" w:hint="eastAsia"/>
          <w:kern w:val="21"/>
        </w:rPr>
        <w:t>1250.2</w:t>
      </w:r>
      <w:r>
        <w:rPr>
          <w:rFonts w:cs="Times New Roman" w:hint="eastAsia"/>
          <w:kern w:val="21"/>
        </w:rPr>
        <w:t>小时；年平均无霜期</w:t>
      </w:r>
      <w:r>
        <w:rPr>
          <w:rFonts w:cs="Times New Roman" w:hint="eastAsia"/>
          <w:kern w:val="21"/>
        </w:rPr>
        <w:t>266</w:t>
      </w:r>
      <w:r>
        <w:rPr>
          <w:rFonts w:cs="Times New Roman" w:hint="eastAsia"/>
          <w:kern w:val="21"/>
        </w:rPr>
        <w:t>天；年平均蒸发量为</w:t>
      </w:r>
      <w:r>
        <w:rPr>
          <w:rFonts w:cs="Times New Roman" w:hint="eastAsia"/>
          <w:kern w:val="21"/>
        </w:rPr>
        <w:t>1139.4mm</w:t>
      </w:r>
      <w:r>
        <w:rPr>
          <w:rFonts w:cs="Times New Roman" w:hint="eastAsia"/>
          <w:kern w:val="21"/>
        </w:rPr>
        <w:t>；年平均相对湿度</w:t>
      </w:r>
      <w:r>
        <w:rPr>
          <w:rFonts w:cs="Times New Roman" w:hint="eastAsia"/>
          <w:kern w:val="21"/>
        </w:rPr>
        <w:t>77%</w:t>
      </w:r>
      <w:r>
        <w:rPr>
          <w:rFonts w:cs="Times New Roman" w:hint="eastAsia"/>
          <w:kern w:val="21"/>
        </w:rPr>
        <w:t>，最小相对湿度</w:t>
      </w:r>
      <w:r>
        <w:rPr>
          <w:rFonts w:cs="Times New Roman" w:hint="eastAsia"/>
          <w:kern w:val="21"/>
        </w:rPr>
        <w:t>9%</w:t>
      </w:r>
      <w:r>
        <w:rPr>
          <w:rFonts w:cs="Times New Roman" w:hint="eastAsia"/>
          <w:kern w:val="21"/>
        </w:rPr>
        <w:t>；年平均风速</w:t>
      </w:r>
      <w:r>
        <w:rPr>
          <w:rFonts w:cs="Times New Roman" w:hint="eastAsia"/>
          <w:kern w:val="21"/>
        </w:rPr>
        <w:t>1.1m/s</w:t>
      </w:r>
      <w:r>
        <w:rPr>
          <w:rFonts w:cs="Times New Roman" w:hint="eastAsia"/>
          <w:kern w:val="21"/>
        </w:rPr>
        <w:t>，最多风向为</w:t>
      </w:r>
      <w:r>
        <w:rPr>
          <w:rFonts w:cs="Times New Roman" w:hint="eastAsia"/>
          <w:kern w:val="21"/>
        </w:rPr>
        <w:t>N</w:t>
      </w:r>
      <w:r>
        <w:rPr>
          <w:rFonts w:cs="Times New Roman" w:hint="eastAsia"/>
          <w:kern w:val="21"/>
        </w:rPr>
        <w:t>风。</w:t>
      </w:r>
    </w:p>
    <w:p w14:paraId="0D417E69"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259" w:name="_Toc1839"/>
      <w:bookmarkStart w:id="260" w:name="_Toc29647"/>
      <w:bookmarkStart w:id="261" w:name="_Toc195009858"/>
      <w:r>
        <w:rPr>
          <w:rFonts w:cs="Times New Roman"/>
          <w:b/>
          <w:bCs/>
          <w:kern w:val="21"/>
          <w:sz w:val="32"/>
          <w:szCs w:val="32"/>
        </w:rPr>
        <w:t>水文水系</w:t>
      </w:r>
      <w:bookmarkEnd w:id="259"/>
      <w:bookmarkEnd w:id="260"/>
      <w:bookmarkEnd w:id="261"/>
    </w:p>
    <w:p w14:paraId="249B4D4D" w14:textId="77777777" w:rsidR="00544649" w:rsidRDefault="00000000">
      <w:pPr>
        <w:adjustRightInd w:val="0"/>
        <w:snapToGrid w:val="0"/>
        <w:spacing w:after="0"/>
        <w:ind w:firstLine="480"/>
        <w:rPr>
          <w:rFonts w:cs="Times New Roman"/>
          <w:kern w:val="21"/>
        </w:rPr>
      </w:pPr>
      <w:r>
        <w:rPr>
          <w:rFonts w:cs="Times New Roman" w:hint="eastAsia"/>
          <w:kern w:val="21"/>
        </w:rPr>
        <w:t>剑阁县内河流属嘉陵江水系，嘉陵江沿县境东部边界流过，西河、闻溪河、</w:t>
      </w:r>
      <w:proofErr w:type="gramStart"/>
      <w:r>
        <w:rPr>
          <w:rFonts w:cs="Times New Roman" w:hint="eastAsia"/>
          <w:kern w:val="21"/>
        </w:rPr>
        <w:t>炭口河</w:t>
      </w:r>
      <w:proofErr w:type="gramEnd"/>
      <w:r>
        <w:rPr>
          <w:rFonts w:cs="Times New Roman" w:hint="eastAsia"/>
          <w:kern w:val="21"/>
        </w:rPr>
        <w:t>、清江河、</w:t>
      </w:r>
      <w:proofErr w:type="gramStart"/>
      <w:r>
        <w:rPr>
          <w:rFonts w:cs="Times New Roman" w:hint="eastAsia"/>
          <w:kern w:val="21"/>
        </w:rPr>
        <w:t>汞河为</w:t>
      </w:r>
      <w:proofErr w:type="gramEnd"/>
      <w:r>
        <w:rPr>
          <w:rFonts w:cs="Times New Roman" w:hint="eastAsia"/>
          <w:kern w:val="21"/>
        </w:rPr>
        <w:t>县域内主要河流，大多发源于县境北部，由西北流向东南，全县河流总长</w:t>
      </w:r>
      <w:r>
        <w:rPr>
          <w:rFonts w:cs="Times New Roman" w:hint="eastAsia"/>
          <w:kern w:val="21"/>
        </w:rPr>
        <w:t>675km</w:t>
      </w:r>
      <w:r>
        <w:rPr>
          <w:rFonts w:cs="Times New Roman" w:hint="eastAsia"/>
          <w:kern w:val="21"/>
        </w:rPr>
        <w:t>，流域面积</w:t>
      </w:r>
      <w:r>
        <w:rPr>
          <w:rFonts w:cs="Times New Roman" w:hint="eastAsia"/>
          <w:kern w:val="21"/>
        </w:rPr>
        <w:t>2823km</w:t>
      </w:r>
      <w:r>
        <w:rPr>
          <w:rFonts w:cs="Times New Roman" w:hint="eastAsia"/>
          <w:kern w:val="21"/>
          <w:vertAlign w:val="superscript"/>
        </w:rPr>
        <w:t>2</w:t>
      </w:r>
      <w:r>
        <w:rPr>
          <w:rFonts w:cs="Times New Roman" w:hint="eastAsia"/>
          <w:kern w:val="21"/>
        </w:rPr>
        <w:t>。剑阁县境内剑门山脉积石阻云，沟壑纵横成溪，顺着西北高、东南低的地势，由涓涓细流聚成条条河流，流经溪涧沟壑，注入清水江水系，汇入嘉陵江。发源于剑门山的水有西河、闻溪河、大剑溪、小剑溪。西河源于五子山分水岭西南，流经剑阁县境内东宝、武连、正兴、开封、迎水、</w:t>
      </w:r>
      <w:proofErr w:type="gramStart"/>
      <w:r>
        <w:rPr>
          <w:rFonts w:cs="Times New Roman" w:hint="eastAsia"/>
          <w:kern w:val="21"/>
        </w:rPr>
        <w:t>柘</w:t>
      </w:r>
      <w:proofErr w:type="gramEnd"/>
      <w:r>
        <w:rPr>
          <w:rFonts w:cs="Times New Roman" w:hint="eastAsia"/>
          <w:kern w:val="21"/>
        </w:rPr>
        <w:t>坝、长岭等地，流经南部县、阆中市汇入嘉陵江。</w:t>
      </w:r>
      <w:proofErr w:type="gramStart"/>
      <w:r>
        <w:rPr>
          <w:rFonts w:cs="Times New Roman" w:hint="eastAsia"/>
          <w:kern w:val="21"/>
        </w:rPr>
        <w:t>闻溪河源</w:t>
      </w:r>
      <w:proofErr w:type="gramEnd"/>
      <w:r>
        <w:rPr>
          <w:rFonts w:cs="Times New Roman" w:hint="eastAsia"/>
          <w:kern w:val="21"/>
        </w:rPr>
        <w:t>于五子山分水岭东南，流经盐店、北庙、普安、闻溪至江口注入嘉陵江。大、小剑</w:t>
      </w:r>
      <w:proofErr w:type="gramStart"/>
      <w:r>
        <w:rPr>
          <w:rFonts w:cs="Times New Roman" w:hint="eastAsia"/>
          <w:kern w:val="21"/>
        </w:rPr>
        <w:t>溪分别</w:t>
      </w:r>
      <w:proofErr w:type="gramEnd"/>
      <w:r>
        <w:rPr>
          <w:rFonts w:cs="Times New Roman" w:hint="eastAsia"/>
          <w:kern w:val="21"/>
        </w:rPr>
        <w:t>源于剑门关镇黑山观、</w:t>
      </w:r>
      <w:proofErr w:type="gramStart"/>
      <w:r>
        <w:rPr>
          <w:rFonts w:cs="Times New Roman" w:hint="eastAsia"/>
          <w:kern w:val="21"/>
        </w:rPr>
        <w:t>汉阳镇</w:t>
      </w:r>
      <w:proofErr w:type="gramEnd"/>
      <w:r>
        <w:rPr>
          <w:rFonts w:cs="Times New Roman" w:hint="eastAsia"/>
          <w:kern w:val="21"/>
        </w:rPr>
        <w:t>北蒲家沟，两溪在剑门隘口至大石沟汇合流入清江河，清江河在利州区</w:t>
      </w:r>
      <w:proofErr w:type="gramStart"/>
      <w:r>
        <w:rPr>
          <w:rFonts w:cs="Times New Roman" w:hint="eastAsia"/>
          <w:kern w:val="21"/>
        </w:rPr>
        <w:t>宝轮镇注入</w:t>
      </w:r>
      <w:proofErr w:type="gramEnd"/>
      <w:r>
        <w:rPr>
          <w:rFonts w:cs="Times New Roman" w:hint="eastAsia"/>
          <w:kern w:val="21"/>
        </w:rPr>
        <w:t>白龙江后于昭</w:t>
      </w:r>
      <w:proofErr w:type="gramStart"/>
      <w:r>
        <w:rPr>
          <w:rFonts w:cs="Times New Roman" w:hint="eastAsia"/>
          <w:kern w:val="21"/>
        </w:rPr>
        <w:t>化区昭化</w:t>
      </w:r>
      <w:proofErr w:type="gramEnd"/>
      <w:r>
        <w:rPr>
          <w:rFonts w:cs="Times New Roman" w:hint="eastAsia"/>
          <w:kern w:val="21"/>
        </w:rPr>
        <w:t>镇汇入嘉陵江。</w:t>
      </w:r>
    </w:p>
    <w:p w14:paraId="0F8AC6FC"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28"/>
        </w:rPr>
      </w:pPr>
      <w:bookmarkStart w:id="262" w:name="_Toc24456"/>
      <w:bookmarkStart w:id="263" w:name="_Toc195009859"/>
      <w:r>
        <w:rPr>
          <w:rFonts w:cs="Times New Roman"/>
          <w:b/>
          <w:bCs/>
          <w:kern w:val="21"/>
          <w:sz w:val="32"/>
          <w:szCs w:val="28"/>
        </w:rPr>
        <w:t>自然资源</w:t>
      </w:r>
      <w:bookmarkEnd w:id="262"/>
      <w:bookmarkEnd w:id="263"/>
    </w:p>
    <w:p w14:paraId="5A005D87" w14:textId="77777777" w:rsidR="00544649" w:rsidRDefault="00000000">
      <w:pPr>
        <w:adjustRightInd w:val="0"/>
        <w:snapToGrid w:val="0"/>
        <w:spacing w:after="0"/>
        <w:ind w:firstLine="480"/>
        <w:rPr>
          <w:rFonts w:cs="Times New Roman"/>
          <w:kern w:val="21"/>
        </w:rPr>
      </w:pPr>
      <w:r>
        <w:rPr>
          <w:rFonts w:cs="Times New Roman" w:hint="eastAsia"/>
          <w:kern w:val="21"/>
        </w:rPr>
        <w:t>剑阁县土地资源较为丰富，全县有土地面积</w:t>
      </w:r>
      <w:r>
        <w:rPr>
          <w:rFonts w:cs="Times New Roman" w:hint="eastAsia"/>
          <w:kern w:val="21"/>
        </w:rPr>
        <w:t>320282.9</w:t>
      </w:r>
      <w:r>
        <w:rPr>
          <w:rFonts w:cs="Times New Roman" w:hint="eastAsia"/>
          <w:kern w:val="21"/>
        </w:rPr>
        <w:t>公顷，有耕地</w:t>
      </w:r>
      <w:r>
        <w:rPr>
          <w:rFonts w:cs="Times New Roman" w:hint="eastAsia"/>
          <w:kern w:val="21"/>
        </w:rPr>
        <w:t>91708.3</w:t>
      </w:r>
      <w:r>
        <w:rPr>
          <w:rFonts w:cs="Times New Roman" w:hint="eastAsia"/>
          <w:kern w:val="21"/>
        </w:rPr>
        <w:t>公顷，可利用开发土地富裕，是发展林、牧业和多种经营有利地区。</w:t>
      </w:r>
    </w:p>
    <w:p w14:paraId="5B10F5C8" w14:textId="77777777" w:rsidR="00544649" w:rsidRDefault="00000000">
      <w:pPr>
        <w:adjustRightInd w:val="0"/>
        <w:snapToGrid w:val="0"/>
        <w:spacing w:after="0"/>
        <w:ind w:firstLine="480"/>
        <w:rPr>
          <w:rFonts w:cs="Times New Roman"/>
          <w:kern w:val="21"/>
        </w:rPr>
      </w:pPr>
      <w:r>
        <w:rPr>
          <w:rFonts w:cs="Times New Roman" w:hint="eastAsia"/>
          <w:kern w:val="21"/>
        </w:rPr>
        <w:t>剑阁县已探明和发现的地下矿藏</w:t>
      </w:r>
      <w:r>
        <w:rPr>
          <w:rFonts w:cs="Times New Roman" w:hint="eastAsia"/>
          <w:kern w:val="21"/>
        </w:rPr>
        <w:t>30</w:t>
      </w:r>
      <w:r>
        <w:rPr>
          <w:rFonts w:cs="Times New Roman" w:hint="eastAsia"/>
          <w:kern w:val="21"/>
        </w:rPr>
        <w:t>种，主要有天然气、铀、沙金、膨润土、石灰石、石英砂等和少量石油，其中石英砂、煤、铁等矿产储量大、品位高，具有开发潜力。</w:t>
      </w:r>
    </w:p>
    <w:p w14:paraId="34B1EF85" w14:textId="77777777" w:rsidR="00544649" w:rsidRDefault="00000000">
      <w:pPr>
        <w:adjustRightInd w:val="0"/>
        <w:snapToGrid w:val="0"/>
        <w:spacing w:after="0"/>
        <w:ind w:firstLine="480"/>
        <w:rPr>
          <w:rFonts w:cs="Times New Roman"/>
          <w:kern w:val="21"/>
        </w:rPr>
      </w:pPr>
      <w:r>
        <w:rPr>
          <w:rFonts w:cs="Times New Roman" w:hint="eastAsia"/>
          <w:kern w:val="21"/>
        </w:rPr>
        <w:t>剑阁县有各类野生动物</w:t>
      </w:r>
      <w:r>
        <w:rPr>
          <w:rFonts w:cs="Times New Roman" w:hint="eastAsia"/>
          <w:kern w:val="21"/>
        </w:rPr>
        <w:t>146</w:t>
      </w:r>
      <w:r>
        <w:rPr>
          <w:rFonts w:cs="Times New Roman" w:hint="eastAsia"/>
          <w:kern w:val="21"/>
        </w:rPr>
        <w:t>种，其中属国家一级保护</w:t>
      </w:r>
      <w:r>
        <w:rPr>
          <w:rFonts w:cs="Times New Roman" w:hint="eastAsia"/>
          <w:kern w:val="21"/>
        </w:rPr>
        <w:t>4</w:t>
      </w:r>
      <w:r>
        <w:rPr>
          <w:rFonts w:cs="Times New Roman" w:hint="eastAsia"/>
          <w:kern w:val="21"/>
        </w:rPr>
        <w:t>种，</w:t>
      </w:r>
      <w:r>
        <w:rPr>
          <w:rFonts w:cs="Times New Roman" w:hint="eastAsia"/>
          <w:kern w:val="21"/>
        </w:rPr>
        <w:t>2</w:t>
      </w:r>
      <w:r>
        <w:rPr>
          <w:rFonts w:cs="Times New Roman" w:hint="eastAsia"/>
          <w:kern w:val="21"/>
        </w:rPr>
        <w:t>级保护</w:t>
      </w:r>
      <w:r>
        <w:rPr>
          <w:rFonts w:cs="Times New Roman" w:hint="eastAsia"/>
          <w:kern w:val="21"/>
        </w:rPr>
        <w:t>29</w:t>
      </w:r>
      <w:r>
        <w:rPr>
          <w:rFonts w:cs="Times New Roman" w:hint="eastAsia"/>
          <w:kern w:val="21"/>
        </w:rPr>
        <w:t>种，属省重点保护的</w:t>
      </w:r>
      <w:r>
        <w:rPr>
          <w:rFonts w:cs="Times New Roman" w:hint="eastAsia"/>
          <w:kern w:val="21"/>
        </w:rPr>
        <w:t>21</w:t>
      </w:r>
      <w:r>
        <w:rPr>
          <w:rFonts w:cs="Times New Roman" w:hint="eastAsia"/>
          <w:kern w:val="21"/>
        </w:rPr>
        <w:t>种。两栖类最普遍的有泽蛙、黑斑蛙、中华大蟾蜍，数量皆在</w:t>
      </w:r>
      <w:r>
        <w:rPr>
          <w:rFonts w:cs="Times New Roman" w:hint="eastAsia"/>
          <w:kern w:val="21"/>
        </w:rPr>
        <w:t>10</w:t>
      </w:r>
      <w:r>
        <w:rPr>
          <w:rFonts w:cs="Times New Roman" w:hint="eastAsia"/>
          <w:kern w:val="21"/>
        </w:rPr>
        <w:t>万只以上，有少量大鲵分布；蛇类中分布和数量较广的是黑眉锦蛇和</w:t>
      </w:r>
      <w:proofErr w:type="gramStart"/>
      <w:r>
        <w:rPr>
          <w:rFonts w:cs="Times New Roman" w:hint="eastAsia"/>
          <w:kern w:val="21"/>
        </w:rPr>
        <w:t>乌梢</w:t>
      </w:r>
      <w:proofErr w:type="gramEnd"/>
      <w:r>
        <w:rPr>
          <w:rFonts w:cs="Times New Roman" w:hint="eastAsia"/>
          <w:kern w:val="21"/>
        </w:rPr>
        <w:t>蛇、王锦蛇，种群数量分别在</w:t>
      </w:r>
      <w:r>
        <w:rPr>
          <w:rFonts w:cs="Times New Roman" w:hint="eastAsia"/>
          <w:kern w:val="21"/>
        </w:rPr>
        <w:t>3~6</w:t>
      </w:r>
      <w:r>
        <w:rPr>
          <w:rFonts w:cs="Times New Roman" w:hint="eastAsia"/>
          <w:kern w:val="21"/>
        </w:rPr>
        <w:t>万条，有少量玉斑锦蛇、</w:t>
      </w:r>
      <w:proofErr w:type="gramStart"/>
      <w:r>
        <w:rPr>
          <w:rFonts w:cs="Times New Roman" w:hint="eastAsia"/>
          <w:kern w:val="21"/>
        </w:rPr>
        <w:t>赤</w:t>
      </w:r>
      <w:proofErr w:type="gramEnd"/>
      <w:r>
        <w:rPr>
          <w:rFonts w:cs="Times New Roman" w:hint="eastAsia"/>
          <w:kern w:val="21"/>
        </w:rPr>
        <w:t>链蛇、翠青蛇、日本蛇、烙铁头、竹叶青分布。鸟类中经济价值较大的有绿头鸭、</w:t>
      </w:r>
      <w:proofErr w:type="gramStart"/>
      <w:r>
        <w:rPr>
          <w:rFonts w:cs="Times New Roman" w:hint="eastAsia"/>
          <w:kern w:val="21"/>
        </w:rPr>
        <w:t>绿翅鸭</w:t>
      </w:r>
      <w:proofErr w:type="gramEnd"/>
      <w:r>
        <w:rPr>
          <w:rFonts w:cs="Times New Roman" w:hint="eastAsia"/>
          <w:kern w:val="21"/>
        </w:rPr>
        <w:t>，种群数量都在</w:t>
      </w:r>
      <w:r>
        <w:rPr>
          <w:rFonts w:cs="Times New Roman" w:hint="eastAsia"/>
          <w:kern w:val="21"/>
        </w:rPr>
        <w:t>500</w:t>
      </w:r>
      <w:r>
        <w:rPr>
          <w:rFonts w:cs="Times New Roman" w:hint="eastAsia"/>
          <w:kern w:val="21"/>
        </w:rPr>
        <w:t>只；</w:t>
      </w:r>
      <w:proofErr w:type="gramStart"/>
      <w:r>
        <w:rPr>
          <w:rFonts w:cs="Times New Roman" w:hint="eastAsia"/>
          <w:kern w:val="21"/>
        </w:rPr>
        <w:t>灰胸竹鸡</w:t>
      </w:r>
      <w:proofErr w:type="gramEnd"/>
      <w:r>
        <w:rPr>
          <w:rFonts w:cs="Times New Roman" w:hint="eastAsia"/>
          <w:kern w:val="21"/>
        </w:rPr>
        <w:t>、</w:t>
      </w:r>
      <w:r>
        <w:rPr>
          <w:rFonts w:cs="Times New Roman" w:hint="eastAsia"/>
          <w:kern w:val="21"/>
        </w:rPr>
        <w:lastRenderedPageBreak/>
        <w:t>雉鸡、红腹锦鸡分布较广，种群数量分别在</w:t>
      </w:r>
      <w:r>
        <w:rPr>
          <w:rFonts w:cs="Times New Roman" w:hint="eastAsia"/>
          <w:kern w:val="21"/>
        </w:rPr>
        <w:t>3000~8000</w:t>
      </w:r>
      <w:r>
        <w:rPr>
          <w:rFonts w:cs="Times New Roman" w:hint="eastAsia"/>
          <w:kern w:val="21"/>
        </w:rPr>
        <w:t>只，其余</w:t>
      </w:r>
      <w:proofErr w:type="gramStart"/>
      <w:r>
        <w:rPr>
          <w:rFonts w:cs="Times New Roman" w:hint="eastAsia"/>
          <w:kern w:val="21"/>
        </w:rPr>
        <w:t>以形自鸟类</w:t>
      </w:r>
      <w:proofErr w:type="gramEnd"/>
      <w:r>
        <w:rPr>
          <w:rFonts w:cs="Times New Roman" w:hint="eastAsia"/>
          <w:kern w:val="21"/>
        </w:rPr>
        <w:t>和旅鸟、小型杂食性鸟、食虫</w:t>
      </w:r>
      <w:proofErr w:type="gramStart"/>
      <w:r>
        <w:rPr>
          <w:rFonts w:cs="Times New Roman" w:hint="eastAsia"/>
          <w:kern w:val="21"/>
        </w:rPr>
        <w:t>性鸟占</w:t>
      </w:r>
      <w:proofErr w:type="gramEnd"/>
      <w:r>
        <w:rPr>
          <w:rFonts w:cs="Times New Roman" w:hint="eastAsia"/>
          <w:kern w:val="21"/>
        </w:rPr>
        <w:t>多数；典型林栖兽类，只保存在少数面积不大的森林中，分布较广的有豹猫、黄鹿、草兔等。</w:t>
      </w:r>
    </w:p>
    <w:p w14:paraId="293E9071" w14:textId="77777777" w:rsidR="00544649" w:rsidRDefault="00000000">
      <w:pPr>
        <w:adjustRightInd w:val="0"/>
        <w:snapToGrid w:val="0"/>
        <w:spacing w:after="0"/>
        <w:ind w:firstLine="480"/>
        <w:rPr>
          <w:rFonts w:cs="Times New Roman"/>
          <w:kern w:val="21"/>
        </w:rPr>
      </w:pPr>
      <w:r>
        <w:rPr>
          <w:rFonts w:cs="Times New Roman" w:hint="eastAsia"/>
          <w:kern w:val="21"/>
        </w:rPr>
        <w:t>剑阁县地带性植被为亚热带常绿阔叶林。但境内植被除亚热带常绿阔叶林外，仍有落叶阔叶林、暖性针叶林和暖性竹林分布。因受人类活动的影响，现有林均为次生林，主要有马尾松、青冈林，人工林主要有松、柏、桤木、慈竹林等。由于气候温暖，土壤肥沃，适宜生长多种植物，有林木</w:t>
      </w:r>
      <w:r>
        <w:rPr>
          <w:rFonts w:cs="Times New Roman" w:hint="eastAsia"/>
          <w:kern w:val="21"/>
        </w:rPr>
        <w:t>49</w:t>
      </w:r>
      <w:r>
        <w:rPr>
          <w:rFonts w:cs="Times New Roman" w:hint="eastAsia"/>
          <w:kern w:val="21"/>
        </w:rPr>
        <w:t>科</w:t>
      </w:r>
      <w:r>
        <w:rPr>
          <w:rFonts w:cs="Times New Roman" w:hint="eastAsia"/>
          <w:kern w:val="21"/>
        </w:rPr>
        <w:t>137</w:t>
      </w:r>
      <w:r>
        <w:rPr>
          <w:rFonts w:cs="Times New Roman" w:hint="eastAsia"/>
          <w:kern w:val="21"/>
        </w:rPr>
        <w:t>种，草本植物</w:t>
      </w:r>
      <w:r>
        <w:rPr>
          <w:rFonts w:cs="Times New Roman" w:hint="eastAsia"/>
          <w:kern w:val="21"/>
        </w:rPr>
        <w:t>30</w:t>
      </w:r>
      <w:r>
        <w:rPr>
          <w:rFonts w:cs="Times New Roman" w:hint="eastAsia"/>
          <w:kern w:val="21"/>
        </w:rPr>
        <w:t>种，其中以麻柳、马尾松、青冈、杨树等数量多，珍稀名贵古树有</w:t>
      </w:r>
      <w:proofErr w:type="gramStart"/>
      <w:r>
        <w:rPr>
          <w:rFonts w:cs="Times New Roman" w:hint="eastAsia"/>
          <w:kern w:val="21"/>
        </w:rPr>
        <w:t>桢</w:t>
      </w:r>
      <w:proofErr w:type="gramEnd"/>
      <w:r>
        <w:rPr>
          <w:rFonts w:cs="Times New Roman" w:hint="eastAsia"/>
          <w:kern w:val="21"/>
        </w:rPr>
        <w:t>楠、银杏、黄葛树等</w:t>
      </w:r>
      <w:r>
        <w:rPr>
          <w:rFonts w:cs="Times New Roman"/>
          <w:kern w:val="21"/>
        </w:rPr>
        <w:t>。</w:t>
      </w:r>
    </w:p>
    <w:p w14:paraId="603811B2"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28"/>
        </w:rPr>
      </w:pPr>
      <w:bookmarkStart w:id="264" w:name="_Toc629"/>
      <w:bookmarkStart w:id="265" w:name="_Toc195009860"/>
      <w:r>
        <w:rPr>
          <w:rFonts w:cs="Times New Roman"/>
          <w:b/>
          <w:bCs/>
          <w:kern w:val="21"/>
          <w:sz w:val="32"/>
          <w:szCs w:val="28"/>
        </w:rPr>
        <w:t>旅游资源</w:t>
      </w:r>
      <w:bookmarkEnd w:id="264"/>
      <w:bookmarkEnd w:id="265"/>
    </w:p>
    <w:p w14:paraId="620BC0EA" w14:textId="77777777" w:rsidR="00544649" w:rsidRDefault="00000000">
      <w:pPr>
        <w:adjustRightInd w:val="0"/>
        <w:snapToGrid w:val="0"/>
        <w:spacing w:after="0"/>
        <w:ind w:firstLine="482"/>
        <w:rPr>
          <w:rFonts w:cs="Times New Roman"/>
          <w:kern w:val="21"/>
        </w:rPr>
      </w:pPr>
      <w:r>
        <w:rPr>
          <w:rFonts w:cs="Times New Roman" w:hint="eastAsia"/>
          <w:b/>
          <w:bCs/>
          <w:kern w:val="21"/>
        </w:rPr>
        <w:t>剑门关风景区</w:t>
      </w:r>
      <w:r>
        <w:rPr>
          <w:rFonts w:cs="Times New Roman"/>
          <w:b/>
          <w:bCs/>
          <w:kern w:val="21"/>
        </w:rPr>
        <w:t>：</w:t>
      </w:r>
      <w:r>
        <w:rPr>
          <w:rFonts w:cs="Times New Roman" w:hint="eastAsia"/>
          <w:kern w:val="21"/>
        </w:rPr>
        <w:t>剑门关风景区地处四川省广元市剑阁县城南</w:t>
      </w:r>
      <w:r>
        <w:rPr>
          <w:rFonts w:cs="Times New Roman" w:hint="eastAsia"/>
          <w:kern w:val="21"/>
        </w:rPr>
        <w:t>9</w:t>
      </w:r>
      <w:r>
        <w:rPr>
          <w:rFonts w:cs="Times New Roman" w:hint="eastAsia"/>
          <w:kern w:val="21"/>
        </w:rPr>
        <w:t>千米处，是首批国家重点风景名胜区剑门蜀道的核心景区。国家自然与文化双遗产，列入世界自然与文化双遗产预备名录，国家</w:t>
      </w:r>
      <w:r>
        <w:rPr>
          <w:rFonts w:cs="Times New Roman" w:hint="eastAsia"/>
          <w:kern w:val="21"/>
        </w:rPr>
        <w:t>AAAAA</w:t>
      </w:r>
      <w:r>
        <w:rPr>
          <w:rFonts w:cs="Times New Roman" w:hint="eastAsia"/>
          <w:kern w:val="21"/>
        </w:rPr>
        <w:t>级旅游景区，国家级风景名胜区，全国重点文物保护单位，国家森林公园，国家地质公园，全国爱国主义教育基地，国家文化产业示范基地，四川省自然保护区。全国</w:t>
      </w:r>
      <w:r>
        <w:rPr>
          <w:rFonts w:cs="Times New Roman" w:hint="eastAsia"/>
          <w:kern w:val="21"/>
        </w:rPr>
        <w:t>100</w:t>
      </w:r>
      <w:r>
        <w:rPr>
          <w:rFonts w:cs="Times New Roman" w:hint="eastAsia"/>
          <w:kern w:val="21"/>
        </w:rPr>
        <w:t>个红色经典旅游景区之一，《中国国家地理》四川最美</w:t>
      </w:r>
      <w:r>
        <w:rPr>
          <w:rFonts w:cs="Times New Roman" w:hint="eastAsia"/>
          <w:kern w:val="21"/>
        </w:rPr>
        <w:t>100</w:t>
      </w:r>
      <w:r>
        <w:rPr>
          <w:rFonts w:cs="Times New Roman" w:hint="eastAsia"/>
          <w:kern w:val="21"/>
        </w:rPr>
        <w:t>个拍摄点之一。主要景点有剑门关、剑阁道、七十二峰、小剑山、姜维祠、姜维墓、邓艾墓、钟会故垒、金牛道、后关门、石笋峰、梁山寺、雷霆峡、翠屏峰、仙峰观、古剑溪桥、志公寺、</w:t>
      </w:r>
      <w:r>
        <w:rPr>
          <w:rFonts w:cs="Times New Roman" w:hint="eastAsia"/>
          <w:kern w:val="21"/>
        </w:rPr>
        <w:t>4D</w:t>
      </w:r>
      <w:r>
        <w:rPr>
          <w:rFonts w:cs="Times New Roman" w:hint="eastAsia"/>
          <w:kern w:val="21"/>
        </w:rPr>
        <w:t>影院、鸟道、玻璃景观平台等，是四川大九寨环线的重要节点和蜀道三国文化精品旅游线路的支撑中心</w:t>
      </w:r>
      <w:r>
        <w:rPr>
          <w:rFonts w:cs="Times New Roman"/>
          <w:kern w:val="21"/>
        </w:rPr>
        <w:t>。</w:t>
      </w:r>
    </w:p>
    <w:p w14:paraId="77F4B662" w14:textId="77777777" w:rsidR="00544649" w:rsidRDefault="00000000">
      <w:pPr>
        <w:adjustRightInd w:val="0"/>
        <w:snapToGrid w:val="0"/>
        <w:spacing w:after="0"/>
        <w:ind w:firstLine="482"/>
        <w:rPr>
          <w:rFonts w:cs="Times New Roman"/>
          <w:kern w:val="21"/>
        </w:rPr>
      </w:pPr>
      <w:r>
        <w:rPr>
          <w:rFonts w:cs="Times New Roman" w:hint="eastAsia"/>
          <w:b/>
          <w:bCs/>
          <w:kern w:val="21"/>
        </w:rPr>
        <w:t>鹤鸣山</w:t>
      </w:r>
      <w:r>
        <w:rPr>
          <w:rFonts w:cs="Times New Roman"/>
          <w:b/>
          <w:bCs/>
          <w:kern w:val="21"/>
        </w:rPr>
        <w:t>：</w:t>
      </w:r>
      <w:r>
        <w:rPr>
          <w:rFonts w:cs="Times New Roman" w:hint="eastAsia"/>
          <w:kern w:val="21"/>
        </w:rPr>
        <w:t>鹤鸣山，剑阁县</w:t>
      </w:r>
      <w:r>
        <w:rPr>
          <w:rFonts w:cs="Times New Roman" w:hint="eastAsia"/>
          <w:kern w:val="21"/>
        </w:rPr>
        <w:t>AAA</w:t>
      </w:r>
      <w:r>
        <w:rPr>
          <w:rFonts w:cs="Times New Roman" w:hint="eastAsia"/>
          <w:kern w:val="21"/>
        </w:rPr>
        <w:t>级旅游景区，五斗米教的发祥地之一，位于剑阁县普安镇。景区内有国家文物保护单位鹤鸣山道教石窟寺及石刻，这类造像始于北魏时期，盛于隋唐，自北魏、唐代以来的道教造像二十余龛近百尊，其规模大，数量多，还有晚唐大诗人李商隐撰写的《剑州重阳亭铭碑》及《古重阳亭题刻》，中唐杰出文学家诗人元结撰写大书法家颜真卿书的《大唐中兴颂》摩崖碑。</w:t>
      </w:r>
    </w:p>
    <w:p w14:paraId="0205C497" w14:textId="77777777" w:rsidR="00544649" w:rsidRDefault="00000000">
      <w:pPr>
        <w:adjustRightInd w:val="0"/>
        <w:snapToGrid w:val="0"/>
        <w:spacing w:after="0"/>
        <w:ind w:firstLine="482"/>
        <w:rPr>
          <w:rFonts w:cs="Times New Roman"/>
          <w:kern w:val="21"/>
        </w:rPr>
      </w:pPr>
      <w:r>
        <w:rPr>
          <w:rFonts w:cs="Times New Roman"/>
          <w:b/>
          <w:kern w:val="21"/>
        </w:rPr>
        <w:t>经调查，本项目评价区域范围内</w:t>
      </w:r>
      <w:proofErr w:type="gramStart"/>
      <w:r>
        <w:rPr>
          <w:rFonts w:cs="Times New Roman" w:hint="eastAsia"/>
          <w:b/>
          <w:kern w:val="21"/>
        </w:rPr>
        <w:t>育雏场距离</w:t>
      </w:r>
      <w:proofErr w:type="gramEnd"/>
      <w:r>
        <w:rPr>
          <w:rFonts w:cs="Times New Roman" w:hint="eastAsia"/>
          <w:b/>
          <w:kern w:val="21"/>
        </w:rPr>
        <w:t>西侧“剑门蜀道国家级风景名胜区”最近距离为</w:t>
      </w:r>
      <w:r>
        <w:rPr>
          <w:rFonts w:cs="Times New Roman" w:hint="eastAsia"/>
          <w:b/>
          <w:kern w:val="21"/>
        </w:rPr>
        <w:t>1.34km</w:t>
      </w:r>
      <w:r>
        <w:rPr>
          <w:rFonts w:cs="Times New Roman" w:hint="eastAsia"/>
          <w:b/>
          <w:kern w:val="21"/>
        </w:rPr>
        <w:t>，</w:t>
      </w:r>
      <w:proofErr w:type="gramStart"/>
      <w:r>
        <w:rPr>
          <w:rFonts w:cs="Times New Roman" w:hint="eastAsia"/>
          <w:b/>
          <w:kern w:val="21"/>
        </w:rPr>
        <w:t>育雏场距离</w:t>
      </w:r>
      <w:proofErr w:type="gramEnd"/>
      <w:r>
        <w:rPr>
          <w:rFonts w:cs="Times New Roman" w:hint="eastAsia"/>
          <w:b/>
          <w:kern w:val="21"/>
        </w:rPr>
        <w:t>北侧“剑门关地质公园”最近距离为</w:t>
      </w:r>
      <w:r>
        <w:rPr>
          <w:rFonts w:cs="Times New Roman" w:hint="eastAsia"/>
          <w:b/>
          <w:kern w:val="21"/>
        </w:rPr>
        <w:t>2.36km</w:t>
      </w:r>
      <w:r>
        <w:rPr>
          <w:rFonts w:cs="Times New Roman"/>
          <w:b/>
          <w:kern w:val="21"/>
        </w:rPr>
        <w:t>。</w:t>
      </w:r>
    </w:p>
    <w:p w14:paraId="3253996B" w14:textId="77777777" w:rsidR="00544649" w:rsidRDefault="00000000">
      <w:pPr>
        <w:keepNext/>
        <w:keepLines/>
        <w:numPr>
          <w:ilvl w:val="1"/>
          <w:numId w:val="9"/>
        </w:numPr>
        <w:adjustRightInd w:val="0"/>
        <w:snapToGrid w:val="0"/>
        <w:spacing w:after="0"/>
        <w:ind w:firstLineChars="0"/>
        <w:outlineLvl w:val="1"/>
        <w:rPr>
          <w:rFonts w:cs="Times New Roman"/>
          <w:kern w:val="21"/>
        </w:rPr>
      </w:pPr>
      <w:bookmarkStart w:id="266" w:name="_Toc195009861"/>
      <w:r>
        <w:rPr>
          <w:rFonts w:ascii="宋体" w:hAnsi="宋体" w:cs="宋体" w:hint="eastAsia"/>
          <w:b/>
          <w:bCs/>
          <w:kern w:val="21"/>
          <w:sz w:val="32"/>
          <w:szCs w:val="32"/>
          <w:lang w:bidi="ar"/>
        </w:rPr>
        <w:t>剑阁县畜牧业养殖业现状</w:t>
      </w:r>
      <w:bookmarkEnd w:id="266"/>
    </w:p>
    <w:p w14:paraId="4C315911" w14:textId="77777777" w:rsidR="00544649" w:rsidRDefault="00000000">
      <w:pPr>
        <w:widowControl/>
        <w:adjustRightInd w:val="0"/>
        <w:snapToGrid w:val="0"/>
        <w:spacing w:after="0"/>
        <w:ind w:firstLine="482"/>
        <w:rPr>
          <w:b/>
          <w:bCs/>
          <w:kern w:val="21"/>
        </w:rPr>
      </w:pPr>
      <w:r>
        <w:rPr>
          <w:rFonts w:cs="Times New Roman"/>
          <w:b/>
          <w:bCs/>
          <w:kern w:val="21"/>
          <w:szCs w:val="24"/>
          <w:lang w:bidi="ar"/>
        </w:rPr>
        <w:t>1</w:t>
      </w:r>
      <w:r>
        <w:rPr>
          <w:rFonts w:ascii="宋体" w:hAnsi="宋体" w:cs="宋体" w:hint="eastAsia"/>
          <w:b/>
          <w:bCs/>
          <w:kern w:val="21"/>
          <w:szCs w:val="24"/>
          <w:lang w:bidi="ar"/>
        </w:rPr>
        <w:t>、畜牧业资源</w:t>
      </w:r>
    </w:p>
    <w:p w14:paraId="1C32BEB0" w14:textId="77777777" w:rsidR="00544649" w:rsidRDefault="00000000">
      <w:pPr>
        <w:widowControl/>
        <w:adjustRightInd w:val="0"/>
        <w:snapToGrid w:val="0"/>
        <w:spacing w:after="0"/>
        <w:ind w:firstLine="480"/>
        <w:rPr>
          <w:rFonts w:cs="Times New Roman"/>
          <w:kern w:val="21"/>
          <w:szCs w:val="24"/>
          <w:lang w:bidi="ar"/>
        </w:rPr>
      </w:pPr>
      <w:r>
        <w:rPr>
          <w:rFonts w:cs="Times New Roman"/>
          <w:kern w:val="21"/>
          <w:szCs w:val="24"/>
          <w:lang w:bidi="ar"/>
        </w:rPr>
        <w:t>近年来，剑阁县畜牧产业不断发展，确立了以生猪、肉牛羊为主导和家禽稳定发展的发展格局。剑阁县成功创建为全省有机产品示范县，获得全国生猪调出大县、四</w:t>
      </w:r>
      <w:r>
        <w:rPr>
          <w:rFonts w:cs="Times New Roman"/>
          <w:kern w:val="21"/>
          <w:szCs w:val="24"/>
          <w:lang w:bidi="ar"/>
        </w:rPr>
        <w:lastRenderedPageBreak/>
        <w:t>川省畜牧业重点县和全省农业（生猪、土鸡）标准化示范区、第三批国家农业绿色发展先行区等多项荣誉。剑门关土鸡成为全省向社会公开推介优质农产品品牌。</w:t>
      </w:r>
    </w:p>
    <w:p w14:paraId="61CA33C9" w14:textId="77777777" w:rsidR="00544649" w:rsidRDefault="00000000">
      <w:pPr>
        <w:widowControl/>
        <w:adjustRightInd w:val="0"/>
        <w:snapToGrid w:val="0"/>
        <w:spacing w:after="0"/>
        <w:ind w:firstLine="482"/>
        <w:rPr>
          <w:b/>
          <w:bCs/>
          <w:kern w:val="21"/>
        </w:rPr>
      </w:pPr>
      <w:r>
        <w:rPr>
          <w:rFonts w:cs="Times New Roman"/>
          <w:b/>
          <w:bCs/>
          <w:kern w:val="21"/>
          <w:szCs w:val="24"/>
          <w:lang w:bidi="ar"/>
        </w:rPr>
        <w:t>2</w:t>
      </w:r>
      <w:r>
        <w:rPr>
          <w:rFonts w:ascii="宋体" w:hAnsi="宋体" w:cs="宋体" w:hint="eastAsia"/>
          <w:b/>
          <w:bCs/>
          <w:kern w:val="21"/>
          <w:szCs w:val="24"/>
          <w:lang w:bidi="ar"/>
        </w:rPr>
        <w:t>、畜禽养殖规模现状</w:t>
      </w:r>
    </w:p>
    <w:p w14:paraId="25319BA9" w14:textId="77777777" w:rsidR="00544649" w:rsidRDefault="00000000">
      <w:pPr>
        <w:widowControl/>
        <w:adjustRightInd w:val="0"/>
        <w:snapToGrid w:val="0"/>
        <w:spacing w:after="0"/>
        <w:ind w:firstLine="480"/>
        <w:rPr>
          <w:rFonts w:cs="Times New Roman"/>
          <w:kern w:val="21"/>
          <w:szCs w:val="24"/>
          <w:lang w:bidi="ar"/>
        </w:rPr>
      </w:pPr>
      <w:r>
        <w:rPr>
          <w:rFonts w:cs="Times New Roman" w:hint="eastAsia"/>
          <w:kern w:val="21"/>
          <w:szCs w:val="24"/>
          <w:lang w:bidi="ar"/>
        </w:rPr>
        <w:t>剑阁县</w:t>
      </w:r>
      <w:r>
        <w:rPr>
          <w:rFonts w:cs="Times New Roman"/>
          <w:kern w:val="21"/>
          <w:szCs w:val="24"/>
          <w:lang w:bidi="ar"/>
        </w:rPr>
        <w:t>生猪出栏量为</w:t>
      </w:r>
      <w:r>
        <w:rPr>
          <w:rFonts w:cs="Times New Roman"/>
          <w:kern w:val="21"/>
          <w:szCs w:val="24"/>
          <w:lang w:bidi="ar"/>
        </w:rPr>
        <w:t>880299</w:t>
      </w:r>
      <w:r>
        <w:rPr>
          <w:rFonts w:cs="Times New Roman"/>
          <w:kern w:val="21"/>
          <w:szCs w:val="24"/>
          <w:lang w:bidi="ar"/>
        </w:rPr>
        <w:t>头，存栏量为</w:t>
      </w:r>
      <w:r>
        <w:rPr>
          <w:rFonts w:cs="Times New Roman"/>
          <w:kern w:val="21"/>
          <w:szCs w:val="24"/>
          <w:lang w:bidi="ar"/>
        </w:rPr>
        <w:t>600345</w:t>
      </w:r>
      <w:r>
        <w:rPr>
          <w:rFonts w:cs="Times New Roman"/>
          <w:kern w:val="21"/>
          <w:szCs w:val="24"/>
          <w:lang w:bidi="ar"/>
        </w:rPr>
        <w:t>头；</w:t>
      </w:r>
      <w:proofErr w:type="gramStart"/>
      <w:r>
        <w:rPr>
          <w:rFonts w:cs="Times New Roman"/>
          <w:kern w:val="21"/>
          <w:szCs w:val="24"/>
          <w:lang w:bidi="ar"/>
        </w:rPr>
        <w:t>能繁母猪</w:t>
      </w:r>
      <w:proofErr w:type="gramEnd"/>
      <w:r>
        <w:rPr>
          <w:rFonts w:cs="Times New Roman"/>
          <w:kern w:val="21"/>
          <w:szCs w:val="24"/>
          <w:lang w:bidi="ar"/>
        </w:rPr>
        <w:t>存栏</w:t>
      </w:r>
      <w:r>
        <w:rPr>
          <w:rFonts w:cs="Times New Roman"/>
          <w:kern w:val="21"/>
          <w:szCs w:val="24"/>
          <w:lang w:bidi="ar"/>
        </w:rPr>
        <w:t>55035</w:t>
      </w:r>
      <w:r>
        <w:rPr>
          <w:rFonts w:cs="Times New Roman"/>
          <w:kern w:val="21"/>
          <w:szCs w:val="24"/>
          <w:lang w:bidi="ar"/>
        </w:rPr>
        <w:t>头；肉牛存栏量为</w:t>
      </w:r>
      <w:r>
        <w:rPr>
          <w:rFonts w:cs="Times New Roman"/>
          <w:kern w:val="21"/>
          <w:szCs w:val="24"/>
          <w:lang w:bidi="ar"/>
        </w:rPr>
        <w:t>50863</w:t>
      </w:r>
      <w:r>
        <w:rPr>
          <w:rFonts w:cs="Times New Roman"/>
          <w:kern w:val="21"/>
          <w:szCs w:val="24"/>
          <w:lang w:bidi="ar"/>
        </w:rPr>
        <w:t>头；羊出栏量为</w:t>
      </w:r>
      <w:r>
        <w:rPr>
          <w:rFonts w:cs="Times New Roman"/>
          <w:kern w:val="21"/>
          <w:szCs w:val="24"/>
          <w:lang w:bidi="ar"/>
        </w:rPr>
        <w:t>165372</w:t>
      </w:r>
      <w:r>
        <w:rPr>
          <w:rFonts w:cs="Times New Roman"/>
          <w:kern w:val="21"/>
          <w:szCs w:val="24"/>
          <w:lang w:bidi="ar"/>
        </w:rPr>
        <w:t>只，存栏量为</w:t>
      </w:r>
      <w:r>
        <w:rPr>
          <w:rFonts w:cs="Times New Roman"/>
          <w:kern w:val="21"/>
          <w:szCs w:val="24"/>
          <w:lang w:bidi="ar"/>
        </w:rPr>
        <w:t>122331</w:t>
      </w:r>
      <w:r>
        <w:rPr>
          <w:rFonts w:cs="Times New Roman"/>
          <w:kern w:val="21"/>
          <w:szCs w:val="24"/>
          <w:lang w:bidi="ar"/>
        </w:rPr>
        <w:t>只；</w:t>
      </w:r>
      <w:proofErr w:type="gramStart"/>
      <w:r>
        <w:rPr>
          <w:rFonts w:cs="Times New Roman"/>
          <w:kern w:val="21"/>
          <w:szCs w:val="24"/>
          <w:lang w:bidi="ar"/>
        </w:rPr>
        <w:t>兔</w:t>
      </w:r>
      <w:proofErr w:type="gramEnd"/>
      <w:r>
        <w:rPr>
          <w:rFonts w:cs="Times New Roman"/>
          <w:kern w:val="21"/>
          <w:szCs w:val="24"/>
          <w:lang w:bidi="ar"/>
        </w:rPr>
        <w:t>出栏量为</w:t>
      </w:r>
      <w:r>
        <w:rPr>
          <w:rFonts w:cs="Times New Roman"/>
          <w:kern w:val="21"/>
          <w:szCs w:val="24"/>
          <w:lang w:bidi="ar"/>
        </w:rPr>
        <w:t>1892875</w:t>
      </w:r>
      <w:r>
        <w:rPr>
          <w:rFonts w:cs="Times New Roman"/>
          <w:kern w:val="21"/>
          <w:szCs w:val="24"/>
          <w:lang w:bidi="ar"/>
        </w:rPr>
        <w:t>只；蛋鸡存栏量为</w:t>
      </w:r>
      <w:r>
        <w:rPr>
          <w:rFonts w:cs="Times New Roman"/>
          <w:kern w:val="21"/>
          <w:szCs w:val="24"/>
          <w:lang w:bidi="ar"/>
        </w:rPr>
        <w:t>1175504</w:t>
      </w:r>
      <w:r>
        <w:rPr>
          <w:rFonts w:cs="Times New Roman"/>
          <w:kern w:val="21"/>
          <w:szCs w:val="24"/>
          <w:lang w:bidi="ar"/>
        </w:rPr>
        <w:t>只，禽蛋产量为</w:t>
      </w:r>
      <w:r>
        <w:rPr>
          <w:rFonts w:cs="Times New Roman"/>
          <w:kern w:val="21"/>
          <w:szCs w:val="24"/>
          <w:lang w:bidi="ar"/>
        </w:rPr>
        <w:t>11389</w:t>
      </w:r>
      <w:r>
        <w:rPr>
          <w:rFonts w:cs="Times New Roman"/>
          <w:kern w:val="21"/>
          <w:szCs w:val="24"/>
          <w:lang w:bidi="ar"/>
        </w:rPr>
        <w:t>吨；肉鸡出栏量为</w:t>
      </w:r>
      <w:r>
        <w:rPr>
          <w:rFonts w:cs="Times New Roman"/>
          <w:kern w:val="21"/>
          <w:szCs w:val="24"/>
          <w:lang w:bidi="ar"/>
        </w:rPr>
        <w:t>10572344</w:t>
      </w:r>
      <w:r>
        <w:rPr>
          <w:rFonts w:cs="Times New Roman"/>
          <w:kern w:val="21"/>
          <w:szCs w:val="24"/>
          <w:lang w:bidi="ar"/>
        </w:rPr>
        <w:t>只。剑阁县畜禽养殖业现状详见</w:t>
      </w:r>
      <w:r>
        <w:rPr>
          <w:rFonts w:cs="Times New Roman" w:hint="eastAsia"/>
          <w:kern w:val="21"/>
          <w:szCs w:val="24"/>
          <w:lang w:bidi="ar"/>
        </w:rPr>
        <w:t>下</w:t>
      </w:r>
      <w:r>
        <w:rPr>
          <w:rFonts w:cs="Times New Roman"/>
          <w:kern w:val="21"/>
          <w:szCs w:val="24"/>
          <w:lang w:bidi="ar"/>
        </w:rPr>
        <w:t>表</w:t>
      </w:r>
      <w:r>
        <w:rPr>
          <w:rFonts w:cs="Times New Roman" w:hint="eastAsia"/>
          <w:kern w:val="21"/>
          <w:szCs w:val="24"/>
          <w:lang w:bidi="ar"/>
        </w:rPr>
        <w:t>。</w:t>
      </w:r>
    </w:p>
    <w:p w14:paraId="7B2D5C9C"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hint="eastAsia"/>
          <w:b/>
          <w:bCs/>
          <w:kern w:val="21"/>
          <w:sz w:val="21"/>
          <w:szCs w:val="21"/>
        </w:rPr>
        <w:t>表</w:t>
      </w:r>
      <w:r>
        <w:rPr>
          <w:rFonts w:hint="eastAsia"/>
          <w:b/>
          <w:bCs/>
          <w:kern w:val="21"/>
          <w:sz w:val="21"/>
          <w:szCs w:val="21"/>
        </w:rPr>
        <w:t>4-1</w:t>
      </w:r>
      <w:r>
        <w:rPr>
          <w:rFonts w:hint="eastAsia"/>
          <w:b/>
          <w:bCs/>
          <w:kern w:val="21"/>
          <w:sz w:val="21"/>
          <w:szCs w:val="21"/>
        </w:rPr>
        <w:t>剑阁县畜禽养殖情况</w:t>
      </w:r>
    </w:p>
    <w:tbl>
      <w:tblPr>
        <w:tblStyle w:val="afc"/>
        <w:tblW w:w="8834" w:type="dxa"/>
        <w:jc w:val="center"/>
        <w:tblLayout w:type="fixed"/>
        <w:tblLook w:val="04A0" w:firstRow="1" w:lastRow="0" w:firstColumn="1" w:lastColumn="0" w:noHBand="0" w:noVBand="1"/>
      </w:tblPr>
      <w:tblGrid>
        <w:gridCol w:w="1838"/>
        <w:gridCol w:w="1418"/>
        <w:gridCol w:w="992"/>
        <w:gridCol w:w="848"/>
        <w:gridCol w:w="853"/>
        <w:gridCol w:w="977"/>
        <w:gridCol w:w="957"/>
        <w:gridCol w:w="951"/>
      </w:tblGrid>
      <w:tr w:rsidR="00544649" w14:paraId="18588D6D" w14:textId="77777777">
        <w:trPr>
          <w:jc w:val="center"/>
        </w:trPr>
        <w:tc>
          <w:tcPr>
            <w:tcW w:w="1838" w:type="dxa"/>
            <w:vAlign w:val="center"/>
          </w:tcPr>
          <w:p w14:paraId="1646D20C"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养殖种类</w:t>
            </w:r>
          </w:p>
        </w:tc>
        <w:tc>
          <w:tcPr>
            <w:tcW w:w="1418" w:type="dxa"/>
            <w:vAlign w:val="center"/>
          </w:tcPr>
          <w:p w14:paraId="35F4D620"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肉牛</w:t>
            </w:r>
          </w:p>
        </w:tc>
        <w:tc>
          <w:tcPr>
            <w:tcW w:w="992" w:type="dxa"/>
            <w:vAlign w:val="center"/>
          </w:tcPr>
          <w:p w14:paraId="0CC75335"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生猪</w:t>
            </w:r>
          </w:p>
        </w:tc>
        <w:tc>
          <w:tcPr>
            <w:tcW w:w="848" w:type="dxa"/>
            <w:vAlign w:val="center"/>
          </w:tcPr>
          <w:p w14:paraId="55CFD9F7"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母猪</w:t>
            </w:r>
          </w:p>
        </w:tc>
        <w:tc>
          <w:tcPr>
            <w:tcW w:w="853" w:type="dxa"/>
            <w:vAlign w:val="center"/>
          </w:tcPr>
          <w:p w14:paraId="21E9BE09"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羊</w:t>
            </w:r>
          </w:p>
        </w:tc>
        <w:tc>
          <w:tcPr>
            <w:tcW w:w="977" w:type="dxa"/>
            <w:vAlign w:val="center"/>
          </w:tcPr>
          <w:p w14:paraId="1F2C28ED"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蛋鸡</w:t>
            </w:r>
          </w:p>
        </w:tc>
        <w:tc>
          <w:tcPr>
            <w:tcW w:w="957" w:type="dxa"/>
            <w:vAlign w:val="center"/>
          </w:tcPr>
          <w:p w14:paraId="7C2AD4C6"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肉鸡</w:t>
            </w:r>
          </w:p>
        </w:tc>
        <w:tc>
          <w:tcPr>
            <w:tcW w:w="951" w:type="dxa"/>
            <w:vAlign w:val="center"/>
          </w:tcPr>
          <w:p w14:paraId="1231B77A"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兔</w:t>
            </w:r>
          </w:p>
        </w:tc>
      </w:tr>
      <w:tr w:rsidR="00544649" w14:paraId="15B533AD" w14:textId="77777777">
        <w:trPr>
          <w:jc w:val="center"/>
        </w:trPr>
        <w:tc>
          <w:tcPr>
            <w:tcW w:w="1838" w:type="dxa"/>
            <w:vAlign w:val="center"/>
          </w:tcPr>
          <w:p w14:paraId="18365ABA"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存栏（头</w:t>
            </w:r>
            <w:r>
              <w:rPr>
                <w:rFonts w:cs="Times New Roman"/>
                <w:kern w:val="21"/>
                <w:sz w:val="21"/>
                <w:szCs w:val="21"/>
                <w:lang w:bidi="ar"/>
              </w:rPr>
              <w:t>/</w:t>
            </w:r>
            <w:r>
              <w:rPr>
                <w:rFonts w:cs="Times New Roman"/>
                <w:kern w:val="21"/>
                <w:sz w:val="21"/>
                <w:szCs w:val="21"/>
                <w:lang w:bidi="ar"/>
              </w:rPr>
              <w:t>只）</w:t>
            </w:r>
          </w:p>
        </w:tc>
        <w:tc>
          <w:tcPr>
            <w:tcW w:w="1418" w:type="dxa"/>
            <w:vAlign w:val="center"/>
          </w:tcPr>
          <w:p w14:paraId="78435A06"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50863</w:t>
            </w:r>
          </w:p>
        </w:tc>
        <w:tc>
          <w:tcPr>
            <w:tcW w:w="992" w:type="dxa"/>
            <w:vAlign w:val="center"/>
          </w:tcPr>
          <w:p w14:paraId="4AE18AD2"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600345</w:t>
            </w:r>
          </w:p>
        </w:tc>
        <w:tc>
          <w:tcPr>
            <w:tcW w:w="848" w:type="dxa"/>
            <w:vAlign w:val="center"/>
          </w:tcPr>
          <w:p w14:paraId="499770D5"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55035</w:t>
            </w:r>
          </w:p>
        </w:tc>
        <w:tc>
          <w:tcPr>
            <w:tcW w:w="853" w:type="dxa"/>
            <w:vAlign w:val="center"/>
          </w:tcPr>
          <w:p w14:paraId="51D06D5A"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122331</w:t>
            </w:r>
          </w:p>
        </w:tc>
        <w:tc>
          <w:tcPr>
            <w:tcW w:w="977" w:type="dxa"/>
            <w:vAlign w:val="center"/>
          </w:tcPr>
          <w:p w14:paraId="43FFE498"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1175504</w:t>
            </w:r>
          </w:p>
        </w:tc>
        <w:tc>
          <w:tcPr>
            <w:tcW w:w="957" w:type="dxa"/>
            <w:vAlign w:val="center"/>
          </w:tcPr>
          <w:p w14:paraId="4AF17F53" w14:textId="77777777" w:rsidR="00544649" w:rsidRDefault="00000000">
            <w:pPr>
              <w:widowControl/>
              <w:tabs>
                <w:tab w:val="left" w:pos="480"/>
              </w:tabs>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7483120</w:t>
            </w:r>
          </w:p>
        </w:tc>
        <w:tc>
          <w:tcPr>
            <w:tcW w:w="951" w:type="dxa"/>
            <w:vAlign w:val="center"/>
          </w:tcPr>
          <w:p w14:paraId="2DAE6068"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w:t>
            </w:r>
          </w:p>
        </w:tc>
      </w:tr>
      <w:tr w:rsidR="00544649" w14:paraId="39C0B023" w14:textId="77777777">
        <w:trPr>
          <w:jc w:val="center"/>
        </w:trPr>
        <w:tc>
          <w:tcPr>
            <w:tcW w:w="1838" w:type="dxa"/>
            <w:vAlign w:val="center"/>
          </w:tcPr>
          <w:p w14:paraId="638C28AC"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出栏（头</w:t>
            </w:r>
            <w:r>
              <w:rPr>
                <w:rFonts w:cs="Times New Roman"/>
                <w:kern w:val="21"/>
                <w:sz w:val="21"/>
                <w:szCs w:val="21"/>
                <w:lang w:bidi="ar"/>
              </w:rPr>
              <w:t>/</w:t>
            </w:r>
            <w:r>
              <w:rPr>
                <w:rFonts w:cs="Times New Roman"/>
                <w:kern w:val="21"/>
                <w:sz w:val="21"/>
                <w:szCs w:val="21"/>
                <w:lang w:bidi="ar"/>
              </w:rPr>
              <w:t>只）</w:t>
            </w:r>
          </w:p>
        </w:tc>
        <w:tc>
          <w:tcPr>
            <w:tcW w:w="1418" w:type="dxa"/>
            <w:vAlign w:val="center"/>
          </w:tcPr>
          <w:p w14:paraId="13012A80"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15998</w:t>
            </w:r>
          </w:p>
        </w:tc>
        <w:tc>
          <w:tcPr>
            <w:tcW w:w="992" w:type="dxa"/>
            <w:vAlign w:val="center"/>
          </w:tcPr>
          <w:p w14:paraId="2EC82613"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880299</w:t>
            </w:r>
          </w:p>
        </w:tc>
        <w:tc>
          <w:tcPr>
            <w:tcW w:w="848" w:type="dxa"/>
            <w:vAlign w:val="center"/>
          </w:tcPr>
          <w:p w14:paraId="4F697BDF"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w:t>
            </w:r>
          </w:p>
        </w:tc>
        <w:tc>
          <w:tcPr>
            <w:tcW w:w="853" w:type="dxa"/>
            <w:vAlign w:val="center"/>
          </w:tcPr>
          <w:p w14:paraId="1CC1F31B"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16537</w:t>
            </w:r>
          </w:p>
        </w:tc>
        <w:tc>
          <w:tcPr>
            <w:tcW w:w="977" w:type="dxa"/>
            <w:vAlign w:val="center"/>
          </w:tcPr>
          <w:p w14:paraId="57980529" w14:textId="77777777" w:rsidR="00544649" w:rsidRDefault="00000000">
            <w:pPr>
              <w:widowControl/>
              <w:tabs>
                <w:tab w:val="left" w:pos="675"/>
              </w:tabs>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w:t>
            </w:r>
          </w:p>
        </w:tc>
        <w:tc>
          <w:tcPr>
            <w:tcW w:w="957" w:type="dxa"/>
            <w:vAlign w:val="center"/>
          </w:tcPr>
          <w:p w14:paraId="7E0AD221"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1057234</w:t>
            </w:r>
          </w:p>
        </w:tc>
        <w:tc>
          <w:tcPr>
            <w:tcW w:w="951" w:type="dxa"/>
            <w:vAlign w:val="center"/>
          </w:tcPr>
          <w:p w14:paraId="002C2CD6"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1892875</w:t>
            </w:r>
          </w:p>
        </w:tc>
      </w:tr>
    </w:tbl>
    <w:p w14:paraId="3031F081" w14:textId="77777777" w:rsidR="00544649" w:rsidRDefault="00000000">
      <w:pPr>
        <w:widowControl/>
        <w:adjustRightInd w:val="0"/>
        <w:snapToGrid w:val="0"/>
        <w:spacing w:after="0"/>
        <w:ind w:firstLine="482"/>
        <w:jc w:val="left"/>
        <w:rPr>
          <w:b/>
          <w:bCs/>
          <w:kern w:val="21"/>
        </w:rPr>
      </w:pPr>
      <w:r>
        <w:rPr>
          <w:rFonts w:cs="Times New Roman"/>
          <w:b/>
          <w:bCs/>
          <w:kern w:val="21"/>
          <w:szCs w:val="24"/>
          <w:lang w:bidi="ar"/>
        </w:rPr>
        <w:t>3</w:t>
      </w:r>
      <w:r>
        <w:rPr>
          <w:rFonts w:ascii="宋体" w:hAnsi="宋体" w:cs="宋体" w:hint="eastAsia"/>
          <w:b/>
          <w:bCs/>
          <w:kern w:val="21"/>
          <w:szCs w:val="24"/>
          <w:lang w:bidi="ar"/>
        </w:rPr>
        <w:t>、畜禽规模养殖场数量</w:t>
      </w:r>
    </w:p>
    <w:p w14:paraId="06E45929" w14:textId="77777777" w:rsidR="00544649" w:rsidRDefault="00000000">
      <w:pPr>
        <w:widowControl/>
        <w:adjustRightInd w:val="0"/>
        <w:snapToGrid w:val="0"/>
        <w:spacing w:after="0"/>
        <w:ind w:firstLine="480"/>
        <w:jc w:val="left"/>
        <w:rPr>
          <w:rFonts w:cs="Times New Roman"/>
          <w:kern w:val="21"/>
          <w:szCs w:val="24"/>
          <w:lang w:bidi="ar"/>
        </w:rPr>
      </w:pPr>
      <w:r>
        <w:rPr>
          <w:rFonts w:cs="Times New Roman"/>
          <w:kern w:val="21"/>
          <w:szCs w:val="24"/>
          <w:lang w:bidi="ar"/>
        </w:rPr>
        <w:t>根据四川省畜禽规模养殖场（小区）和养殖专业户规模标准，剑阁县共有畜禽规模养殖场（小区）</w:t>
      </w:r>
      <w:r>
        <w:rPr>
          <w:rFonts w:cs="Times New Roman"/>
          <w:kern w:val="21"/>
          <w:szCs w:val="24"/>
          <w:lang w:bidi="ar"/>
        </w:rPr>
        <w:t>151</w:t>
      </w:r>
      <w:r>
        <w:rPr>
          <w:rFonts w:cs="Times New Roman"/>
          <w:kern w:val="21"/>
          <w:szCs w:val="24"/>
          <w:lang w:bidi="ar"/>
        </w:rPr>
        <w:t>家，畜禽养殖专业户</w:t>
      </w:r>
      <w:r>
        <w:rPr>
          <w:rFonts w:cs="Times New Roman"/>
          <w:kern w:val="21"/>
          <w:szCs w:val="24"/>
          <w:lang w:bidi="ar"/>
        </w:rPr>
        <w:t>828</w:t>
      </w:r>
      <w:r>
        <w:rPr>
          <w:rFonts w:cs="Times New Roman"/>
          <w:kern w:val="21"/>
          <w:szCs w:val="24"/>
          <w:lang w:bidi="ar"/>
        </w:rPr>
        <w:t>户，详见</w:t>
      </w:r>
      <w:r>
        <w:rPr>
          <w:rFonts w:cs="Times New Roman" w:hint="eastAsia"/>
          <w:kern w:val="21"/>
          <w:szCs w:val="24"/>
          <w:lang w:bidi="ar"/>
        </w:rPr>
        <w:t>下表。</w:t>
      </w:r>
    </w:p>
    <w:p w14:paraId="013D3AA3"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hint="eastAsia"/>
          <w:b/>
          <w:bCs/>
          <w:kern w:val="21"/>
          <w:sz w:val="21"/>
          <w:szCs w:val="21"/>
        </w:rPr>
        <w:t>表</w:t>
      </w:r>
      <w:r>
        <w:rPr>
          <w:rFonts w:hint="eastAsia"/>
          <w:b/>
          <w:bCs/>
          <w:kern w:val="21"/>
          <w:sz w:val="21"/>
          <w:szCs w:val="21"/>
        </w:rPr>
        <w:t>4-2</w:t>
      </w:r>
      <w:r>
        <w:rPr>
          <w:rFonts w:hint="eastAsia"/>
          <w:b/>
          <w:bCs/>
          <w:kern w:val="21"/>
          <w:sz w:val="21"/>
          <w:szCs w:val="21"/>
        </w:rPr>
        <w:t>剑阁县畜禽规模养殖场、专业户、散户数量统计表</w:t>
      </w:r>
    </w:p>
    <w:tbl>
      <w:tblPr>
        <w:tblStyle w:val="afc"/>
        <w:tblW w:w="9060" w:type="dxa"/>
        <w:jc w:val="center"/>
        <w:tblLayout w:type="fixed"/>
        <w:tblLook w:val="04A0" w:firstRow="1" w:lastRow="0" w:firstColumn="1" w:lastColumn="0" w:noHBand="0" w:noVBand="1"/>
      </w:tblPr>
      <w:tblGrid>
        <w:gridCol w:w="2800"/>
        <w:gridCol w:w="2160"/>
        <w:gridCol w:w="1511"/>
        <w:gridCol w:w="1292"/>
        <w:gridCol w:w="1297"/>
      </w:tblGrid>
      <w:tr w:rsidR="00544649" w14:paraId="5FAF6208" w14:textId="77777777">
        <w:trPr>
          <w:jc w:val="center"/>
        </w:trPr>
        <w:tc>
          <w:tcPr>
            <w:tcW w:w="2800" w:type="dxa"/>
            <w:tcBorders>
              <w:tl2br w:val="single" w:sz="4" w:space="0" w:color="auto"/>
            </w:tcBorders>
            <w:vAlign w:val="center"/>
          </w:tcPr>
          <w:p w14:paraId="24FF304B"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 xml:space="preserve">       </w:t>
            </w:r>
            <w:r>
              <w:rPr>
                <w:rFonts w:cs="Times New Roman"/>
                <w:kern w:val="21"/>
                <w:sz w:val="21"/>
                <w:szCs w:val="21"/>
                <w:lang w:bidi="ar"/>
              </w:rPr>
              <w:t>规模（</w:t>
            </w:r>
            <w:proofErr w:type="gramStart"/>
            <w:r>
              <w:rPr>
                <w:rFonts w:cs="Times New Roman"/>
                <w:kern w:val="21"/>
                <w:sz w:val="21"/>
                <w:szCs w:val="21"/>
                <w:lang w:bidi="ar"/>
              </w:rPr>
              <w:t>个</w:t>
            </w:r>
            <w:proofErr w:type="gramEnd"/>
            <w:r>
              <w:rPr>
                <w:rFonts w:cs="Times New Roman"/>
                <w:kern w:val="21"/>
                <w:sz w:val="21"/>
                <w:szCs w:val="21"/>
                <w:lang w:bidi="ar"/>
              </w:rPr>
              <w:t>）</w:t>
            </w:r>
          </w:p>
          <w:p w14:paraId="6CEC861C" w14:textId="77777777" w:rsidR="00544649" w:rsidRDefault="00000000">
            <w:pPr>
              <w:widowControl/>
              <w:adjustRightInd w:val="0"/>
              <w:snapToGrid w:val="0"/>
              <w:spacing w:after="0" w:line="240" w:lineRule="auto"/>
              <w:ind w:firstLineChars="0" w:firstLine="0"/>
              <w:rPr>
                <w:rFonts w:cs="Times New Roman"/>
                <w:kern w:val="21"/>
                <w:sz w:val="21"/>
                <w:szCs w:val="21"/>
                <w:lang w:bidi="ar"/>
              </w:rPr>
            </w:pPr>
            <w:r>
              <w:rPr>
                <w:rFonts w:cs="Times New Roman"/>
                <w:kern w:val="21"/>
                <w:sz w:val="21"/>
                <w:szCs w:val="21"/>
                <w:lang w:bidi="ar"/>
              </w:rPr>
              <w:t>畜种</w:t>
            </w:r>
          </w:p>
        </w:tc>
        <w:tc>
          <w:tcPr>
            <w:tcW w:w="2160" w:type="dxa"/>
            <w:vAlign w:val="center"/>
          </w:tcPr>
          <w:p w14:paraId="48E1D5D9"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规模养殖场（小区）</w:t>
            </w:r>
          </w:p>
        </w:tc>
        <w:tc>
          <w:tcPr>
            <w:tcW w:w="1511" w:type="dxa"/>
            <w:vAlign w:val="center"/>
          </w:tcPr>
          <w:p w14:paraId="1AD5B6D5"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养殖专业户</w:t>
            </w:r>
          </w:p>
        </w:tc>
        <w:tc>
          <w:tcPr>
            <w:tcW w:w="1292" w:type="dxa"/>
            <w:vAlign w:val="center"/>
          </w:tcPr>
          <w:p w14:paraId="13D3CA6B"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散养户</w:t>
            </w:r>
          </w:p>
        </w:tc>
        <w:tc>
          <w:tcPr>
            <w:tcW w:w="1297" w:type="dxa"/>
            <w:vAlign w:val="center"/>
          </w:tcPr>
          <w:p w14:paraId="3F0937D3"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小计</w:t>
            </w:r>
          </w:p>
        </w:tc>
      </w:tr>
      <w:tr w:rsidR="00544649" w14:paraId="745ECB8F" w14:textId="77777777">
        <w:trPr>
          <w:jc w:val="center"/>
        </w:trPr>
        <w:tc>
          <w:tcPr>
            <w:tcW w:w="2800" w:type="dxa"/>
            <w:vAlign w:val="center"/>
          </w:tcPr>
          <w:p w14:paraId="6650B894"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生猪</w:t>
            </w:r>
          </w:p>
        </w:tc>
        <w:tc>
          <w:tcPr>
            <w:tcW w:w="2160" w:type="dxa"/>
            <w:vAlign w:val="center"/>
          </w:tcPr>
          <w:p w14:paraId="41C5E047"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135</w:t>
            </w:r>
          </w:p>
        </w:tc>
        <w:tc>
          <w:tcPr>
            <w:tcW w:w="1511" w:type="dxa"/>
            <w:vAlign w:val="center"/>
          </w:tcPr>
          <w:p w14:paraId="5F39EDD1"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625</w:t>
            </w:r>
          </w:p>
        </w:tc>
        <w:tc>
          <w:tcPr>
            <w:tcW w:w="1292" w:type="dxa"/>
            <w:vAlign w:val="center"/>
          </w:tcPr>
          <w:p w14:paraId="4C654597"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9489</w:t>
            </w:r>
          </w:p>
        </w:tc>
        <w:tc>
          <w:tcPr>
            <w:tcW w:w="1297" w:type="dxa"/>
            <w:vAlign w:val="center"/>
          </w:tcPr>
          <w:p w14:paraId="642B8373"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10249</w:t>
            </w:r>
          </w:p>
        </w:tc>
      </w:tr>
      <w:tr w:rsidR="00544649" w14:paraId="25CF6B0A" w14:textId="77777777">
        <w:trPr>
          <w:jc w:val="center"/>
        </w:trPr>
        <w:tc>
          <w:tcPr>
            <w:tcW w:w="2800" w:type="dxa"/>
            <w:vAlign w:val="center"/>
          </w:tcPr>
          <w:p w14:paraId="73B425A8"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蛋鸡、肉鸡</w:t>
            </w:r>
          </w:p>
        </w:tc>
        <w:tc>
          <w:tcPr>
            <w:tcW w:w="2160" w:type="dxa"/>
            <w:vAlign w:val="center"/>
          </w:tcPr>
          <w:p w14:paraId="61158FD8"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9</w:t>
            </w:r>
          </w:p>
        </w:tc>
        <w:tc>
          <w:tcPr>
            <w:tcW w:w="1511" w:type="dxa"/>
            <w:vAlign w:val="center"/>
          </w:tcPr>
          <w:p w14:paraId="133C4E61"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59</w:t>
            </w:r>
          </w:p>
        </w:tc>
        <w:tc>
          <w:tcPr>
            <w:tcW w:w="1292" w:type="dxa"/>
            <w:vAlign w:val="center"/>
          </w:tcPr>
          <w:p w14:paraId="0B978ADA"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990</w:t>
            </w:r>
          </w:p>
        </w:tc>
        <w:tc>
          <w:tcPr>
            <w:tcW w:w="1297" w:type="dxa"/>
            <w:vAlign w:val="center"/>
          </w:tcPr>
          <w:p w14:paraId="4FB675BB"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1058</w:t>
            </w:r>
          </w:p>
        </w:tc>
      </w:tr>
      <w:tr w:rsidR="00544649" w14:paraId="48AD30BE" w14:textId="77777777">
        <w:trPr>
          <w:jc w:val="center"/>
        </w:trPr>
        <w:tc>
          <w:tcPr>
            <w:tcW w:w="2800" w:type="dxa"/>
            <w:vAlign w:val="center"/>
          </w:tcPr>
          <w:p w14:paraId="214A2BE3"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羊</w:t>
            </w:r>
          </w:p>
        </w:tc>
        <w:tc>
          <w:tcPr>
            <w:tcW w:w="2160" w:type="dxa"/>
            <w:vAlign w:val="center"/>
          </w:tcPr>
          <w:p w14:paraId="3582615B"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2</w:t>
            </w:r>
          </w:p>
        </w:tc>
        <w:tc>
          <w:tcPr>
            <w:tcW w:w="1511" w:type="dxa"/>
            <w:vAlign w:val="center"/>
          </w:tcPr>
          <w:p w14:paraId="65DDBB3F"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37</w:t>
            </w:r>
          </w:p>
        </w:tc>
        <w:tc>
          <w:tcPr>
            <w:tcW w:w="1292" w:type="dxa"/>
            <w:vAlign w:val="center"/>
          </w:tcPr>
          <w:p w14:paraId="06653BE7"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273</w:t>
            </w:r>
          </w:p>
        </w:tc>
        <w:tc>
          <w:tcPr>
            <w:tcW w:w="1297" w:type="dxa"/>
            <w:vAlign w:val="center"/>
          </w:tcPr>
          <w:p w14:paraId="74B7C27D"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312</w:t>
            </w:r>
          </w:p>
        </w:tc>
      </w:tr>
      <w:tr w:rsidR="00544649" w14:paraId="4765905A" w14:textId="77777777">
        <w:trPr>
          <w:jc w:val="center"/>
        </w:trPr>
        <w:tc>
          <w:tcPr>
            <w:tcW w:w="2800" w:type="dxa"/>
            <w:vAlign w:val="center"/>
          </w:tcPr>
          <w:p w14:paraId="3733C244"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肉牛</w:t>
            </w:r>
          </w:p>
        </w:tc>
        <w:tc>
          <w:tcPr>
            <w:tcW w:w="2160" w:type="dxa"/>
            <w:vAlign w:val="center"/>
          </w:tcPr>
          <w:p w14:paraId="57B06AFE"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4</w:t>
            </w:r>
          </w:p>
        </w:tc>
        <w:tc>
          <w:tcPr>
            <w:tcW w:w="1511" w:type="dxa"/>
            <w:vAlign w:val="center"/>
          </w:tcPr>
          <w:p w14:paraId="26056645"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105</w:t>
            </w:r>
          </w:p>
        </w:tc>
        <w:tc>
          <w:tcPr>
            <w:tcW w:w="1292" w:type="dxa"/>
            <w:vAlign w:val="center"/>
          </w:tcPr>
          <w:p w14:paraId="3831304C"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353</w:t>
            </w:r>
          </w:p>
        </w:tc>
        <w:tc>
          <w:tcPr>
            <w:tcW w:w="1297" w:type="dxa"/>
            <w:vAlign w:val="center"/>
          </w:tcPr>
          <w:p w14:paraId="5216952C"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462</w:t>
            </w:r>
          </w:p>
        </w:tc>
      </w:tr>
      <w:tr w:rsidR="00544649" w14:paraId="39FC09D4" w14:textId="77777777">
        <w:trPr>
          <w:jc w:val="center"/>
        </w:trPr>
        <w:tc>
          <w:tcPr>
            <w:tcW w:w="2800" w:type="dxa"/>
            <w:vAlign w:val="center"/>
          </w:tcPr>
          <w:p w14:paraId="1E5F9E98"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肉兔</w:t>
            </w:r>
          </w:p>
        </w:tc>
        <w:tc>
          <w:tcPr>
            <w:tcW w:w="2160" w:type="dxa"/>
            <w:vAlign w:val="center"/>
          </w:tcPr>
          <w:p w14:paraId="5553F526"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0</w:t>
            </w:r>
          </w:p>
        </w:tc>
        <w:tc>
          <w:tcPr>
            <w:tcW w:w="1511" w:type="dxa"/>
            <w:vAlign w:val="center"/>
          </w:tcPr>
          <w:p w14:paraId="10F09B08"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0</w:t>
            </w:r>
          </w:p>
        </w:tc>
        <w:tc>
          <w:tcPr>
            <w:tcW w:w="1292" w:type="dxa"/>
            <w:vAlign w:val="center"/>
          </w:tcPr>
          <w:p w14:paraId="79784EC8"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3</w:t>
            </w:r>
          </w:p>
        </w:tc>
        <w:tc>
          <w:tcPr>
            <w:tcW w:w="1297" w:type="dxa"/>
            <w:vAlign w:val="center"/>
          </w:tcPr>
          <w:p w14:paraId="1773366F"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3</w:t>
            </w:r>
          </w:p>
        </w:tc>
      </w:tr>
      <w:tr w:rsidR="00544649" w14:paraId="4766E875" w14:textId="77777777">
        <w:trPr>
          <w:jc w:val="center"/>
        </w:trPr>
        <w:tc>
          <w:tcPr>
            <w:tcW w:w="2800" w:type="dxa"/>
            <w:vAlign w:val="center"/>
          </w:tcPr>
          <w:p w14:paraId="1511EB20"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其他</w:t>
            </w:r>
          </w:p>
        </w:tc>
        <w:tc>
          <w:tcPr>
            <w:tcW w:w="2160" w:type="dxa"/>
            <w:vAlign w:val="center"/>
          </w:tcPr>
          <w:p w14:paraId="6B75EDAF"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1</w:t>
            </w:r>
          </w:p>
        </w:tc>
        <w:tc>
          <w:tcPr>
            <w:tcW w:w="1511" w:type="dxa"/>
            <w:vAlign w:val="center"/>
          </w:tcPr>
          <w:p w14:paraId="262C4238"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2</w:t>
            </w:r>
          </w:p>
        </w:tc>
        <w:tc>
          <w:tcPr>
            <w:tcW w:w="1292" w:type="dxa"/>
            <w:vAlign w:val="center"/>
          </w:tcPr>
          <w:p w14:paraId="0AF52AB3"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39</w:t>
            </w:r>
          </w:p>
        </w:tc>
        <w:tc>
          <w:tcPr>
            <w:tcW w:w="1297" w:type="dxa"/>
            <w:vAlign w:val="center"/>
          </w:tcPr>
          <w:p w14:paraId="7A73CC05"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42</w:t>
            </w:r>
          </w:p>
        </w:tc>
      </w:tr>
      <w:tr w:rsidR="00544649" w14:paraId="1A167148" w14:textId="77777777">
        <w:trPr>
          <w:jc w:val="center"/>
        </w:trPr>
        <w:tc>
          <w:tcPr>
            <w:tcW w:w="2800" w:type="dxa"/>
            <w:vAlign w:val="center"/>
          </w:tcPr>
          <w:p w14:paraId="51F0A818"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合计</w:t>
            </w:r>
          </w:p>
        </w:tc>
        <w:tc>
          <w:tcPr>
            <w:tcW w:w="2160" w:type="dxa"/>
            <w:vAlign w:val="center"/>
          </w:tcPr>
          <w:p w14:paraId="186D8786"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151</w:t>
            </w:r>
          </w:p>
        </w:tc>
        <w:tc>
          <w:tcPr>
            <w:tcW w:w="1511" w:type="dxa"/>
            <w:vAlign w:val="center"/>
          </w:tcPr>
          <w:p w14:paraId="3CF4DB40"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828</w:t>
            </w:r>
          </w:p>
        </w:tc>
        <w:tc>
          <w:tcPr>
            <w:tcW w:w="1292" w:type="dxa"/>
            <w:vAlign w:val="center"/>
          </w:tcPr>
          <w:p w14:paraId="188BE93D"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11147</w:t>
            </w:r>
          </w:p>
        </w:tc>
        <w:tc>
          <w:tcPr>
            <w:tcW w:w="1297" w:type="dxa"/>
            <w:vAlign w:val="center"/>
          </w:tcPr>
          <w:p w14:paraId="4A7F8B79" w14:textId="77777777" w:rsidR="00544649" w:rsidRDefault="00000000">
            <w:pPr>
              <w:widowControl/>
              <w:adjustRightInd w:val="0"/>
              <w:snapToGrid w:val="0"/>
              <w:spacing w:after="0" w:line="240" w:lineRule="auto"/>
              <w:ind w:firstLineChars="0" w:firstLine="0"/>
              <w:jc w:val="center"/>
              <w:rPr>
                <w:rFonts w:cs="Times New Roman"/>
                <w:kern w:val="21"/>
                <w:sz w:val="21"/>
                <w:szCs w:val="21"/>
                <w:lang w:bidi="ar"/>
              </w:rPr>
            </w:pPr>
            <w:r>
              <w:rPr>
                <w:rFonts w:cs="Times New Roman"/>
                <w:kern w:val="21"/>
                <w:sz w:val="21"/>
                <w:szCs w:val="21"/>
                <w:lang w:bidi="ar"/>
              </w:rPr>
              <w:t>12126</w:t>
            </w:r>
          </w:p>
        </w:tc>
      </w:tr>
    </w:tbl>
    <w:p w14:paraId="6A04A634" w14:textId="77777777" w:rsidR="00544649" w:rsidRDefault="00000000">
      <w:pPr>
        <w:widowControl/>
        <w:adjustRightInd w:val="0"/>
        <w:snapToGrid w:val="0"/>
        <w:spacing w:after="0"/>
        <w:ind w:firstLine="482"/>
        <w:jc w:val="left"/>
        <w:rPr>
          <w:b/>
          <w:bCs/>
          <w:kern w:val="21"/>
        </w:rPr>
      </w:pPr>
      <w:r>
        <w:rPr>
          <w:rFonts w:cs="Times New Roman"/>
          <w:b/>
          <w:bCs/>
          <w:kern w:val="21"/>
          <w:szCs w:val="24"/>
          <w:lang w:bidi="ar"/>
        </w:rPr>
        <w:t>4</w:t>
      </w:r>
      <w:r>
        <w:rPr>
          <w:rFonts w:ascii="宋体" w:hAnsi="宋体" w:cs="宋体" w:hint="eastAsia"/>
          <w:b/>
          <w:bCs/>
          <w:kern w:val="21"/>
          <w:szCs w:val="24"/>
          <w:lang w:bidi="ar"/>
        </w:rPr>
        <w:t>、畜牧业发展结构优化</w:t>
      </w:r>
    </w:p>
    <w:p w14:paraId="4F690AEE" w14:textId="77777777" w:rsidR="00544649" w:rsidRDefault="00000000">
      <w:pPr>
        <w:widowControl/>
        <w:adjustRightInd w:val="0"/>
        <w:snapToGrid w:val="0"/>
        <w:spacing w:after="0"/>
        <w:ind w:firstLine="480"/>
        <w:rPr>
          <w:rFonts w:cs="Times New Roman"/>
          <w:kern w:val="21"/>
          <w:szCs w:val="24"/>
          <w:lang w:bidi="ar"/>
        </w:rPr>
      </w:pPr>
      <w:r>
        <w:rPr>
          <w:rFonts w:cs="Times New Roman"/>
          <w:kern w:val="21"/>
          <w:szCs w:val="24"/>
          <w:lang w:bidi="ar"/>
        </w:rPr>
        <w:t>全球新一轮科技和产业变革孕育兴起，以</w:t>
      </w:r>
      <w:r>
        <w:rPr>
          <w:rFonts w:cs="Times New Roman" w:hint="eastAsia"/>
          <w:kern w:val="21"/>
          <w:szCs w:val="24"/>
          <w:lang w:bidi="ar"/>
        </w:rPr>
        <w:t>“</w:t>
      </w:r>
      <w:r>
        <w:rPr>
          <w:rFonts w:cs="Times New Roman"/>
          <w:kern w:val="21"/>
          <w:szCs w:val="24"/>
          <w:lang w:bidi="ar"/>
        </w:rPr>
        <w:t>大数据</w:t>
      </w:r>
      <w:r>
        <w:rPr>
          <w:rFonts w:cs="Times New Roman" w:hint="eastAsia"/>
          <w:kern w:val="21"/>
          <w:szCs w:val="24"/>
          <w:lang w:bidi="ar"/>
        </w:rPr>
        <w:t>”</w:t>
      </w:r>
      <w:r>
        <w:rPr>
          <w:rFonts w:cs="Times New Roman"/>
          <w:kern w:val="21"/>
          <w:szCs w:val="24"/>
          <w:lang w:bidi="ar"/>
        </w:rPr>
        <w:t>为代表的信息化技术迅猛发展，面临此百年未有之大变局，剑阁县加快各类新技术、新设施、新模式等在现代畜牧业领域的应用，以优势剑门关土鸡产业为本底，结合信息化畜牧业技术体系，为剑阁现代畜牧业实现追赶式、跨越式发展提供科技支撑和内在动力。剑阁县围绕</w:t>
      </w:r>
      <w:r>
        <w:rPr>
          <w:rFonts w:cs="Times New Roman" w:hint="eastAsia"/>
          <w:kern w:val="21"/>
          <w:szCs w:val="24"/>
          <w:lang w:bidi="ar"/>
        </w:rPr>
        <w:t>“</w:t>
      </w:r>
      <w:r>
        <w:rPr>
          <w:rFonts w:cs="Times New Roman"/>
          <w:kern w:val="21"/>
          <w:szCs w:val="24"/>
          <w:lang w:bidi="ar"/>
        </w:rPr>
        <w:t>1233</w:t>
      </w:r>
      <w:r>
        <w:rPr>
          <w:rFonts w:cs="Times New Roman" w:hint="eastAsia"/>
          <w:kern w:val="21"/>
          <w:szCs w:val="24"/>
          <w:lang w:bidi="ar"/>
        </w:rPr>
        <w:t>”</w:t>
      </w:r>
      <w:r>
        <w:rPr>
          <w:rFonts w:cs="Times New Roman"/>
          <w:kern w:val="21"/>
          <w:szCs w:val="24"/>
          <w:lang w:bidi="ar"/>
        </w:rPr>
        <w:t>执政兴县战略，持续做大做强剑门关土鸡特色产业，充分发挥公司和联合社引领带动作用，鼓励群众大力发展剑门关土鸡养殖，同时升级发展配套设施，着力打造剑门关土鸡全产业链条。同时，随着经济发展和人们生活条件改善，对优质、安全、健康畜禽产品，</w:t>
      </w:r>
      <w:proofErr w:type="gramStart"/>
      <w:r>
        <w:rPr>
          <w:rFonts w:cs="Times New Roman"/>
          <w:kern w:val="21"/>
          <w:szCs w:val="24"/>
          <w:lang w:bidi="ar"/>
        </w:rPr>
        <w:t>农旅融合</w:t>
      </w:r>
      <w:proofErr w:type="gramEnd"/>
      <w:r>
        <w:rPr>
          <w:rFonts w:cs="Times New Roman"/>
          <w:kern w:val="21"/>
          <w:szCs w:val="24"/>
          <w:lang w:bidi="ar"/>
        </w:rPr>
        <w:t>、农耕体验、创意农业等新产品、新业态的需求也快速增长。因此，社会经济发展变革为剑阁县全面优化产业布局、促进产业融合、实现畜牧业可持续发展带来了重要的机遇。</w:t>
      </w:r>
    </w:p>
    <w:p w14:paraId="0BD537D6" w14:textId="77777777" w:rsidR="00544649" w:rsidRDefault="00000000">
      <w:pPr>
        <w:widowControl/>
        <w:adjustRightInd w:val="0"/>
        <w:snapToGrid w:val="0"/>
        <w:spacing w:after="0"/>
        <w:ind w:firstLine="480"/>
        <w:rPr>
          <w:rFonts w:cs="Times New Roman"/>
          <w:kern w:val="21"/>
          <w:szCs w:val="24"/>
          <w:lang w:bidi="ar"/>
        </w:rPr>
      </w:pPr>
      <w:r>
        <w:rPr>
          <w:rFonts w:cs="Times New Roman"/>
          <w:kern w:val="21"/>
          <w:szCs w:val="24"/>
          <w:lang w:bidi="ar"/>
        </w:rPr>
        <w:lastRenderedPageBreak/>
        <w:t>充分发挥剑阁县自然条件和特色畜产品资源优势，结合农业供给侧结构性改革和乡村振兴的新要求，以</w:t>
      </w:r>
      <w:r>
        <w:rPr>
          <w:rFonts w:cs="Times New Roman" w:hint="eastAsia"/>
          <w:kern w:val="21"/>
          <w:szCs w:val="24"/>
          <w:lang w:bidi="ar"/>
        </w:rPr>
        <w:t>“</w:t>
      </w:r>
      <w:r>
        <w:rPr>
          <w:rFonts w:cs="Times New Roman"/>
          <w:kern w:val="21"/>
          <w:szCs w:val="24"/>
          <w:lang w:bidi="ar"/>
        </w:rPr>
        <w:t>创新、协调、绿色、开放、共享</w:t>
      </w:r>
      <w:r>
        <w:rPr>
          <w:rFonts w:cs="Times New Roman" w:hint="eastAsia"/>
          <w:kern w:val="21"/>
          <w:szCs w:val="24"/>
          <w:lang w:bidi="ar"/>
        </w:rPr>
        <w:t>”</w:t>
      </w:r>
      <w:r>
        <w:rPr>
          <w:rFonts w:cs="Times New Roman"/>
          <w:kern w:val="21"/>
          <w:szCs w:val="24"/>
          <w:lang w:bidi="ar"/>
        </w:rPr>
        <w:t>发展理念为根本遵循，积极调整优化全县畜牧业产业结构为</w:t>
      </w:r>
      <w:r>
        <w:rPr>
          <w:rFonts w:cs="Times New Roman" w:hint="eastAsia"/>
          <w:kern w:val="21"/>
          <w:szCs w:val="24"/>
          <w:lang w:bidi="ar"/>
        </w:rPr>
        <w:t>“</w:t>
      </w:r>
      <w:r>
        <w:rPr>
          <w:rFonts w:cs="Times New Roman"/>
          <w:kern w:val="21"/>
          <w:szCs w:val="24"/>
          <w:lang w:bidi="ar"/>
        </w:rPr>
        <w:t>2+1</w:t>
      </w:r>
      <w:r>
        <w:rPr>
          <w:rFonts w:cs="Times New Roman" w:hint="eastAsia"/>
          <w:kern w:val="21"/>
          <w:szCs w:val="24"/>
          <w:lang w:bidi="ar"/>
        </w:rPr>
        <w:t>”</w:t>
      </w:r>
      <w:r>
        <w:rPr>
          <w:rFonts w:cs="Times New Roman"/>
          <w:kern w:val="21"/>
          <w:szCs w:val="24"/>
          <w:lang w:bidi="ar"/>
        </w:rPr>
        <w:t>的总体格局：</w:t>
      </w:r>
    </w:p>
    <w:p w14:paraId="0DCBCB63" w14:textId="77777777" w:rsidR="00544649" w:rsidRDefault="00000000">
      <w:pPr>
        <w:widowControl/>
        <w:adjustRightInd w:val="0"/>
        <w:snapToGrid w:val="0"/>
        <w:spacing w:after="0"/>
        <w:ind w:firstLine="480"/>
        <w:rPr>
          <w:rFonts w:cs="Times New Roman"/>
          <w:kern w:val="21"/>
          <w:szCs w:val="24"/>
          <w:lang w:bidi="ar"/>
        </w:rPr>
      </w:pPr>
      <w:r>
        <w:rPr>
          <w:rFonts w:cs="Times New Roman"/>
          <w:kern w:val="21"/>
          <w:szCs w:val="24"/>
          <w:lang w:bidi="ar"/>
        </w:rPr>
        <w:t>（</w:t>
      </w:r>
      <w:r>
        <w:rPr>
          <w:rFonts w:cs="Times New Roman"/>
          <w:kern w:val="21"/>
          <w:szCs w:val="24"/>
          <w:lang w:bidi="ar"/>
        </w:rPr>
        <w:t>1</w:t>
      </w:r>
      <w:r>
        <w:rPr>
          <w:rFonts w:cs="Times New Roman"/>
          <w:kern w:val="21"/>
          <w:szCs w:val="24"/>
          <w:lang w:bidi="ar"/>
        </w:rPr>
        <w:t>）重点产业</w:t>
      </w:r>
    </w:p>
    <w:p w14:paraId="5E4642BF" w14:textId="77777777" w:rsidR="00544649" w:rsidRDefault="00000000">
      <w:pPr>
        <w:widowControl/>
        <w:adjustRightInd w:val="0"/>
        <w:snapToGrid w:val="0"/>
        <w:spacing w:after="0"/>
        <w:ind w:firstLine="480"/>
        <w:rPr>
          <w:rFonts w:cs="Times New Roman"/>
          <w:kern w:val="21"/>
          <w:szCs w:val="24"/>
          <w:lang w:bidi="ar"/>
        </w:rPr>
      </w:pPr>
      <w:r>
        <w:rPr>
          <w:rFonts w:cs="Times New Roman" w:hint="eastAsia"/>
          <w:kern w:val="21"/>
          <w:szCs w:val="24"/>
          <w:lang w:bidi="ar"/>
        </w:rPr>
        <w:t>1</w:t>
      </w:r>
      <w:r>
        <w:rPr>
          <w:rFonts w:cs="Times New Roman" w:hint="eastAsia"/>
          <w:kern w:val="21"/>
          <w:szCs w:val="24"/>
          <w:lang w:bidi="ar"/>
        </w:rPr>
        <w:t>）</w:t>
      </w:r>
      <w:r>
        <w:rPr>
          <w:rFonts w:cs="Times New Roman"/>
          <w:kern w:val="21"/>
          <w:szCs w:val="24"/>
          <w:lang w:bidi="ar"/>
        </w:rPr>
        <w:t>家禽（剑门关土鸡）：</w:t>
      </w:r>
      <w:proofErr w:type="gramStart"/>
      <w:r>
        <w:rPr>
          <w:rFonts w:cs="Times New Roman"/>
          <w:kern w:val="21"/>
          <w:szCs w:val="24"/>
          <w:lang w:bidi="ar"/>
        </w:rPr>
        <w:t>做优特色</w:t>
      </w:r>
      <w:proofErr w:type="gramEnd"/>
      <w:r>
        <w:rPr>
          <w:rFonts w:cs="Times New Roman"/>
          <w:kern w:val="21"/>
          <w:szCs w:val="24"/>
          <w:lang w:bidi="ar"/>
        </w:rPr>
        <w:t>，重塑品牌；着力提升剑门关土鸡产业水平，重点推进品种培育、新技术推广、品质提升与精深加工，重塑农业品牌。</w:t>
      </w:r>
    </w:p>
    <w:p w14:paraId="487B728D" w14:textId="77777777" w:rsidR="00544649" w:rsidRDefault="00000000">
      <w:pPr>
        <w:widowControl/>
        <w:adjustRightInd w:val="0"/>
        <w:snapToGrid w:val="0"/>
        <w:spacing w:after="0"/>
        <w:ind w:firstLine="480"/>
        <w:rPr>
          <w:rFonts w:cs="Times New Roman"/>
          <w:kern w:val="21"/>
          <w:szCs w:val="24"/>
          <w:lang w:bidi="ar"/>
        </w:rPr>
      </w:pPr>
      <w:r>
        <w:rPr>
          <w:rFonts w:cs="Times New Roman" w:hint="eastAsia"/>
          <w:kern w:val="21"/>
          <w:szCs w:val="24"/>
          <w:lang w:bidi="ar"/>
        </w:rPr>
        <w:t>2</w:t>
      </w:r>
      <w:r>
        <w:rPr>
          <w:rFonts w:cs="Times New Roman" w:hint="eastAsia"/>
          <w:kern w:val="21"/>
          <w:szCs w:val="24"/>
          <w:lang w:bidi="ar"/>
        </w:rPr>
        <w:t>）</w:t>
      </w:r>
      <w:r>
        <w:rPr>
          <w:rFonts w:cs="Times New Roman"/>
          <w:kern w:val="21"/>
          <w:szCs w:val="24"/>
          <w:lang w:bidi="ar"/>
        </w:rPr>
        <w:t>肉牛羊：做精优势，转型延链；培育壮大优势产业能级，重点开展新品种、新技术、新装备、新设施等的引进推广，创新发展模式，倡导标准化适度规模与种养结合循环农业，促进转型升级。</w:t>
      </w:r>
    </w:p>
    <w:p w14:paraId="42E66AE8" w14:textId="77777777" w:rsidR="00544649" w:rsidRDefault="00000000">
      <w:pPr>
        <w:widowControl/>
        <w:adjustRightInd w:val="0"/>
        <w:snapToGrid w:val="0"/>
        <w:spacing w:after="0"/>
        <w:ind w:firstLine="480"/>
        <w:rPr>
          <w:rFonts w:cs="Times New Roman"/>
          <w:kern w:val="21"/>
          <w:szCs w:val="24"/>
          <w:lang w:bidi="ar"/>
        </w:rPr>
      </w:pPr>
      <w:r>
        <w:rPr>
          <w:rFonts w:cs="Times New Roman" w:hint="eastAsia"/>
          <w:kern w:val="21"/>
          <w:szCs w:val="24"/>
          <w:lang w:bidi="ar"/>
        </w:rPr>
        <w:t>3</w:t>
      </w:r>
      <w:r>
        <w:rPr>
          <w:rFonts w:cs="Times New Roman" w:hint="eastAsia"/>
          <w:kern w:val="21"/>
          <w:szCs w:val="24"/>
          <w:lang w:bidi="ar"/>
        </w:rPr>
        <w:t>）</w:t>
      </w:r>
      <w:r>
        <w:rPr>
          <w:rFonts w:cs="Times New Roman"/>
          <w:kern w:val="21"/>
          <w:szCs w:val="24"/>
          <w:lang w:bidi="ar"/>
        </w:rPr>
        <w:t>生猪：转型升级，保供给；积极稳定生猪产业规模，提升产业水平能力，提高信息化智能化水平，保障菜篮子安全供应，实现农业稳产保供。</w:t>
      </w:r>
    </w:p>
    <w:p w14:paraId="1CA01E66" w14:textId="77777777" w:rsidR="00544649" w:rsidRDefault="00000000">
      <w:pPr>
        <w:keepNext/>
        <w:keepLines/>
        <w:numPr>
          <w:ilvl w:val="1"/>
          <w:numId w:val="9"/>
        </w:numPr>
        <w:adjustRightInd w:val="0"/>
        <w:snapToGrid w:val="0"/>
        <w:spacing w:after="0"/>
        <w:ind w:firstLineChars="0"/>
        <w:outlineLvl w:val="1"/>
        <w:rPr>
          <w:rFonts w:cs="Times New Roman"/>
          <w:kern w:val="21"/>
        </w:rPr>
      </w:pPr>
      <w:bookmarkStart w:id="267" w:name="_Toc195009862"/>
      <w:r>
        <w:rPr>
          <w:rFonts w:ascii="宋体" w:hAnsi="宋体" w:cs="宋体" w:hint="eastAsia"/>
          <w:b/>
          <w:bCs/>
          <w:kern w:val="21"/>
          <w:sz w:val="32"/>
          <w:szCs w:val="32"/>
          <w:lang w:bidi="ar"/>
        </w:rPr>
        <w:t>风景名胜区</w:t>
      </w:r>
      <w:bookmarkEnd w:id="267"/>
    </w:p>
    <w:p w14:paraId="45BAF9E8" w14:textId="77777777" w:rsidR="00544649" w:rsidRDefault="00000000">
      <w:pPr>
        <w:widowControl/>
        <w:adjustRightInd w:val="0"/>
        <w:snapToGrid w:val="0"/>
        <w:spacing w:after="0"/>
        <w:ind w:firstLine="480"/>
        <w:rPr>
          <w:rFonts w:cs="Times New Roman"/>
          <w:kern w:val="21"/>
          <w:szCs w:val="24"/>
          <w:lang w:bidi="ar"/>
        </w:rPr>
      </w:pPr>
      <w:r>
        <w:rPr>
          <w:rFonts w:cs="Times New Roman" w:hint="eastAsia"/>
          <w:kern w:val="21"/>
          <w:szCs w:val="24"/>
          <w:lang w:bidi="ar"/>
        </w:rPr>
        <w:t>园区周边主要分布有剑门蜀道风景名胜区、四川翠云廊古柏省级自然保护区、剑阁县西河市级湿地自然保护区、剑门关国家森林公园、剑阁剑门关省级地质公园等自然保护地。各自然保护地情况介绍如下：</w:t>
      </w:r>
    </w:p>
    <w:p w14:paraId="311224BB" w14:textId="77777777" w:rsidR="00544649" w:rsidRDefault="00000000">
      <w:pPr>
        <w:widowControl/>
        <w:adjustRightInd w:val="0"/>
        <w:snapToGrid w:val="0"/>
        <w:spacing w:after="0"/>
        <w:ind w:firstLine="482"/>
        <w:rPr>
          <w:rFonts w:cs="Times New Roman"/>
          <w:b/>
          <w:bCs/>
          <w:kern w:val="21"/>
        </w:rPr>
      </w:pPr>
      <w:r>
        <w:rPr>
          <w:rFonts w:cs="Times New Roman" w:hint="eastAsia"/>
          <w:b/>
          <w:bCs/>
          <w:kern w:val="21"/>
          <w:szCs w:val="24"/>
          <w:lang w:bidi="ar"/>
        </w:rPr>
        <w:t>（</w:t>
      </w:r>
      <w:r>
        <w:rPr>
          <w:rFonts w:cs="Times New Roman" w:hint="eastAsia"/>
          <w:b/>
          <w:bCs/>
          <w:kern w:val="21"/>
          <w:szCs w:val="24"/>
          <w:lang w:bidi="ar"/>
        </w:rPr>
        <w:t>1</w:t>
      </w:r>
      <w:r>
        <w:rPr>
          <w:rFonts w:cs="Times New Roman" w:hint="eastAsia"/>
          <w:b/>
          <w:bCs/>
          <w:kern w:val="21"/>
          <w:szCs w:val="24"/>
          <w:lang w:bidi="ar"/>
        </w:rPr>
        <w:t>）</w:t>
      </w:r>
      <w:r>
        <w:rPr>
          <w:rFonts w:cs="Times New Roman" w:hint="eastAsia"/>
          <w:b/>
          <w:bCs/>
          <w:kern w:val="21"/>
        </w:rPr>
        <w:t>剑门蜀道国家级风景名胜区</w:t>
      </w:r>
    </w:p>
    <w:p w14:paraId="2017DF8B" w14:textId="77777777" w:rsidR="00544649" w:rsidRDefault="00000000">
      <w:pPr>
        <w:widowControl/>
        <w:adjustRightInd w:val="0"/>
        <w:snapToGrid w:val="0"/>
        <w:spacing w:after="0"/>
        <w:ind w:firstLine="480"/>
        <w:rPr>
          <w:rFonts w:cs="Times New Roman"/>
          <w:kern w:val="21"/>
        </w:rPr>
      </w:pPr>
      <w:r>
        <w:rPr>
          <w:rFonts w:cs="Times New Roman"/>
          <w:kern w:val="21"/>
        </w:rPr>
        <w:t>本项目评价区域范围内</w:t>
      </w:r>
      <w:proofErr w:type="gramStart"/>
      <w:r>
        <w:rPr>
          <w:rFonts w:cs="Times New Roman"/>
          <w:kern w:val="21"/>
        </w:rPr>
        <w:t>育雏场距离</w:t>
      </w:r>
      <w:proofErr w:type="gramEnd"/>
      <w:r>
        <w:rPr>
          <w:rFonts w:cs="Times New Roman"/>
          <w:kern w:val="21"/>
        </w:rPr>
        <w:t>西侧</w:t>
      </w:r>
      <w:r>
        <w:rPr>
          <w:rFonts w:cs="Times New Roman" w:hint="eastAsia"/>
          <w:kern w:val="21"/>
        </w:rPr>
        <w:t>“</w:t>
      </w:r>
      <w:r>
        <w:rPr>
          <w:rFonts w:cs="Times New Roman"/>
          <w:kern w:val="21"/>
        </w:rPr>
        <w:t>剑门蜀道国家级风景名胜区</w:t>
      </w:r>
      <w:r>
        <w:rPr>
          <w:rFonts w:cs="Times New Roman" w:hint="eastAsia"/>
          <w:kern w:val="21"/>
        </w:rPr>
        <w:t>”</w:t>
      </w:r>
      <w:r>
        <w:rPr>
          <w:rFonts w:cs="Times New Roman"/>
          <w:kern w:val="21"/>
        </w:rPr>
        <w:t>最近距离为</w:t>
      </w:r>
      <w:r>
        <w:rPr>
          <w:rFonts w:cs="Times New Roman"/>
          <w:kern w:val="21"/>
        </w:rPr>
        <w:t>1.</w:t>
      </w:r>
      <w:r>
        <w:rPr>
          <w:rFonts w:cs="Times New Roman" w:hint="eastAsia"/>
          <w:kern w:val="21"/>
        </w:rPr>
        <w:t>34</w:t>
      </w:r>
      <w:r>
        <w:rPr>
          <w:rFonts w:cs="Times New Roman"/>
          <w:kern w:val="21"/>
        </w:rPr>
        <w:t>km</w:t>
      </w:r>
      <w:r>
        <w:rPr>
          <w:rFonts w:cs="Times New Roman"/>
          <w:kern w:val="21"/>
        </w:rPr>
        <w:t>。剑门蜀道国家级风景名胜区于</w:t>
      </w:r>
      <w:r>
        <w:rPr>
          <w:rFonts w:cs="Times New Roman"/>
          <w:kern w:val="21"/>
        </w:rPr>
        <w:t>1982</w:t>
      </w:r>
      <w:r>
        <w:rPr>
          <w:rFonts w:cs="Times New Roman"/>
          <w:kern w:val="21"/>
        </w:rPr>
        <w:t>年被国务院批准，地理坐标东经</w:t>
      </w:r>
      <w:r>
        <w:rPr>
          <w:rFonts w:cs="Times New Roman"/>
          <w:kern w:val="21"/>
        </w:rPr>
        <w:t>106°06′</w:t>
      </w:r>
      <w:r>
        <w:rPr>
          <w:rFonts w:cs="Times New Roman"/>
          <w:kern w:val="21"/>
        </w:rPr>
        <w:t>～</w:t>
      </w:r>
      <w:r>
        <w:rPr>
          <w:rFonts w:cs="Times New Roman"/>
          <w:kern w:val="21"/>
        </w:rPr>
        <w:t>106°45′</w:t>
      </w:r>
      <w:r>
        <w:rPr>
          <w:rFonts w:cs="Times New Roman"/>
          <w:kern w:val="21"/>
        </w:rPr>
        <w:t>，北纬</w:t>
      </w:r>
      <w:r>
        <w:rPr>
          <w:rFonts w:cs="Times New Roman"/>
          <w:kern w:val="21"/>
        </w:rPr>
        <w:t>32°43′</w:t>
      </w:r>
      <w:r>
        <w:rPr>
          <w:rFonts w:cs="Times New Roman"/>
          <w:kern w:val="21"/>
        </w:rPr>
        <w:t>～</w:t>
      </w:r>
      <w:r>
        <w:rPr>
          <w:rFonts w:cs="Times New Roman"/>
          <w:kern w:val="21"/>
        </w:rPr>
        <w:t>31°27′</w:t>
      </w:r>
      <w:r>
        <w:rPr>
          <w:rFonts w:cs="Times New Roman"/>
          <w:kern w:val="21"/>
        </w:rPr>
        <w:t>，《剑门蜀道风景名胜区总体规划（</w:t>
      </w:r>
      <w:r>
        <w:rPr>
          <w:rFonts w:cs="Times New Roman"/>
          <w:kern w:val="21"/>
        </w:rPr>
        <w:t>2017-2030</w:t>
      </w:r>
      <w:r>
        <w:rPr>
          <w:rFonts w:cs="Times New Roman"/>
          <w:kern w:val="21"/>
        </w:rPr>
        <w:t>年）》于</w:t>
      </w:r>
      <w:r>
        <w:rPr>
          <w:rFonts w:cs="Times New Roman"/>
          <w:kern w:val="21"/>
        </w:rPr>
        <w:t>2017</w:t>
      </w:r>
      <w:r>
        <w:rPr>
          <w:rFonts w:cs="Times New Roman"/>
          <w:kern w:val="21"/>
        </w:rPr>
        <w:t>年经住房城乡建设部批复（建城函〔</w:t>
      </w:r>
      <w:r>
        <w:rPr>
          <w:rFonts w:cs="Times New Roman"/>
          <w:kern w:val="21"/>
        </w:rPr>
        <w:t>2017</w:t>
      </w:r>
      <w:r>
        <w:rPr>
          <w:rFonts w:cs="Times New Roman"/>
          <w:kern w:val="21"/>
        </w:rPr>
        <w:t>〕</w:t>
      </w:r>
      <w:r>
        <w:rPr>
          <w:rFonts w:cs="Times New Roman"/>
          <w:kern w:val="21"/>
        </w:rPr>
        <w:t>313</w:t>
      </w:r>
      <w:r>
        <w:rPr>
          <w:rFonts w:cs="Times New Roman" w:hint="eastAsia"/>
          <w:kern w:val="21"/>
        </w:rPr>
        <w:t>号）。</w:t>
      </w:r>
    </w:p>
    <w:p w14:paraId="6DE352DE" w14:textId="77777777" w:rsidR="00544649" w:rsidRDefault="00000000">
      <w:pPr>
        <w:widowControl/>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2</w:t>
      </w:r>
      <w:r>
        <w:rPr>
          <w:rFonts w:cs="Times New Roman" w:hint="eastAsia"/>
          <w:b/>
          <w:bCs/>
          <w:kern w:val="21"/>
        </w:rPr>
        <w:t>）剑门关地质公园</w:t>
      </w:r>
    </w:p>
    <w:p w14:paraId="44EF0629" w14:textId="77777777" w:rsidR="00544649" w:rsidRDefault="00000000">
      <w:pPr>
        <w:widowControl/>
        <w:adjustRightInd w:val="0"/>
        <w:snapToGrid w:val="0"/>
        <w:spacing w:after="0"/>
        <w:ind w:firstLine="480"/>
        <w:rPr>
          <w:rFonts w:cs="Times New Roman"/>
          <w:kern w:val="21"/>
          <w:szCs w:val="24"/>
          <w:lang w:bidi="ar"/>
        </w:rPr>
      </w:pPr>
      <w:proofErr w:type="gramStart"/>
      <w:r>
        <w:rPr>
          <w:rFonts w:cs="Times New Roman"/>
          <w:kern w:val="21"/>
        </w:rPr>
        <w:t>育雏场距离</w:t>
      </w:r>
      <w:proofErr w:type="gramEnd"/>
      <w:r>
        <w:rPr>
          <w:rFonts w:cs="Times New Roman"/>
          <w:kern w:val="21"/>
        </w:rPr>
        <w:t>北侧</w:t>
      </w:r>
      <w:r>
        <w:rPr>
          <w:rFonts w:cs="Times New Roman" w:hint="eastAsia"/>
          <w:kern w:val="21"/>
        </w:rPr>
        <w:t>“</w:t>
      </w:r>
      <w:r>
        <w:rPr>
          <w:rFonts w:cs="Times New Roman"/>
          <w:kern w:val="21"/>
        </w:rPr>
        <w:t>剑门关地质公园</w:t>
      </w:r>
      <w:r>
        <w:rPr>
          <w:rFonts w:cs="Times New Roman" w:hint="eastAsia"/>
          <w:kern w:val="21"/>
        </w:rPr>
        <w:t>”</w:t>
      </w:r>
      <w:r>
        <w:rPr>
          <w:rFonts w:cs="Times New Roman"/>
          <w:kern w:val="21"/>
        </w:rPr>
        <w:t>最近距离为</w:t>
      </w:r>
      <w:r>
        <w:rPr>
          <w:rFonts w:cs="Times New Roman"/>
          <w:kern w:val="21"/>
        </w:rPr>
        <w:t>2.</w:t>
      </w:r>
      <w:r>
        <w:rPr>
          <w:rFonts w:cs="Times New Roman" w:hint="eastAsia"/>
          <w:kern w:val="21"/>
        </w:rPr>
        <w:t>36</w:t>
      </w:r>
      <w:r>
        <w:rPr>
          <w:rFonts w:cs="Times New Roman"/>
          <w:kern w:val="21"/>
        </w:rPr>
        <w:t>km</w:t>
      </w:r>
      <w:r>
        <w:rPr>
          <w:rFonts w:cs="Times New Roman"/>
          <w:kern w:val="21"/>
        </w:rPr>
        <w:t>。剑阁剑门关省级地质公园于</w:t>
      </w:r>
      <w:r>
        <w:rPr>
          <w:rFonts w:cs="Times New Roman"/>
          <w:kern w:val="21"/>
        </w:rPr>
        <w:t>2006</w:t>
      </w:r>
      <w:r>
        <w:rPr>
          <w:rFonts w:cs="Times New Roman"/>
          <w:kern w:val="21"/>
        </w:rPr>
        <w:t>年经四川省国土资源厅批准建立，位于四川省广元市剑阁县北部，是以砾岩断崖丹霞地貌为主题的自然公园。</w:t>
      </w:r>
      <w:r>
        <w:rPr>
          <w:rFonts w:cs="Times New Roman"/>
          <w:kern w:val="21"/>
        </w:rPr>
        <w:t>2021</w:t>
      </w:r>
      <w:r>
        <w:rPr>
          <w:rFonts w:cs="Times New Roman"/>
          <w:kern w:val="21"/>
        </w:rPr>
        <w:t>年</w:t>
      </w:r>
      <w:r>
        <w:rPr>
          <w:rFonts w:cs="Times New Roman"/>
          <w:kern w:val="21"/>
        </w:rPr>
        <w:t>5</w:t>
      </w:r>
      <w:r>
        <w:rPr>
          <w:rFonts w:cs="Times New Roman"/>
          <w:kern w:val="21"/>
        </w:rPr>
        <w:t>月，剑阁县人民政府印发了《关于发布实施</w:t>
      </w:r>
      <w:r>
        <w:rPr>
          <w:rFonts w:cs="Times New Roman"/>
          <w:kern w:val="21"/>
        </w:rPr>
        <w:t>&lt;</w:t>
      </w:r>
      <w:r>
        <w:rPr>
          <w:rFonts w:cs="Times New Roman"/>
          <w:kern w:val="21"/>
        </w:rPr>
        <w:t>剑阁剑门关省级地质公园总体规划（</w:t>
      </w:r>
      <w:r>
        <w:rPr>
          <w:rFonts w:cs="Times New Roman"/>
          <w:kern w:val="21"/>
        </w:rPr>
        <w:t>2021-2030</w:t>
      </w:r>
      <w:r>
        <w:rPr>
          <w:rFonts w:cs="Times New Roman"/>
          <w:kern w:val="21"/>
        </w:rPr>
        <w:t>）</w:t>
      </w:r>
      <w:r>
        <w:rPr>
          <w:rFonts w:cs="Times New Roman"/>
          <w:kern w:val="21"/>
        </w:rPr>
        <w:t>&gt;</w:t>
      </w:r>
      <w:r>
        <w:rPr>
          <w:rFonts w:cs="Times New Roman"/>
          <w:kern w:val="21"/>
        </w:rPr>
        <w:t>的通知》（</w:t>
      </w:r>
      <w:proofErr w:type="gramStart"/>
      <w:r>
        <w:rPr>
          <w:rFonts w:cs="Times New Roman"/>
          <w:kern w:val="21"/>
        </w:rPr>
        <w:t>剑府发</w:t>
      </w:r>
      <w:proofErr w:type="gramEnd"/>
      <w:r>
        <w:rPr>
          <w:rFonts w:cs="Times New Roman"/>
          <w:kern w:val="21"/>
        </w:rPr>
        <w:t>〔</w:t>
      </w:r>
      <w:r>
        <w:rPr>
          <w:rFonts w:cs="Times New Roman"/>
          <w:kern w:val="21"/>
        </w:rPr>
        <w:t>2021</w:t>
      </w:r>
      <w:r>
        <w:rPr>
          <w:rFonts w:cs="Times New Roman"/>
          <w:kern w:val="21"/>
        </w:rPr>
        <w:t>〕</w:t>
      </w:r>
      <w:r>
        <w:rPr>
          <w:rFonts w:cs="Times New Roman"/>
          <w:kern w:val="21"/>
        </w:rPr>
        <w:t>4</w:t>
      </w:r>
      <w:r>
        <w:rPr>
          <w:rFonts w:cs="Times New Roman"/>
          <w:kern w:val="21"/>
        </w:rPr>
        <w:t>号），调整后保护区总面积</w:t>
      </w:r>
      <w:r>
        <w:rPr>
          <w:rFonts w:cs="Times New Roman"/>
          <w:kern w:val="21"/>
        </w:rPr>
        <w:t>219.19</w:t>
      </w:r>
      <w:r>
        <w:rPr>
          <w:rFonts w:cs="Times New Roman"/>
          <w:kern w:val="21"/>
        </w:rPr>
        <w:t>平方千米，其中一级保护区</w:t>
      </w:r>
      <w:r>
        <w:rPr>
          <w:rFonts w:cs="Times New Roman"/>
          <w:kern w:val="21"/>
        </w:rPr>
        <w:t>38.57</w:t>
      </w:r>
      <w:r>
        <w:rPr>
          <w:rFonts w:cs="Times New Roman"/>
          <w:kern w:val="21"/>
        </w:rPr>
        <w:t>平方千米，二级保护区</w:t>
      </w:r>
      <w:r>
        <w:rPr>
          <w:rFonts w:cs="Times New Roman"/>
          <w:kern w:val="21"/>
        </w:rPr>
        <w:t>13.73</w:t>
      </w:r>
      <w:r>
        <w:rPr>
          <w:rFonts w:cs="Times New Roman"/>
          <w:kern w:val="21"/>
        </w:rPr>
        <w:t>平方千米，三级保护区</w:t>
      </w:r>
      <w:r>
        <w:rPr>
          <w:rFonts w:cs="Times New Roman"/>
          <w:kern w:val="21"/>
        </w:rPr>
        <w:t>166.89</w:t>
      </w:r>
      <w:r>
        <w:rPr>
          <w:rFonts w:cs="Times New Roman"/>
          <w:kern w:val="21"/>
        </w:rPr>
        <w:t>平方千米。地理位置介于东经</w:t>
      </w:r>
      <w:r>
        <w:rPr>
          <w:rFonts w:cs="Times New Roman"/>
          <w:kern w:val="21"/>
        </w:rPr>
        <w:t>105°04′</w:t>
      </w:r>
      <w:r>
        <w:rPr>
          <w:rFonts w:cs="Times New Roman"/>
          <w:kern w:val="21"/>
        </w:rPr>
        <w:t>～</w:t>
      </w:r>
      <w:r>
        <w:rPr>
          <w:rFonts w:cs="Times New Roman"/>
          <w:kern w:val="21"/>
        </w:rPr>
        <w:t>105°49′</w:t>
      </w:r>
      <w:r>
        <w:rPr>
          <w:rFonts w:cs="Times New Roman"/>
          <w:kern w:val="21"/>
        </w:rPr>
        <w:t>、北纬</w:t>
      </w:r>
      <w:r>
        <w:rPr>
          <w:rFonts w:cs="Times New Roman"/>
          <w:kern w:val="21"/>
        </w:rPr>
        <w:t>31°31′</w:t>
      </w:r>
      <w:r>
        <w:rPr>
          <w:rFonts w:cs="Times New Roman"/>
          <w:kern w:val="21"/>
        </w:rPr>
        <w:t>～</w:t>
      </w:r>
      <w:r>
        <w:rPr>
          <w:rFonts w:cs="Times New Roman"/>
          <w:kern w:val="21"/>
        </w:rPr>
        <w:t>32°20′</w:t>
      </w:r>
      <w:r>
        <w:rPr>
          <w:rFonts w:cs="Times New Roman"/>
          <w:kern w:val="21"/>
        </w:rPr>
        <w:t>之间。公园分为剑门关与金子山两个景区，其中剑门关景区介于东经</w:t>
      </w:r>
      <w:r>
        <w:rPr>
          <w:rFonts w:cs="Times New Roman"/>
          <w:kern w:val="21"/>
        </w:rPr>
        <w:t>105°24′36″-105°38′00″</w:t>
      </w:r>
      <w:r>
        <w:rPr>
          <w:rFonts w:cs="Times New Roman"/>
          <w:kern w:val="21"/>
        </w:rPr>
        <w:t>，北纬</w:t>
      </w:r>
      <w:r>
        <w:rPr>
          <w:rFonts w:cs="Times New Roman"/>
          <w:kern w:val="21"/>
        </w:rPr>
        <w:t>32°10′53″-32°17′13″</w:t>
      </w:r>
      <w:r>
        <w:rPr>
          <w:rFonts w:cs="Times New Roman"/>
          <w:kern w:val="21"/>
        </w:rPr>
        <w:t>，金子山景区介于东经</w:t>
      </w:r>
      <w:r>
        <w:rPr>
          <w:rFonts w:cs="Times New Roman"/>
          <w:kern w:val="21"/>
        </w:rPr>
        <w:t>105°14′54″-106°24′32″</w:t>
      </w:r>
      <w:r>
        <w:rPr>
          <w:rFonts w:cs="Times New Roman"/>
          <w:kern w:val="21"/>
        </w:rPr>
        <w:t>，北纬</w:t>
      </w:r>
      <w:r>
        <w:rPr>
          <w:rFonts w:cs="Times New Roman"/>
          <w:kern w:val="21"/>
        </w:rPr>
        <w:t>32°4′13″-32°12′20″</w:t>
      </w:r>
      <w:r>
        <w:rPr>
          <w:rFonts w:cs="Times New Roman"/>
          <w:kern w:val="21"/>
        </w:rPr>
        <w:t>。</w:t>
      </w:r>
    </w:p>
    <w:p w14:paraId="124A4284" w14:textId="77777777" w:rsidR="00544649" w:rsidRDefault="00544649">
      <w:pPr>
        <w:adjustRightInd w:val="0"/>
        <w:snapToGrid w:val="0"/>
        <w:spacing w:after="0"/>
        <w:ind w:firstLine="480"/>
        <w:rPr>
          <w:lang w:bidi="ar"/>
        </w:rPr>
        <w:sectPr w:rsidR="00544649">
          <w:pgSz w:w="11906" w:h="16838"/>
          <w:pgMar w:top="1134" w:right="1531" w:bottom="1134" w:left="1531" w:header="851" w:footer="737" w:gutter="0"/>
          <w:cols w:space="425"/>
          <w:docGrid w:type="lines" w:linePitch="312"/>
        </w:sectPr>
      </w:pPr>
    </w:p>
    <w:p w14:paraId="45E6792D" w14:textId="77777777" w:rsidR="00544649" w:rsidRDefault="00000000">
      <w:pPr>
        <w:keepNext/>
        <w:keepLines/>
        <w:pageBreakBefore/>
        <w:numPr>
          <w:ilvl w:val="0"/>
          <w:numId w:val="9"/>
        </w:numPr>
        <w:adjustRightInd w:val="0"/>
        <w:snapToGrid w:val="0"/>
        <w:spacing w:after="0"/>
        <w:ind w:firstLineChars="0"/>
        <w:outlineLvl w:val="0"/>
        <w:rPr>
          <w:rFonts w:cs="Times New Roman"/>
          <w:b/>
          <w:bCs/>
          <w:kern w:val="21"/>
          <w:sz w:val="36"/>
          <w:szCs w:val="36"/>
        </w:rPr>
      </w:pPr>
      <w:bookmarkStart w:id="268" w:name="_Toc1558"/>
      <w:bookmarkStart w:id="269" w:name="_Toc21475"/>
      <w:bookmarkStart w:id="270" w:name="_Toc195009863"/>
      <w:r>
        <w:rPr>
          <w:rFonts w:cs="Times New Roman"/>
          <w:b/>
          <w:bCs/>
          <w:kern w:val="21"/>
          <w:sz w:val="36"/>
          <w:szCs w:val="36"/>
        </w:rPr>
        <w:lastRenderedPageBreak/>
        <w:t>环境质量现状评价</w:t>
      </w:r>
      <w:bookmarkEnd w:id="268"/>
      <w:bookmarkEnd w:id="269"/>
      <w:bookmarkEnd w:id="270"/>
    </w:p>
    <w:p w14:paraId="35C3882B"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271" w:name="_Toc32236"/>
      <w:bookmarkStart w:id="272" w:name="_Toc6634"/>
      <w:bookmarkStart w:id="273" w:name="_Toc195009864"/>
      <w:r>
        <w:rPr>
          <w:rFonts w:cs="Times New Roman"/>
          <w:b/>
          <w:bCs/>
          <w:kern w:val="21"/>
          <w:sz w:val="32"/>
          <w:szCs w:val="32"/>
        </w:rPr>
        <w:t>环境空气质量现状与评价</w:t>
      </w:r>
      <w:bookmarkEnd w:id="271"/>
      <w:bookmarkEnd w:id="272"/>
      <w:bookmarkEnd w:id="273"/>
    </w:p>
    <w:p w14:paraId="294BA4C7"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8"/>
        </w:rPr>
      </w:pPr>
      <w:bookmarkStart w:id="274" w:name="_Toc5750"/>
      <w:bookmarkStart w:id="275" w:name="_Toc8775"/>
      <w:bookmarkStart w:id="276" w:name="_Toc195009865"/>
      <w:r>
        <w:rPr>
          <w:rFonts w:cs="Times New Roman"/>
          <w:b/>
          <w:bCs/>
          <w:kern w:val="21"/>
          <w:sz w:val="28"/>
          <w:szCs w:val="28"/>
        </w:rPr>
        <w:t>项目区域环境空气质量现状</w:t>
      </w:r>
      <w:bookmarkEnd w:id="274"/>
      <w:bookmarkEnd w:id="275"/>
      <w:bookmarkEnd w:id="276"/>
    </w:p>
    <w:p w14:paraId="55FD20E3" w14:textId="77777777" w:rsidR="00544649" w:rsidRDefault="00000000">
      <w:pPr>
        <w:adjustRightInd w:val="0"/>
        <w:snapToGrid w:val="0"/>
        <w:spacing w:after="0"/>
        <w:ind w:firstLine="480"/>
        <w:rPr>
          <w:rFonts w:cs="Times New Roman"/>
          <w:kern w:val="21"/>
        </w:rPr>
      </w:pPr>
      <w:r>
        <w:rPr>
          <w:rFonts w:hint="eastAsia"/>
          <w:kern w:val="21"/>
        </w:rPr>
        <w:t>本项目位于</w:t>
      </w:r>
      <w:r>
        <w:rPr>
          <w:rFonts w:cs="Times New Roman" w:hint="eastAsia"/>
          <w:kern w:val="21"/>
        </w:rPr>
        <w:t>广元市剑阁</w:t>
      </w:r>
      <w:r>
        <w:rPr>
          <w:rFonts w:cs="Times New Roman"/>
          <w:kern w:val="21"/>
        </w:rPr>
        <w:t>县</w:t>
      </w:r>
      <w:r>
        <w:rPr>
          <w:rFonts w:cs="Times New Roman" w:hint="eastAsia"/>
          <w:kern w:val="21"/>
        </w:rPr>
        <w:t>剑门关</w:t>
      </w:r>
      <w:r>
        <w:rPr>
          <w:rFonts w:cs="Times New Roman"/>
          <w:kern w:val="21"/>
        </w:rPr>
        <w:t>镇</w:t>
      </w:r>
      <w:r>
        <w:rPr>
          <w:rFonts w:hint="eastAsia"/>
          <w:kern w:val="21"/>
        </w:rPr>
        <w:t>，根据《环境影响评价导则大气环境》（</w:t>
      </w:r>
      <w:r>
        <w:rPr>
          <w:rFonts w:hint="eastAsia"/>
          <w:kern w:val="21"/>
        </w:rPr>
        <w:t>HJ2.2-2018</w:t>
      </w:r>
      <w:r>
        <w:rPr>
          <w:rFonts w:hint="eastAsia"/>
          <w:kern w:val="21"/>
        </w:rPr>
        <w:t>）中有关基本污染物环境质量现状数据的规定，可优先采用国家或地方生态环境主管部门公布的评价基准年（近</w:t>
      </w:r>
      <w:r>
        <w:rPr>
          <w:rFonts w:hint="eastAsia"/>
          <w:kern w:val="21"/>
        </w:rPr>
        <w:t>3</w:t>
      </w:r>
      <w:r>
        <w:rPr>
          <w:rFonts w:hint="eastAsia"/>
          <w:kern w:val="21"/>
        </w:rPr>
        <w:t>年中</w:t>
      </w:r>
      <w:r>
        <w:rPr>
          <w:rFonts w:hint="eastAsia"/>
          <w:kern w:val="21"/>
        </w:rPr>
        <w:t>1</w:t>
      </w:r>
      <w:r>
        <w:rPr>
          <w:rFonts w:hint="eastAsia"/>
          <w:kern w:val="21"/>
        </w:rPr>
        <w:t>个完整日历年）环境质量公告或环境质量报告中的数据或结论。</w:t>
      </w:r>
      <w:r>
        <w:rPr>
          <w:rFonts w:cs="Times New Roman" w:hint="eastAsia"/>
          <w:kern w:val="21"/>
        </w:rPr>
        <w:t>为了解项目所在区域环境空气质量现状，本次评价引用了广元市人民政府发布的《</w:t>
      </w:r>
      <w:r>
        <w:rPr>
          <w:rFonts w:cs="Times New Roman" w:hint="eastAsia"/>
          <w:kern w:val="21"/>
        </w:rPr>
        <w:t>2023</w:t>
      </w:r>
      <w:r>
        <w:rPr>
          <w:rFonts w:cs="Times New Roman" w:hint="eastAsia"/>
          <w:kern w:val="21"/>
        </w:rPr>
        <w:t>年广元市环境质量状况》进行区域达标评价。其他污染物进行补充监测。</w:t>
      </w:r>
    </w:p>
    <w:p w14:paraId="6AE37FF3" w14:textId="77777777" w:rsidR="00544649" w:rsidRDefault="00000000">
      <w:pPr>
        <w:tabs>
          <w:tab w:val="left" w:pos="1210"/>
        </w:tabs>
        <w:adjustRightInd w:val="0"/>
        <w:snapToGrid w:val="0"/>
        <w:spacing w:after="0"/>
        <w:ind w:firstLine="482"/>
        <w:rPr>
          <w:kern w:val="21"/>
        </w:rPr>
      </w:pPr>
      <w:r>
        <w:rPr>
          <w:rFonts w:cs="Times New Roman"/>
          <w:b/>
          <w:kern w:val="21"/>
          <w:szCs w:val="24"/>
        </w:rPr>
        <w:t>一、环境质量达标区判定</w:t>
      </w:r>
    </w:p>
    <w:p w14:paraId="34B0852A" w14:textId="77777777" w:rsidR="00544649" w:rsidRDefault="00000000">
      <w:pPr>
        <w:adjustRightInd w:val="0"/>
        <w:snapToGrid w:val="0"/>
        <w:spacing w:after="0"/>
        <w:ind w:firstLine="480"/>
        <w:rPr>
          <w:kern w:val="21"/>
        </w:rPr>
      </w:pPr>
      <w:r>
        <w:rPr>
          <w:rFonts w:hint="eastAsia"/>
          <w:kern w:val="21"/>
        </w:rPr>
        <w:t>本项目所在地行政区划属于广元市，本项目引用《</w:t>
      </w:r>
      <w:r>
        <w:rPr>
          <w:rFonts w:hint="eastAsia"/>
          <w:kern w:val="21"/>
        </w:rPr>
        <w:t>2023</w:t>
      </w:r>
      <w:r>
        <w:rPr>
          <w:rFonts w:hint="eastAsia"/>
          <w:kern w:val="21"/>
        </w:rPr>
        <w:t>年广元市环境质量状况》中大气环境质量监测数据进行环境质量现状评价。根据广元市生态环境局发布的《</w:t>
      </w:r>
      <w:r>
        <w:rPr>
          <w:rFonts w:hint="eastAsia"/>
          <w:kern w:val="21"/>
        </w:rPr>
        <w:t>2023</w:t>
      </w:r>
      <w:r>
        <w:rPr>
          <w:rFonts w:hint="eastAsia"/>
          <w:kern w:val="21"/>
        </w:rPr>
        <w:t>年广元市环境质量状况》（网址：</w:t>
      </w:r>
      <w:r>
        <w:fldChar w:fldCharType="begin"/>
      </w:r>
      <w:r>
        <w:instrText>HYPERLINK "http://hbj.cngy.gov.cn/News/show/20240322112006115.html"</w:instrText>
      </w:r>
      <w:r>
        <w:fldChar w:fldCharType="separate"/>
      </w:r>
      <w:r>
        <w:rPr>
          <w:rStyle w:val="afe"/>
          <w:color w:val="auto"/>
          <w:kern w:val="21"/>
        </w:rPr>
        <w:t>http://hbj.cngy.gov.cn/News/show/20240322112006115.html</w:t>
      </w:r>
      <w:r>
        <w:fldChar w:fldCharType="end"/>
      </w:r>
      <w:r>
        <w:rPr>
          <w:rFonts w:hint="eastAsia"/>
          <w:kern w:val="21"/>
        </w:rPr>
        <w:t>）。</w:t>
      </w:r>
    </w:p>
    <w:p w14:paraId="72F167B5" w14:textId="77777777" w:rsidR="00544649" w:rsidRDefault="00000000">
      <w:pPr>
        <w:adjustRightInd w:val="0"/>
        <w:snapToGrid w:val="0"/>
        <w:spacing w:after="0"/>
        <w:ind w:firstLineChars="0" w:firstLine="0"/>
        <w:jc w:val="center"/>
        <w:rPr>
          <w:kern w:val="21"/>
        </w:rPr>
      </w:pPr>
      <w:r>
        <w:rPr>
          <w:noProof/>
        </w:rPr>
        <w:drawing>
          <wp:inline distT="0" distB="0" distL="0" distR="0" wp14:anchorId="41C4AA27" wp14:editId="30C063D3">
            <wp:extent cx="5486400" cy="4026535"/>
            <wp:effectExtent l="0" t="0" r="0" b="0"/>
            <wp:docPr id="1520648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48900" name="图片 1"/>
                    <pic:cNvPicPr>
                      <a:picLocks noChangeAspect="1"/>
                    </pic:cNvPicPr>
                  </pic:nvPicPr>
                  <pic:blipFill>
                    <a:blip r:embed="rId45"/>
                    <a:stretch>
                      <a:fillRect/>
                    </a:stretch>
                  </pic:blipFill>
                  <pic:spPr>
                    <a:xfrm>
                      <a:off x="0" y="0"/>
                      <a:ext cx="5486899" cy="4027076"/>
                    </a:xfrm>
                    <a:prstGeom prst="rect">
                      <a:avLst/>
                    </a:prstGeom>
                  </pic:spPr>
                </pic:pic>
              </a:graphicData>
            </a:graphic>
          </wp:inline>
        </w:drawing>
      </w:r>
    </w:p>
    <w:p w14:paraId="32248796" w14:textId="77777777" w:rsidR="00544649" w:rsidRDefault="00000000">
      <w:pPr>
        <w:pStyle w:val="afff0"/>
        <w:numPr>
          <w:ilvl w:val="0"/>
          <w:numId w:val="25"/>
        </w:numPr>
        <w:spacing w:after="0" w:line="240" w:lineRule="auto"/>
        <w:ind w:firstLine="480"/>
        <w:textAlignment w:val="bottom"/>
        <w:rPr>
          <w:rFonts w:hAnsi="Times New Roman"/>
        </w:rPr>
      </w:pPr>
      <w:r>
        <w:rPr>
          <w:rFonts w:hAnsi="Times New Roman"/>
        </w:rPr>
        <w:t>202</w:t>
      </w:r>
      <w:r>
        <w:rPr>
          <w:rFonts w:hAnsi="Times New Roman" w:hint="eastAsia"/>
        </w:rPr>
        <w:t>3</w:t>
      </w:r>
      <w:r>
        <w:rPr>
          <w:rFonts w:hAnsi="Times New Roman"/>
        </w:rPr>
        <w:t>年度广元市</w:t>
      </w:r>
      <w:r>
        <w:rPr>
          <w:rFonts w:hAnsi="Times New Roman"/>
          <w:bCs w:val="0"/>
          <w:kern w:val="2"/>
          <w:szCs w:val="22"/>
        </w:rPr>
        <w:t>环境</w:t>
      </w:r>
      <w:r>
        <w:rPr>
          <w:rFonts w:hAnsi="Times New Roman"/>
        </w:rPr>
        <w:t>质量公告</w:t>
      </w:r>
    </w:p>
    <w:p w14:paraId="3E7250A5" w14:textId="77777777" w:rsidR="00544649" w:rsidRDefault="00000000">
      <w:pPr>
        <w:adjustRightInd w:val="0"/>
        <w:snapToGrid w:val="0"/>
        <w:spacing w:after="0"/>
        <w:ind w:firstLine="480"/>
        <w:rPr>
          <w:kern w:val="21"/>
        </w:rPr>
      </w:pPr>
      <w:r>
        <w:rPr>
          <w:rFonts w:hint="eastAsia"/>
        </w:rPr>
        <w:t>根据</w:t>
      </w:r>
      <w:r>
        <w:t>质量公报，</w:t>
      </w:r>
      <w:r>
        <w:rPr>
          <w:rFonts w:hint="eastAsia"/>
        </w:rPr>
        <w:t>2023</w:t>
      </w:r>
      <w:r>
        <w:rPr>
          <w:rFonts w:hint="eastAsia"/>
        </w:rPr>
        <w:t>年广元市环境空气质量优良天数比例为</w:t>
      </w:r>
      <w:r>
        <w:rPr>
          <w:rFonts w:hint="eastAsia"/>
        </w:rPr>
        <w:t>95.3%</w:t>
      </w:r>
      <w:r>
        <w:rPr>
          <w:rFonts w:hint="eastAsia"/>
        </w:rPr>
        <w:t>，与</w:t>
      </w:r>
      <w:r>
        <w:rPr>
          <w:rFonts w:hint="eastAsia"/>
        </w:rPr>
        <w:t>2022</w:t>
      </w:r>
      <w:r>
        <w:rPr>
          <w:rFonts w:hint="eastAsia"/>
        </w:rPr>
        <w:t>年</w:t>
      </w:r>
      <w:r>
        <w:rPr>
          <w:rFonts w:hint="eastAsia"/>
        </w:rPr>
        <w:lastRenderedPageBreak/>
        <w:t>相比下降</w:t>
      </w:r>
      <w:r>
        <w:rPr>
          <w:rFonts w:hint="eastAsia"/>
        </w:rPr>
        <w:t>3.0%</w:t>
      </w:r>
      <w:r>
        <w:rPr>
          <w:rFonts w:hint="eastAsia"/>
        </w:rPr>
        <w:t>。</w:t>
      </w:r>
      <w:r>
        <w:rPr>
          <w:rFonts w:hint="eastAsia"/>
          <w:kern w:val="21"/>
        </w:rPr>
        <w:t>根据《</w:t>
      </w:r>
      <w:r>
        <w:rPr>
          <w:rFonts w:hint="eastAsia"/>
          <w:kern w:val="21"/>
        </w:rPr>
        <w:t>2023</w:t>
      </w:r>
      <w:r>
        <w:rPr>
          <w:rFonts w:hint="eastAsia"/>
          <w:kern w:val="21"/>
        </w:rPr>
        <w:t>年广元市环境质量状况》中相关数据，结合《环境影响评价技术导则大气环境》（</w:t>
      </w:r>
      <w:r>
        <w:rPr>
          <w:rFonts w:hint="eastAsia"/>
          <w:kern w:val="21"/>
        </w:rPr>
        <w:t>HJ2.2-2018</w:t>
      </w:r>
      <w:r>
        <w:rPr>
          <w:rFonts w:hint="eastAsia"/>
          <w:kern w:val="21"/>
        </w:rPr>
        <w:t>）要求，</w:t>
      </w:r>
      <w:r>
        <w:rPr>
          <w:rFonts w:hint="eastAsia"/>
        </w:rPr>
        <w:t>本项目所在区域环境空气质量达标判定见下表：</w:t>
      </w:r>
    </w:p>
    <w:p w14:paraId="428CAAE6" w14:textId="77777777" w:rsidR="00544649" w:rsidRDefault="00000000">
      <w:pPr>
        <w:numPr>
          <w:ilvl w:val="0"/>
          <w:numId w:val="26"/>
        </w:numPr>
        <w:adjustRightInd w:val="0"/>
        <w:snapToGrid w:val="0"/>
        <w:spacing w:beforeLines="20" w:before="62" w:afterLines="20" w:after="62" w:line="240" w:lineRule="auto"/>
        <w:ind w:left="0" w:firstLineChars="0" w:firstLine="0"/>
        <w:jc w:val="center"/>
        <w:rPr>
          <w:rFonts w:cs="Times New Roman"/>
          <w:b/>
          <w:bCs/>
          <w:kern w:val="21"/>
          <w:sz w:val="21"/>
          <w:szCs w:val="21"/>
        </w:rPr>
      </w:pPr>
      <w:r>
        <w:rPr>
          <w:rFonts w:cs="Times New Roman" w:hint="eastAsia"/>
          <w:b/>
          <w:bCs/>
          <w:kern w:val="21"/>
          <w:sz w:val="21"/>
          <w:szCs w:val="21"/>
        </w:rPr>
        <w:t>广元市</w:t>
      </w:r>
      <w:r>
        <w:rPr>
          <w:rFonts w:cs="Times New Roman"/>
          <w:b/>
          <w:bCs/>
          <w:kern w:val="21"/>
          <w:sz w:val="21"/>
          <w:szCs w:val="21"/>
        </w:rPr>
        <w:t>环境空气质量统计表单位：除</w:t>
      </w:r>
      <w:r>
        <w:rPr>
          <w:rFonts w:cs="Times New Roman"/>
          <w:b/>
          <w:bCs/>
          <w:kern w:val="21"/>
          <w:sz w:val="21"/>
          <w:szCs w:val="21"/>
        </w:rPr>
        <w:t>CO</w:t>
      </w:r>
      <w:r>
        <w:rPr>
          <w:rFonts w:cs="Times New Roman"/>
          <w:b/>
          <w:bCs/>
          <w:kern w:val="21"/>
          <w:sz w:val="21"/>
          <w:szCs w:val="21"/>
        </w:rPr>
        <w:t>为</w:t>
      </w:r>
      <w:r>
        <w:rPr>
          <w:rFonts w:cs="Times New Roman"/>
          <w:b/>
          <w:bCs/>
          <w:kern w:val="21"/>
          <w:sz w:val="21"/>
          <w:szCs w:val="21"/>
        </w:rPr>
        <w:t>mg/m</w:t>
      </w:r>
      <w:r>
        <w:rPr>
          <w:rFonts w:cs="Times New Roman"/>
          <w:b/>
          <w:bCs/>
          <w:kern w:val="21"/>
          <w:sz w:val="21"/>
          <w:szCs w:val="21"/>
          <w:vertAlign w:val="superscript"/>
        </w:rPr>
        <w:t>3</w:t>
      </w:r>
      <w:r>
        <w:rPr>
          <w:rFonts w:cs="Times New Roman"/>
          <w:b/>
          <w:bCs/>
          <w:kern w:val="21"/>
          <w:sz w:val="21"/>
          <w:szCs w:val="21"/>
        </w:rPr>
        <w:t>，其余</w:t>
      </w:r>
      <w:proofErr w:type="spellStart"/>
      <w:r>
        <w:rPr>
          <w:rFonts w:cs="Times New Roman"/>
          <w:b/>
          <w:bCs/>
          <w:kern w:val="21"/>
          <w:sz w:val="21"/>
          <w:szCs w:val="21"/>
        </w:rPr>
        <w:t>μg</w:t>
      </w:r>
      <w:proofErr w:type="spellEnd"/>
      <w:r>
        <w:rPr>
          <w:rFonts w:cs="Times New Roman"/>
          <w:b/>
          <w:bCs/>
          <w:kern w:val="21"/>
          <w:sz w:val="21"/>
          <w:szCs w:val="21"/>
        </w:rPr>
        <w:t>/m</w:t>
      </w:r>
      <w:r>
        <w:rPr>
          <w:rFonts w:cs="Times New Roman"/>
          <w:b/>
          <w:bCs/>
          <w:kern w:val="21"/>
          <w:sz w:val="21"/>
          <w:szCs w:val="21"/>
          <w:vertAlign w:val="superscript"/>
        </w:rPr>
        <w:t>3</w:t>
      </w:r>
    </w:p>
    <w:tbl>
      <w:tblPr>
        <w:tblStyle w:val="1b"/>
        <w:tblW w:w="871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29"/>
        <w:gridCol w:w="3428"/>
        <w:gridCol w:w="1205"/>
        <w:gridCol w:w="1177"/>
        <w:gridCol w:w="1168"/>
        <w:gridCol w:w="811"/>
      </w:tblGrid>
      <w:tr w:rsidR="00544649" w14:paraId="0021D0B7" w14:textId="77777777">
        <w:trPr>
          <w:trHeight w:val="283"/>
          <w:jc w:val="center"/>
        </w:trPr>
        <w:tc>
          <w:tcPr>
            <w:tcW w:w="929" w:type="dxa"/>
          </w:tcPr>
          <w:p w14:paraId="2985150B" w14:textId="77777777" w:rsidR="00544649" w:rsidRDefault="00000000">
            <w:pPr>
              <w:pStyle w:val="Affd"/>
              <w:adjustRightInd w:val="0"/>
              <w:snapToGrid w:val="0"/>
              <w:spacing w:after="0"/>
              <w:rPr>
                <w:b/>
                <w:bCs/>
                <w:color w:val="auto"/>
              </w:rPr>
            </w:pPr>
            <w:r>
              <w:rPr>
                <w:b/>
                <w:bCs/>
                <w:color w:val="auto"/>
              </w:rPr>
              <w:t>污染物</w:t>
            </w:r>
          </w:p>
        </w:tc>
        <w:tc>
          <w:tcPr>
            <w:tcW w:w="3428" w:type="dxa"/>
          </w:tcPr>
          <w:p w14:paraId="71851884" w14:textId="77777777" w:rsidR="00544649" w:rsidRDefault="00000000">
            <w:pPr>
              <w:pStyle w:val="Affd"/>
              <w:adjustRightInd w:val="0"/>
              <w:snapToGrid w:val="0"/>
              <w:spacing w:after="0"/>
              <w:rPr>
                <w:b/>
                <w:bCs/>
                <w:color w:val="auto"/>
              </w:rPr>
            </w:pPr>
            <w:proofErr w:type="gramStart"/>
            <w:r>
              <w:rPr>
                <w:b/>
                <w:bCs/>
                <w:color w:val="auto"/>
              </w:rPr>
              <w:t>年评价</w:t>
            </w:r>
            <w:proofErr w:type="gramEnd"/>
            <w:r>
              <w:rPr>
                <w:b/>
                <w:bCs/>
                <w:color w:val="auto"/>
              </w:rPr>
              <w:t>指标</w:t>
            </w:r>
          </w:p>
        </w:tc>
        <w:tc>
          <w:tcPr>
            <w:tcW w:w="1205" w:type="dxa"/>
          </w:tcPr>
          <w:p w14:paraId="1A0A71C6" w14:textId="77777777" w:rsidR="00544649" w:rsidRDefault="00000000">
            <w:pPr>
              <w:pStyle w:val="Affd"/>
              <w:adjustRightInd w:val="0"/>
              <w:snapToGrid w:val="0"/>
              <w:spacing w:after="0"/>
              <w:rPr>
                <w:b/>
                <w:bCs/>
                <w:color w:val="auto"/>
              </w:rPr>
            </w:pPr>
            <w:r>
              <w:rPr>
                <w:b/>
                <w:bCs/>
                <w:color w:val="auto"/>
              </w:rPr>
              <w:t>现状浓度（</w:t>
            </w:r>
            <w:proofErr w:type="spellStart"/>
            <w:r>
              <w:rPr>
                <w:b/>
                <w:bCs/>
                <w:color w:val="auto"/>
              </w:rPr>
              <w:t>μg</w:t>
            </w:r>
            <w:proofErr w:type="spellEnd"/>
            <w:r>
              <w:rPr>
                <w:b/>
                <w:bCs/>
                <w:color w:val="auto"/>
              </w:rPr>
              <w:t>/m</w:t>
            </w:r>
            <w:r>
              <w:rPr>
                <w:b/>
                <w:bCs/>
                <w:color w:val="auto"/>
                <w:vertAlign w:val="superscript"/>
              </w:rPr>
              <w:t>3</w:t>
            </w:r>
            <w:r>
              <w:rPr>
                <w:b/>
                <w:bCs/>
                <w:color w:val="auto"/>
              </w:rPr>
              <w:t>）</w:t>
            </w:r>
          </w:p>
        </w:tc>
        <w:tc>
          <w:tcPr>
            <w:tcW w:w="1177" w:type="dxa"/>
          </w:tcPr>
          <w:p w14:paraId="1DBB691C" w14:textId="77777777" w:rsidR="00544649" w:rsidRDefault="00000000">
            <w:pPr>
              <w:pStyle w:val="Affd"/>
              <w:adjustRightInd w:val="0"/>
              <w:snapToGrid w:val="0"/>
              <w:spacing w:after="0"/>
              <w:rPr>
                <w:b/>
                <w:bCs/>
                <w:color w:val="auto"/>
              </w:rPr>
            </w:pPr>
            <w:r>
              <w:rPr>
                <w:b/>
                <w:bCs/>
                <w:color w:val="auto"/>
              </w:rPr>
              <w:t>标准值（</w:t>
            </w:r>
            <w:proofErr w:type="spellStart"/>
            <w:r>
              <w:rPr>
                <w:b/>
                <w:bCs/>
                <w:color w:val="auto"/>
              </w:rPr>
              <w:t>μg</w:t>
            </w:r>
            <w:proofErr w:type="spellEnd"/>
            <w:r>
              <w:rPr>
                <w:b/>
                <w:bCs/>
                <w:color w:val="auto"/>
              </w:rPr>
              <w:t>/m</w:t>
            </w:r>
            <w:r>
              <w:rPr>
                <w:b/>
                <w:bCs/>
                <w:color w:val="auto"/>
                <w:vertAlign w:val="superscript"/>
              </w:rPr>
              <w:t>3</w:t>
            </w:r>
            <w:r>
              <w:rPr>
                <w:b/>
                <w:bCs/>
                <w:color w:val="auto"/>
              </w:rPr>
              <w:t>）</w:t>
            </w:r>
          </w:p>
        </w:tc>
        <w:tc>
          <w:tcPr>
            <w:tcW w:w="1168" w:type="dxa"/>
          </w:tcPr>
          <w:p w14:paraId="39BC2925" w14:textId="77777777" w:rsidR="00544649" w:rsidRDefault="00000000">
            <w:pPr>
              <w:pStyle w:val="Affd"/>
              <w:adjustRightInd w:val="0"/>
              <w:snapToGrid w:val="0"/>
              <w:spacing w:after="0"/>
              <w:rPr>
                <w:b/>
                <w:bCs/>
                <w:color w:val="auto"/>
              </w:rPr>
            </w:pPr>
            <w:r>
              <w:rPr>
                <w:b/>
                <w:bCs/>
                <w:color w:val="auto"/>
              </w:rPr>
              <w:t>占标率（</w:t>
            </w:r>
            <w:r>
              <w:rPr>
                <w:b/>
                <w:bCs/>
                <w:color w:val="auto"/>
              </w:rPr>
              <w:t>%</w:t>
            </w:r>
            <w:r>
              <w:rPr>
                <w:b/>
                <w:bCs/>
                <w:color w:val="auto"/>
              </w:rPr>
              <w:t>）</w:t>
            </w:r>
          </w:p>
        </w:tc>
        <w:tc>
          <w:tcPr>
            <w:tcW w:w="811" w:type="dxa"/>
          </w:tcPr>
          <w:p w14:paraId="02833F58" w14:textId="77777777" w:rsidR="00544649" w:rsidRDefault="00000000">
            <w:pPr>
              <w:pStyle w:val="Affd"/>
              <w:adjustRightInd w:val="0"/>
              <w:snapToGrid w:val="0"/>
              <w:spacing w:after="0"/>
              <w:rPr>
                <w:b/>
                <w:bCs/>
                <w:color w:val="auto"/>
              </w:rPr>
            </w:pPr>
            <w:r>
              <w:rPr>
                <w:b/>
                <w:bCs/>
                <w:color w:val="auto"/>
              </w:rPr>
              <w:t>达标情况</w:t>
            </w:r>
          </w:p>
        </w:tc>
      </w:tr>
      <w:tr w:rsidR="00544649" w14:paraId="61F31D80" w14:textId="77777777">
        <w:trPr>
          <w:trHeight w:val="283"/>
          <w:jc w:val="center"/>
        </w:trPr>
        <w:tc>
          <w:tcPr>
            <w:tcW w:w="929" w:type="dxa"/>
          </w:tcPr>
          <w:p w14:paraId="2C50A35F" w14:textId="77777777" w:rsidR="00544649" w:rsidRDefault="00000000">
            <w:pPr>
              <w:pStyle w:val="aff3"/>
              <w:spacing w:beforeLines="0" w:before="0" w:afterLines="0" w:after="0"/>
              <w:rPr>
                <w:color w:val="auto"/>
                <w:szCs w:val="21"/>
              </w:rPr>
            </w:pPr>
            <w:r>
              <w:rPr>
                <w:color w:val="auto"/>
                <w:szCs w:val="21"/>
              </w:rPr>
              <w:t>SO</w:t>
            </w:r>
            <w:r>
              <w:rPr>
                <w:color w:val="auto"/>
                <w:szCs w:val="21"/>
                <w:vertAlign w:val="subscript"/>
              </w:rPr>
              <w:t>2</w:t>
            </w:r>
          </w:p>
        </w:tc>
        <w:tc>
          <w:tcPr>
            <w:tcW w:w="3428" w:type="dxa"/>
          </w:tcPr>
          <w:p w14:paraId="2C984867" w14:textId="77777777" w:rsidR="00544649" w:rsidRDefault="00000000">
            <w:pPr>
              <w:pStyle w:val="aff3"/>
              <w:spacing w:beforeLines="0" w:before="0" w:afterLines="0" w:after="0"/>
              <w:rPr>
                <w:color w:val="auto"/>
                <w:szCs w:val="21"/>
              </w:rPr>
            </w:pPr>
            <w:r>
              <w:rPr>
                <w:color w:val="auto"/>
                <w:szCs w:val="21"/>
              </w:rPr>
              <w:t>年平均质量浓度</w:t>
            </w:r>
          </w:p>
        </w:tc>
        <w:tc>
          <w:tcPr>
            <w:tcW w:w="1205" w:type="dxa"/>
          </w:tcPr>
          <w:p w14:paraId="691E5947" w14:textId="77777777" w:rsidR="00544649" w:rsidRDefault="00000000">
            <w:pPr>
              <w:pStyle w:val="Affd"/>
              <w:adjustRightInd w:val="0"/>
              <w:snapToGrid w:val="0"/>
              <w:spacing w:after="0"/>
              <w:rPr>
                <w:color w:val="auto"/>
              </w:rPr>
            </w:pPr>
            <w:r>
              <w:rPr>
                <w:rFonts w:hint="eastAsia"/>
                <w:color w:val="auto"/>
              </w:rPr>
              <w:t>7.9</w:t>
            </w:r>
          </w:p>
        </w:tc>
        <w:tc>
          <w:tcPr>
            <w:tcW w:w="1177" w:type="dxa"/>
          </w:tcPr>
          <w:p w14:paraId="4C53EC08" w14:textId="77777777" w:rsidR="00544649" w:rsidRDefault="00000000">
            <w:pPr>
              <w:pStyle w:val="Affd"/>
              <w:adjustRightInd w:val="0"/>
              <w:snapToGrid w:val="0"/>
              <w:spacing w:after="0"/>
              <w:rPr>
                <w:color w:val="auto"/>
              </w:rPr>
            </w:pPr>
            <w:r>
              <w:rPr>
                <w:color w:val="auto"/>
              </w:rPr>
              <w:t>60</w:t>
            </w:r>
          </w:p>
        </w:tc>
        <w:tc>
          <w:tcPr>
            <w:tcW w:w="1168" w:type="dxa"/>
          </w:tcPr>
          <w:p w14:paraId="4A92D6AE" w14:textId="77777777" w:rsidR="00544649" w:rsidRDefault="00000000">
            <w:pPr>
              <w:pStyle w:val="Affd"/>
              <w:adjustRightInd w:val="0"/>
              <w:snapToGrid w:val="0"/>
              <w:spacing w:after="0"/>
              <w:rPr>
                <w:color w:val="auto"/>
              </w:rPr>
            </w:pPr>
            <w:r>
              <w:rPr>
                <w:rFonts w:hint="eastAsia"/>
                <w:color w:val="auto"/>
              </w:rPr>
              <w:t>13.17</w:t>
            </w:r>
          </w:p>
        </w:tc>
        <w:tc>
          <w:tcPr>
            <w:tcW w:w="811" w:type="dxa"/>
          </w:tcPr>
          <w:p w14:paraId="7E42C100" w14:textId="77777777" w:rsidR="00544649" w:rsidRDefault="00000000">
            <w:pPr>
              <w:pStyle w:val="Affd"/>
              <w:adjustRightInd w:val="0"/>
              <w:snapToGrid w:val="0"/>
              <w:spacing w:after="0"/>
              <w:rPr>
                <w:color w:val="auto"/>
              </w:rPr>
            </w:pPr>
            <w:r>
              <w:rPr>
                <w:color w:val="auto"/>
              </w:rPr>
              <w:t>达标</w:t>
            </w:r>
          </w:p>
        </w:tc>
      </w:tr>
      <w:tr w:rsidR="00544649" w14:paraId="7E381284" w14:textId="77777777">
        <w:trPr>
          <w:trHeight w:val="283"/>
          <w:jc w:val="center"/>
        </w:trPr>
        <w:tc>
          <w:tcPr>
            <w:tcW w:w="929" w:type="dxa"/>
          </w:tcPr>
          <w:p w14:paraId="46BFA51F" w14:textId="77777777" w:rsidR="00544649" w:rsidRDefault="00000000">
            <w:pPr>
              <w:pStyle w:val="aff3"/>
              <w:spacing w:beforeLines="0" w:before="0" w:afterLines="0" w:after="0"/>
              <w:rPr>
                <w:color w:val="auto"/>
                <w:szCs w:val="21"/>
              </w:rPr>
            </w:pPr>
            <w:r>
              <w:rPr>
                <w:color w:val="auto"/>
                <w:szCs w:val="21"/>
              </w:rPr>
              <w:t>NO</w:t>
            </w:r>
            <w:r>
              <w:rPr>
                <w:color w:val="auto"/>
                <w:szCs w:val="21"/>
                <w:vertAlign w:val="subscript"/>
              </w:rPr>
              <w:t>2</w:t>
            </w:r>
          </w:p>
        </w:tc>
        <w:tc>
          <w:tcPr>
            <w:tcW w:w="3428" w:type="dxa"/>
          </w:tcPr>
          <w:p w14:paraId="412E6623" w14:textId="77777777" w:rsidR="00544649" w:rsidRDefault="00000000">
            <w:pPr>
              <w:pStyle w:val="aff3"/>
              <w:spacing w:beforeLines="0" w:before="0" w:afterLines="0" w:after="0"/>
              <w:rPr>
                <w:color w:val="auto"/>
                <w:szCs w:val="21"/>
              </w:rPr>
            </w:pPr>
            <w:r>
              <w:rPr>
                <w:color w:val="auto"/>
                <w:szCs w:val="21"/>
              </w:rPr>
              <w:t>年平均质量浓度</w:t>
            </w:r>
          </w:p>
        </w:tc>
        <w:tc>
          <w:tcPr>
            <w:tcW w:w="1205" w:type="dxa"/>
          </w:tcPr>
          <w:p w14:paraId="2C111852" w14:textId="77777777" w:rsidR="00544649" w:rsidRDefault="00000000">
            <w:pPr>
              <w:pStyle w:val="Affd"/>
              <w:adjustRightInd w:val="0"/>
              <w:snapToGrid w:val="0"/>
              <w:spacing w:after="0"/>
              <w:rPr>
                <w:color w:val="auto"/>
              </w:rPr>
            </w:pPr>
            <w:r>
              <w:rPr>
                <w:rFonts w:hint="eastAsia"/>
                <w:color w:val="auto"/>
              </w:rPr>
              <w:t>22.9</w:t>
            </w:r>
          </w:p>
        </w:tc>
        <w:tc>
          <w:tcPr>
            <w:tcW w:w="1177" w:type="dxa"/>
          </w:tcPr>
          <w:p w14:paraId="26DEBFD5" w14:textId="77777777" w:rsidR="00544649" w:rsidRDefault="00000000">
            <w:pPr>
              <w:pStyle w:val="Affd"/>
              <w:adjustRightInd w:val="0"/>
              <w:snapToGrid w:val="0"/>
              <w:spacing w:after="0"/>
              <w:rPr>
                <w:color w:val="auto"/>
              </w:rPr>
            </w:pPr>
            <w:r>
              <w:rPr>
                <w:color w:val="auto"/>
              </w:rPr>
              <w:t>40</w:t>
            </w:r>
          </w:p>
        </w:tc>
        <w:tc>
          <w:tcPr>
            <w:tcW w:w="1168" w:type="dxa"/>
          </w:tcPr>
          <w:p w14:paraId="4A721124" w14:textId="77777777" w:rsidR="00544649" w:rsidRDefault="00000000">
            <w:pPr>
              <w:pStyle w:val="Affd"/>
              <w:adjustRightInd w:val="0"/>
              <w:snapToGrid w:val="0"/>
              <w:spacing w:after="0"/>
              <w:rPr>
                <w:color w:val="auto"/>
              </w:rPr>
            </w:pPr>
            <w:r>
              <w:rPr>
                <w:rFonts w:hint="eastAsia"/>
                <w:color w:val="auto"/>
              </w:rPr>
              <w:t>57.25</w:t>
            </w:r>
          </w:p>
        </w:tc>
        <w:tc>
          <w:tcPr>
            <w:tcW w:w="811" w:type="dxa"/>
          </w:tcPr>
          <w:p w14:paraId="150865DA" w14:textId="77777777" w:rsidR="00544649" w:rsidRDefault="00000000">
            <w:pPr>
              <w:pStyle w:val="Affd"/>
              <w:adjustRightInd w:val="0"/>
              <w:snapToGrid w:val="0"/>
              <w:spacing w:after="0"/>
              <w:rPr>
                <w:color w:val="auto"/>
              </w:rPr>
            </w:pPr>
            <w:r>
              <w:rPr>
                <w:color w:val="auto"/>
              </w:rPr>
              <w:t>达标</w:t>
            </w:r>
          </w:p>
        </w:tc>
      </w:tr>
      <w:tr w:rsidR="00544649" w14:paraId="07B335AC" w14:textId="77777777">
        <w:trPr>
          <w:trHeight w:val="283"/>
          <w:jc w:val="center"/>
        </w:trPr>
        <w:tc>
          <w:tcPr>
            <w:tcW w:w="929" w:type="dxa"/>
          </w:tcPr>
          <w:p w14:paraId="482B463E" w14:textId="77777777" w:rsidR="00544649" w:rsidRDefault="00000000">
            <w:pPr>
              <w:pStyle w:val="aff3"/>
              <w:spacing w:beforeLines="0" w:before="0" w:afterLines="0" w:after="0"/>
              <w:rPr>
                <w:color w:val="auto"/>
                <w:szCs w:val="21"/>
                <w:vertAlign w:val="subscript"/>
              </w:rPr>
            </w:pPr>
            <w:r>
              <w:rPr>
                <w:color w:val="auto"/>
                <w:szCs w:val="21"/>
              </w:rPr>
              <w:t>CO</w:t>
            </w:r>
          </w:p>
        </w:tc>
        <w:tc>
          <w:tcPr>
            <w:tcW w:w="3428" w:type="dxa"/>
          </w:tcPr>
          <w:p w14:paraId="3F328EC4" w14:textId="77777777" w:rsidR="00544649" w:rsidRDefault="00000000">
            <w:pPr>
              <w:pStyle w:val="aff3"/>
              <w:spacing w:beforeLines="0" w:before="0" w:afterLines="0" w:after="0"/>
              <w:rPr>
                <w:color w:val="auto"/>
                <w:szCs w:val="21"/>
              </w:rPr>
            </w:pPr>
            <w:r>
              <w:rPr>
                <w:color w:val="auto"/>
                <w:szCs w:val="21"/>
              </w:rPr>
              <w:t>第</w:t>
            </w:r>
            <w:r>
              <w:rPr>
                <w:color w:val="auto"/>
                <w:szCs w:val="21"/>
              </w:rPr>
              <w:t>95</w:t>
            </w:r>
            <w:proofErr w:type="gramStart"/>
            <w:r>
              <w:rPr>
                <w:color w:val="auto"/>
                <w:szCs w:val="21"/>
              </w:rPr>
              <w:t>百</w:t>
            </w:r>
            <w:proofErr w:type="gramEnd"/>
            <w:r>
              <w:rPr>
                <w:color w:val="auto"/>
                <w:szCs w:val="21"/>
              </w:rPr>
              <w:t>分位数</w:t>
            </w:r>
            <w:r>
              <w:rPr>
                <w:color w:val="auto"/>
                <w:szCs w:val="21"/>
              </w:rPr>
              <w:t>24h</w:t>
            </w:r>
            <w:r>
              <w:rPr>
                <w:color w:val="auto"/>
                <w:szCs w:val="21"/>
              </w:rPr>
              <w:t>平均质量浓度</w:t>
            </w:r>
          </w:p>
        </w:tc>
        <w:tc>
          <w:tcPr>
            <w:tcW w:w="1205" w:type="dxa"/>
          </w:tcPr>
          <w:p w14:paraId="119BD1AB" w14:textId="77777777" w:rsidR="00544649" w:rsidRDefault="00000000">
            <w:pPr>
              <w:pStyle w:val="Affd"/>
              <w:adjustRightInd w:val="0"/>
              <w:snapToGrid w:val="0"/>
              <w:spacing w:after="0"/>
              <w:rPr>
                <w:color w:val="auto"/>
              </w:rPr>
            </w:pPr>
            <w:r>
              <w:rPr>
                <w:rFonts w:hint="eastAsia"/>
                <w:color w:val="auto"/>
              </w:rPr>
              <w:t>1.2</w:t>
            </w:r>
          </w:p>
        </w:tc>
        <w:tc>
          <w:tcPr>
            <w:tcW w:w="1177" w:type="dxa"/>
          </w:tcPr>
          <w:p w14:paraId="21C74625" w14:textId="77777777" w:rsidR="00544649" w:rsidRDefault="00000000">
            <w:pPr>
              <w:pStyle w:val="Affd"/>
              <w:adjustRightInd w:val="0"/>
              <w:snapToGrid w:val="0"/>
              <w:spacing w:after="0"/>
              <w:rPr>
                <w:color w:val="auto"/>
              </w:rPr>
            </w:pPr>
            <w:r>
              <w:rPr>
                <w:color w:val="auto"/>
              </w:rPr>
              <w:t>4</w:t>
            </w:r>
          </w:p>
        </w:tc>
        <w:tc>
          <w:tcPr>
            <w:tcW w:w="1168" w:type="dxa"/>
          </w:tcPr>
          <w:p w14:paraId="74DAB5AE" w14:textId="77777777" w:rsidR="00544649" w:rsidRDefault="00000000">
            <w:pPr>
              <w:pStyle w:val="Affd"/>
              <w:adjustRightInd w:val="0"/>
              <w:snapToGrid w:val="0"/>
              <w:spacing w:after="0"/>
              <w:rPr>
                <w:color w:val="auto"/>
              </w:rPr>
            </w:pPr>
            <w:r>
              <w:rPr>
                <w:color w:val="auto"/>
              </w:rPr>
              <w:t>30.00</w:t>
            </w:r>
          </w:p>
        </w:tc>
        <w:tc>
          <w:tcPr>
            <w:tcW w:w="811" w:type="dxa"/>
          </w:tcPr>
          <w:p w14:paraId="0578D5EA" w14:textId="77777777" w:rsidR="00544649" w:rsidRDefault="00000000">
            <w:pPr>
              <w:pStyle w:val="Affd"/>
              <w:adjustRightInd w:val="0"/>
              <w:snapToGrid w:val="0"/>
              <w:spacing w:after="0"/>
              <w:rPr>
                <w:color w:val="auto"/>
              </w:rPr>
            </w:pPr>
            <w:r>
              <w:rPr>
                <w:color w:val="auto"/>
              </w:rPr>
              <w:t>达标</w:t>
            </w:r>
          </w:p>
        </w:tc>
      </w:tr>
      <w:tr w:rsidR="00544649" w14:paraId="131921EF" w14:textId="77777777">
        <w:trPr>
          <w:trHeight w:val="283"/>
          <w:jc w:val="center"/>
        </w:trPr>
        <w:tc>
          <w:tcPr>
            <w:tcW w:w="929" w:type="dxa"/>
          </w:tcPr>
          <w:p w14:paraId="011EBBCA" w14:textId="77777777" w:rsidR="00544649" w:rsidRDefault="00000000">
            <w:pPr>
              <w:pStyle w:val="aff3"/>
              <w:spacing w:beforeLines="0" w:before="0" w:afterLines="0" w:after="0"/>
              <w:rPr>
                <w:color w:val="auto"/>
                <w:szCs w:val="21"/>
              </w:rPr>
            </w:pPr>
            <w:r>
              <w:rPr>
                <w:color w:val="auto"/>
                <w:szCs w:val="21"/>
              </w:rPr>
              <w:t>O</w:t>
            </w:r>
            <w:r>
              <w:rPr>
                <w:color w:val="auto"/>
                <w:szCs w:val="21"/>
                <w:vertAlign w:val="subscript"/>
              </w:rPr>
              <w:t>3</w:t>
            </w:r>
          </w:p>
        </w:tc>
        <w:tc>
          <w:tcPr>
            <w:tcW w:w="3428" w:type="dxa"/>
          </w:tcPr>
          <w:p w14:paraId="1316DF9F" w14:textId="77777777" w:rsidR="00544649" w:rsidRDefault="00000000">
            <w:pPr>
              <w:pStyle w:val="aff3"/>
              <w:spacing w:beforeLines="0" w:before="0" w:afterLines="0" w:after="0"/>
              <w:rPr>
                <w:color w:val="auto"/>
                <w:szCs w:val="21"/>
              </w:rPr>
            </w:pPr>
            <w:r>
              <w:rPr>
                <w:color w:val="auto"/>
                <w:szCs w:val="21"/>
              </w:rPr>
              <w:t>第</w:t>
            </w:r>
            <w:r>
              <w:rPr>
                <w:color w:val="auto"/>
                <w:szCs w:val="21"/>
              </w:rPr>
              <w:t>90</w:t>
            </w:r>
            <w:proofErr w:type="gramStart"/>
            <w:r>
              <w:rPr>
                <w:color w:val="auto"/>
                <w:szCs w:val="21"/>
              </w:rPr>
              <w:t>百</w:t>
            </w:r>
            <w:proofErr w:type="gramEnd"/>
            <w:r>
              <w:rPr>
                <w:color w:val="auto"/>
                <w:szCs w:val="21"/>
              </w:rPr>
              <w:t>分位数</w:t>
            </w:r>
            <w:r>
              <w:rPr>
                <w:color w:val="auto"/>
                <w:szCs w:val="21"/>
              </w:rPr>
              <w:t>8h</w:t>
            </w:r>
            <w:r>
              <w:rPr>
                <w:color w:val="auto"/>
                <w:szCs w:val="21"/>
              </w:rPr>
              <w:t>平均质量浓度</w:t>
            </w:r>
          </w:p>
        </w:tc>
        <w:tc>
          <w:tcPr>
            <w:tcW w:w="1205" w:type="dxa"/>
          </w:tcPr>
          <w:p w14:paraId="6F8D82D1" w14:textId="77777777" w:rsidR="00544649" w:rsidRDefault="00000000">
            <w:pPr>
              <w:pStyle w:val="Affd"/>
              <w:adjustRightInd w:val="0"/>
              <w:snapToGrid w:val="0"/>
              <w:spacing w:after="0"/>
              <w:rPr>
                <w:color w:val="auto"/>
              </w:rPr>
            </w:pPr>
            <w:r>
              <w:rPr>
                <w:rFonts w:hint="eastAsia"/>
                <w:color w:val="auto"/>
              </w:rPr>
              <w:t>124.6</w:t>
            </w:r>
          </w:p>
        </w:tc>
        <w:tc>
          <w:tcPr>
            <w:tcW w:w="1177" w:type="dxa"/>
          </w:tcPr>
          <w:p w14:paraId="22E09024" w14:textId="77777777" w:rsidR="00544649" w:rsidRDefault="00000000">
            <w:pPr>
              <w:pStyle w:val="Affd"/>
              <w:adjustRightInd w:val="0"/>
              <w:snapToGrid w:val="0"/>
              <w:spacing w:after="0"/>
              <w:rPr>
                <w:color w:val="auto"/>
              </w:rPr>
            </w:pPr>
            <w:r>
              <w:rPr>
                <w:color w:val="auto"/>
              </w:rPr>
              <w:t>160</w:t>
            </w:r>
          </w:p>
        </w:tc>
        <w:tc>
          <w:tcPr>
            <w:tcW w:w="1168" w:type="dxa"/>
          </w:tcPr>
          <w:p w14:paraId="1C0668DB" w14:textId="77777777" w:rsidR="00544649" w:rsidRDefault="00000000">
            <w:pPr>
              <w:pStyle w:val="Affd"/>
              <w:adjustRightInd w:val="0"/>
              <w:snapToGrid w:val="0"/>
              <w:spacing w:after="0"/>
              <w:rPr>
                <w:color w:val="auto"/>
              </w:rPr>
            </w:pPr>
            <w:r>
              <w:rPr>
                <w:rFonts w:hint="eastAsia"/>
                <w:color w:val="auto"/>
              </w:rPr>
              <w:t>77.88</w:t>
            </w:r>
          </w:p>
        </w:tc>
        <w:tc>
          <w:tcPr>
            <w:tcW w:w="811" w:type="dxa"/>
          </w:tcPr>
          <w:p w14:paraId="3CF160BE" w14:textId="77777777" w:rsidR="00544649" w:rsidRDefault="00000000">
            <w:pPr>
              <w:pStyle w:val="Affd"/>
              <w:adjustRightInd w:val="0"/>
              <w:snapToGrid w:val="0"/>
              <w:spacing w:after="0"/>
              <w:rPr>
                <w:color w:val="auto"/>
              </w:rPr>
            </w:pPr>
            <w:r>
              <w:rPr>
                <w:color w:val="auto"/>
              </w:rPr>
              <w:t>达标</w:t>
            </w:r>
          </w:p>
        </w:tc>
      </w:tr>
      <w:tr w:rsidR="00544649" w14:paraId="415CE3EA" w14:textId="77777777">
        <w:trPr>
          <w:trHeight w:val="283"/>
          <w:jc w:val="center"/>
        </w:trPr>
        <w:tc>
          <w:tcPr>
            <w:tcW w:w="929" w:type="dxa"/>
          </w:tcPr>
          <w:p w14:paraId="4637772F" w14:textId="77777777" w:rsidR="00544649" w:rsidRDefault="00000000">
            <w:pPr>
              <w:pStyle w:val="aff3"/>
              <w:spacing w:beforeLines="0" w:before="0" w:afterLines="0" w:after="0"/>
              <w:rPr>
                <w:color w:val="auto"/>
                <w:szCs w:val="21"/>
                <w:vertAlign w:val="subscript"/>
              </w:rPr>
            </w:pPr>
            <w:r>
              <w:rPr>
                <w:color w:val="auto"/>
                <w:szCs w:val="21"/>
              </w:rPr>
              <w:t>PM</w:t>
            </w:r>
            <w:r>
              <w:rPr>
                <w:color w:val="auto"/>
                <w:szCs w:val="21"/>
                <w:vertAlign w:val="subscript"/>
              </w:rPr>
              <w:t>10</w:t>
            </w:r>
          </w:p>
        </w:tc>
        <w:tc>
          <w:tcPr>
            <w:tcW w:w="3428" w:type="dxa"/>
          </w:tcPr>
          <w:p w14:paraId="58E42A1A" w14:textId="77777777" w:rsidR="00544649" w:rsidRDefault="00000000">
            <w:pPr>
              <w:pStyle w:val="aff3"/>
              <w:spacing w:beforeLines="0" w:before="0" w:afterLines="0" w:after="0"/>
              <w:rPr>
                <w:color w:val="auto"/>
                <w:szCs w:val="21"/>
              </w:rPr>
            </w:pPr>
            <w:r>
              <w:rPr>
                <w:color w:val="auto"/>
                <w:szCs w:val="21"/>
              </w:rPr>
              <w:t>年平均质量浓度</w:t>
            </w:r>
          </w:p>
        </w:tc>
        <w:tc>
          <w:tcPr>
            <w:tcW w:w="1205" w:type="dxa"/>
          </w:tcPr>
          <w:p w14:paraId="44301417" w14:textId="77777777" w:rsidR="00544649" w:rsidRDefault="00000000">
            <w:pPr>
              <w:pStyle w:val="Affd"/>
              <w:adjustRightInd w:val="0"/>
              <w:snapToGrid w:val="0"/>
              <w:spacing w:after="0"/>
              <w:rPr>
                <w:color w:val="auto"/>
              </w:rPr>
            </w:pPr>
            <w:r>
              <w:rPr>
                <w:rFonts w:hint="eastAsia"/>
                <w:color w:val="auto"/>
              </w:rPr>
              <w:t>46.4</w:t>
            </w:r>
          </w:p>
        </w:tc>
        <w:tc>
          <w:tcPr>
            <w:tcW w:w="1177" w:type="dxa"/>
          </w:tcPr>
          <w:p w14:paraId="037F9EBC" w14:textId="77777777" w:rsidR="00544649" w:rsidRDefault="00000000">
            <w:pPr>
              <w:pStyle w:val="Affd"/>
              <w:adjustRightInd w:val="0"/>
              <w:snapToGrid w:val="0"/>
              <w:spacing w:after="0"/>
              <w:rPr>
                <w:color w:val="auto"/>
              </w:rPr>
            </w:pPr>
            <w:r>
              <w:rPr>
                <w:color w:val="auto"/>
              </w:rPr>
              <w:t>70</w:t>
            </w:r>
          </w:p>
        </w:tc>
        <w:tc>
          <w:tcPr>
            <w:tcW w:w="1168" w:type="dxa"/>
          </w:tcPr>
          <w:p w14:paraId="51F946BF" w14:textId="77777777" w:rsidR="00544649" w:rsidRDefault="00000000">
            <w:pPr>
              <w:pStyle w:val="Affd"/>
              <w:adjustRightInd w:val="0"/>
              <w:snapToGrid w:val="0"/>
              <w:spacing w:after="0"/>
              <w:rPr>
                <w:color w:val="auto"/>
              </w:rPr>
            </w:pPr>
            <w:r>
              <w:rPr>
                <w:rFonts w:hint="eastAsia"/>
                <w:color w:val="auto"/>
              </w:rPr>
              <w:t>66.29</w:t>
            </w:r>
          </w:p>
        </w:tc>
        <w:tc>
          <w:tcPr>
            <w:tcW w:w="811" w:type="dxa"/>
          </w:tcPr>
          <w:p w14:paraId="631BECEB" w14:textId="77777777" w:rsidR="00544649" w:rsidRDefault="00000000">
            <w:pPr>
              <w:pStyle w:val="Affd"/>
              <w:adjustRightInd w:val="0"/>
              <w:snapToGrid w:val="0"/>
              <w:spacing w:after="0"/>
              <w:rPr>
                <w:color w:val="auto"/>
              </w:rPr>
            </w:pPr>
            <w:r>
              <w:rPr>
                <w:color w:val="auto"/>
              </w:rPr>
              <w:t>达标</w:t>
            </w:r>
          </w:p>
        </w:tc>
      </w:tr>
      <w:tr w:rsidR="00544649" w14:paraId="72713867" w14:textId="77777777">
        <w:trPr>
          <w:trHeight w:val="283"/>
          <w:jc w:val="center"/>
        </w:trPr>
        <w:tc>
          <w:tcPr>
            <w:tcW w:w="929" w:type="dxa"/>
          </w:tcPr>
          <w:p w14:paraId="23A05B1B" w14:textId="77777777" w:rsidR="00544649" w:rsidRDefault="00000000">
            <w:pPr>
              <w:pStyle w:val="aff3"/>
              <w:spacing w:beforeLines="0" w:before="0" w:afterLines="0" w:after="0"/>
              <w:rPr>
                <w:color w:val="auto"/>
                <w:szCs w:val="21"/>
              </w:rPr>
            </w:pPr>
            <w:r>
              <w:rPr>
                <w:color w:val="auto"/>
                <w:szCs w:val="21"/>
              </w:rPr>
              <w:t>PM</w:t>
            </w:r>
            <w:r>
              <w:rPr>
                <w:color w:val="auto"/>
                <w:szCs w:val="21"/>
                <w:vertAlign w:val="subscript"/>
              </w:rPr>
              <w:t>2.5</w:t>
            </w:r>
          </w:p>
        </w:tc>
        <w:tc>
          <w:tcPr>
            <w:tcW w:w="3428" w:type="dxa"/>
          </w:tcPr>
          <w:p w14:paraId="59D3DF24" w14:textId="77777777" w:rsidR="00544649" w:rsidRDefault="00000000">
            <w:pPr>
              <w:pStyle w:val="aff3"/>
              <w:spacing w:beforeLines="0" w:before="0" w:afterLines="0" w:after="0"/>
              <w:rPr>
                <w:color w:val="auto"/>
                <w:szCs w:val="21"/>
              </w:rPr>
            </w:pPr>
            <w:r>
              <w:rPr>
                <w:color w:val="auto"/>
                <w:szCs w:val="21"/>
              </w:rPr>
              <w:t>年平均质量浓度</w:t>
            </w:r>
          </w:p>
        </w:tc>
        <w:tc>
          <w:tcPr>
            <w:tcW w:w="1205" w:type="dxa"/>
          </w:tcPr>
          <w:p w14:paraId="30245B18" w14:textId="77777777" w:rsidR="00544649" w:rsidRDefault="00000000">
            <w:pPr>
              <w:pStyle w:val="Affd"/>
              <w:adjustRightInd w:val="0"/>
              <w:snapToGrid w:val="0"/>
              <w:spacing w:after="0"/>
              <w:rPr>
                <w:color w:val="auto"/>
              </w:rPr>
            </w:pPr>
            <w:r>
              <w:rPr>
                <w:rFonts w:hint="eastAsia"/>
                <w:color w:val="auto"/>
              </w:rPr>
              <w:t>25.8</w:t>
            </w:r>
          </w:p>
        </w:tc>
        <w:tc>
          <w:tcPr>
            <w:tcW w:w="1177" w:type="dxa"/>
          </w:tcPr>
          <w:p w14:paraId="7DC77A96" w14:textId="77777777" w:rsidR="00544649" w:rsidRDefault="00000000">
            <w:pPr>
              <w:pStyle w:val="Affd"/>
              <w:adjustRightInd w:val="0"/>
              <w:snapToGrid w:val="0"/>
              <w:spacing w:after="0"/>
              <w:rPr>
                <w:color w:val="auto"/>
              </w:rPr>
            </w:pPr>
            <w:r>
              <w:rPr>
                <w:color w:val="auto"/>
              </w:rPr>
              <w:t>35</w:t>
            </w:r>
          </w:p>
        </w:tc>
        <w:tc>
          <w:tcPr>
            <w:tcW w:w="1168" w:type="dxa"/>
          </w:tcPr>
          <w:p w14:paraId="68B6C8A5" w14:textId="77777777" w:rsidR="00544649" w:rsidRDefault="00000000">
            <w:pPr>
              <w:pStyle w:val="Affd"/>
              <w:adjustRightInd w:val="0"/>
              <w:snapToGrid w:val="0"/>
              <w:spacing w:after="0"/>
              <w:rPr>
                <w:color w:val="auto"/>
              </w:rPr>
            </w:pPr>
            <w:r>
              <w:rPr>
                <w:rFonts w:hint="eastAsia"/>
                <w:color w:val="auto"/>
              </w:rPr>
              <w:t>73.71</w:t>
            </w:r>
          </w:p>
        </w:tc>
        <w:tc>
          <w:tcPr>
            <w:tcW w:w="811" w:type="dxa"/>
          </w:tcPr>
          <w:p w14:paraId="473C6165" w14:textId="77777777" w:rsidR="00544649" w:rsidRDefault="00000000">
            <w:pPr>
              <w:pStyle w:val="Affd"/>
              <w:adjustRightInd w:val="0"/>
              <w:snapToGrid w:val="0"/>
              <w:spacing w:after="0"/>
              <w:rPr>
                <w:color w:val="auto"/>
              </w:rPr>
            </w:pPr>
            <w:r>
              <w:rPr>
                <w:color w:val="auto"/>
              </w:rPr>
              <w:t>达标</w:t>
            </w:r>
          </w:p>
        </w:tc>
      </w:tr>
    </w:tbl>
    <w:p w14:paraId="7C8DCA04" w14:textId="77777777" w:rsidR="00544649" w:rsidRDefault="00000000">
      <w:pPr>
        <w:adjustRightInd w:val="0"/>
        <w:snapToGrid w:val="0"/>
        <w:spacing w:after="0"/>
        <w:ind w:firstLine="480"/>
        <w:rPr>
          <w:kern w:val="21"/>
          <w:lang w:bidi="ar"/>
        </w:rPr>
      </w:pPr>
      <w:r>
        <w:rPr>
          <w:rFonts w:cs="Times New Roman"/>
        </w:rPr>
        <w:t>根据上表可知，</w:t>
      </w:r>
      <w:r>
        <w:rPr>
          <w:rFonts w:cs="Times New Roman"/>
        </w:rPr>
        <w:t>202</w:t>
      </w:r>
      <w:r>
        <w:rPr>
          <w:rFonts w:cs="Times New Roman" w:hint="eastAsia"/>
        </w:rPr>
        <w:t>3</w:t>
      </w:r>
      <w:r>
        <w:rPr>
          <w:rFonts w:cs="Times New Roman"/>
        </w:rPr>
        <w:t>年广元市大气中</w:t>
      </w:r>
      <w:r>
        <w:rPr>
          <w:rFonts w:cs="Times New Roman"/>
        </w:rPr>
        <w:t>SO</w:t>
      </w:r>
      <w:r>
        <w:rPr>
          <w:rFonts w:cs="Times New Roman"/>
          <w:vertAlign w:val="subscript"/>
        </w:rPr>
        <w:t>2</w:t>
      </w:r>
      <w:r>
        <w:rPr>
          <w:rFonts w:cs="Times New Roman"/>
        </w:rPr>
        <w:t>、</w:t>
      </w:r>
      <w:r>
        <w:rPr>
          <w:rFonts w:cs="Times New Roman"/>
        </w:rPr>
        <w:t>NO</w:t>
      </w:r>
      <w:r>
        <w:rPr>
          <w:rFonts w:cs="Times New Roman"/>
          <w:vertAlign w:val="subscript"/>
        </w:rPr>
        <w:t>2</w:t>
      </w:r>
      <w:r>
        <w:rPr>
          <w:rFonts w:cs="Times New Roman"/>
        </w:rPr>
        <w:t>、</w:t>
      </w:r>
      <w:r>
        <w:rPr>
          <w:rFonts w:cs="Times New Roman"/>
        </w:rPr>
        <w:t>CO</w:t>
      </w:r>
      <w:r>
        <w:rPr>
          <w:rFonts w:cs="Times New Roman"/>
        </w:rPr>
        <w:t>、</w:t>
      </w:r>
      <w:r>
        <w:rPr>
          <w:rFonts w:cs="Times New Roman"/>
        </w:rPr>
        <w:t>O</w:t>
      </w:r>
      <w:r>
        <w:rPr>
          <w:rFonts w:cs="Times New Roman"/>
          <w:vertAlign w:val="subscript"/>
        </w:rPr>
        <w:t>3</w:t>
      </w:r>
      <w:r>
        <w:rPr>
          <w:rFonts w:cs="Times New Roman"/>
        </w:rPr>
        <w:t>、</w:t>
      </w:r>
      <w:r>
        <w:rPr>
          <w:rFonts w:cs="Times New Roman"/>
        </w:rPr>
        <w:t>PM</w:t>
      </w:r>
      <w:r>
        <w:rPr>
          <w:rFonts w:cs="Times New Roman"/>
          <w:vertAlign w:val="subscript"/>
        </w:rPr>
        <w:t>10</w:t>
      </w:r>
      <w:r>
        <w:rPr>
          <w:rFonts w:cs="Times New Roman"/>
        </w:rPr>
        <w:t>、</w:t>
      </w:r>
      <w:r>
        <w:rPr>
          <w:rFonts w:cs="Times New Roman"/>
        </w:rPr>
        <w:t>PM</w:t>
      </w:r>
      <w:r>
        <w:rPr>
          <w:rFonts w:cs="Times New Roman"/>
          <w:vertAlign w:val="subscript"/>
        </w:rPr>
        <w:t>2.5</w:t>
      </w:r>
      <w:r>
        <w:rPr>
          <w:rFonts w:cs="Times New Roman"/>
        </w:rPr>
        <w:t>评价指标满足《环境空气质量标准》（</w:t>
      </w:r>
      <w:r>
        <w:rPr>
          <w:rFonts w:cs="Times New Roman"/>
        </w:rPr>
        <w:t>GB3095-2012</w:t>
      </w:r>
      <w:r>
        <w:rPr>
          <w:rFonts w:cs="Times New Roman"/>
        </w:rPr>
        <w:t>）及其</w:t>
      </w:r>
      <w:r>
        <w:rPr>
          <w:rFonts w:cs="Times New Roman"/>
        </w:rPr>
        <w:t>2018</w:t>
      </w:r>
      <w:r>
        <w:rPr>
          <w:rFonts w:cs="Times New Roman"/>
        </w:rPr>
        <w:t>年修改单</w:t>
      </w:r>
      <w:r>
        <w:rPr>
          <w:rFonts w:cs="Times New Roman" w:hint="eastAsia"/>
        </w:rPr>
        <w:t>中</w:t>
      </w:r>
      <w:r>
        <w:rPr>
          <w:rFonts w:cs="Times New Roman"/>
        </w:rPr>
        <w:t>二级标准</w:t>
      </w:r>
      <w:r>
        <w:rPr>
          <w:kern w:val="21"/>
          <w:lang w:bidi="ar"/>
        </w:rPr>
        <w:t>，项目</w:t>
      </w:r>
      <w:r>
        <w:rPr>
          <w:rFonts w:hint="eastAsia"/>
          <w:kern w:val="21"/>
        </w:rPr>
        <w:t>所在</w:t>
      </w:r>
      <w:r>
        <w:rPr>
          <w:kern w:val="21"/>
          <w:lang w:bidi="ar"/>
        </w:rPr>
        <w:t>区域为</w:t>
      </w:r>
      <w:r>
        <w:rPr>
          <w:b/>
          <w:bCs/>
          <w:kern w:val="21"/>
          <w:lang w:bidi="ar"/>
        </w:rPr>
        <w:t>达标区</w:t>
      </w:r>
      <w:r>
        <w:rPr>
          <w:kern w:val="21"/>
          <w:lang w:bidi="ar"/>
        </w:rPr>
        <w:t>。</w:t>
      </w:r>
    </w:p>
    <w:p w14:paraId="668BEC5E" w14:textId="77777777" w:rsidR="00544649" w:rsidRDefault="00000000">
      <w:pPr>
        <w:adjustRightInd w:val="0"/>
        <w:snapToGrid w:val="0"/>
        <w:spacing w:after="0"/>
        <w:ind w:firstLine="480"/>
        <w:rPr>
          <w:kern w:val="21"/>
          <w:lang w:bidi="ar"/>
        </w:rPr>
      </w:pPr>
      <w:r>
        <w:rPr>
          <w:rFonts w:hint="eastAsia"/>
          <w:kern w:val="21"/>
          <w:lang w:bidi="ar"/>
        </w:rPr>
        <w:t>本项目大气影响评价范围内</w:t>
      </w:r>
      <w:proofErr w:type="gramStart"/>
      <w:r>
        <w:rPr>
          <w:rFonts w:hint="eastAsia"/>
          <w:kern w:val="21"/>
          <w:lang w:bidi="ar"/>
        </w:rPr>
        <w:t>育雏场距离</w:t>
      </w:r>
      <w:proofErr w:type="gramEnd"/>
      <w:r>
        <w:rPr>
          <w:rFonts w:hint="eastAsia"/>
          <w:kern w:val="21"/>
          <w:lang w:bidi="ar"/>
        </w:rPr>
        <w:t>西侧“剑门蜀道国家级风景名胜区”最近距离为</w:t>
      </w:r>
      <w:r>
        <w:rPr>
          <w:rFonts w:hint="eastAsia"/>
          <w:kern w:val="21"/>
          <w:lang w:bidi="ar"/>
        </w:rPr>
        <w:t>1.34km</w:t>
      </w:r>
      <w:r>
        <w:rPr>
          <w:rFonts w:hint="eastAsia"/>
          <w:kern w:val="21"/>
          <w:lang w:bidi="ar"/>
        </w:rPr>
        <w:t>，</w:t>
      </w:r>
      <w:proofErr w:type="gramStart"/>
      <w:r>
        <w:rPr>
          <w:rFonts w:hint="eastAsia"/>
          <w:kern w:val="21"/>
          <w:lang w:bidi="ar"/>
        </w:rPr>
        <w:t>育雏场距离</w:t>
      </w:r>
      <w:proofErr w:type="gramEnd"/>
      <w:r>
        <w:rPr>
          <w:rFonts w:hint="eastAsia"/>
          <w:kern w:val="21"/>
          <w:lang w:bidi="ar"/>
        </w:rPr>
        <w:t>北侧“剑门关地质公园”最近距离为</w:t>
      </w:r>
      <w:r>
        <w:rPr>
          <w:rFonts w:hint="eastAsia"/>
          <w:kern w:val="21"/>
          <w:lang w:bidi="ar"/>
        </w:rPr>
        <w:t>2.36km</w:t>
      </w:r>
      <w:r>
        <w:rPr>
          <w:rFonts w:hint="eastAsia"/>
          <w:kern w:val="21"/>
          <w:lang w:bidi="ar"/>
        </w:rPr>
        <w:t>。该区域属于环境空气质量一类区。</w:t>
      </w:r>
    </w:p>
    <w:p w14:paraId="20F7C82A" w14:textId="77777777" w:rsidR="00544649" w:rsidRDefault="00000000">
      <w:pPr>
        <w:adjustRightInd w:val="0"/>
        <w:snapToGrid w:val="0"/>
        <w:spacing w:after="0"/>
        <w:ind w:firstLine="480"/>
        <w:rPr>
          <w:kern w:val="21"/>
          <w:lang w:bidi="ar"/>
        </w:rPr>
      </w:pPr>
      <w:r>
        <w:rPr>
          <w:rFonts w:hint="eastAsia"/>
          <w:kern w:val="21"/>
          <w:lang w:bidi="ar"/>
        </w:rPr>
        <w:t>根据《环境影响评价技术导则大气环境》（</w:t>
      </w:r>
      <w:r>
        <w:rPr>
          <w:rFonts w:hint="eastAsia"/>
          <w:kern w:val="21"/>
          <w:lang w:bidi="ar"/>
        </w:rPr>
        <w:t>HJ2.2-2018</w:t>
      </w:r>
      <w:r>
        <w:rPr>
          <w:rFonts w:hint="eastAsia"/>
          <w:kern w:val="21"/>
          <w:lang w:bidi="ar"/>
        </w:rPr>
        <w:t>）中环境空气质量现状调查基本污染物环境质量现状数据来源要求，“对于位于环境空气质量一类区的环境空气保护目标或网格点，各污染物环境质量现状浓度可取符合</w:t>
      </w:r>
      <w:r>
        <w:rPr>
          <w:rFonts w:hint="eastAsia"/>
          <w:kern w:val="21"/>
          <w:lang w:bidi="ar"/>
        </w:rPr>
        <w:t>HJ664</w:t>
      </w:r>
      <w:r>
        <w:rPr>
          <w:rFonts w:hint="eastAsia"/>
          <w:kern w:val="21"/>
          <w:lang w:bidi="ar"/>
        </w:rPr>
        <w:t>规定，并且与评价范围地理位置邻近，地形、气候条件相近的环境空气质量区域点或背景点监测数据。”本次评价引用环境质量监测报告《金剑园区规划环境影响评价质量现状监测》（</w:t>
      </w:r>
      <w:proofErr w:type="gramStart"/>
      <w:r>
        <w:rPr>
          <w:rFonts w:hint="eastAsia"/>
          <w:kern w:val="21"/>
          <w:lang w:bidi="ar"/>
        </w:rPr>
        <w:t>凯</w:t>
      </w:r>
      <w:proofErr w:type="gramEnd"/>
      <w:r>
        <w:rPr>
          <w:rFonts w:hint="eastAsia"/>
          <w:kern w:val="21"/>
          <w:lang w:bidi="ar"/>
        </w:rPr>
        <w:t>乐检字（</w:t>
      </w:r>
      <w:r>
        <w:rPr>
          <w:rFonts w:hint="eastAsia"/>
          <w:kern w:val="21"/>
          <w:lang w:bidi="ar"/>
        </w:rPr>
        <w:t>2023</w:t>
      </w:r>
      <w:r>
        <w:rPr>
          <w:rFonts w:hint="eastAsia"/>
          <w:kern w:val="21"/>
          <w:lang w:bidi="ar"/>
        </w:rPr>
        <w:t>）第</w:t>
      </w:r>
      <w:r>
        <w:rPr>
          <w:rFonts w:hint="eastAsia"/>
          <w:kern w:val="21"/>
          <w:lang w:bidi="ar"/>
        </w:rPr>
        <w:t>030004H</w:t>
      </w:r>
      <w:r>
        <w:rPr>
          <w:rFonts w:hint="eastAsia"/>
          <w:kern w:val="21"/>
          <w:lang w:bidi="ar"/>
        </w:rPr>
        <w:t>号），引用监测点位于本项目</w:t>
      </w:r>
      <w:proofErr w:type="gramStart"/>
      <w:r>
        <w:rPr>
          <w:rFonts w:hint="eastAsia"/>
          <w:kern w:val="21"/>
          <w:lang w:bidi="ar"/>
        </w:rPr>
        <w:t>蛋鸡场西南侧</w:t>
      </w:r>
      <w:proofErr w:type="gramEnd"/>
      <w:r>
        <w:rPr>
          <w:rFonts w:hint="eastAsia"/>
          <w:kern w:val="21"/>
          <w:lang w:bidi="ar"/>
        </w:rPr>
        <w:t>“剑门蜀道国家级风景名胜区”内，引用监测点的监测频次为：连续</w:t>
      </w:r>
      <w:r>
        <w:rPr>
          <w:rFonts w:hint="eastAsia"/>
          <w:kern w:val="21"/>
          <w:lang w:bidi="ar"/>
        </w:rPr>
        <w:t>7</w:t>
      </w:r>
      <w:r>
        <w:rPr>
          <w:rFonts w:hint="eastAsia"/>
          <w:kern w:val="21"/>
          <w:lang w:bidi="ar"/>
        </w:rPr>
        <w:t>天，监测时间为</w:t>
      </w:r>
      <w:r>
        <w:rPr>
          <w:rFonts w:hint="eastAsia"/>
          <w:kern w:val="21"/>
          <w:lang w:bidi="ar"/>
        </w:rPr>
        <w:t>2023</w:t>
      </w:r>
      <w:r>
        <w:rPr>
          <w:rFonts w:hint="eastAsia"/>
          <w:kern w:val="21"/>
          <w:lang w:bidi="ar"/>
        </w:rPr>
        <w:t>年</w:t>
      </w:r>
      <w:r>
        <w:rPr>
          <w:rFonts w:hint="eastAsia"/>
          <w:kern w:val="21"/>
          <w:lang w:bidi="ar"/>
        </w:rPr>
        <w:t>3</w:t>
      </w:r>
      <w:r>
        <w:rPr>
          <w:rFonts w:hint="eastAsia"/>
          <w:kern w:val="21"/>
          <w:lang w:bidi="ar"/>
        </w:rPr>
        <w:t>月</w:t>
      </w:r>
      <w:r>
        <w:rPr>
          <w:rFonts w:hint="eastAsia"/>
          <w:kern w:val="21"/>
          <w:lang w:bidi="ar"/>
        </w:rPr>
        <w:t>18</w:t>
      </w:r>
      <w:r>
        <w:rPr>
          <w:rFonts w:hint="eastAsia"/>
          <w:kern w:val="21"/>
          <w:lang w:bidi="ar"/>
        </w:rPr>
        <w:t>日～</w:t>
      </w:r>
      <w:r>
        <w:rPr>
          <w:rFonts w:hint="eastAsia"/>
          <w:kern w:val="21"/>
          <w:lang w:bidi="ar"/>
        </w:rPr>
        <w:t>2023</w:t>
      </w:r>
      <w:r>
        <w:rPr>
          <w:rFonts w:hint="eastAsia"/>
          <w:kern w:val="21"/>
          <w:lang w:bidi="ar"/>
        </w:rPr>
        <w:t>年</w:t>
      </w:r>
      <w:r>
        <w:rPr>
          <w:rFonts w:hint="eastAsia"/>
          <w:kern w:val="21"/>
          <w:lang w:bidi="ar"/>
        </w:rPr>
        <w:t>3</w:t>
      </w:r>
      <w:r>
        <w:rPr>
          <w:rFonts w:hint="eastAsia"/>
          <w:kern w:val="21"/>
          <w:lang w:bidi="ar"/>
        </w:rPr>
        <w:t>月</w:t>
      </w:r>
      <w:r>
        <w:rPr>
          <w:rFonts w:hint="eastAsia"/>
          <w:kern w:val="21"/>
          <w:lang w:bidi="ar"/>
        </w:rPr>
        <w:t>24</w:t>
      </w:r>
      <w:r>
        <w:rPr>
          <w:rFonts w:hint="eastAsia"/>
          <w:kern w:val="21"/>
          <w:lang w:bidi="ar"/>
        </w:rPr>
        <w:t>日。</w:t>
      </w:r>
    </w:p>
    <w:p w14:paraId="5CC6A9F4" w14:textId="77777777" w:rsidR="00544649" w:rsidRDefault="00000000">
      <w:pPr>
        <w:adjustRightInd w:val="0"/>
        <w:snapToGrid w:val="0"/>
        <w:spacing w:after="0"/>
        <w:ind w:firstLine="480"/>
        <w:rPr>
          <w:kern w:val="21"/>
          <w:lang w:bidi="ar"/>
        </w:rPr>
      </w:pPr>
      <w:r>
        <w:rPr>
          <w:rFonts w:hint="eastAsia"/>
          <w:kern w:val="21"/>
          <w:lang w:bidi="ar"/>
        </w:rPr>
        <w:t>引用环境空气质量监测数据见下表：</w:t>
      </w:r>
    </w:p>
    <w:p w14:paraId="4C72E668" w14:textId="77777777" w:rsidR="00544649" w:rsidRDefault="00000000">
      <w:pPr>
        <w:numPr>
          <w:ilvl w:val="0"/>
          <w:numId w:val="26"/>
        </w:numPr>
        <w:adjustRightInd w:val="0"/>
        <w:snapToGrid w:val="0"/>
        <w:spacing w:beforeLines="20" w:before="62" w:afterLines="20" w:after="62" w:line="240" w:lineRule="auto"/>
        <w:ind w:left="0" w:firstLineChars="0" w:firstLine="0"/>
        <w:jc w:val="center"/>
        <w:rPr>
          <w:rFonts w:cs="Times New Roman"/>
          <w:b/>
          <w:bCs/>
          <w:kern w:val="21"/>
          <w:sz w:val="21"/>
          <w:szCs w:val="21"/>
        </w:rPr>
      </w:pPr>
      <w:r>
        <w:rPr>
          <w:rFonts w:cs="Times New Roman"/>
          <w:b/>
          <w:bCs/>
          <w:kern w:val="21"/>
          <w:sz w:val="21"/>
          <w:szCs w:val="21"/>
        </w:rPr>
        <w:t>环境空气质量</w:t>
      </w:r>
      <w:r>
        <w:rPr>
          <w:rFonts w:cs="Times New Roman" w:hint="eastAsia"/>
          <w:b/>
          <w:bCs/>
          <w:kern w:val="21"/>
          <w:sz w:val="21"/>
          <w:szCs w:val="21"/>
        </w:rPr>
        <w:t>现状监测结果表</w:t>
      </w:r>
    </w:p>
    <w:tbl>
      <w:tblPr>
        <w:tblStyle w:val="111"/>
        <w:tblW w:w="906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9"/>
        <w:gridCol w:w="1343"/>
        <w:gridCol w:w="977"/>
        <w:gridCol w:w="975"/>
        <w:gridCol w:w="1067"/>
        <w:gridCol w:w="988"/>
        <w:gridCol w:w="953"/>
        <w:gridCol w:w="978"/>
        <w:gridCol w:w="960"/>
      </w:tblGrid>
      <w:tr w:rsidR="00544649" w14:paraId="5CAE7DE6" w14:textId="77777777">
        <w:trPr>
          <w:trHeight w:val="340"/>
          <w:jc w:val="center"/>
        </w:trPr>
        <w:tc>
          <w:tcPr>
            <w:tcW w:w="819" w:type="dxa"/>
            <w:vMerge w:val="restart"/>
          </w:tcPr>
          <w:p w14:paraId="6EFE0BC7" w14:textId="77777777" w:rsidR="00544649" w:rsidRDefault="00000000">
            <w:pPr>
              <w:topLinePunct/>
              <w:adjustRightInd w:val="0"/>
              <w:snapToGrid w:val="0"/>
              <w:spacing w:after="0" w:line="240" w:lineRule="auto"/>
              <w:ind w:firstLineChars="0" w:firstLine="0"/>
              <w:jc w:val="center"/>
              <w:rPr>
                <w:rFonts w:cs="Times New Roman"/>
                <w:b/>
                <w:sz w:val="21"/>
              </w:rPr>
            </w:pPr>
            <w:r>
              <w:rPr>
                <w:rFonts w:cs="Times New Roman"/>
                <w:b/>
                <w:sz w:val="21"/>
              </w:rPr>
              <w:t>监测点位</w:t>
            </w:r>
          </w:p>
        </w:tc>
        <w:tc>
          <w:tcPr>
            <w:tcW w:w="1343" w:type="dxa"/>
            <w:vMerge w:val="restart"/>
          </w:tcPr>
          <w:p w14:paraId="2316D5FE" w14:textId="77777777" w:rsidR="00544649" w:rsidRDefault="00000000">
            <w:pPr>
              <w:topLinePunct/>
              <w:adjustRightInd w:val="0"/>
              <w:snapToGrid w:val="0"/>
              <w:spacing w:after="0" w:line="240" w:lineRule="auto"/>
              <w:ind w:firstLineChars="0" w:firstLine="0"/>
              <w:jc w:val="center"/>
              <w:rPr>
                <w:rFonts w:cs="Times New Roman"/>
                <w:b/>
                <w:sz w:val="21"/>
              </w:rPr>
            </w:pPr>
            <w:r>
              <w:rPr>
                <w:rFonts w:cs="Times New Roman"/>
                <w:b/>
                <w:sz w:val="21"/>
              </w:rPr>
              <w:t>监测项目</w:t>
            </w:r>
          </w:p>
        </w:tc>
        <w:tc>
          <w:tcPr>
            <w:tcW w:w="6898" w:type="dxa"/>
            <w:gridSpan w:val="7"/>
          </w:tcPr>
          <w:p w14:paraId="3E1C3F20" w14:textId="77777777" w:rsidR="00544649" w:rsidRDefault="00000000">
            <w:pPr>
              <w:topLinePunct/>
              <w:adjustRightInd w:val="0"/>
              <w:snapToGrid w:val="0"/>
              <w:spacing w:after="0" w:line="240" w:lineRule="auto"/>
              <w:ind w:firstLineChars="0" w:firstLine="0"/>
              <w:jc w:val="center"/>
              <w:rPr>
                <w:rFonts w:cs="Times New Roman"/>
                <w:b/>
                <w:sz w:val="21"/>
              </w:rPr>
            </w:pPr>
            <w:r>
              <w:rPr>
                <w:rFonts w:cs="Times New Roman"/>
                <w:b/>
                <w:sz w:val="21"/>
              </w:rPr>
              <w:t>监测结果（</w:t>
            </w:r>
            <w:r>
              <w:rPr>
                <w:rFonts w:cs="Times New Roman"/>
                <w:b/>
                <w:sz w:val="21"/>
              </w:rPr>
              <w:t>202</w:t>
            </w:r>
            <w:r>
              <w:rPr>
                <w:rFonts w:cs="Times New Roman" w:hint="eastAsia"/>
                <w:b/>
                <w:sz w:val="21"/>
              </w:rPr>
              <w:t>3</w:t>
            </w:r>
            <w:r>
              <w:rPr>
                <w:rFonts w:cs="Times New Roman"/>
                <w:b/>
                <w:sz w:val="21"/>
              </w:rPr>
              <w:t>年）</w:t>
            </w:r>
          </w:p>
        </w:tc>
      </w:tr>
      <w:tr w:rsidR="00544649" w14:paraId="7A689CAB" w14:textId="77777777">
        <w:trPr>
          <w:trHeight w:val="340"/>
          <w:jc w:val="center"/>
        </w:trPr>
        <w:tc>
          <w:tcPr>
            <w:tcW w:w="819" w:type="dxa"/>
            <w:vMerge/>
          </w:tcPr>
          <w:p w14:paraId="2D20C124" w14:textId="77777777" w:rsidR="00544649" w:rsidRDefault="00544649">
            <w:pPr>
              <w:topLinePunct/>
              <w:adjustRightInd w:val="0"/>
              <w:snapToGrid w:val="0"/>
              <w:spacing w:after="0" w:line="240" w:lineRule="auto"/>
              <w:ind w:firstLineChars="0" w:firstLine="0"/>
              <w:jc w:val="center"/>
              <w:rPr>
                <w:rFonts w:cs="Times New Roman"/>
                <w:b/>
                <w:sz w:val="21"/>
              </w:rPr>
            </w:pPr>
          </w:p>
        </w:tc>
        <w:tc>
          <w:tcPr>
            <w:tcW w:w="1343" w:type="dxa"/>
            <w:vMerge/>
          </w:tcPr>
          <w:p w14:paraId="5C9E3AB9" w14:textId="77777777" w:rsidR="00544649" w:rsidRDefault="00544649">
            <w:pPr>
              <w:topLinePunct/>
              <w:adjustRightInd w:val="0"/>
              <w:snapToGrid w:val="0"/>
              <w:spacing w:after="0" w:line="240" w:lineRule="auto"/>
              <w:ind w:firstLineChars="0" w:firstLine="0"/>
              <w:jc w:val="center"/>
              <w:rPr>
                <w:rFonts w:cs="Times New Roman"/>
                <w:b/>
                <w:sz w:val="21"/>
              </w:rPr>
            </w:pPr>
          </w:p>
        </w:tc>
        <w:tc>
          <w:tcPr>
            <w:tcW w:w="977" w:type="dxa"/>
          </w:tcPr>
          <w:p w14:paraId="3D3FB156" w14:textId="77777777" w:rsidR="00544649" w:rsidRDefault="00000000">
            <w:pPr>
              <w:topLinePunct/>
              <w:adjustRightInd w:val="0"/>
              <w:snapToGrid w:val="0"/>
              <w:spacing w:after="0" w:line="240" w:lineRule="auto"/>
              <w:ind w:firstLineChars="0" w:firstLine="0"/>
              <w:jc w:val="center"/>
              <w:rPr>
                <w:rFonts w:cs="Times New Roman"/>
                <w:b/>
                <w:sz w:val="21"/>
              </w:rPr>
            </w:pPr>
            <w:r>
              <w:rPr>
                <w:rFonts w:cs="Times New Roman" w:hint="eastAsia"/>
                <w:b/>
                <w:sz w:val="21"/>
              </w:rPr>
              <w:t>3.18</w:t>
            </w:r>
          </w:p>
        </w:tc>
        <w:tc>
          <w:tcPr>
            <w:tcW w:w="975" w:type="dxa"/>
          </w:tcPr>
          <w:p w14:paraId="4F82F9D2" w14:textId="77777777" w:rsidR="00544649" w:rsidRDefault="00000000">
            <w:pPr>
              <w:topLinePunct/>
              <w:adjustRightInd w:val="0"/>
              <w:snapToGrid w:val="0"/>
              <w:spacing w:after="0" w:line="240" w:lineRule="auto"/>
              <w:ind w:firstLineChars="0" w:firstLine="0"/>
              <w:jc w:val="center"/>
              <w:rPr>
                <w:rFonts w:cs="Times New Roman"/>
                <w:b/>
                <w:sz w:val="21"/>
              </w:rPr>
            </w:pPr>
            <w:r>
              <w:rPr>
                <w:rFonts w:cs="Times New Roman" w:hint="eastAsia"/>
                <w:b/>
                <w:sz w:val="21"/>
              </w:rPr>
              <w:t>3.19</w:t>
            </w:r>
          </w:p>
        </w:tc>
        <w:tc>
          <w:tcPr>
            <w:tcW w:w="1067" w:type="dxa"/>
          </w:tcPr>
          <w:p w14:paraId="6EB6D55D" w14:textId="77777777" w:rsidR="00544649" w:rsidRDefault="00000000">
            <w:pPr>
              <w:topLinePunct/>
              <w:adjustRightInd w:val="0"/>
              <w:snapToGrid w:val="0"/>
              <w:spacing w:after="0" w:line="240" w:lineRule="auto"/>
              <w:ind w:firstLineChars="0" w:firstLine="0"/>
              <w:jc w:val="center"/>
              <w:rPr>
                <w:rFonts w:cs="Times New Roman"/>
                <w:b/>
                <w:sz w:val="21"/>
              </w:rPr>
            </w:pPr>
            <w:r>
              <w:rPr>
                <w:rFonts w:cs="Times New Roman" w:hint="eastAsia"/>
                <w:b/>
                <w:sz w:val="21"/>
              </w:rPr>
              <w:t>3.20</w:t>
            </w:r>
          </w:p>
        </w:tc>
        <w:tc>
          <w:tcPr>
            <w:tcW w:w="988" w:type="dxa"/>
          </w:tcPr>
          <w:p w14:paraId="77243616" w14:textId="77777777" w:rsidR="00544649" w:rsidRDefault="00000000">
            <w:pPr>
              <w:topLinePunct/>
              <w:adjustRightInd w:val="0"/>
              <w:snapToGrid w:val="0"/>
              <w:spacing w:after="0" w:line="240" w:lineRule="auto"/>
              <w:ind w:firstLineChars="0" w:firstLine="0"/>
              <w:jc w:val="center"/>
              <w:rPr>
                <w:rFonts w:cs="Times New Roman"/>
                <w:b/>
                <w:sz w:val="21"/>
              </w:rPr>
            </w:pPr>
            <w:r>
              <w:rPr>
                <w:rFonts w:cs="Times New Roman" w:hint="eastAsia"/>
                <w:b/>
                <w:sz w:val="21"/>
              </w:rPr>
              <w:t>3.21</w:t>
            </w:r>
          </w:p>
        </w:tc>
        <w:tc>
          <w:tcPr>
            <w:tcW w:w="953" w:type="dxa"/>
          </w:tcPr>
          <w:p w14:paraId="433BDA03" w14:textId="77777777" w:rsidR="00544649" w:rsidRDefault="00000000">
            <w:pPr>
              <w:topLinePunct/>
              <w:adjustRightInd w:val="0"/>
              <w:snapToGrid w:val="0"/>
              <w:spacing w:after="0" w:line="240" w:lineRule="auto"/>
              <w:ind w:firstLineChars="0" w:firstLine="0"/>
              <w:jc w:val="center"/>
              <w:rPr>
                <w:rFonts w:cs="Times New Roman"/>
                <w:b/>
                <w:sz w:val="21"/>
              </w:rPr>
            </w:pPr>
            <w:r>
              <w:rPr>
                <w:rFonts w:cs="Times New Roman" w:hint="eastAsia"/>
                <w:b/>
                <w:sz w:val="21"/>
              </w:rPr>
              <w:t>3.22</w:t>
            </w:r>
          </w:p>
        </w:tc>
        <w:tc>
          <w:tcPr>
            <w:tcW w:w="978" w:type="dxa"/>
          </w:tcPr>
          <w:p w14:paraId="6A276DD8" w14:textId="77777777" w:rsidR="00544649" w:rsidRDefault="00000000">
            <w:pPr>
              <w:topLinePunct/>
              <w:adjustRightInd w:val="0"/>
              <w:snapToGrid w:val="0"/>
              <w:spacing w:after="0" w:line="240" w:lineRule="auto"/>
              <w:ind w:firstLineChars="0" w:firstLine="0"/>
              <w:jc w:val="center"/>
              <w:rPr>
                <w:rFonts w:cs="Times New Roman"/>
                <w:b/>
                <w:sz w:val="21"/>
              </w:rPr>
            </w:pPr>
            <w:r>
              <w:rPr>
                <w:rFonts w:cs="Times New Roman" w:hint="eastAsia"/>
                <w:b/>
                <w:sz w:val="21"/>
              </w:rPr>
              <w:t>3.23</w:t>
            </w:r>
          </w:p>
        </w:tc>
        <w:tc>
          <w:tcPr>
            <w:tcW w:w="960" w:type="dxa"/>
          </w:tcPr>
          <w:p w14:paraId="05ADDF9F" w14:textId="77777777" w:rsidR="00544649" w:rsidRDefault="00000000">
            <w:pPr>
              <w:topLinePunct/>
              <w:adjustRightInd w:val="0"/>
              <w:snapToGrid w:val="0"/>
              <w:spacing w:after="0" w:line="240" w:lineRule="auto"/>
              <w:ind w:firstLineChars="0" w:firstLine="0"/>
              <w:jc w:val="center"/>
              <w:rPr>
                <w:rFonts w:cs="Times New Roman"/>
                <w:b/>
                <w:sz w:val="21"/>
              </w:rPr>
            </w:pPr>
            <w:r>
              <w:rPr>
                <w:rFonts w:cs="Times New Roman" w:hint="eastAsia"/>
                <w:b/>
                <w:sz w:val="21"/>
              </w:rPr>
              <w:t>3.24</w:t>
            </w:r>
          </w:p>
        </w:tc>
      </w:tr>
      <w:tr w:rsidR="00544649" w14:paraId="20C13CE1" w14:textId="77777777">
        <w:trPr>
          <w:trHeight w:val="340"/>
          <w:jc w:val="center"/>
        </w:trPr>
        <w:tc>
          <w:tcPr>
            <w:tcW w:w="819" w:type="dxa"/>
            <w:vMerge w:val="restart"/>
          </w:tcPr>
          <w:p w14:paraId="1A4F3805"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G3</w:t>
            </w:r>
          </w:p>
        </w:tc>
        <w:tc>
          <w:tcPr>
            <w:tcW w:w="1343" w:type="dxa"/>
          </w:tcPr>
          <w:p w14:paraId="6C24E0DE"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二氧化氮</w:t>
            </w:r>
            <w:r>
              <w:rPr>
                <w:rFonts w:cs="Times New Roman"/>
                <w:sz w:val="21"/>
              </w:rPr>
              <w:t>（</w:t>
            </w:r>
            <w:r>
              <w:rPr>
                <w:rFonts w:cs="Times New Roman"/>
                <w:sz w:val="21"/>
              </w:rPr>
              <w:t>mg/m</w:t>
            </w:r>
            <w:r>
              <w:rPr>
                <w:rFonts w:cs="Times New Roman"/>
                <w:sz w:val="21"/>
                <w:vertAlign w:val="superscript"/>
              </w:rPr>
              <w:t>3</w:t>
            </w:r>
            <w:r>
              <w:rPr>
                <w:rFonts w:cs="Times New Roman"/>
                <w:sz w:val="21"/>
              </w:rPr>
              <w:t>）</w:t>
            </w:r>
          </w:p>
        </w:tc>
        <w:tc>
          <w:tcPr>
            <w:tcW w:w="977" w:type="dxa"/>
          </w:tcPr>
          <w:p w14:paraId="5DD3A8AC"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0.021</w:t>
            </w:r>
          </w:p>
        </w:tc>
        <w:tc>
          <w:tcPr>
            <w:tcW w:w="975" w:type="dxa"/>
          </w:tcPr>
          <w:p w14:paraId="1BFAAA6D"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0.021</w:t>
            </w:r>
          </w:p>
        </w:tc>
        <w:tc>
          <w:tcPr>
            <w:tcW w:w="1067" w:type="dxa"/>
          </w:tcPr>
          <w:p w14:paraId="7A68C633"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0.024</w:t>
            </w:r>
          </w:p>
        </w:tc>
        <w:tc>
          <w:tcPr>
            <w:tcW w:w="988" w:type="dxa"/>
          </w:tcPr>
          <w:p w14:paraId="208891FC"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0.022</w:t>
            </w:r>
          </w:p>
        </w:tc>
        <w:tc>
          <w:tcPr>
            <w:tcW w:w="953" w:type="dxa"/>
          </w:tcPr>
          <w:p w14:paraId="325522FA"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0.023</w:t>
            </w:r>
          </w:p>
        </w:tc>
        <w:tc>
          <w:tcPr>
            <w:tcW w:w="978" w:type="dxa"/>
          </w:tcPr>
          <w:p w14:paraId="072B8DAA"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0.023</w:t>
            </w:r>
          </w:p>
        </w:tc>
        <w:tc>
          <w:tcPr>
            <w:tcW w:w="960" w:type="dxa"/>
          </w:tcPr>
          <w:p w14:paraId="2CE6791E"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0.021</w:t>
            </w:r>
          </w:p>
        </w:tc>
      </w:tr>
      <w:tr w:rsidR="00544649" w14:paraId="17CD59FA" w14:textId="77777777">
        <w:trPr>
          <w:trHeight w:val="340"/>
          <w:jc w:val="center"/>
        </w:trPr>
        <w:tc>
          <w:tcPr>
            <w:tcW w:w="819" w:type="dxa"/>
            <w:vMerge/>
          </w:tcPr>
          <w:p w14:paraId="30495A6E" w14:textId="77777777" w:rsidR="00544649" w:rsidRDefault="00544649">
            <w:pPr>
              <w:topLinePunct/>
              <w:adjustRightInd w:val="0"/>
              <w:snapToGrid w:val="0"/>
              <w:spacing w:after="0" w:line="240" w:lineRule="auto"/>
              <w:ind w:firstLineChars="0" w:firstLine="0"/>
              <w:jc w:val="center"/>
              <w:rPr>
                <w:rFonts w:cs="Times New Roman"/>
                <w:sz w:val="21"/>
              </w:rPr>
            </w:pPr>
          </w:p>
        </w:tc>
        <w:tc>
          <w:tcPr>
            <w:tcW w:w="1343" w:type="dxa"/>
          </w:tcPr>
          <w:p w14:paraId="091F0DDF"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二氧化硫</w:t>
            </w:r>
            <w:r>
              <w:rPr>
                <w:rFonts w:cs="Times New Roman"/>
                <w:sz w:val="21"/>
              </w:rPr>
              <w:t>（</w:t>
            </w:r>
            <w:r>
              <w:rPr>
                <w:rFonts w:cs="Times New Roman"/>
                <w:sz w:val="21"/>
              </w:rPr>
              <w:t>mg/m</w:t>
            </w:r>
            <w:r>
              <w:rPr>
                <w:rFonts w:cs="Times New Roman"/>
                <w:sz w:val="21"/>
                <w:vertAlign w:val="superscript"/>
              </w:rPr>
              <w:t>3</w:t>
            </w:r>
            <w:r>
              <w:rPr>
                <w:rFonts w:cs="Times New Roman"/>
                <w:sz w:val="21"/>
              </w:rPr>
              <w:t>）</w:t>
            </w:r>
          </w:p>
        </w:tc>
        <w:tc>
          <w:tcPr>
            <w:tcW w:w="977" w:type="dxa"/>
          </w:tcPr>
          <w:p w14:paraId="0763EAAC"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0.007</w:t>
            </w:r>
          </w:p>
        </w:tc>
        <w:tc>
          <w:tcPr>
            <w:tcW w:w="975" w:type="dxa"/>
          </w:tcPr>
          <w:p w14:paraId="1F2E86FA"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0.007</w:t>
            </w:r>
          </w:p>
        </w:tc>
        <w:tc>
          <w:tcPr>
            <w:tcW w:w="1067" w:type="dxa"/>
          </w:tcPr>
          <w:p w14:paraId="56FCEB07"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0.007</w:t>
            </w:r>
          </w:p>
        </w:tc>
        <w:tc>
          <w:tcPr>
            <w:tcW w:w="988" w:type="dxa"/>
          </w:tcPr>
          <w:p w14:paraId="3FD14CF3"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0.008</w:t>
            </w:r>
          </w:p>
        </w:tc>
        <w:tc>
          <w:tcPr>
            <w:tcW w:w="953" w:type="dxa"/>
          </w:tcPr>
          <w:p w14:paraId="5B81E536"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0.008</w:t>
            </w:r>
          </w:p>
        </w:tc>
        <w:tc>
          <w:tcPr>
            <w:tcW w:w="978" w:type="dxa"/>
          </w:tcPr>
          <w:p w14:paraId="214327C7"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0.008</w:t>
            </w:r>
          </w:p>
        </w:tc>
        <w:tc>
          <w:tcPr>
            <w:tcW w:w="960" w:type="dxa"/>
          </w:tcPr>
          <w:p w14:paraId="2859CAFF"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0.008</w:t>
            </w:r>
          </w:p>
        </w:tc>
      </w:tr>
      <w:tr w:rsidR="00544649" w14:paraId="3F6A5BDE" w14:textId="77777777">
        <w:trPr>
          <w:trHeight w:val="340"/>
          <w:jc w:val="center"/>
        </w:trPr>
        <w:tc>
          <w:tcPr>
            <w:tcW w:w="819" w:type="dxa"/>
            <w:vMerge/>
          </w:tcPr>
          <w:p w14:paraId="3C018E48" w14:textId="77777777" w:rsidR="00544649" w:rsidRDefault="00544649">
            <w:pPr>
              <w:topLinePunct/>
              <w:adjustRightInd w:val="0"/>
              <w:snapToGrid w:val="0"/>
              <w:spacing w:after="0" w:line="240" w:lineRule="auto"/>
              <w:ind w:firstLineChars="0" w:firstLine="0"/>
              <w:jc w:val="center"/>
              <w:rPr>
                <w:rFonts w:cs="Times New Roman"/>
                <w:sz w:val="21"/>
              </w:rPr>
            </w:pPr>
          </w:p>
        </w:tc>
        <w:tc>
          <w:tcPr>
            <w:tcW w:w="1343" w:type="dxa"/>
          </w:tcPr>
          <w:p w14:paraId="22BC3E6B"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一氧化碳</w:t>
            </w:r>
            <w:r>
              <w:rPr>
                <w:rFonts w:cs="Times New Roman"/>
                <w:sz w:val="21"/>
              </w:rPr>
              <w:t>（</w:t>
            </w:r>
            <w:r>
              <w:rPr>
                <w:rFonts w:cs="Times New Roman"/>
                <w:sz w:val="21"/>
              </w:rPr>
              <w:t>mg/m</w:t>
            </w:r>
            <w:r>
              <w:rPr>
                <w:rFonts w:cs="Times New Roman"/>
                <w:sz w:val="21"/>
                <w:vertAlign w:val="superscript"/>
              </w:rPr>
              <w:t>3</w:t>
            </w:r>
            <w:r>
              <w:rPr>
                <w:rFonts w:cs="Times New Roman"/>
                <w:sz w:val="21"/>
              </w:rPr>
              <w:t>）</w:t>
            </w:r>
          </w:p>
        </w:tc>
        <w:tc>
          <w:tcPr>
            <w:tcW w:w="977" w:type="dxa"/>
          </w:tcPr>
          <w:p w14:paraId="2AB355AE"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未检出</w:t>
            </w:r>
          </w:p>
        </w:tc>
        <w:tc>
          <w:tcPr>
            <w:tcW w:w="975" w:type="dxa"/>
          </w:tcPr>
          <w:p w14:paraId="3CEAC0A3"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未检出</w:t>
            </w:r>
          </w:p>
        </w:tc>
        <w:tc>
          <w:tcPr>
            <w:tcW w:w="1067" w:type="dxa"/>
          </w:tcPr>
          <w:p w14:paraId="14ED118C"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未检出</w:t>
            </w:r>
          </w:p>
        </w:tc>
        <w:tc>
          <w:tcPr>
            <w:tcW w:w="988" w:type="dxa"/>
          </w:tcPr>
          <w:p w14:paraId="65C6E3A6"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未检出</w:t>
            </w:r>
          </w:p>
        </w:tc>
        <w:tc>
          <w:tcPr>
            <w:tcW w:w="953" w:type="dxa"/>
          </w:tcPr>
          <w:p w14:paraId="1A185590"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未检出</w:t>
            </w:r>
          </w:p>
        </w:tc>
        <w:tc>
          <w:tcPr>
            <w:tcW w:w="978" w:type="dxa"/>
          </w:tcPr>
          <w:p w14:paraId="32972B43"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未检出</w:t>
            </w:r>
          </w:p>
        </w:tc>
        <w:tc>
          <w:tcPr>
            <w:tcW w:w="960" w:type="dxa"/>
          </w:tcPr>
          <w:p w14:paraId="6C637AC9"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未检出</w:t>
            </w:r>
          </w:p>
        </w:tc>
      </w:tr>
      <w:tr w:rsidR="00544649" w14:paraId="2536D9D6" w14:textId="77777777">
        <w:trPr>
          <w:trHeight w:val="340"/>
          <w:jc w:val="center"/>
        </w:trPr>
        <w:tc>
          <w:tcPr>
            <w:tcW w:w="819" w:type="dxa"/>
            <w:vMerge/>
          </w:tcPr>
          <w:p w14:paraId="6E532E62" w14:textId="77777777" w:rsidR="00544649" w:rsidRDefault="00544649">
            <w:pPr>
              <w:topLinePunct/>
              <w:adjustRightInd w:val="0"/>
              <w:snapToGrid w:val="0"/>
              <w:spacing w:after="0" w:line="240" w:lineRule="auto"/>
              <w:ind w:firstLineChars="0" w:firstLine="0"/>
              <w:jc w:val="center"/>
              <w:rPr>
                <w:rFonts w:cs="Times New Roman"/>
                <w:sz w:val="21"/>
              </w:rPr>
            </w:pPr>
          </w:p>
        </w:tc>
        <w:tc>
          <w:tcPr>
            <w:tcW w:w="1343" w:type="dxa"/>
          </w:tcPr>
          <w:p w14:paraId="08276489"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臭氧</w:t>
            </w:r>
            <w:r>
              <w:rPr>
                <w:rFonts w:cs="Times New Roman"/>
                <w:sz w:val="21"/>
              </w:rPr>
              <w:t>（</w:t>
            </w:r>
            <w:r>
              <w:rPr>
                <w:rFonts w:cs="Times New Roman"/>
                <w:sz w:val="21"/>
              </w:rPr>
              <w:t>mg/m</w:t>
            </w:r>
            <w:r>
              <w:rPr>
                <w:rFonts w:cs="Times New Roman"/>
                <w:sz w:val="21"/>
                <w:vertAlign w:val="superscript"/>
              </w:rPr>
              <w:t>3</w:t>
            </w:r>
            <w:r>
              <w:rPr>
                <w:rFonts w:cs="Times New Roman"/>
                <w:sz w:val="21"/>
              </w:rPr>
              <w:t>）</w:t>
            </w:r>
          </w:p>
        </w:tc>
        <w:tc>
          <w:tcPr>
            <w:tcW w:w="977" w:type="dxa"/>
          </w:tcPr>
          <w:p w14:paraId="6A4883DB"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0.084</w:t>
            </w:r>
          </w:p>
        </w:tc>
        <w:tc>
          <w:tcPr>
            <w:tcW w:w="975" w:type="dxa"/>
          </w:tcPr>
          <w:p w14:paraId="7AF74936"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0.083</w:t>
            </w:r>
          </w:p>
        </w:tc>
        <w:tc>
          <w:tcPr>
            <w:tcW w:w="1067" w:type="dxa"/>
          </w:tcPr>
          <w:p w14:paraId="7BC0A8F4"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0.081</w:t>
            </w:r>
          </w:p>
        </w:tc>
        <w:tc>
          <w:tcPr>
            <w:tcW w:w="988" w:type="dxa"/>
          </w:tcPr>
          <w:p w14:paraId="291EA116"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0.082</w:t>
            </w:r>
          </w:p>
        </w:tc>
        <w:tc>
          <w:tcPr>
            <w:tcW w:w="953" w:type="dxa"/>
          </w:tcPr>
          <w:p w14:paraId="171699FE"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0.082</w:t>
            </w:r>
          </w:p>
        </w:tc>
        <w:tc>
          <w:tcPr>
            <w:tcW w:w="978" w:type="dxa"/>
          </w:tcPr>
          <w:p w14:paraId="591E664F"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0.082</w:t>
            </w:r>
          </w:p>
        </w:tc>
        <w:tc>
          <w:tcPr>
            <w:tcW w:w="960" w:type="dxa"/>
          </w:tcPr>
          <w:p w14:paraId="7E47D803"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0.081</w:t>
            </w:r>
          </w:p>
        </w:tc>
      </w:tr>
      <w:tr w:rsidR="00544649" w14:paraId="1B4BFE03" w14:textId="77777777">
        <w:trPr>
          <w:trHeight w:val="340"/>
          <w:jc w:val="center"/>
        </w:trPr>
        <w:tc>
          <w:tcPr>
            <w:tcW w:w="819" w:type="dxa"/>
            <w:vMerge/>
          </w:tcPr>
          <w:p w14:paraId="444FAC33" w14:textId="77777777" w:rsidR="00544649" w:rsidRDefault="00544649">
            <w:pPr>
              <w:topLinePunct/>
              <w:adjustRightInd w:val="0"/>
              <w:snapToGrid w:val="0"/>
              <w:spacing w:after="0" w:line="240" w:lineRule="auto"/>
              <w:ind w:firstLineChars="0" w:firstLine="0"/>
              <w:jc w:val="center"/>
              <w:rPr>
                <w:rFonts w:cs="Times New Roman"/>
                <w:sz w:val="21"/>
              </w:rPr>
            </w:pPr>
          </w:p>
        </w:tc>
        <w:tc>
          <w:tcPr>
            <w:tcW w:w="1343" w:type="dxa"/>
          </w:tcPr>
          <w:p w14:paraId="3F8E08FA"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PM</w:t>
            </w:r>
            <w:r>
              <w:rPr>
                <w:rFonts w:cs="Times New Roman" w:hint="eastAsia"/>
                <w:sz w:val="21"/>
                <w:vertAlign w:val="subscript"/>
              </w:rPr>
              <w:t>10</w:t>
            </w:r>
            <w:r>
              <w:rPr>
                <w:rFonts w:cs="Times New Roman"/>
                <w:sz w:val="21"/>
              </w:rPr>
              <w:t>（</w:t>
            </w:r>
            <w:r>
              <w:rPr>
                <w:rFonts w:cs="Times New Roman"/>
                <w:sz w:val="21"/>
              </w:rPr>
              <w:t>mg/m</w:t>
            </w:r>
            <w:r>
              <w:rPr>
                <w:rFonts w:cs="Times New Roman"/>
                <w:sz w:val="21"/>
                <w:vertAlign w:val="superscript"/>
              </w:rPr>
              <w:t>3</w:t>
            </w:r>
            <w:r>
              <w:rPr>
                <w:rFonts w:cs="Times New Roman"/>
                <w:sz w:val="21"/>
              </w:rPr>
              <w:t>）</w:t>
            </w:r>
          </w:p>
        </w:tc>
        <w:tc>
          <w:tcPr>
            <w:tcW w:w="977" w:type="dxa"/>
          </w:tcPr>
          <w:p w14:paraId="46FB409A"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0.035</w:t>
            </w:r>
          </w:p>
        </w:tc>
        <w:tc>
          <w:tcPr>
            <w:tcW w:w="975" w:type="dxa"/>
          </w:tcPr>
          <w:p w14:paraId="2FEA2F5C"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0.034</w:t>
            </w:r>
          </w:p>
        </w:tc>
        <w:tc>
          <w:tcPr>
            <w:tcW w:w="1067" w:type="dxa"/>
          </w:tcPr>
          <w:p w14:paraId="4627A6FA"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0.032</w:t>
            </w:r>
          </w:p>
        </w:tc>
        <w:tc>
          <w:tcPr>
            <w:tcW w:w="988" w:type="dxa"/>
          </w:tcPr>
          <w:p w14:paraId="7A3D9464"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0.033</w:t>
            </w:r>
          </w:p>
        </w:tc>
        <w:tc>
          <w:tcPr>
            <w:tcW w:w="953" w:type="dxa"/>
          </w:tcPr>
          <w:p w14:paraId="2772BCC9"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0.034</w:t>
            </w:r>
          </w:p>
        </w:tc>
        <w:tc>
          <w:tcPr>
            <w:tcW w:w="978" w:type="dxa"/>
          </w:tcPr>
          <w:p w14:paraId="77C1399E"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0.038</w:t>
            </w:r>
          </w:p>
        </w:tc>
        <w:tc>
          <w:tcPr>
            <w:tcW w:w="960" w:type="dxa"/>
          </w:tcPr>
          <w:p w14:paraId="4ACC50FE"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0.035</w:t>
            </w:r>
          </w:p>
        </w:tc>
      </w:tr>
      <w:tr w:rsidR="00544649" w14:paraId="6328CC40" w14:textId="77777777">
        <w:trPr>
          <w:trHeight w:val="340"/>
          <w:jc w:val="center"/>
        </w:trPr>
        <w:tc>
          <w:tcPr>
            <w:tcW w:w="819" w:type="dxa"/>
            <w:vMerge/>
          </w:tcPr>
          <w:p w14:paraId="4D5C757B" w14:textId="77777777" w:rsidR="00544649" w:rsidRDefault="00544649">
            <w:pPr>
              <w:topLinePunct/>
              <w:adjustRightInd w:val="0"/>
              <w:snapToGrid w:val="0"/>
              <w:spacing w:after="0" w:line="240" w:lineRule="auto"/>
              <w:ind w:firstLineChars="0" w:firstLine="0"/>
              <w:jc w:val="center"/>
              <w:rPr>
                <w:rFonts w:cs="Times New Roman"/>
                <w:sz w:val="21"/>
              </w:rPr>
            </w:pPr>
          </w:p>
        </w:tc>
        <w:tc>
          <w:tcPr>
            <w:tcW w:w="1343" w:type="dxa"/>
          </w:tcPr>
          <w:p w14:paraId="6F13D8F5"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PM</w:t>
            </w:r>
            <w:r>
              <w:rPr>
                <w:rFonts w:cs="Times New Roman" w:hint="eastAsia"/>
                <w:sz w:val="21"/>
                <w:vertAlign w:val="subscript"/>
              </w:rPr>
              <w:t>2.5</w:t>
            </w:r>
            <w:r>
              <w:rPr>
                <w:rFonts w:cs="Times New Roman"/>
                <w:sz w:val="21"/>
              </w:rPr>
              <w:t>（</w:t>
            </w:r>
            <w:r>
              <w:rPr>
                <w:rFonts w:cs="Times New Roman"/>
                <w:sz w:val="21"/>
              </w:rPr>
              <w:t>mg/m</w:t>
            </w:r>
            <w:r>
              <w:rPr>
                <w:rFonts w:cs="Times New Roman"/>
                <w:sz w:val="21"/>
                <w:vertAlign w:val="superscript"/>
              </w:rPr>
              <w:t>3</w:t>
            </w:r>
            <w:r>
              <w:rPr>
                <w:rFonts w:cs="Times New Roman"/>
                <w:sz w:val="21"/>
              </w:rPr>
              <w:t>）</w:t>
            </w:r>
          </w:p>
        </w:tc>
        <w:tc>
          <w:tcPr>
            <w:tcW w:w="977" w:type="dxa"/>
          </w:tcPr>
          <w:p w14:paraId="677710B5"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0.027</w:t>
            </w:r>
          </w:p>
        </w:tc>
        <w:tc>
          <w:tcPr>
            <w:tcW w:w="975" w:type="dxa"/>
          </w:tcPr>
          <w:p w14:paraId="5DC8EA8F"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0.027</w:t>
            </w:r>
          </w:p>
        </w:tc>
        <w:tc>
          <w:tcPr>
            <w:tcW w:w="1067" w:type="dxa"/>
          </w:tcPr>
          <w:p w14:paraId="7FDB64FC"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0.022</w:t>
            </w:r>
          </w:p>
        </w:tc>
        <w:tc>
          <w:tcPr>
            <w:tcW w:w="988" w:type="dxa"/>
          </w:tcPr>
          <w:p w14:paraId="1EBE0D1D"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0.024</w:t>
            </w:r>
          </w:p>
        </w:tc>
        <w:tc>
          <w:tcPr>
            <w:tcW w:w="953" w:type="dxa"/>
          </w:tcPr>
          <w:p w14:paraId="7C09C4DC"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0.027</w:t>
            </w:r>
          </w:p>
        </w:tc>
        <w:tc>
          <w:tcPr>
            <w:tcW w:w="978" w:type="dxa"/>
          </w:tcPr>
          <w:p w14:paraId="1DD21606"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0.026</w:t>
            </w:r>
          </w:p>
        </w:tc>
        <w:tc>
          <w:tcPr>
            <w:tcW w:w="960" w:type="dxa"/>
          </w:tcPr>
          <w:p w14:paraId="1FA39F73" w14:textId="77777777" w:rsidR="00544649" w:rsidRDefault="00000000">
            <w:pPr>
              <w:topLinePunct/>
              <w:adjustRightInd w:val="0"/>
              <w:snapToGrid w:val="0"/>
              <w:spacing w:after="0" w:line="240" w:lineRule="auto"/>
              <w:ind w:firstLineChars="0" w:firstLine="0"/>
              <w:jc w:val="center"/>
              <w:rPr>
                <w:rFonts w:cs="Times New Roman"/>
                <w:sz w:val="21"/>
              </w:rPr>
            </w:pPr>
            <w:r>
              <w:rPr>
                <w:rFonts w:cs="Times New Roman" w:hint="eastAsia"/>
                <w:sz w:val="21"/>
              </w:rPr>
              <w:t>0.024</w:t>
            </w:r>
          </w:p>
        </w:tc>
      </w:tr>
    </w:tbl>
    <w:p w14:paraId="2F30AC69" w14:textId="77777777" w:rsidR="00544649" w:rsidRDefault="00000000">
      <w:pPr>
        <w:adjustRightInd w:val="0"/>
        <w:snapToGrid w:val="0"/>
        <w:spacing w:after="0"/>
        <w:ind w:firstLine="480"/>
      </w:pPr>
      <w:r>
        <w:rPr>
          <w:rFonts w:hint="eastAsia"/>
        </w:rPr>
        <w:t>本项目环境质量现状评价见下表：</w:t>
      </w:r>
    </w:p>
    <w:p w14:paraId="795306F7" w14:textId="77777777" w:rsidR="00544649" w:rsidRDefault="00000000">
      <w:pPr>
        <w:numPr>
          <w:ilvl w:val="0"/>
          <w:numId w:val="26"/>
        </w:numPr>
        <w:adjustRightInd w:val="0"/>
        <w:snapToGrid w:val="0"/>
        <w:spacing w:beforeLines="20" w:before="62" w:afterLines="20" w:after="62" w:line="240" w:lineRule="auto"/>
        <w:ind w:left="0" w:firstLineChars="0" w:firstLine="0"/>
        <w:jc w:val="center"/>
        <w:rPr>
          <w:rFonts w:cs="Times New Roman"/>
          <w:b/>
          <w:bCs/>
          <w:kern w:val="21"/>
          <w:sz w:val="21"/>
          <w:szCs w:val="21"/>
        </w:rPr>
      </w:pPr>
      <w:r>
        <w:rPr>
          <w:rFonts w:cs="Times New Roman"/>
          <w:b/>
          <w:bCs/>
          <w:kern w:val="21"/>
          <w:sz w:val="21"/>
          <w:szCs w:val="21"/>
        </w:rPr>
        <w:t>环境空气质量</w:t>
      </w:r>
      <w:r>
        <w:rPr>
          <w:rFonts w:cs="Times New Roman" w:hint="eastAsia"/>
          <w:b/>
          <w:bCs/>
          <w:kern w:val="21"/>
          <w:sz w:val="21"/>
          <w:szCs w:val="21"/>
        </w:rPr>
        <w:t>现状评价表</w:t>
      </w:r>
    </w:p>
    <w:tbl>
      <w:tblPr>
        <w:tblStyle w:val="afc"/>
        <w:tblW w:w="9060" w:type="dxa"/>
        <w:jc w:val="center"/>
        <w:tblLayout w:type="fixed"/>
        <w:tblLook w:val="04A0" w:firstRow="1" w:lastRow="0" w:firstColumn="1" w:lastColumn="0" w:noHBand="0" w:noVBand="1"/>
      </w:tblPr>
      <w:tblGrid>
        <w:gridCol w:w="665"/>
        <w:gridCol w:w="1075"/>
        <w:gridCol w:w="1161"/>
        <w:gridCol w:w="1602"/>
        <w:gridCol w:w="1598"/>
        <w:gridCol w:w="1180"/>
        <w:gridCol w:w="978"/>
        <w:gridCol w:w="801"/>
      </w:tblGrid>
      <w:tr w:rsidR="00544649" w14:paraId="5E8D3F6D" w14:textId="77777777">
        <w:trPr>
          <w:trHeight w:val="90"/>
          <w:tblHeader/>
          <w:jc w:val="center"/>
        </w:trPr>
        <w:tc>
          <w:tcPr>
            <w:tcW w:w="665" w:type="dxa"/>
            <w:vAlign w:val="center"/>
          </w:tcPr>
          <w:p w14:paraId="013F353C" w14:textId="77777777" w:rsidR="00544649" w:rsidRDefault="00000000">
            <w:pPr>
              <w:pStyle w:val="affb"/>
              <w:widowControl/>
              <w:adjustRightInd w:val="0"/>
              <w:snapToGrid w:val="0"/>
              <w:spacing w:beforeLines="20" w:before="62" w:afterLines="20" w:after="62"/>
              <w:rPr>
                <w:rFonts w:cs="Times New Roman"/>
                <w:color w:val="auto"/>
                <w:kern w:val="21"/>
              </w:rPr>
            </w:pPr>
            <w:r>
              <w:rPr>
                <w:rFonts w:cs="Times New Roman"/>
                <w:color w:val="auto"/>
                <w:kern w:val="21"/>
              </w:rPr>
              <w:t>点位编号</w:t>
            </w:r>
          </w:p>
        </w:tc>
        <w:tc>
          <w:tcPr>
            <w:tcW w:w="1075" w:type="dxa"/>
            <w:vAlign w:val="center"/>
          </w:tcPr>
          <w:p w14:paraId="70E9E9E1" w14:textId="77777777" w:rsidR="00544649" w:rsidRDefault="00000000">
            <w:pPr>
              <w:pStyle w:val="affb"/>
              <w:widowControl/>
              <w:adjustRightInd w:val="0"/>
              <w:snapToGrid w:val="0"/>
              <w:spacing w:beforeLines="20" w:before="62" w:afterLines="20" w:after="62"/>
              <w:rPr>
                <w:rFonts w:cs="Times New Roman"/>
                <w:color w:val="auto"/>
                <w:kern w:val="21"/>
              </w:rPr>
            </w:pPr>
            <w:r>
              <w:rPr>
                <w:rFonts w:cs="Times New Roman"/>
                <w:color w:val="auto"/>
                <w:kern w:val="21"/>
              </w:rPr>
              <w:t>污染物</w:t>
            </w:r>
          </w:p>
        </w:tc>
        <w:tc>
          <w:tcPr>
            <w:tcW w:w="1161" w:type="dxa"/>
            <w:vAlign w:val="center"/>
          </w:tcPr>
          <w:p w14:paraId="58BE4796" w14:textId="77777777" w:rsidR="00544649" w:rsidRDefault="00000000">
            <w:pPr>
              <w:pStyle w:val="affb"/>
              <w:widowControl/>
              <w:adjustRightInd w:val="0"/>
              <w:snapToGrid w:val="0"/>
              <w:spacing w:beforeLines="20" w:before="62" w:afterLines="20" w:after="62"/>
              <w:rPr>
                <w:rFonts w:cs="Times New Roman"/>
                <w:color w:val="auto"/>
                <w:kern w:val="21"/>
              </w:rPr>
            </w:pPr>
            <w:r>
              <w:rPr>
                <w:rFonts w:cs="Times New Roman"/>
                <w:color w:val="auto"/>
                <w:kern w:val="21"/>
              </w:rPr>
              <w:t>平均时间</w:t>
            </w:r>
          </w:p>
        </w:tc>
        <w:tc>
          <w:tcPr>
            <w:tcW w:w="1602" w:type="dxa"/>
            <w:vAlign w:val="center"/>
          </w:tcPr>
          <w:p w14:paraId="16CD2B9F" w14:textId="77777777" w:rsidR="00544649" w:rsidRDefault="00000000">
            <w:pPr>
              <w:pStyle w:val="affb"/>
              <w:widowControl/>
              <w:adjustRightInd w:val="0"/>
              <w:snapToGrid w:val="0"/>
              <w:spacing w:beforeLines="20" w:before="62" w:afterLines="20" w:after="62"/>
              <w:rPr>
                <w:rFonts w:cs="Times New Roman"/>
                <w:color w:val="auto"/>
                <w:kern w:val="21"/>
              </w:rPr>
            </w:pPr>
            <w:r>
              <w:rPr>
                <w:rFonts w:cs="Times New Roman" w:hint="eastAsia"/>
                <w:color w:val="auto"/>
                <w:kern w:val="21"/>
              </w:rPr>
              <w:t>一级</w:t>
            </w:r>
            <w:r>
              <w:rPr>
                <w:rFonts w:cs="Times New Roman"/>
                <w:color w:val="auto"/>
                <w:kern w:val="21"/>
              </w:rPr>
              <w:t>评价标准（</w:t>
            </w:r>
            <w:r>
              <w:rPr>
                <w:rFonts w:cs="Times New Roman"/>
                <w:color w:val="auto"/>
                <w:kern w:val="21"/>
              </w:rPr>
              <w:t>mg/m</w:t>
            </w:r>
            <w:r>
              <w:rPr>
                <w:rFonts w:cs="Times New Roman"/>
                <w:color w:val="auto"/>
                <w:kern w:val="21"/>
                <w:vertAlign w:val="superscript"/>
              </w:rPr>
              <w:t>3</w:t>
            </w:r>
            <w:r>
              <w:rPr>
                <w:rFonts w:cs="Times New Roman"/>
                <w:color w:val="auto"/>
                <w:kern w:val="21"/>
              </w:rPr>
              <w:t>）</w:t>
            </w:r>
          </w:p>
        </w:tc>
        <w:tc>
          <w:tcPr>
            <w:tcW w:w="1598" w:type="dxa"/>
            <w:vAlign w:val="center"/>
          </w:tcPr>
          <w:p w14:paraId="580F3C57" w14:textId="77777777" w:rsidR="00544649" w:rsidRDefault="00000000">
            <w:pPr>
              <w:pStyle w:val="affb"/>
              <w:widowControl/>
              <w:adjustRightInd w:val="0"/>
              <w:snapToGrid w:val="0"/>
              <w:spacing w:beforeLines="20" w:before="62" w:afterLines="20" w:after="62"/>
              <w:rPr>
                <w:rFonts w:cs="Times New Roman"/>
                <w:color w:val="auto"/>
                <w:kern w:val="21"/>
              </w:rPr>
            </w:pPr>
            <w:r>
              <w:rPr>
                <w:rFonts w:cs="Times New Roman"/>
                <w:color w:val="auto"/>
                <w:kern w:val="21"/>
              </w:rPr>
              <w:t>监测浓度范围</w:t>
            </w:r>
          </w:p>
        </w:tc>
        <w:tc>
          <w:tcPr>
            <w:tcW w:w="1180" w:type="dxa"/>
            <w:vAlign w:val="center"/>
          </w:tcPr>
          <w:p w14:paraId="5B8ABDAE" w14:textId="77777777" w:rsidR="00544649" w:rsidRDefault="00000000">
            <w:pPr>
              <w:pStyle w:val="affb"/>
              <w:widowControl/>
              <w:adjustRightInd w:val="0"/>
              <w:snapToGrid w:val="0"/>
              <w:spacing w:beforeLines="20" w:before="62" w:afterLines="20" w:after="62"/>
              <w:rPr>
                <w:rFonts w:cs="Times New Roman"/>
                <w:color w:val="auto"/>
                <w:kern w:val="21"/>
              </w:rPr>
            </w:pPr>
            <w:r>
              <w:rPr>
                <w:rFonts w:cs="Times New Roman"/>
                <w:color w:val="auto"/>
                <w:kern w:val="21"/>
              </w:rPr>
              <w:t>最大浓度占标率</w:t>
            </w:r>
            <w:r>
              <w:rPr>
                <w:rFonts w:cs="Times New Roman"/>
                <w:color w:val="auto"/>
                <w:kern w:val="21"/>
              </w:rPr>
              <w:t>/%</w:t>
            </w:r>
          </w:p>
        </w:tc>
        <w:tc>
          <w:tcPr>
            <w:tcW w:w="978" w:type="dxa"/>
            <w:vAlign w:val="center"/>
          </w:tcPr>
          <w:p w14:paraId="749BA183" w14:textId="77777777" w:rsidR="00544649" w:rsidRDefault="00000000">
            <w:pPr>
              <w:pStyle w:val="affb"/>
              <w:widowControl/>
              <w:adjustRightInd w:val="0"/>
              <w:snapToGrid w:val="0"/>
              <w:spacing w:beforeLines="20" w:before="62" w:afterLines="20" w:after="62"/>
              <w:rPr>
                <w:rFonts w:cs="Times New Roman"/>
                <w:color w:val="auto"/>
                <w:kern w:val="21"/>
              </w:rPr>
            </w:pPr>
            <w:r>
              <w:rPr>
                <w:rFonts w:cs="Times New Roman"/>
                <w:color w:val="auto"/>
                <w:kern w:val="21"/>
              </w:rPr>
              <w:t>超标率</w:t>
            </w:r>
            <w:r>
              <w:rPr>
                <w:rFonts w:cs="Times New Roman"/>
                <w:color w:val="auto"/>
                <w:kern w:val="21"/>
              </w:rPr>
              <w:t>/%</w:t>
            </w:r>
          </w:p>
        </w:tc>
        <w:tc>
          <w:tcPr>
            <w:tcW w:w="801" w:type="dxa"/>
            <w:vAlign w:val="center"/>
          </w:tcPr>
          <w:p w14:paraId="11900E9C" w14:textId="77777777" w:rsidR="00544649" w:rsidRDefault="00000000">
            <w:pPr>
              <w:pStyle w:val="affb"/>
              <w:widowControl/>
              <w:adjustRightInd w:val="0"/>
              <w:snapToGrid w:val="0"/>
              <w:spacing w:beforeLines="20" w:before="62" w:afterLines="20" w:after="62"/>
              <w:rPr>
                <w:rFonts w:cs="Times New Roman"/>
                <w:color w:val="auto"/>
                <w:kern w:val="21"/>
              </w:rPr>
            </w:pPr>
            <w:r>
              <w:rPr>
                <w:rFonts w:cs="Times New Roman"/>
                <w:color w:val="auto"/>
                <w:kern w:val="21"/>
              </w:rPr>
              <w:t>达标情况</w:t>
            </w:r>
          </w:p>
        </w:tc>
      </w:tr>
      <w:tr w:rsidR="00544649" w14:paraId="4F201067" w14:textId="77777777">
        <w:trPr>
          <w:jc w:val="center"/>
        </w:trPr>
        <w:tc>
          <w:tcPr>
            <w:tcW w:w="665" w:type="dxa"/>
            <w:vMerge w:val="restart"/>
            <w:vAlign w:val="center"/>
          </w:tcPr>
          <w:p w14:paraId="6BC720BF" w14:textId="77777777" w:rsidR="00544649" w:rsidRDefault="00000000">
            <w:pPr>
              <w:pStyle w:val="aff7"/>
              <w:widowControl/>
              <w:adjustRightInd w:val="0"/>
              <w:snapToGrid w:val="0"/>
              <w:spacing w:before="62" w:after="62"/>
              <w:rPr>
                <w:rFonts w:cs="Times New Roman"/>
                <w:kern w:val="21"/>
                <w:szCs w:val="21"/>
              </w:rPr>
            </w:pPr>
            <w:r>
              <w:rPr>
                <w:rFonts w:cs="Times New Roman"/>
                <w:b/>
                <w:bCs/>
                <w:kern w:val="0"/>
                <w:szCs w:val="21"/>
              </w:rPr>
              <w:t>G</w:t>
            </w:r>
            <w:r>
              <w:rPr>
                <w:rFonts w:cs="Times New Roman" w:hint="eastAsia"/>
                <w:b/>
                <w:bCs/>
                <w:kern w:val="0"/>
                <w:szCs w:val="21"/>
              </w:rPr>
              <w:t>3</w:t>
            </w:r>
          </w:p>
        </w:tc>
        <w:tc>
          <w:tcPr>
            <w:tcW w:w="1075" w:type="dxa"/>
            <w:vAlign w:val="center"/>
          </w:tcPr>
          <w:p w14:paraId="51402BA8"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sz w:val="21"/>
                <w:szCs w:val="21"/>
              </w:rPr>
              <w:t>二氧化氮</w:t>
            </w:r>
          </w:p>
        </w:tc>
        <w:tc>
          <w:tcPr>
            <w:tcW w:w="1161" w:type="dxa"/>
            <w:vAlign w:val="center"/>
          </w:tcPr>
          <w:p w14:paraId="25D7B801"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hint="eastAsia"/>
                <w:b w:val="0"/>
                <w:bCs/>
                <w:color w:val="auto"/>
                <w:kern w:val="21"/>
              </w:rPr>
              <w:t>24h</w:t>
            </w:r>
          </w:p>
        </w:tc>
        <w:tc>
          <w:tcPr>
            <w:tcW w:w="1602" w:type="dxa"/>
            <w:vAlign w:val="center"/>
          </w:tcPr>
          <w:p w14:paraId="5FBACE63" w14:textId="77777777" w:rsidR="00544649" w:rsidRDefault="00000000">
            <w:pPr>
              <w:pStyle w:val="aff7"/>
              <w:widowControl/>
              <w:adjustRightInd w:val="0"/>
              <w:snapToGrid w:val="0"/>
              <w:spacing w:before="62" w:after="62"/>
              <w:rPr>
                <w:rFonts w:cs="Times New Roman"/>
                <w:kern w:val="21"/>
                <w:szCs w:val="21"/>
              </w:rPr>
            </w:pPr>
            <w:r>
              <w:rPr>
                <w:rFonts w:cs="Times New Roman" w:hint="eastAsia"/>
                <w:kern w:val="21"/>
                <w:szCs w:val="21"/>
              </w:rPr>
              <w:t>0.08</w:t>
            </w:r>
          </w:p>
        </w:tc>
        <w:tc>
          <w:tcPr>
            <w:tcW w:w="1598" w:type="dxa"/>
            <w:vAlign w:val="center"/>
          </w:tcPr>
          <w:p w14:paraId="1C8C8582" w14:textId="77777777" w:rsidR="00544649" w:rsidRDefault="00000000">
            <w:pPr>
              <w:pStyle w:val="aff7"/>
              <w:widowControl/>
              <w:adjustRightInd w:val="0"/>
              <w:snapToGrid w:val="0"/>
              <w:spacing w:before="62" w:after="62"/>
              <w:rPr>
                <w:rFonts w:cs="Times New Roman"/>
                <w:kern w:val="21"/>
                <w:szCs w:val="21"/>
              </w:rPr>
            </w:pPr>
            <w:r>
              <w:rPr>
                <w:rFonts w:cs="Times New Roman"/>
                <w:kern w:val="21"/>
                <w:szCs w:val="21"/>
              </w:rPr>
              <w:t>0.02</w:t>
            </w:r>
            <w:r>
              <w:rPr>
                <w:rFonts w:cs="Times New Roman" w:hint="eastAsia"/>
                <w:kern w:val="21"/>
                <w:szCs w:val="21"/>
              </w:rPr>
              <w:t>1</w:t>
            </w:r>
            <w:r>
              <w:rPr>
                <w:rFonts w:cs="Times New Roman"/>
                <w:kern w:val="21"/>
                <w:szCs w:val="21"/>
              </w:rPr>
              <w:t>~0.0</w:t>
            </w:r>
            <w:r>
              <w:rPr>
                <w:rFonts w:cs="Times New Roman" w:hint="eastAsia"/>
                <w:kern w:val="21"/>
                <w:szCs w:val="21"/>
              </w:rPr>
              <w:t>24</w:t>
            </w:r>
          </w:p>
        </w:tc>
        <w:tc>
          <w:tcPr>
            <w:tcW w:w="1180" w:type="dxa"/>
            <w:vAlign w:val="center"/>
          </w:tcPr>
          <w:p w14:paraId="55EA8206"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hint="eastAsia"/>
                <w:b w:val="0"/>
                <w:bCs/>
                <w:color w:val="auto"/>
                <w:kern w:val="21"/>
              </w:rPr>
              <w:t>0.3</w:t>
            </w:r>
          </w:p>
        </w:tc>
        <w:tc>
          <w:tcPr>
            <w:tcW w:w="978" w:type="dxa"/>
            <w:vAlign w:val="center"/>
          </w:tcPr>
          <w:p w14:paraId="208B0A0E"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b w:val="0"/>
                <w:bCs/>
                <w:color w:val="auto"/>
                <w:kern w:val="21"/>
              </w:rPr>
              <w:t>0</w:t>
            </w:r>
          </w:p>
        </w:tc>
        <w:tc>
          <w:tcPr>
            <w:tcW w:w="801" w:type="dxa"/>
            <w:vAlign w:val="center"/>
          </w:tcPr>
          <w:p w14:paraId="110D87D1"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b w:val="0"/>
                <w:bCs/>
                <w:color w:val="auto"/>
                <w:kern w:val="21"/>
              </w:rPr>
              <w:t>达标</w:t>
            </w:r>
          </w:p>
        </w:tc>
      </w:tr>
      <w:tr w:rsidR="00544649" w14:paraId="3976E8DC" w14:textId="77777777">
        <w:trPr>
          <w:jc w:val="center"/>
        </w:trPr>
        <w:tc>
          <w:tcPr>
            <w:tcW w:w="665" w:type="dxa"/>
            <w:vMerge/>
            <w:vAlign w:val="center"/>
          </w:tcPr>
          <w:p w14:paraId="1C221118" w14:textId="77777777" w:rsidR="00544649" w:rsidRDefault="00544649">
            <w:pPr>
              <w:pStyle w:val="affb"/>
              <w:widowControl/>
              <w:adjustRightInd w:val="0"/>
              <w:snapToGrid w:val="0"/>
              <w:spacing w:beforeLines="20" w:before="62" w:afterLines="20" w:after="62"/>
              <w:rPr>
                <w:rFonts w:cs="Times New Roman"/>
                <w:color w:val="auto"/>
                <w:kern w:val="21"/>
              </w:rPr>
            </w:pPr>
          </w:p>
        </w:tc>
        <w:tc>
          <w:tcPr>
            <w:tcW w:w="1075" w:type="dxa"/>
            <w:vAlign w:val="center"/>
          </w:tcPr>
          <w:p w14:paraId="61F678BE"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sz w:val="21"/>
                <w:szCs w:val="21"/>
              </w:rPr>
              <w:t>二氧化硫</w:t>
            </w:r>
          </w:p>
        </w:tc>
        <w:tc>
          <w:tcPr>
            <w:tcW w:w="1161" w:type="dxa"/>
            <w:vAlign w:val="center"/>
          </w:tcPr>
          <w:p w14:paraId="4783059D"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hint="eastAsia"/>
                <w:b w:val="0"/>
                <w:bCs/>
                <w:color w:val="auto"/>
                <w:kern w:val="21"/>
              </w:rPr>
              <w:t>24h</w:t>
            </w:r>
          </w:p>
        </w:tc>
        <w:tc>
          <w:tcPr>
            <w:tcW w:w="1602" w:type="dxa"/>
            <w:vAlign w:val="center"/>
          </w:tcPr>
          <w:p w14:paraId="087B23CB" w14:textId="77777777" w:rsidR="00544649" w:rsidRDefault="00000000">
            <w:pPr>
              <w:pStyle w:val="aff7"/>
              <w:widowControl/>
              <w:adjustRightInd w:val="0"/>
              <w:snapToGrid w:val="0"/>
              <w:spacing w:before="62" w:after="62"/>
              <w:rPr>
                <w:rFonts w:cs="Times New Roman"/>
                <w:kern w:val="21"/>
                <w:szCs w:val="21"/>
              </w:rPr>
            </w:pPr>
            <w:r>
              <w:rPr>
                <w:rFonts w:cs="Times New Roman" w:hint="eastAsia"/>
                <w:kern w:val="21"/>
                <w:szCs w:val="21"/>
              </w:rPr>
              <w:t>0.05</w:t>
            </w:r>
          </w:p>
        </w:tc>
        <w:tc>
          <w:tcPr>
            <w:tcW w:w="1598" w:type="dxa"/>
            <w:vAlign w:val="center"/>
          </w:tcPr>
          <w:p w14:paraId="7718C85B" w14:textId="77777777" w:rsidR="00544649" w:rsidRDefault="00000000">
            <w:pPr>
              <w:pStyle w:val="aff7"/>
              <w:widowControl/>
              <w:adjustRightInd w:val="0"/>
              <w:snapToGrid w:val="0"/>
              <w:spacing w:before="62" w:after="62"/>
              <w:rPr>
                <w:rFonts w:cs="Times New Roman"/>
                <w:kern w:val="21"/>
                <w:szCs w:val="21"/>
              </w:rPr>
            </w:pPr>
            <w:r>
              <w:rPr>
                <w:rFonts w:cs="Times New Roman"/>
                <w:kern w:val="21"/>
                <w:szCs w:val="21"/>
              </w:rPr>
              <w:t>0.00</w:t>
            </w:r>
            <w:r>
              <w:rPr>
                <w:rFonts w:cs="Times New Roman" w:hint="eastAsia"/>
                <w:kern w:val="21"/>
                <w:szCs w:val="21"/>
              </w:rPr>
              <w:t>7</w:t>
            </w:r>
            <w:r>
              <w:rPr>
                <w:rFonts w:cs="Times New Roman"/>
                <w:kern w:val="21"/>
                <w:szCs w:val="21"/>
              </w:rPr>
              <w:t>~0.00</w:t>
            </w:r>
            <w:r>
              <w:rPr>
                <w:rFonts w:cs="Times New Roman" w:hint="eastAsia"/>
                <w:kern w:val="21"/>
                <w:szCs w:val="21"/>
              </w:rPr>
              <w:t>8</w:t>
            </w:r>
          </w:p>
        </w:tc>
        <w:tc>
          <w:tcPr>
            <w:tcW w:w="1180" w:type="dxa"/>
            <w:vAlign w:val="center"/>
          </w:tcPr>
          <w:p w14:paraId="0CCB524F"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hint="eastAsia"/>
                <w:b w:val="0"/>
                <w:bCs/>
                <w:color w:val="auto"/>
                <w:kern w:val="21"/>
              </w:rPr>
              <w:t>0.16</w:t>
            </w:r>
          </w:p>
        </w:tc>
        <w:tc>
          <w:tcPr>
            <w:tcW w:w="978" w:type="dxa"/>
            <w:vAlign w:val="center"/>
          </w:tcPr>
          <w:p w14:paraId="6F214EED"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b w:val="0"/>
                <w:bCs/>
                <w:color w:val="auto"/>
                <w:kern w:val="21"/>
              </w:rPr>
              <w:t>0</w:t>
            </w:r>
          </w:p>
        </w:tc>
        <w:tc>
          <w:tcPr>
            <w:tcW w:w="801" w:type="dxa"/>
            <w:vAlign w:val="center"/>
          </w:tcPr>
          <w:p w14:paraId="6BDDDD12"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b w:val="0"/>
                <w:bCs/>
                <w:color w:val="auto"/>
                <w:kern w:val="21"/>
              </w:rPr>
              <w:t>达标</w:t>
            </w:r>
          </w:p>
        </w:tc>
      </w:tr>
      <w:tr w:rsidR="00544649" w14:paraId="1C59AE72" w14:textId="77777777">
        <w:trPr>
          <w:jc w:val="center"/>
        </w:trPr>
        <w:tc>
          <w:tcPr>
            <w:tcW w:w="665" w:type="dxa"/>
            <w:vMerge/>
            <w:vAlign w:val="center"/>
          </w:tcPr>
          <w:p w14:paraId="21D01A5D" w14:textId="77777777" w:rsidR="00544649" w:rsidRDefault="00544649">
            <w:pPr>
              <w:pStyle w:val="affb"/>
              <w:widowControl/>
              <w:adjustRightInd w:val="0"/>
              <w:snapToGrid w:val="0"/>
              <w:spacing w:beforeLines="20" w:before="62" w:afterLines="20" w:after="62"/>
              <w:rPr>
                <w:rFonts w:cs="Times New Roman"/>
                <w:color w:val="auto"/>
                <w:kern w:val="21"/>
              </w:rPr>
            </w:pPr>
          </w:p>
        </w:tc>
        <w:tc>
          <w:tcPr>
            <w:tcW w:w="1075" w:type="dxa"/>
            <w:vAlign w:val="center"/>
          </w:tcPr>
          <w:p w14:paraId="47901E7A"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lang w:bidi="ar"/>
              </w:rPr>
            </w:pPr>
            <w:r>
              <w:rPr>
                <w:rFonts w:cs="Times New Roman" w:hint="eastAsia"/>
                <w:sz w:val="21"/>
                <w:szCs w:val="21"/>
              </w:rPr>
              <w:t>一氧化碳</w:t>
            </w:r>
          </w:p>
        </w:tc>
        <w:tc>
          <w:tcPr>
            <w:tcW w:w="1161" w:type="dxa"/>
            <w:vAlign w:val="center"/>
          </w:tcPr>
          <w:p w14:paraId="7EEE0D1A"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hint="eastAsia"/>
                <w:b w:val="0"/>
                <w:bCs/>
                <w:color w:val="auto"/>
                <w:kern w:val="21"/>
              </w:rPr>
              <w:t>24h</w:t>
            </w:r>
          </w:p>
        </w:tc>
        <w:tc>
          <w:tcPr>
            <w:tcW w:w="1602" w:type="dxa"/>
            <w:vAlign w:val="center"/>
          </w:tcPr>
          <w:p w14:paraId="0D799609" w14:textId="77777777" w:rsidR="00544649" w:rsidRDefault="00000000">
            <w:pPr>
              <w:pStyle w:val="aff7"/>
              <w:widowControl/>
              <w:adjustRightInd w:val="0"/>
              <w:snapToGrid w:val="0"/>
              <w:spacing w:before="62" w:after="62"/>
              <w:rPr>
                <w:rFonts w:cs="Times New Roman"/>
                <w:kern w:val="21"/>
                <w:szCs w:val="21"/>
              </w:rPr>
            </w:pPr>
            <w:r>
              <w:rPr>
                <w:rFonts w:cs="Times New Roman" w:hint="eastAsia"/>
                <w:kern w:val="21"/>
                <w:szCs w:val="21"/>
              </w:rPr>
              <w:t>0.004</w:t>
            </w:r>
          </w:p>
        </w:tc>
        <w:tc>
          <w:tcPr>
            <w:tcW w:w="1598" w:type="dxa"/>
            <w:vAlign w:val="center"/>
          </w:tcPr>
          <w:p w14:paraId="0C7D86DA" w14:textId="77777777" w:rsidR="00544649" w:rsidRDefault="00000000">
            <w:pPr>
              <w:pStyle w:val="aff7"/>
              <w:widowControl/>
              <w:adjustRightInd w:val="0"/>
              <w:snapToGrid w:val="0"/>
              <w:spacing w:before="62" w:after="62"/>
              <w:rPr>
                <w:rFonts w:cs="Times New Roman"/>
                <w:kern w:val="21"/>
                <w:szCs w:val="21"/>
              </w:rPr>
            </w:pPr>
            <w:r>
              <w:rPr>
                <w:rFonts w:cs="Times New Roman" w:hint="eastAsia"/>
                <w:kern w:val="21"/>
                <w:szCs w:val="21"/>
              </w:rPr>
              <w:t>未检出</w:t>
            </w:r>
          </w:p>
        </w:tc>
        <w:tc>
          <w:tcPr>
            <w:tcW w:w="1180" w:type="dxa"/>
            <w:vAlign w:val="center"/>
          </w:tcPr>
          <w:p w14:paraId="46AB19C9"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hint="eastAsia"/>
                <w:b w:val="0"/>
                <w:bCs/>
                <w:color w:val="auto"/>
                <w:kern w:val="21"/>
              </w:rPr>
              <w:t>/</w:t>
            </w:r>
          </w:p>
        </w:tc>
        <w:tc>
          <w:tcPr>
            <w:tcW w:w="978" w:type="dxa"/>
            <w:vAlign w:val="center"/>
          </w:tcPr>
          <w:p w14:paraId="2D08FD87"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b w:val="0"/>
                <w:bCs/>
                <w:color w:val="auto"/>
                <w:kern w:val="21"/>
              </w:rPr>
              <w:t>0</w:t>
            </w:r>
          </w:p>
        </w:tc>
        <w:tc>
          <w:tcPr>
            <w:tcW w:w="801" w:type="dxa"/>
            <w:vAlign w:val="center"/>
          </w:tcPr>
          <w:p w14:paraId="4CF2DEC9"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b w:val="0"/>
                <w:bCs/>
                <w:color w:val="auto"/>
                <w:kern w:val="21"/>
              </w:rPr>
              <w:t>达标</w:t>
            </w:r>
          </w:p>
        </w:tc>
      </w:tr>
      <w:tr w:rsidR="00544649" w14:paraId="533DA90F" w14:textId="77777777">
        <w:trPr>
          <w:jc w:val="center"/>
        </w:trPr>
        <w:tc>
          <w:tcPr>
            <w:tcW w:w="665" w:type="dxa"/>
            <w:vMerge/>
            <w:vAlign w:val="center"/>
          </w:tcPr>
          <w:p w14:paraId="378614B2" w14:textId="77777777" w:rsidR="00544649" w:rsidRDefault="00544649">
            <w:pPr>
              <w:pStyle w:val="affb"/>
              <w:widowControl/>
              <w:adjustRightInd w:val="0"/>
              <w:snapToGrid w:val="0"/>
              <w:spacing w:beforeLines="20" w:before="62" w:afterLines="20" w:after="62"/>
              <w:rPr>
                <w:rFonts w:cs="Times New Roman"/>
                <w:color w:val="auto"/>
                <w:kern w:val="21"/>
              </w:rPr>
            </w:pPr>
          </w:p>
        </w:tc>
        <w:tc>
          <w:tcPr>
            <w:tcW w:w="1075" w:type="dxa"/>
            <w:vAlign w:val="center"/>
          </w:tcPr>
          <w:p w14:paraId="2DD4BCDE"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lang w:bidi="ar"/>
              </w:rPr>
            </w:pPr>
            <w:r>
              <w:rPr>
                <w:rFonts w:cs="Times New Roman" w:hint="eastAsia"/>
                <w:sz w:val="21"/>
                <w:szCs w:val="21"/>
              </w:rPr>
              <w:t>臭氧</w:t>
            </w:r>
          </w:p>
        </w:tc>
        <w:tc>
          <w:tcPr>
            <w:tcW w:w="1161" w:type="dxa"/>
            <w:vAlign w:val="center"/>
          </w:tcPr>
          <w:p w14:paraId="555E6012"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hint="eastAsia"/>
                <w:b w:val="0"/>
                <w:bCs/>
                <w:color w:val="auto"/>
                <w:kern w:val="21"/>
              </w:rPr>
              <w:t>日最大</w:t>
            </w:r>
            <w:r>
              <w:rPr>
                <w:rFonts w:cs="Times New Roman" w:hint="eastAsia"/>
                <w:b w:val="0"/>
                <w:bCs/>
                <w:color w:val="auto"/>
                <w:kern w:val="21"/>
              </w:rPr>
              <w:t>8</w:t>
            </w:r>
            <w:r>
              <w:rPr>
                <w:rFonts w:cs="Times New Roman" w:hint="eastAsia"/>
                <w:b w:val="0"/>
                <w:bCs/>
                <w:color w:val="auto"/>
                <w:kern w:val="21"/>
              </w:rPr>
              <w:t>小时平均</w:t>
            </w:r>
          </w:p>
        </w:tc>
        <w:tc>
          <w:tcPr>
            <w:tcW w:w="1602" w:type="dxa"/>
            <w:vAlign w:val="center"/>
          </w:tcPr>
          <w:p w14:paraId="2098810F" w14:textId="77777777" w:rsidR="00544649" w:rsidRDefault="00000000">
            <w:pPr>
              <w:pStyle w:val="aff7"/>
              <w:widowControl/>
              <w:adjustRightInd w:val="0"/>
              <w:snapToGrid w:val="0"/>
              <w:spacing w:before="62" w:after="62"/>
              <w:rPr>
                <w:rFonts w:cs="Times New Roman"/>
                <w:kern w:val="21"/>
                <w:szCs w:val="21"/>
              </w:rPr>
            </w:pPr>
            <w:r>
              <w:rPr>
                <w:rFonts w:cs="Times New Roman" w:hint="eastAsia"/>
                <w:kern w:val="21"/>
                <w:szCs w:val="21"/>
              </w:rPr>
              <w:t>0.1</w:t>
            </w:r>
          </w:p>
        </w:tc>
        <w:tc>
          <w:tcPr>
            <w:tcW w:w="1598" w:type="dxa"/>
            <w:vAlign w:val="center"/>
          </w:tcPr>
          <w:p w14:paraId="159BF338" w14:textId="77777777" w:rsidR="00544649" w:rsidRDefault="00000000">
            <w:pPr>
              <w:pStyle w:val="aff7"/>
              <w:widowControl/>
              <w:adjustRightInd w:val="0"/>
              <w:snapToGrid w:val="0"/>
              <w:spacing w:before="62" w:after="62"/>
              <w:rPr>
                <w:rFonts w:cs="Times New Roman"/>
                <w:kern w:val="21"/>
                <w:szCs w:val="21"/>
              </w:rPr>
            </w:pPr>
            <w:r>
              <w:rPr>
                <w:rFonts w:cs="Times New Roman"/>
                <w:kern w:val="21"/>
                <w:szCs w:val="21"/>
              </w:rPr>
              <w:t>0.0</w:t>
            </w:r>
            <w:r>
              <w:rPr>
                <w:rFonts w:cs="Times New Roman" w:hint="eastAsia"/>
                <w:kern w:val="21"/>
                <w:szCs w:val="21"/>
              </w:rPr>
              <w:t>81</w:t>
            </w:r>
            <w:r>
              <w:rPr>
                <w:rFonts w:cs="Times New Roman"/>
                <w:kern w:val="21"/>
                <w:szCs w:val="21"/>
              </w:rPr>
              <w:t>~0.0</w:t>
            </w:r>
            <w:r>
              <w:rPr>
                <w:rFonts w:cs="Times New Roman" w:hint="eastAsia"/>
                <w:kern w:val="21"/>
                <w:szCs w:val="21"/>
              </w:rPr>
              <w:t>8</w:t>
            </w:r>
            <w:r>
              <w:rPr>
                <w:rFonts w:cs="Times New Roman"/>
                <w:kern w:val="21"/>
                <w:szCs w:val="21"/>
              </w:rPr>
              <w:t>4</w:t>
            </w:r>
          </w:p>
        </w:tc>
        <w:tc>
          <w:tcPr>
            <w:tcW w:w="1180" w:type="dxa"/>
            <w:vAlign w:val="center"/>
          </w:tcPr>
          <w:p w14:paraId="1ACE6BDC"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hint="eastAsia"/>
                <w:b w:val="0"/>
                <w:bCs/>
                <w:color w:val="auto"/>
                <w:kern w:val="21"/>
              </w:rPr>
              <w:t>0.84</w:t>
            </w:r>
          </w:p>
        </w:tc>
        <w:tc>
          <w:tcPr>
            <w:tcW w:w="978" w:type="dxa"/>
            <w:vAlign w:val="center"/>
          </w:tcPr>
          <w:p w14:paraId="7C0C9974"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b w:val="0"/>
                <w:bCs/>
                <w:color w:val="auto"/>
                <w:kern w:val="21"/>
              </w:rPr>
              <w:t>0</w:t>
            </w:r>
          </w:p>
        </w:tc>
        <w:tc>
          <w:tcPr>
            <w:tcW w:w="801" w:type="dxa"/>
            <w:vAlign w:val="center"/>
          </w:tcPr>
          <w:p w14:paraId="0A6802BC"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b w:val="0"/>
                <w:bCs/>
                <w:color w:val="auto"/>
                <w:kern w:val="21"/>
              </w:rPr>
              <w:t>达标</w:t>
            </w:r>
          </w:p>
        </w:tc>
      </w:tr>
      <w:tr w:rsidR="00544649" w14:paraId="7ABDAB7E" w14:textId="77777777">
        <w:trPr>
          <w:jc w:val="center"/>
        </w:trPr>
        <w:tc>
          <w:tcPr>
            <w:tcW w:w="665" w:type="dxa"/>
            <w:vMerge/>
            <w:vAlign w:val="center"/>
          </w:tcPr>
          <w:p w14:paraId="7F8B7837" w14:textId="77777777" w:rsidR="00544649" w:rsidRDefault="00544649">
            <w:pPr>
              <w:pStyle w:val="affb"/>
              <w:widowControl/>
              <w:adjustRightInd w:val="0"/>
              <w:snapToGrid w:val="0"/>
              <w:spacing w:beforeLines="20" w:before="62" w:afterLines="20" w:after="62"/>
              <w:rPr>
                <w:rFonts w:cs="Times New Roman"/>
                <w:color w:val="auto"/>
                <w:kern w:val="21"/>
              </w:rPr>
            </w:pPr>
          </w:p>
        </w:tc>
        <w:tc>
          <w:tcPr>
            <w:tcW w:w="1075" w:type="dxa"/>
            <w:vAlign w:val="center"/>
          </w:tcPr>
          <w:p w14:paraId="248FD908"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lang w:bidi="ar"/>
              </w:rPr>
            </w:pPr>
            <w:r>
              <w:rPr>
                <w:rFonts w:cs="Times New Roman" w:hint="eastAsia"/>
                <w:sz w:val="21"/>
                <w:szCs w:val="21"/>
              </w:rPr>
              <w:t>PM</w:t>
            </w:r>
            <w:r>
              <w:rPr>
                <w:rFonts w:cs="Times New Roman" w:hint="eastAsia"/>
                <w:sz w:val="21"/>
                <w:szCs w:val="21"/>
                <w:vertAlign w:val="subscript"/>
              </w:rPr>
              <w:t>10</w:t>
            </w:r>
          </w:p>
        </w:tc>
        <w:tc>
          <w:tcPr>
            <w:tcW w:w="1161" w:type="dxa"/>
            <w:vAlign w:val="center"/>
          </w:tcPr>
          <w:p w14:paraId="3D85D5E8"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hint="eastAsia"/>
                <w:b w:val="0"/>
                <w:bCs/>
                <w:color w:val="auto"/>
                <w:kern w:val="21"/>
              </w:rPr>
              <w:t>24h</w:t>
            </w:r>
          </w:p>
        </w:tc>
        <w:tc>
          <w:tcPr>
            <w:tcW w:w="1602" w:type="dxa"/>
            <w:vAlign w:val="center"/>
          </w:tcPr>
          <w:p w14:paraId="526C027E" w14:textId="77777777" w:rsidR="00544649" w:rsidRDefault="00000000">
            <w:pPr>
              <w:pStyle w:val="aff7"/>
              <w:widowControl/>
              <w:adjustRightInd w:val="0"/>
              <w:snapToGrid w:val="0"/>
              <w:spacing w:before="62" w:after="62"/>
              <w:rPr>
                <w:rFonts w:cs="Times New Roman"/>
                <w:kern w:val="21"/>
                <w:szCs w:val="21"/>
              </w:rPr>
            </w:pPr>
            <w:r>
              <w:rPr>
                <w:rFonts w:cs="Times New Roman" w:hint="eastAsia"/>
                <w:kern w:val="21"/>
                <w:szCs w:val="21"/>
              </w:rPr>
              <w:t>0.05</w:t>
            </w:r>
          </w:p>
        </w:tc>
        <w:tc>
          <w:tcPr>
            <w:tcW w:w="1598" w:type="dxa"/>
            <w:vAlign w:val="center"/>
          </w:tcPr>
          <w:p w14:paraId="14A8741E" w14:textId="77777777" w:rsidR="00544649" w:rsidRDefault="00000000">
            <w:pPr>
              <w:pStyle w:val="aff7"/>
              <w:widowControl/>
              <w:adjustRightInd w:val="0"/>
              <w:snapToGrid w:val="0"/>
              <w:spacing w:before="62" w:after="62"/>
              <w:rPr>
                <w:rFonts w:cs="Times New Roman"/>
                <w:kern w:val="21"/>
                <w:szCs w:val="21"/>
              </w:rPr>
            </w:pPr>
            <w:r>
              <w:rPr>
                <w:rFonts w:cs="Times New Roman"/>
                <w:kern w:val="21"/>
                <w:szCs w:val="21"/>
              </w:rPr>
              <w:t>0.0</w:t>
            </w:r>
            <w:r>
              <w:rPr>
                <w:rFonts w:cs="Times New Roman" w:hint="eastAsia"/>
                <w:kern w:val="21"/>
                <w:szCs w:val="21"/>
              </w:rPr>
              <w:t>32</w:t>
            </w:r>
            <w:r>
              <w:rPr>
                <w:rFonts w:cs="Times New Roman"/>
                <w:kern w:val="21"/>
                <w:szCs w:val="21"/>
              </w:rPr>
              <w:t>~0.0</w:t>
            </w:r>
            <w:r>
              <w:rPr>
                <w:rFonts w:cs="Times New Roman" w:hint="eastAsia"/>
                <w:kern w:val="21"/>
                <w:szCs w:val="21"/>
              </w:rPr>
              <w:t>38</w:t>
            </w:r>
          </w:p>
        </w:tc>
        <w:tc>
          <w:tcPr>
            <w:tcW w:w="1180" w:type="dxa"/>
            <w:vAlign w:val="center"/>
          </w:tcPr>
          <w:p w14:paraId="1D7B5C4C"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hint="eastAsia"/>
                <w:b w:val="0"/>
                <w:bCs/>
                <w:color w:val="auto"/>
                <w:kern w:val="21"/>
              </w:rPr>
              <w:t>0.76</w:t>
            </w:r>
          </w:p>
        </w:tc>
        <w:tc>
          <w:tcPr>
            <w:tcW w:w="978" w:type="dxa"/>
            <w:vAlign w:val="center"/>
          </w:tcPr>
          <w:p w14:paraId="20908855"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b w:val="0"/>
                <w:bCs/>
                <w:color w:val="auto"/>
                <w:kern w:val="21"/>
              </w:rPr>
              <w:t>0</w:t>
            </w:r>
          </w:p>
        </w:tc>
        <w:tc>
          <w:tcPr>
            <w:tcW w:w="801" w:type="dxa"/>
            <w:vAlign w:val="center"/>
          </w:tcPr>
          <w:p w14:paraId="63CAEB9C"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b w:val="0"/>
                <w:bCs/>
                <w:color w:val="auto"/>
                <w:kern w:val="21"/>
              </w:rPr>
              <w:t>达标</w:t>
            </w:r>
          </w:p>
        </w:tc>
      </w:tr>
      <w:tr w:rsidR="00544649" w14:paraId="49E81D96" w14:textId="77777777">
        <w:trPr>
          <w:jc w:val="center"/>
        </w:trPr>
        <w:tc>
          <w:tcPr>
            <w:tcW w:w="665" w:type="dxa"/>
            <w:vMerge/>
            <w:vAlign w:val="center"/>
          </w:tcPr>
          <w:p w14:paraId="5968E939" w14:textId="77777777" w:rsidR="00544649" w:rsidRDefault="00544649">
            <w:pPr>
              <w:pStyle w:val="affb"/>
              <w:widowControl/>
              <w:adjustRightInd w:val="0"/>
              <w:snapToGrid w:val="0"/>
              <w:spacing w:beforeLines="20" w:before="62" w:afterLines="20" w:after="62"/>
              <w:rPr>
                <w:rFonts w:cs="Times New Roman"/>
                <w:color w:val="auto"/>
                <w:kern w:val="21"/>
              </w:rPr>
            </w:pPr>
          </w:p>
        </w:tc>
        <w:tc>
          <w:tcPr>
            <w:tcW w:w="1075" w:type="dxa"/>
            <w:vAlign w:val="center"/>
          </w:tcPr>
          <w:p w14:paraId="28C811A4"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lang w:bidi="ar"/>
              </w:rPr>
            </w:pPr>
            <w:r>
              <w:rPr>
                <w:rFonts w:cs="Times New Roman" w:hint="eastAsia"/>
                <w:sz w:val="21"/>
                <w:szCs w:val="21"/>
              </w:rPr>
              <w:t>PM</w:t>
            </w:r>
            <w:r>
              <w:rPr>
                <w:rFonts w:cs="Times New Roman" w:hint="eastAsia"/>
                <w:sz w:val="21"/>
                <w:szCs w:val="21"/>
                <w:vertAlign w:val="subscript"/>
              </w:rPr>
              <w:t>2.5</w:t>
            </w:r>
          </w:p>
        </w:tc>
        <w:tc>
          <w:tcPr>
            <w:tcW w:w="1161" w:type="dxa"/>
            <w:vAlign w:val="center"/>
          </w:tcPr>
          <w:p w14:paraId="1E598391"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hint="eastAsia"/>
                <w:b w:val="0"/>
                <w:bCs/>
                <w:color w:val="auto"/>
                <w:kern w:val="21"/>
              </w:rPr>
              <w:t>24h</w:t>
            </w:r>
          </w:p>
        </w:tc>
        <w:tc>
          <w:tcPr>
            <w:tcW w:w="1602" w:type="dxa"/>
            <w:vAlign w:val="center"/>
          </w:tcPr>
          <w:p w14:paraId="6B1913FC" w14:textId="77777777" w:rsidR="00544649" w:rsidRDefault="00000000">
            <w:pPr>
              <w:pStyle w:val="aff7"/>
              <w:widowControl/>
              <w:adjustRightInd w:val="0"/>
              <w:snapToGrid w:val="0"/>
              <w:spacing w:before="62" w:after="62"/>
              <w:rPr>
                <w:rFonts w:cs="Times New Roman"/>
                <w:kern w:val="21"/>
                <w:szCs w:val="21"/>
              </w:rPr>
            </w:pPr>
            <w:r>
              <w:rPr>
                <w:rFonts w:cs="Times New Roman" w:hint="eastAsia"/>
                <w:kern w:val="21"/>
                <w:szCs w:val="21"/>
              </w:rPr>
              <w:t>0.035</w:t>
            </w:r>
          </w:p>
        </w:tc>
        <w:tc>
          <w:tcPr>
            <w:tcW w:w="1598" w:type="dxa"/>
            <w:vAlign w:val="center"/>
          </w:tcPr>
          <w:p w14:paraId="3C20A13C" w14:textId="77777777" w:rsidR="00544649" w:rsidRDefault="00000000">
            <w:pPr>
              <w:pStyle w:val="aff7"/>
              <w:widowControl/>
              <w:adjustRightInd w:val="0"/>
              <w:snapToGrid w:val="0"/>
              <w:spacing w:before="62" w:after="62"/>
              <w:rPr>
                <w:rFonts w:cs="Times New Roman"/>
                <w:kern w:val="21"/>
                <w:szCs w:val="21"/>
              </w:rPr>
            </w:pPr>
            <w:r>
              <w:rPr>
                <w:rFonts w:cs="Times New Roman"/>
                <w:kern w:val="21"/>
                <w:szCs w:val="21"/>
              </w:rPr>
              <w:t>0.0</w:t>
            </w:r>
            <w:r>
              <w:rPr>
                <w:rFonts w:cs="Times New Roman" w:hint="eastAsia"/>
                <w:kern w:val="21"/>
                <w:szCs w:val="21"/>
              </w:rPr>
              <w:t>22</w:t>
            </w:r>
            <w:r>
              <w:rPr>
                <w:rFonts w:cs="Times New Roman"/>
                <w:kern w:val="21"/>
                <w:szCs w:val="21"/>
              </w:rPr>
              <w:t>~0.0</w:t>
            </w:r>
            <w:r>
              <w:rPr>
                <w:rFonts w:cs="Times New Roman" w:hint="eastAsia"/>
                <w:kern w:val="21"/>
                <w:szCs w:val="21"/>
              </w:rPr>
              <w:t>27</w:t>
            </w:r>
          </w:p>
        </w:tc>
        <w:tc>
          <w:tcPr>
            <w:tcW w:w="1180" w:type="dxa"/>
            <w:vAlign w:val="center"/>
          </w:tcPr>
          <w:p w14:paraId="4AD649D9"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hint="eastAsia"/>
                <w:b w:val="0"/>
                <w:bCs/>
                <w:color w:val="auto"/>
                <w:kern w:val="21"/>
              </w:rPr>
              <w:t>0.77</w:t>
            </w:r>
          </w:p>
        </w:tc>
        <w:tc>
          <w:tcPr>
            <w:tcW w:w="978" w:type="dxa"/>
            <w:vAlign w:val="center"/>
          </w:tcPr>
          <w:p w14:paraId="19DBD583"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b w:val="0"/>
                <w:bCs/>
                <w:color w:val="auto"/>
                <w:kern w:val="21"/>
              </w:rPr>
              <w:t>0</w:t>
            </w:r>
          </w:p>
        </w:tc>
        <w:tc>
          <w:tcPr>
            <w:tcW w:w="801" w:type="dxa"/>
            <w:vAlign w:val="center"/>
          </w:tcPr>
          <w:p w14:paraId="219AC79A" w14:textId="77777777" w:rsidR="00544649" w:rsidRDefault="00000000">
            <w:pPr>
              <w:pStyle w:val="affb"/>
              <w:widowControl/>
              <w:adjustRightInd w:val="0"/>
              <w:snapToGrid w:val="0"/>
              <w:spacing w:beforeLines="20" w:before="62" w:afterLines="20" w:after="62"/>
              <w:rPr>
                <w:rFonts w:cs="Times New Roman"/>
                <w:b w:val="0"/>
                <w:bCs/>
                <w:color w:val="auto"/>
                <w:kern w:val="21"/>
              </w:rPr>
            </w:pPr>
            <w:r>
              <w:rPr>
                <w:rFonts w:cs="Times New Roman"/>
                <w:b w:val="0"/>
                <w:bCs/>
                <w:color w:val="auto"/>
                <w:kern w:val="21"/>
              </w:rPr>
              <w:t>达标</w:t>
            </w:r>
          </w:p>
        </w:tc>
      </w:tr>
    </w:tbl>
    <w:p w14:paraId="68C3D7A2" w14:textId="77777777" w:rsidR="00544649" w:rsidRDefault="00000000">
      <w:pPr>
        <w:adjustRightInd w:val="0"/>
        <w:snapToGrid w:val="0"/>
        <w:spacing w:after="0"/>
        <w:ind w:firstLine="480"/>
        <w:rPr>
          <w:kern w:val="21"/>
          <w:lang w:bidi="ar"/>
        </w:rPr>
      </w:pPr>
      <w:r>
        <w:rPr>
          <w:rFonts w:hint="eastAsia"/>
          <w:kern w:val="21"/>
          <w:lang w:bidi="ar"/>
        </w:rPr>
        <w:t>根据上表监测结果可知，引用监测点位</w:t>
      </w:r>
      <w:r>
        <w:rPr>
          <w:rFonts w:hint="eastAsia"/>
          <w:kern w:val="21"/>
          <w:lang w:bidi="ar"/>
        </w:rPr>
        <w:t>G3</w:t>
      </w:r>
      <w:r>
        <w:rPr>
          <w:rFonts w:hint="eastAsia"/>
          <w:kern w:val="21"/>
          <w:lang w:bidi="ar"/>
        </w:rPr>
        <w:t>的</w:t>
      </w:r>
      <w:r>
        <w:rPr>
          <w:rFonts w:hint="eastAsia"/>
          <w:kern w:val="21"/>
          <w:lang w:bidi="ar"/>
        </w:rPr>
        <w:t>SO</w:t>
      </w:r>
      <w:r>
        <w:rPr>
          <w:rFonts w:hint="eastAsia"/>
          <w:kern w:val="21"/>
          <w:vertAlign w:val="subscript"/>
          <w:lang w:bidi="ar"/>
        </w:rPr>
        <w:t>2</w:t>
      </w:r>
      <w:r>
        <w:rPr>
          <w:rFonts w:hint="eastAsia"/>
          <w:kern w:val="21"/>
          <w:lang w:bidi="ar"/>
        </w:rPr>
        <w:t>、</w:t>
      </w:r>
      <w:r>
        <w:rPr>
          <w:rFonts w:hint="eastAsia"/>
          <w:kern w:val="21"/>
          <w:lang w:bidi="ar"/>
        </w:rPr>
        <w:t>NO</w:t>
      </w:r>
      <w:r>
        <w:rPr>
          <w:rFonts w:hint="eastAsia"/>
          <w:kern w:val="21"/>
          <w:vertAlign w:val="subscript"/>
          <w:lang w:bidi="ar"/>
        </w:rPr>
        <w:t>2</w:t>
      </w:r>
      <w:r>
        <w:rPr>
          <w:rFonts w:hint="eastAsia"/>
          <w:kern w:val="21"/>
          <w:lang w:bidi="ar"/>
        </w:rPr>
        <w:t>、</w:t>
      </w:r>
      <w:r>
        <w:rPr>
          <w:rFonts w:hint="eastAsia"/>
          <w:kern w:val="21"/>
          <w:lang w:bidi="ar"/>
        </w:rPr>
        <w:t>CO</w:t>
      </w:r>
      <w:r>
        <w:rPr>
          <w:rFonts w:hint="eastAsia"/>
          <w:kern w:val="21"/>
          <w:lang w:bidi="ar"/>
        </w:rPr>
        <w:t>、</w:t>
      </w:r>
      <w:r>
        <w:rPr>
          <w:rFonts w:hint="eastAsia"/>
          <w:kern w:val="21"/>
          <w:lang w:bidi="ar"/>
        </w:rPr>
        <w:t>O</w:t>
      </w:r>
      <w:r>
        <w:rPr>
          <w:rFonts w:hint="eastAsia"/>
          <w:kern w:val="21"/>
          <w:vertAlign w:val="subscript"/>
          <w:lang w:bidi="ar"/>
        </w:rPr>
        <w:t>3</w:t>
      </w:r>
      <w:r>
        <w:rPr>
          <w:rFonts w:hint="eastAsia"/>
          <w:kern w:val="21"/>
          <w:lang w:bidi="ar"/>
        </w:rPr>
        <w:t>、</w:t>
      </w:r>
      <w:r>
        <w:rPr>
          <w:rFonts w:hint="eastAsia"/>
          <w:kern w:val="21"/>
          <w:lang w:bidi="ar"/>
        </w:rPr>
        <w:t>PM</w:t>
      </w:r>
      <w:r>
        <w:rPr>
          <w:rFonts w:hint="eastAsia"/>
          <w:kern w:val="21"/>
          <w:vertAlign w:val="subscript"/>
          <w:lang w:bidi="ar"/>
        </w:rPr>
        <w:t>10</w:t>
      </w:r>
      <w:r>
        <w:rPr>
          <w:rFonts w:hint="eastAsia"/>
          <w:kern w:val="21"/>
          <w:lang w:bidi="ar"/>
        </w:rPr>
        <w:t>、</w:t>
      </w:r>
      <w:r>
        <w:rPr>
          <w:rFonts w:hint="eastAsia"/>
          <w:kern w:val="21"/>
          <w:lang w:bidi="ar"/>
        </w:rPr>
        <w:t>PM</w:t>
      </w:r>
      <w:r>
        <w:rPr>
          <w:rFonts w:hint="eastAsia"/>
          <w:kern w:val="21"/>
          <w:vertAlign w:val="subscript"/>
          <w:lang w:bidi="ar"/>
        </w:rPr>
        <w:t>2.5</w:t>
      </w:r>
      <w:r>
        <w:rPr>
          <w:rFonts w:hint="eastAsia"/>
          <w:kern w:val="21"/>
          <w:lang w:bidi="ar"/>
        </w:rPr>
        <w:t>浓度均满足《环境空气质量标准》（</w:t>
      </w:r>
      <w:r>
        <w:rPr>
          <w:rFonts w:hint="eastAsia"/>
          <w:kern w:val="21"/>
          <w:lang w:bidi="ar"/>
        </w:rPr>
        <w:t>GB3095-2012</w:t>
      </w:r>
      <w:r>
        <w:rPr>
          <w:rFonts w:hint="eastAsia"/>
          <w:kern w:val="21"/>
          <w:lang w:bidi="ar"/>
        </w:rPr>
        <w:t>）中一级标准。</w:t>
      </w:r>
    </w:p>
    <w:p w14:paraId="3C346161" w14:textId="77777777" w:rsidR="00544649" w:rsidRDefault="00000000">
      <w:pPr>
        <w:keepNext/>
        <w:keepLines/>
        <w:numPr>
          <w:ilvl w:val="2"/>
          <w:numId w:val="9"/>
        </w:numPr>
        <w:adjustRightInd w:val="0"/>
        <w:snapToGrid w:val="0"/>
        <w:spacing w:after="0"/>
        <w:ind w:firstLineChars="0"/>
        <w:jc w:val="left"/>
        <w:outlineLvl w:val="2"/>
        <w:rPr>
          <w:rFonts w:cs="Times New Roman"/>
          <w:b/>
          <w:kern w:val="21"/>
          <w:sz w:val="28"/>
          <w:szCs w:val="28"/>
        </w:rPr>
      </w:pPr>
      <w:bookmarkStart w:id="277" w:name="_Toc31781"/>
      <w:bookmarkStart w:id="278" w:name="_Toc4352"/>
      <w:bookmarkStart w:id="279" w:name="_Toc195009866"/>
      <w:r>
        <w:rPr>
          <w:rFonts w:cs="Times New Roman" w:hint="eastAsia"/>
          <w:b/>
          <w:kern w:val="21"/>
          <w:sz w:val="28"/>
          <w:szCs w:val="28"/>
        </w:rPr>
        <w:t>项目特征污染物环境空气质量现状</w:t>
      </w:r>
      <w:bookmarkEnd w:id="277"/>
      <w:bookmarkEnd w:id="278"/>
      <w:bookmarkEnd w:id="279"/>
    </w:p>
    <w:p w14:paraId="2B2C7F47" w14:textId="77777777" w:rsidR="00544649" w:rsidRDefault="00000000">
      <w:pPr>
        <w:adjustRightInd w:val="0"/>
        <w:snapToGrid w:val="0"/>
        <w:spacing w:after="0"/>
        <w:ind w:firstLine="480"/>
        <w:rPr>
          <w:rFonts w:cs="Times New Roman"/>
          <w:kern w:val="21"/>
        </w:rPr>
      </w:pPr>
      <w:r>
        <w:rPr>
          <w:rFonts w:hint="eastAsia"/>
          <w:kern w:val="21"/>
        </w:rPr>
        <w:t>略</w:t>
      </w:r>
      <w:r>
        <w:rPr>
          <w:rFonts w:cs="Times New Roman"/>
          <w:kern w:val="21"/>
        </w:rPr>
        <w:t>。</w:t>
      </w:r>
    </w:p>
    <w:p w14:paraId="651B9072"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280" w:name="_Toc195009867"/>
      <w:bookmarkStart w:id="281" w:name="_Toc10213"/>
      <w:bookmarkStart w:id="282" w:name="_Toc28370"/>
      <w:r>
        <w:rPr>
          <w:rFonts w:cs="Times New Roman" w:hint="eastAsia"/>
          <w:b/>
          <w:bCs/>
          <w:kern w:val="21"/>
          <w:sz w:val="32"/>
          <w:szCs w:val="32"/>
        </w:rPr>
        <w:t>地表水环境</w:t>
      </w:r>
      <w:r>
        <w:rPr>
          <w:rFonts w:cs="Times New Roman"/>
          <w:b/>
          <w:bCs/>
          <w:kern w:val="21"/>
          <w:sz w:val="32"/>
          <w:szCs w:val="32"/>
        </w:rPr>
        <w:t>质量现状与评价</w:t>
      </w:r>
      <w:bookmarkEnd w:id="280"/>
    </w:p>
    <w:bookmarkEnd w:id="281"/>
    <w:bookmarkEnd w:id="282"/>
    <w:p w14:paraId="6D815475" w14:textId="77777777" w:rsidR="00544649" w:rsidRDefault="00000000">
      <w:pPr>
        <w:adjustRightInd w:val="0"/>
        <w:snapToGrid w:val="0"/>
        <w:spacing w:after="0"/>
        <w:ind w:firstLine="480"/>
        <w:rPr>
          <w:kern w:val="21"/>
        </w:rPr>
      </w:pPr>
      <w:r>
        <w:rPr>
          <w:rFonts w:hint="eastAsia"/>
          <w:kern w:val="21"/>
        </w:rPr>
        <w:t>本项目营运期蛋鸡出栏后养殖鸡舍采用自来水进行清洗，会产生清洗废水，养殖场拟建废水处理系统集中处理，养殖鸡舍清洗废水及生活污水、餐厨废水、蛋品清洗废水等</w:t>
      </w:r>
      <w:proofErr w:type="gramStart"/>
      <w:r>
        <w:rPr>
          <w:rFonts w:hint="eastAsia"/>
          <w:kern w:val="21"/>
        </w:rPr>
        <w:t>一并经</w:t>
      </w:r>
      <w:proofErr w:type="gramEnd"/>
      <w:r>
        <w:rPr>
          <w:rFonts w:hint="eastAsia"/>
          <w:kern w:val="21"/>
        </w:rPr>
        <w:t>污水处理站处理后用于周边林地灌溉，不外排。评价等级为三级</w:t>
      </w:r>
      <w:r>
        <w:rPr>
          <w:rFonts w:hint="eastAsia"/>
          <w:kern w:val="21"/>
        </w:rPr>
        <w:t>B</w:t>
      </w:r>
      <w:r>
        <w:rPr>
          <w:rFonts w:hint="eastAsia"/>
          <w:kern w:val="21"/>
        </w:rPr>
        <w:t>。</w:t>
      </w:r>
    </w:p>
    <w:p w14:paraId="1591EDB0" w14:textId="77777777" w:rsidR="00544649" w:rsidRDefault="00000000">
      <w:pPr>
        <w:adjustRightInd w:val="0"/>
        <w:snapToGrid w:val="0"/>
        <w:spacing w:after="0"/>
        <w:ind w:firstLine="480"/>
        <w:rPr>
          <w:rFonts w:cs="Times New Roman"/>
          <w:kern w:val="21"/>
        </w:rPr>
      </w:pPr>
      <w:r>
        <w:rPr>
          <w:rFonts w:hint="eastAsia"/>
          <w:kern w:val="21"/>
        </w:rPr>
        <w:t>本项目位于广元市剑阁县，</w:t>
      </w:r>
      <w:r>
        <w:rPr>
          <w:kern w:val="21"/>
        </w:rPr>
        <w:t>根据《环境影响评价技术导则地表水环境》（</w:t>
      </w:r>
      <w:r>
        <w:rPr>
          <w:kern w:val="21"/>
        </w:rPr>
        <w:t>HJ2.3</w:t>
      </w:r>
      <w:r>
        <w:rPr>
          <w:rFonts w:hint="eastAsia"/>
          <w:kern w:val="21"/>
        </w:rPr>
        <w:t>-</w:t>
      </w:r>
      <w:r>
        <w:rPr>
          <w:kern w:val="21"/>
        </w:rPr>
        <w:t>2018</w:t>
      </w:r>
      <w:r>
        <w:rPr>
          <w:kern w:val="21"/>
        </w:rPr>
        <w:t>）中有关水环境质量现状调查的规定，应优先采用国务院生态环境保护主管部门统一发布的水环境状况信息。</w:t>
      </w:r>
    </w:p>
    <w:p w14:paraId="1A58430B" w14:textId="77777777" w:rsidR="00544649" w:rsidRDefault="00000000">
      <w:pPr>
        <w:adjustRightInd w:val="0"/>
        <w:snapToGrid w:val="0"/>
        <w:spacing w:after="0"/>
        <w:ind w:firstLine="482"/>
      </w:pPr>
      <w:r>
        <w:rPr>
          <w:rFonts w:hint="eastAsia"/>
          <w:b/>
          <w:bCs/>
        </w:rPr>
        <w:t>本次环</w:t>
      </w:r>
      <w:proofErr w:type="gramStart"/>
      <w:r>
        <w:rPr>
          <w:rFonts w:hint="eastAsia"/>
          <w:b/>
          <w:bCs/>
        </w:rPr>
        <w:t>评采用</w:t>
      </w:r>
      <w:proofErr w:type="gramEnd"/>
      <w:r>
        <w:rPr>
          <w:rFonts w:hint="eastAsia"/>
          <w:b/>
          <w:bCs/>
        </w:rPr>
        <w:t>广元市生态环境局于</w:t>
      </w:r>
      <w:r>
        <w:rPr>
          <w:rFonts w:hint="eastAsia"/>
          <w:b/>
          <w:bCs/>
        </w:rPr>
        <w:t>2025</w:t>
      </w:r>
      <w:r>
        <w:rPr>
          <w:rFonts w:hint="eastAsia"/>
          <w:b/>
          <w:bCs/>
        </w:rPr>
        <w:t>年</w:t>
      </w:r>
      <w:r>
        <w:rPr>
          <w:rFonts w:hint="eastAsia"/>
          <w:b/>
          <w:bCs/>
        </w:rPr>
        <w:t>1</w:t>
      </w:r>
      <w:r>
        <w:rPr>
          <w:rFonts w:hint="eastAsia"/>
          <w:b/>
          <w:bCs/>
        </w:rPr>
        <w:t>月</w:t>
      </w:r>
      <w:r>
        <w:rPr>
          <w:rFonts w:hint="eastAsia"/>
          <w:b/>
          <w:bCs/>
        </w:rPr>
        <w:t>7</w:t>
      </w:r>
      <w:r>
        <w:rPr>
          <w:rFonts w:hint="eastAsia"/>
          <w:b/>
          <w:bCs/>
        </w:rPr>
        <w:t>日发布的《</w:t>
      </w:r>
      <w:r>
        <w:rPr>
          <w:rFonts w:hint="eastAsia"/>
          <w:b/>
          <w:bCs/>
        </w:rPr>
        <w:t>2024</w:t>
      </w:r>
      <w:r>
        <w:rPr>
          <w:rFonts w:hint="eastAsia"/>
          <w:b/>
          <w:bCs/>
        </w:rPr>
        <w:t>年</w:t>
      </w:r>
      <w:r>
        <w:rPr>
          <w:rFonts w:hint="eastAsia"/>
          <w:b/>
          <w:bCs/>
        </w:rPr>
        <w:t>12</w:t>
      </w:r>
      <w:r>
        <w:rPr>
          <w:rFonts w:hint="eastAsia"/>
          <w:b/>
          <w:bCs/>
        </w:rPr>
        <w:t>月广元市地表水水质状况》中的相关数据进行评价。</w:t>
      </w:r>
      <w:r>
        <w:rPr>
          <w:rFonts w:hint="eastAsia"/>
        </w:rPr>
        <w:t>网址为：</w:t>
      </w:r>
      <w:r>
        <w:rPr>
          <w:i/>
          <w:iCs/>
          <w:u w:val="single"/>
        </w:rPr>
        <w:t>https://hbj.cngy.gov.cn/mshow/20250107170459179.html</w:t>
      </w:r>
      <w:r>
        <w:rPr>
          <w:rFonts w:hint="eastAsia"/>
        </w:rPr>
        <w:t>。</w:t>
      </w:r>
    </w:p>
    <w:p w14:paraId="33FD86E8" w14:textId="77777777" w:rsidR="00544649" w:rsidRDefault="00000000">
      <w:pPr>
        <w:adjustRightInd w:val="0"/>
        <w:snapToGrid w:val="0"/>
        <w:spacing w:after="0"/>
        <w:ind w:firstLine="480"/>
        <w:rPr>
          <w:rFonts w:cs="Times New Roman"/>
          <w:kern w:val="21"/>
        </w:rPr>
      </w:pPr>
      <w:r>
        <w:rPr>
          <w:rFonts w:hint="eastAsia"/>
        </w:rPr>
        <w:t>根据《</w:t>
      </w:r>
      <w:r>
        <w:rPr>
          <w:rFonts w:hint="eastAsia"/>
        </w:rPr>
        <w:t>2024</w:t>
      </w:r>
      <w:r>
        <w:rPr>
          <w:rFonts w:hint="eastAsia"/>
        </w:rPr>
        <w:t>年</w:t>
      </w:r>
      <w:r>
        <w:rPr>
          <w:rFonts w:hint="eastAsia"/>
        </w:rPr>
        <w:t>12</w:t>
      </w:r>
      <w:r>
        <w:rPr>
          <w:rFonts w:hint="eastAsia"/>
        </w:rPr>
        <w:t>月广元市地表水水质状况》，本项目所在区域地表水环境质量现状见下表。</w:t>
      </w:r>
    </w:p>
    <w:p w14:paraId="202D48AD" w14:textId="77777777" w:rsidR="00544649" w:rsidRDefault="00000000">
      <w:pPr>
        <w:numPr>
          <w:ilvl w:val="0"/>
          <w:numId w:val="26"/>
        </w:numPr>
        <w:adjustRightInd w:val="0"/>
        <w:snapToGrid w:val="0"/>
        <w:spacing w:beforeLines="20" w:before="62" w:afterLines="20" w:after="62" w:line="240" w:lineRule="auto"/>
        <w:ind w:left="0" w:firstLineChars="0"/>
        <w:jc w:val="center"/>
        <w:rPr>
          <w:rFonts w:cs="Times New Roman"/>
          <w:b/>
          <w:bCs/>
          <w:kern w:val="21"/>
          <w:sz w:val="21"/>
          <w:szCs w:val="21"/>
        </w:rPr>
      </w:pPr>
      <w:r>
        <w:rPr>
          <w:rFonts w:cs="Times New Roman" w:hint="eastAsia"/>
          <w:b/>
          <w:bCs/>
          <w:kern w:val="21"/>
          <w:sz w:val="21"/>
          <w:szCs w:val="21"/>
        </w:rPr>
        <w:t>2024</w:t>
      </w:r>
      <w:r>
        <w:rPr>
          <w:rFonts w:cs="Times New Roman" w:hint="eastAsia"/>
          <w:b/>
          <w:bCs/>
          <w:kern w:val="21"/>
          <w:sz w:val="21"/>
          <w:szCs w:val="21"/>
        </w:rPr>
        <w:t>年</w:t>
      </w:r>
      <w:r>
        <w:rPr>
          <w:rFonts w:cs="Times New Roman" w:hint="eastAsia"/>
          <w:b/>
          <w:bCs/>
          <w:kern w:val="21"/>
          <w:sz w:val="21"/>
          <w:szCs w:val="21"/>
        </w:rPr>
        <w:t>12</w:t>
      </w:r>
      <w:r>
        <w:rPr>
          <w:rFonts w:cs="Times New Roman" w:hint="eastAsia"/>
          <w:b/>
          <w:bCs/>
          <w:kern w:val="21"/>
          <w:sz w:val="21"/>
          <w:szCs w:val="21"/>
        </w:rPr>
        <w:t>月广元市地表水水质状况评价</w:t>
      </w:r>
      <w:r>
        <w:rPr>
          <w:rFonts w:cs="Times New Roman"/>
          <w:b/>
          <w:bCs/>
          <w:kern w:val="21"/>
          <w:sz w:val="21"/>
          <w:szCs w:val="21"/>
        </w:rPr>
        <w:t>结果表</w:t>
      </w:r>
    </w:p>
    <w:tbl>
      <w:tblPr>
        <w:tblW w:w="9060" w:type="dxa"/>
        <w:jc w:val="center"/>
        <w:tblLayout w:type="fixed"/>
        <w:tblLook w:val="04A0" w:firstRow="1" w:lastRow="0" w:firstColumn="1" w:lastColumn="0" w:noHBand="0" w:noVBand="1"/>
      </w:tblPr>
      <w:tblGrid>
        <w:gridCol w:w="1210"/>
        <w:gridCol w:w="1758"/>
        <w:gridCol w:w="1384"/>
        <w:gridCol w:w="1470"/>
        <w:gridCol w:w="1643"/>
        <w:gridCol w:w="1595"/>
      </w:tblGrid>
      <w:tr w:rsidR="00544649" w14:paraId="701A5460" w14:textId="77777777">
        <w:trPr>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9D8E3" w14:textId="77777777" w:rsidR="00544649" w:rsidRDefault="00000000">
            <w:pPr>
              <w:widowControl/>
              <w:adjustRightInd w:val="0"/>
              <w:snapToGrid w:val="0"/>
              <w:spacing w:after="0" w:line="240" w:lineRule="auto"/>
              <w:ind w:firstLineChars="0" w:firstLine="0"/>
              <w:jc w:val="center"/>
              <w:textAlignment w:val="center"/>
              <w:rPr>
                <w:rFonts w:cs="Times New Roman"/>
                <w:b/>
                <w:bCs/>
                <w:sz w:val="21"/>
                <w:szCs w:val="21"/>
              </w:rPr>
            </w:pPr>
            <w:r>
              <w:rPr>
                <w:rFonts w:cs="Times New Roman"/>
                <w:b/>
                <w:bCs/>
                <w:kern w:val="0"/>
                <w:sz w:val="21"/>
                <w:szCs w:val="21"/>
                <w:lang w:bidi="ar"/>
              </w:rPr>
              <w:t>所在河流</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22D3F" w14:textId="77777777" w:rsidR="00544649" w:rsidRDefault="00000000">
            <w:pPr>
              <w:widowControl/>
              <w:adjustRightInd w:val="0"/>
              <w:snapToGrid w:val="0"/>
              <w:spacing w:after="0" w:line="240" w:lineRule="auto"/>
              <w:ind w:firstLineChars="0" w:firstLine="0"/>
              <w:jc w:val="center"/>
              <w:textAlignment w:val="center"/>
              <w:rPr>
                <w:rFonts w:cs="Times New Roman"/>
                <w:b/>
                <w:bCs/>
                <w:sz w:val="21"/>
                <w:szCs w:val="21"/>
              </w:rPr>
            </w:pPr>
            <w:r>
              <w:rPr>
                <w:rFonts w:cs="Times New Roman"/>
                <w:b/>
                <w:bCs/>
                <w:kern w:val="0"/>
                <w:sz w:val="21"/>
                <w:szCs w:val="21"/>
                <w:lang w:bidi="ar"/>
              </w:rPr>
              <w:t>断面名称</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E86E0" w14:textId="77777777" w:rsidR="00544649" w:rsidRDefault="00000000">
            <w:pPr>
              <w:widowControl/>
              <w:adjustRightInd w:val="0"/>
              <w:snapToGrid w:val="0"/>
              <w:spacing w:after="0" w:line="240" w:lineRule="auto"/>
              <w:ind w:firstLineChars="0" w:firstLine="0"/>
              <w:jc w:val="center"/>
              <w:textAlignment w:val="center"/>
              <w:rPr>
                <w:rFonts w:cs="Times New Roman"/>
                <w:b/>
                <w:bCs/>
                <w:sz w:val="21"/>
                <w:szCs w:val="21"/>
              </w:rPr>
            </w:pPr>
            <w:r>
              <w:rPr>
                <w:rFonts w:cs="Times New Roman"/>
                <w:b/>
                <w:bCs/>
                <w:kern w:val="0"/>
                <w:sz w:val="21"/>
                <w:szCs w:val="21"/>
                <w:lang w:bidi="ar"/>
              </w:rPr>
              <w:t>规定类别</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93A08" w14:textId="77777777" w:rsidR="00544649" w:rsidRDefault="00000000">
            <w:pPr>
              <w:widowControl/>
              <w:adjustRightInd w:val="0"/>
              <w:snapToGrid w:val="0"/>
              <w:spacing w:after="0" w:line="240" w:lineRule="auto"/>
              <w:ind w:firstLineChars="0" w:firstLine="0"/>
              <w:jc w:val="center"/>
              <w:textAlignment w:val="center"/>
              <w:rPr>
                <w:rFonts w:cs="Times New Roman"/>
                <w:b/>
                <w:bCs/>
                <w:sz w:val="21"/>
                <w:szCs w:val="21"/>
              </w:rPr>
            </w:pPr>
            <w:r>
              <w:rPr>
                <w:rFonts w:cs="Times New Roman"/>
                <w:b/>
                <w:bCs/>
                <w:kern w:val="0"/>
                <w:sz w:val="21"/>
                <w:szCs w:val="21"/>
                <w:lang w:bidi="ar"/>
              </w:rPr>
              <w:t>上月类别</w:t>
            </w:r>
          </w:p>
        </w:tc>
        <w:tc>
          <w:tcPr>
            <w:tcW w:w="1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42C16" w14:textId="77777777" w:rsidR="00544649" w:rsidRDefault="00000000">
            <w:pPr>
              <w:widowControl/>
              <w:adjustRightInd w:val="0"/>
              <w:snapToGrid w:val="0"/>
              <w:spacing w:after="0" w:line="240" w:lineRule="auto"/>
              <w:ind w:firstLineChars="0" w:firstLine="0"/>
              <w:jc w:val="center"/>
              <w:textAlignment w:val="center"/>
              <w:rPr>
                <w:rFonts w:cs="Times New Roman"/>
                <w:b/>
                <w:bCs/>
                <w:sz w:val="21"/>
                <w:szCs w:val="21"/>
              </w:rPr>
            </w:pPr>
            <w:r>
              <w:rPr>
                <w:rFonts w:cs="Times New Roman"/>
                <w:b/>
                <w:bCs/>
                <w:kern w:val="0"/>
                <w:sz w:val="21"/>
                <w:szCs w:val="21"/>
                <w:lang w:bidi="ar"/>
              </w:rPr>
              <w:t>本月类别</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C000A" w14:textId="77777777" w:rsidR="00544649" w:rsidRDefault="00000000">
            <w:pPr>
              <w:widowControl/>
              <w:adjustRightInd w:val="0"/>
              <w:snapToGrid w:val="0"/>
              <w:spacing w:after="0" w:line="240" w:lineRule="auto"/>
              <w:ind w:firstLineChars="0" w:firstLine="0"/>
              <w:jc w:val="center"/>
              <w:textAlignment w:val="center"/>
              <w:rPr>
                <w:rFonts w:cs="Times New Roman"/>
                <w:b/>
                <w:bCs/>
                <w:sz w:val="21"/>
                <w:szCs w:val="21"/>
              </w:rPr>
            </w:pPr>
            <w:r>
              <w:rPr>
                <w:rFonts w:cs="Times New Roman"/>
                <w:b/>
                <w:bCs/>
                <w:kern w:val="0"/>
                <w:sz w:val="21"/>
                <w:szCs w:val="21"/>
                <w:lang w:bidi="ar"/>
              </w:rPr>
              <w:t>与上月相比</w:t>
            </w:r>
          </w:p>
        </w:tc>
      </w:tr>
      <w:tr w:rsidR="00544649" w14:paraId="6BD8725F" w14:textId="77777777">
        <w:trPr>
          <w:jc w:val="center"/>
        </w:trPr>
        <w:tc>
          <w:tcPr>
            <w:tcW w:w="1210" w:type="dxa"/>
            <w:vMerge w:val="restart"/>
            <w:tcBorders>
              <w:top w:val="single" w:sz="4" w:space="0" w:color="000000"/>
              <w:left w:val="single" w:sz="4" w:space="0" w:color="000000"/>
              <w:right w:val="single" w:sz="4" w:space="0" w:color="000000"/>
            </w:tcBorders>
            <w:shd w:val="clear" w:color="auto" w:fill="auto"/>
            <w:vAlign w:val="center"/>
          </w:tcPr>
          <w:p w14:paraId="3D23D16C"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r>
              <w:rPr>
                <w:rFonts w:cs="Times New Roman"/>
                <w:sz w:val="21"/>
                <w:szCs w:val="21"/>
              </w:rPr>
              <w:lastRenderedPageBreak/>
              <w:t>嘉陵江干流</w:t>
            </w: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60177"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proofErr w:type="gramStart"/>
            <w:r>
              <w:rPr>
                <w:rFonts w:cs="Times New Roman"/>
                <w:kern w:val="0"/>
                <w:sz w:val="21"/>
                <w:szCs w:val="21"/>
                <w:lang w:bidi="ar"/>
              </w:rPr>
              <w:t>元西村</w:t>
            </w:r>
            <w:proofErr w:type="gramEnd"/>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2F4EB"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r>
              <w:rPr>
                <w:rFonts w:cs="Times New Roman"/>
                <w:kern w:val="0"/>
                <w:sz w:val="21"/>
                <w:szCs w:val="21"/>
                <w:lang w:bidi="ar"/>
              </w:rPr>
              <w:t>Ⅲ</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14:paraId="1D4AA82D"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r>
              <w:rPr>
                <w:rFonts w:cs="Times New Roman" w:hint="eastAsia"/>
                <w:sz w:val="21"/>
                <w:szCs w:val="21"/>
              </w:rPr>
              <w:t>I</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542280CA"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r>
              <w:rPr>
                <w:rFonts w:cs="Times New Roman" w:hint="eastAsia"/>
                <w:sz w:val="21"/>
                <w:szCs w:val="21"/>
              </w:rPr>
              <w:t>I</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3B94C"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r>
              <w:rPr>
                <w:rFonts w:cs="Times New Roman"/>
                <w:sz w:val="21"/>
                <w:szCs w:val="21"/>
              </w:rPr>
              <w:t>无明显变化</w:t>
            </w:r>
          </w:p>
        </w:tc>
      </w:tr>
      <w:tr w:rsidR="00544649" w14:paraId="1FDF6391" w14:textId="77777777">
        <w:trPr>
          <w:jc w:val="center"/>
        </w:trPr>
        <w:tc>
          <w:tcPr>
            <w:tcW w:w="1210" w:type="dxa"/>
            <w:vMerge/>
            <w:tcBorders>
              <w:left w:val="single" w:sz="4" w:space="0" w:color="000000"/>
              <w:right w:val="single" w:sz="4" w:space="0" w:color="000000"/>
            </w:tcBorders>
            <w:shd w:val="clear" w:color="auto" w:fill="auto"/>
            <w:vAlign w:val="center"/>
          </w:tcPr>
          <w:p w14:paraId="69A89794" w14:textId="77777777" w:rsidR="00544649" w:rsidRDefault="00544649">
            <w:pPr>
              <w:widowControl/>
              <w:adjustRightInd w:val="0"/>
              <w:snapToGrid w:val="0"/>
              <w:spacing w:after="0" w:line="240" w:lineRule="auto"/>
              <w:ind w:firstLineChars="0" w:firstLine="0"/>
              <w:jc w:val="center"/>
              <w:rPr>
                <w:rFonts w:cs="Times New Roman"/>
                <w:sz w:val="21"/>
                <w:szCs w:val="21"/>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BE65B"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r>
              <w:rPr>
                <w:rFonts w:cs="Times New Roman"/>
                <w:kern w:val="0"/>
                <w:sz w:val="21"/>
                <w:szCs w:val="21"/>
                <w:lang w:bidi="ar"/>
              </w:rPr>
              <w:t>上石盘</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0DF84"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r>
              <w:rPr>
                <w:rFonts w:cs="Times New Roman"/>
                <w:kern w:val="0"/>
                <w:sz w:val="21"/>
                <w:szCs w:val="21"/>
                <w:lang w:bidi="ar"/>
              </w:rPr>
              <w:t>Ⅲ</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14:paraId="799B961A"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r>
              <w:rPr>
                <w:rFonts w:cs="Times New Roman" w:hint="eastAsia"/>
                <w:sz w:val="21"/>
                <w:szCs w:val="21"/>
              </w:rPr>
              <w:t>I</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60DA6AC4"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r>
              <w:rPr>
                <w:rFonts w:cs="Times New Roman" w:hint="eastAsia"/>
                <w:sz w:val="21"/>
                <w:szCs w:val="21"/>
              </w:rPr>
              <w:t>I</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EBCD7"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r>
              <w:rPr>
                <w:rFonts w:cs="Times New Roman"/>
                <w:sz w:val="21"/>
                <w:szCs w:val="21"/>
              </w:rPr>
              <w:t>无明显变化</w:t>
            </w:r>
          </w:p>
        </w:tc>
      </w:tr>
      <w:tr w:rsidR="00544649" w14:paraId="1DD8397E" w14:textId="77777777">
        <w:trPr>
          <w:jc w:val="center"/>
        </w:trPr>
        <w:tc>
          <w:tcPr>
            <w:tcW w:w="1210" w:type="dxa"/>
            <w:vMerge/>
            <w:tcBorders>
              <w:left w:val="single" w:sz="4" w:space="0" w:color="000000"/>
              <w:right w:val="single" w:sz="4" w:space="0" w:color="000000"/>
            </w:tcBorders>
            <w:shd w:val="clear" w:color="auto" w:fill="auto"/>
            <w:vAlign w:val="center"/>
          </w:tcPr>
          <w:p w14:paraId="57FB74E3" w14:textId="77777777" w:rsidR="00544649" w:rsidRDefault="00544649">
            <w:pPr>
              <w:widowControl/>
              <w:adjustRightInd w:val="0"/>
              <w:snapToGrid w:val="0"/>
              <w:spacing w:after="0" w:line="240" w:lineRule="auto"/>
              <w:ind w:firstLineChars="0" w:firstLine="0"/>
              <w:jc w:val="center"/>
              <w:rPr>
                <w:rFonts w:cs="Times New Roman"/>
                <w:sz w:val="21"/>
                <w:szCs w:val="21"/>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FFFAE"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r>
              <w:rPr>
                <w:rFonts w:cs="Times New Roman"/>
                <w:kern w:val="0"/>
                <w:sz w:val="21"/>
                <w:szCs w:val="21"/>
                <w:lang w:bidi="ar"/>
              </w:rPr>
              <w:t>红岩</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0A089"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r>
              <w:rPr>
                <w:rFonts w:cs="Times New Roman"/>
                <w:kern w:val="0"/>
                <w:sz w:val="21"/>
                <w:szCs w:val="21"/>
                <w:lang w:bidi="ar"/>
              </w:rPr>
              <w:t>Ⅲ</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B77F1"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r>
              <w:rPr>
                <w:rFonts w:cs="Times New Roman"/>
                <w:kern w:val="0"/>
                <w:sz w:val="21"/>
                <w:szCs w:val="21"/>
                <w:lang w:bidi="ar"/>
              </w:rPr>
              <w:t>Ⅱ</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6A954006"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r>
              <w:rPr>
                <w:rFonts w:cs="Times New Roman" w:hint="eastAsia"/>
                <w:sz w:val="21"/>
                <w:szCs w:val="21"/>
              </w:rPr>
              <w:t>I</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62076" w14:textId="77777777" w:rsidR="00544649" w:rsidRDefault="00000000">
            <w:pPr>
              <w:widowControl/>
              <w:adjustRightInd w:val="0"/>
              <w:snapToGrid w:val="0"/>
              <w:spacing w:after="0" w:line="240" w:lineRule="auto"/>
              <w:ind w:firstLineChars="0" w:firstLine="0"/>
              <w:jc w:val="center"/>
              <w:textAlignment w:val="center"/>
              <w:rPr>
                <w:rFonts w:cs="Times New Roman"/>
                <w:sz w:val="21"/>
                <w:szCs w:val="21"/>
              </w:rPr>
            </w:pPr>
            <w:r>
              <w:rPr>
                <w:rFonts w:cs="Times New Roman"/>
                <w:kern w:val="0"/>
                <w:sz w:val="21"/>
                <w:szCs w:val="21"/>
                <w:lang w:bidi="ar"/>
              </w:rPr>
              <w:t>有所</w:t>
            </w:r>
            <w:r>
              <w:rPr>
                <w:rFonts w:cs="Times New Roman" w:hint="eastAsia"/>
                <w:kern w:val="0"/>
                <w:sz w:val="21"/>
                <w:szCs w:val="21"/>
                <w:lang w:bidi="ar"/>
              </w:rPr>
              <w:t>好转</w:t>
            </w:r>
          </w:p>
        </w:tc>
      </w:tr>
      <w:tr w:rsidR="00544649" w14:paraId="01876E30" w14:textId="77777777">
        <w:trPr>
          <w:jc w:val="center"/>
        </w:trPr>
        <w:tc>
          <w:tcPr>
            <w:tcW w:w="1210" w:type="dxa"/>
            <w:vMerge/>
            <w:tcBorders>
              <w:left w:val="single" w:sz="4" w:space="0" w:color="000000"/>
              <w:right w:val="single" w:sz="4" w:space="0" w:color="000000"/>
            </w:tcBorders>
            <w:shd w:val="clear" w:color="auto" w:fill="auto"/>
            <w:vAlign w:val="center"/>
          </w:tcPr>
          <w:p w14:paraId="0B225C89" w14:textId="77777777" w:rsidR="00544649" w:rsidRDefault="00544649">
            <w:pPr>
              <w:widowControl/>
              <w:adjustRightInd w:val="0"/>
              <w:snapToGrid w:val="0"/>
              <w:spacing w:after="0" w:line="240" w:lineRule="auto"/>
              <w:ind w:firstLineChars="0" w:firstLine="0"/>
              <w:jc w:val="center"/>
              <w:rPr>
                <w:rFonts w:cs="Times New Roman"/>
                <w:sz w:val="21"/>
                <w:szCs w:val="21"/>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4AB5E" w14:textId="77777777" w:rsidR="00544649" w:rsidRDefault="00000000">
            <w:pPr>
              <w:widowControl/>
              <w:adjustRightInd w:val="0"/>
              <w:snapToGrid w:val="0"/>
              <w:spacing w:after="0" w:line="240" w:lineRule="auto"/>
              <w:ind w:firstLineChars="0" w:firstLine="0"/>
              <w:jc w:val="center"/>
              <w:textAlignment w:val="center"/>
              <w:rPr>
                <w:rFonts w:cs="Times New Roman"/>
                <w:kern w:val="0"/>
                <w:sz w:val="21"/>
                <w:szCs w:val="21"/>
                <w:lang w:bidi="ar"/>
              </w:rPr>
            </w:pPr>
            <w:r>
              <w:rPr>
                <w:rFonts w:cs="Times New Roman"/>
                <w:kern w:val="0"/>
                <w:sz w:val="21"/>
                <w:szCs w:val="21"/>
                <w:lang w:bidi="ar"/>
              </w:rPr>
              <w:t>金银渡</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256F0673" w14:textId="77777777" w:rsidR="00544649" w:rsidRDefault="00000000">
            <w:pPr>
              <w:widowControl/>
              <w:adjustRightInd w:val="0"/>
              <w:snapToGrid w:val="0"/>
              <w:spacing w:after="0" w:line="240" w:lineRule="auto"/>
              <w:ind w:firstLineChars="0" w:firstLine="0"/>
              <w:jc w:val="center"/>
              <w:textAlignment w:val="center"/>
              <w:rPr>
                <w:rFonts w:cs="Times New Roman"/>
                <w:kern w:val="0"/>
                <w:sz w:val="21"/>
                <w:szCs w:val="21"/>
                <w:lang w:bidi="ar"/>
              </w:rPr>
            </w:pPr>
            <w:r>
              <w:rPr>
                <w:rFonts w:cs="Times New Roman"/>
                <w:kern w:val="0"/>
                <w:sz w:val="21"/>
                <w:szCs w:val="21"/>
                <w:lang w:bidi="ar"/>
              </w:rPr>
              <w:t>Ⅲ</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14:paraId="2F572054" w14:textId="77777777" w:rsidR="00544649" w:rsidRDefault="00000000">
            <w:pPr>
              <w:widowControl/>
              <w:adjustRightInd w:val="0"/>
              <w:snapToGrid w:val="0"/>
              <w:spacing w:after="0" w:line="240" w:lineRule="auto"/>
              <w:ind w:firstLineChars="0" w:firstLine="0"/>
              <w:jc w:val="center"/>
              <w:textAlignment w:val="center"/>
              <w:rPr>
                <w:rStyle w:val="font71"/>
                <w:rFonts w:ascii="Times New Roman" w:hAnsi="Times New Roman" w:cs="Times New Roman"/>
                <w:color w:val="auto"/>
                <w:sz w:val="21"/>
                <w:szCs w:val="21"/>
                <w:lang w:bidi="ar"/>
              </w:rPr>
            </w:pPr>
            <w:r>
              <w:rPr>
                <w:rFonts w:cs="Times New Roman"/>
                <w:kern w:val="0"/>
                <w:sz w:val="21"/>
                <w:szCs w:val="21"/>
                <w:lang w:bidi="ar"/>
              </w:rPr>
              <w:t>Ⅱ</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3C7FF2FC" w14:textId="77777777" w:rsidR="00544649" w:rsidRDefault="00000000">
            <w:pPr>
              <w:widowControl/>
              <w:adjustRightInd w:val="0"/>
              <w:snapToGrid w:val="0"/>
              <w:spacing w:after="0" w:line="240" w:lineRule="auto"/>
              <w:ind w:firstLineChars="0" w:firstLine="0"/>
              <w:jc w:val="center"/>
              <w:textAlignment w:val="center"/>
              <w:rPr>
                <w:rFonts w:cs="Times New Roman"/>
                <w:kern w:val="0"/>
                <w:sz w:val="21"/>
                <w:szCs w:val="21"/>
                <w:lang w:bidi="ar"/>
              </w:rPr>
            </w:pPr>
            <w:r>
              <w:rPr>
                <w:rFonts w:cs="Times New Roman" w:hint="eastAsia"/>
                <w:sz w:val="21"/>
                <w:szCs w:val="21"/>
              </w:rPr>
              <w:t>I</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9776E" w14:textId="77777777" w:rsidR="00544649" w:rsidRDefault="00000000">
            <w:pPr>
              <w:widowControl/>
              <w:adjustRightInd w:val="0"/>
              <w:snapToGrid w:val="0"/>
              <w:spacing w:after="0" w:line="240" w:lineRule="auto"/>
              <w:ind w:firstLineChars="0" w:firstLine="0"/>
              <w:jc w:val="center"/>
              <w:textAlignment w:val="center"/>
              <w:rPr>
                <w:rFonts w:cs="Times New Roman"/>
                <w:kern w:val="0"/>
                <w:sz w:val="21"/>
                <w:szCs w:val="21"/>
                <w:lang w:bidi="ar"/>
              </w:rPr>
            </w:pPr>
            <w:r>
              <w:rPr>
                <w:rFonts w:cs="Times New Roman"/>
                <w:kern w:val="0"/>
                <w:sz w:val="21"/>
                <w:szCs w:val="21"/>
                <w:lang w:bidi="ar"/>
              </w:rPr>
              <w:t>有所</w:t>
            </w:r>
            <w:r>
              <w:rPr>
                <w:rFonts w:cs="Times New Roman" w:hint="eastAsia"/>
                <w:kern w:val="0"/>
                <w:sz w:val="21"/>
                <w:szCs w:val="21"/>
                <w:lang w:bidi="ar"/>
              </w:rPr>
              <w:t>好转</w:t>
            </w:r>
          </w:p>
        </w:tc>
      </w:tr>
      <w:tr w:rsidR="00544649" w14:paraId="0B14F635" w14:textId="77777777">
        <w:trPr>
          <w:jc w:val="center"/>
        </w:trPr>
        <w:tc>
          <w:tcPr>
            <w:tcW w:w="1210" w:type="dxa"/>
            <w:vMerge/>
            <w:tcBorders>
              <w:left w:val="single" w:sz="4" w:space="0" w:color="000000"/>
              <w:bottom w:val="single" w:sz="4" w:space="0" w:color="000000"/>
              <w:right w:val="single" w:sz="4" w:space="0" w:color="000000"/>
            </w:tcBorders>
            <w:shd w:val="clear" w:color="auto" w:fill="auto"/>
            <w:vAlign w:val="center"/>
          </w:tcPr>
          <w:p w14:paraId="439AD5E5" w14:textId="77777777" w:rsidR="00544649" w:rsidRDefault="00544649">
            <w:pPr>
              <w:widowControl/>
              <w:adjustRightInd w:val="0"/>
              <w:snapToGrid w:val="0"/>
              <w:spacing w:after="0" w:line="240" w:lineRule="auto"/>
              <w:ind w:firstLineChars="0" w:firstLine="0"/>
              <w:jc w:val="center"/>
              <w:rPr>
                <w:rFonts w:cs="Times New Roman"/>
                <w:sz w:val="21"/>
                <w:szCs w:val="21"/>
              </w:rPr>
            </w:pPr>
          </w:p>
        </w:tc>
        <w:tc>
          <w:tcPr>
            <w:tcW w:w="1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C7D59" w14:textId="77777777" w:rsidR="00544649" w:rsidRDefault="00000000">
            <w:pPr>
              <w:widowControl/>
              <w:adjustRightInd w:val="0"/>
              <w:snapToGrid w:val="0"/>
              <w:spacing w:after="0" w:line="240" w:lineRule="auto"/>
              <w:ind w:firstLineChars="0" w:firstLine="0"/>
              <w:jc w:val="center"/>
              <w:textAlignment w:val="center"/>
              <w:rPr>
                <w:rFonts w:cs="Times New Roman"/>
                <w:kern w:val="0"/>
                <w:sz w:val="21"/>
                <w:szCs w:val="21"/>
                <w:lang w:bidi="ar"/>
              </w:rPr>
            </w:pPr>
            <w:r>
              <w:rPr>
                <w:rFonts w:cs="Times New Roman"/>
                <w:kern w:val="0"/>
                <w:sz w:val="21"/>
                <w:szCs w:val="21"/>
                <w:lang w:bidi="ar"/>
              </w:rPr>
              <w:t>沙溪</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48318564" w14:textId="77777777" w:rsidR="00544649" w:rsidRDefault="00000000">
            <w:pPr>
              <w:widowControl/>
              <w:adjustRightInd w:val="0"/>
              <w:snapToGrid w:val="0"/>
              <w:spacing w:after="0" w:line="240" w:lineRule="auto"/>
              <w:ind w:firstLineChars="0" w:firstLine="0"/>
              <w:jc w:val="center"/>
              <w:textAlignment w:val="center"/>
              <w:rPr>
                <w:rFonts w:cs="Times New Roman"/>
                <w:kern w:val="0"/>
                <w:sz w:val="21"/>
                <w:szCs w:val="21"/>
                <w:lang w:bidi="ar"/>
              </w:rPr>
            </w:pPr>
            <w:r>
              <w:rPr>
                <w:rFonts w:cs="Times New Roman"/>
                <w:kern w:val="0"/>
                <w:sz w:val="21"/>
                <w:szCs w:val="21"/>
                <w:lang w:bidi="ar"/>
              </w:rPr>
              <w:t>Ⅲ</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14:paraId="2ED720CD" w14:textId="77777777" w:rsidR="00544649" w:rsidRDefault="00000000">
            <w:pPr>
              <w:widowControl/>
              <w:adjustRightInd w:val="0"/>
              <w:snapToGrid w:val="0"/>
              <w:spacing w:after="0" w:line="240" w:lineRule="auto"/>
              <w:ind w:firstLineChars="0" w:firstLine="0"/>
              <w:jc w:val="center"/>
              <w:textAlignment w:val="center"/>
              <w:rPr>
                <w:rStyle w:val="font71"/>
                <w:rFonts w:ascii="Times New Roman" w:hAnsi="Times New Roman" w:cs="Times New Roman"/>
                <w:color w:val="auto"/>
                <w:sz w:val="21"/>
                <w:szCs w:val="21"/>
                <w:lang w:bidi="ar"/>
              </w:rPr>
            </w:pPr>
            <w:r>
              <w:rPr>
                <w:rFonts w:cs="Times New Roman" w:hint="eastAsia"/>
                <w:sz w:val="21"/>
                <w:szCs w:val="21"/>
              </w:rPr>
              <w:t>I</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14:paraId="0E12194A" w14:textId="77777777" w:rsidR="00544649" w:rsidRDefault="00000000">
            <w:pPr>
              <w:widowControl/>
              <w:adjustRightInd w:val="0"/>
              <w:snapToGrid w:val="0"/>
              <w:spacing w:after="0" w:line="240" w:lineRule="auto"/>
              <w:ind w:firstLineChars="0" w:firstLine="0"/>
              <w:jc w:val="center"/>
              <w:textAlignment w:val="center"/>
              <w:rPr>
                <w:rFonts w:cs="Times New Roman"/>
                <w:kern w:val="0"/>
                <w:sz w:val="21"/>
                <w:szCs w:val="21"/>
                <w:lang w:bidi="ar"/>
              </w:rPr>
            </w:pPr>
            <w:r>
              <w:rPr>
                <w:rFonts w:cs="Times New Roman" w:hint="eastAsia"/>
                <w:sz w:val="21"/>
                <w:szCs w:val="21"/>
              </w:rPr>
              <w:t>I</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0E3ED" w14:textId="77777777" w:rsidR="00544649" w:rsidRDefault="00000000">
            <w:pPr>
              <w:widowControl/>
              <w:adjustRightInd w:val="0"/>
              <w:snapToGrid w:val="0"/>
              <w:spacing w:after="0" w:line="240" w:lineRule="auto"/>
              <w:ind w:firstLineChars="0" w:firstLine="0"/>
              <w:jc w:val="center"/>
              <w:textAlignment w:val="center"/>
              <w:rPr>
                <w:rFonts w:cs="Times New Roman"/>
                <w:kern w:val="0"/>
                <w:sz w:val="21"/>
                <w:szCs w:val="21"/>
                <w:lang w:bidi="ar"/>
              </w:rPr>
            </w:pPr>
            <w:r>
              <w:rPr>
                <w:rFonts w:cs="Times New Roman"/>
                <w:sz w:val="21"/>
                <w:szCs w:val="21"/>
              </w:rPr>
              <w:t>无明显变化</w:t>
            </w:r>
          </w:p>
        </w:tc>
      </w:tr>
    </w:tbl>
    <w:p w14:paraId="3E361370" w14:textId="77777777" w:rsidR="00544649" w:rsidRDefault="00000000">
      <w:pPr>
        <w:adjustRightInd w:val="0"/>
        <w:snapToGrid w:val="0"/>
        <w:spacing w:beforeLines="50" w:before="156" w:after="0"/>
        <w:ind w:firstLine="480"/>
        <w:rPr>
          <w:rFonts w:cs="Times New Roman"/>
          <w:kern w:val="21"/>
        </w:rPr>
      </w:pPr>
      <w:r>
        <w:rPr>
          <w:rFonts w:hint="eastAsia"/>
        </w:rPr>
        <w:t>本项目附近地表水体为嘉陵江，由上表可知，嘉陵江</w:t>
      </w:r>
      <w:proofErr w:type="gramStart"/>
      <w:r>
        <w:rPr>
          <w:rFonts w:hint="eastAsia"/>
        </w:rPr>
        <w:t>干流元西</w:t>
      </w:r>
      <w:proofErr w:type="gramEnd"/>
      <w:r>
        <w:rPr>
          <w:rFonts w:hint="eastAsia"/>
        </w:rPr>
        <w:t>村、上石盘、红岩、金银渡、沙溪监测断面水质均达到《地表水环境质量标准》（</w:t>
      </w:r>
      <w:r>
        <w:rPr>
          <w:rFonts w:hint="eastAsia"/>
        </w:rPr>
        <w:t>GB3838-2002</w:t>
      </w:r>
      <w:r>
        <w:rPr>
          <w:rFonts w:hint="eastAsia"/>
        </w:rPr>
        <w:t>）</w:t>
      </w:r>
      <w:r>
        <w:t>Ⅲ</w:t>
      </w:r>
      <w:r>
        <w:t>类水体标</w:t>
      </w:r>
      <w:r>
        <w:rPr>
          <w:rFonts w:hint="eastAsia"/>
        </w:rPr>
        <w:t>准。</w:t>
      </w:r>
      <w:r>
        <w:rPr>
          <w:rFonts w:hint="eastAsia"/>
          <w:szCs w:val="24"/>
        </w:rPr>
        <w:t>本项目距离最近监测断面为红岩断面，根据监测结果可知，红岩水质实测类别为</w:t>
      </w:r>
      <w:r>
        <w:rPr>
          <w:rFonts w:cs="Times New Roman"/>
          <w:kern w:val="0"/>
          <w:szCs w:val="24"/>
          <w:lang w:bidi="ar"/>
        </w:rPr>
        <w:t>Ⅱ</w:t>
      </w:r>
      <w:r>
        <w:rPr>
          <w:rFonts w:cs="Times New Roman" w:hint="eastAsia"/>
          <w:kern w:val="0"/>
          <w:szCs w:val="24"/>
          <w:lang w:bidi="ar"/>
        </w:rPr>
        <w:t>类水质标准</w:t>
      </w:r>
      <w:r>
        <w:rPr>
          <w:rFonts w:hint="eastAsia"/>
          <w:szCs w:val="24"/>
        </w:rPr>
        <w:t>。因此区域地表水环境质量现状良好，水质达标</w:t>
      </w:r>
      <w:r>
        <w:rPr>
          <w:rFonts w:hint="eastAsia"/>
        </w:rPr>
        <w:t>。</w:t>
      </w:r>
    </w:p>
    <w:p w14:paraId="3B9494C4"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283" w:name="_Toc195009868"/>
      <w:r>
        <w:rPr>
          <w:rFonts w:cs="Times New Roman" w:hint="eastAsia"/>
          <w:b/>
          <w:bCs/>
          <w:kern w:val="21"/>
          <w:sz w:val="32"/>
          <w:szCs w:val="32"/>
        </w:rPr>
        <w:t>地下水环境</w:t>
      </w:r>
      <w:r>
        <w:rPr>
          <w:rFonts w:cs="Times New Roman"/>
          <w:b/>
          <w:bCs/>
          <w:kern w:val="21"/>
          <w:sz w:val="32"/>
          <w:szCs w:val="32"/>
        </w:rPr>
        <w:t>质量现状与评价</w:t>
      </w:r>
      <w:bookmarkEnd w:id="283"/>
    </w:p>
    <w:p w14:paraId="4E1BFE51" w14:textId="77777777" w:rsidR="00544649" w:rsidRDefault="00000000">
      <w:pPr>
        <w:adjustRightInd w:val="0"/>
        <w:snapToGrid w:val="0"/>
        <w:spacing w:after="0"/>
        <w:ind w:firstLine="480"/>
        <w:rPr>
          <w:kern w:val="21"/>
        </w:rPr>
      </w:pPr>
      <w:r>
        <w:rPr>
          <w:rFonts w:cs="Times New Roman"/>
          <w:kern w:val="21"/>
          <w:szCs w:val="24"/>
        </w:rPr>
        <w:t>为了解区域地下水情况，本次评价对项目区域的地下水进行了现状监测。根据《环境影响评价技术导则地下水环境》（</w:t>
      </w:r>
      <w:r>
        <w:rPr>
          <w:rFonts w:cs="Times New Roman"/>
          <w:kern w:val="21"/>
          <w:szCs w:val="24"/>
        </w:rPr>
        <w:t>HJ610-</w:t>
      </w:r>
      <w:r>
        <w:rPr>
          <w:rFonts w:cs="Times New Roman"/>
          <w:kern w:val="21"/>
        </w:rPr>
        <w:t>2016</w:t>
      </w:r>
      <w:r>
        <w:rPr>
          <w:rFonts w:cs="Times New Roman"/>
          <w:kern w:val="21"/>
          <w:szCs w:val="24"/>
        </w:rPr>
        <w:t>）要求，本项目地下水现状监测布设</w:t>
      </w:r>
      <w:r>
        <w:rPr>
          <w:rFonts w:cs="Times New Roman"/>
          <w:kern w:val="21"/>
          <w:szCs w:val="24"/>
        </w:rPr>
        <w:t>3</w:t>
      </w:r>
      <w:r>
        <w:rPr>
          <w:rFonts w:cs="Times New Roman"/>
          <w:kern w:val="21"/>
          <w:szCs w:val="24"/>
        </w:rPr>
        <w:t>个水质</w:t>
      </w:r>
      <w:r>
        <w:rPr>
          <w:rFonts w:cs="Times New Roman" w:hint="eastAsia"/>
          <w:kern w:val="21"/>
          <w:szCs w:val="24"/>
        </w:rPr>
        <w:t>监测</w:t>
      </w:r>
      <w:r>
        <w:rPr>
          <w:rFonts w:cs="Times New Roman"/>
          <w:kern w:val="21"/>
          <w:szCs w:val="24"/>
        </w:rPr>
        <w:t>点，</w:t>
      </w:r>
      <w:r>
        <w:rPr>
          <w:rFonts w:cs="Times New Roman" w:hint="eastAsia"/>
          <w:kern w:val="21"/>
          <w:szCs w:val="24"/>
        </w:rPr>
        <w:t>6</w:t>
      </w:r>
      <w:r>
        <w:rPr>
          <w:rFonts w:cs="Times New Roman"/>
          <w:kern w:val="21"/>
          <w:szCs w:val="24"/>
        </w:rPr>
        <w:t>个水位</w:t>
      </w:r>
      <w:r>
        <w:rPr>
          <w:rFonts w:cs="Times New Roman" w:hint="eastAsia"/>
          <w:kern w:val="21"/>
          <w:szCs w:val="24"/>
        </w:rPr>
        <w:t>监测</w:t>
      </w:r>
      <w:r>
        <w:rPr>
          <w:rFonts w:cs="Times New Roman"/>
          <w:kern w:val="21"/>
          <w:szCs w:val="24"/>
        </w:rPr>
        <w:t>点。</w:t>
      </w:r>
    </w:p>
    <w:p w14:paraId="22F83E79" w14:textId="77777777" w:rsidR="00544649" w:rsidRDefault="00000000">
      <w:pPr>
        <w:keepNext/>
        <w:keepLines/>
        <w:numPr>
          <w:ilvl w:val="2"/>
          <w:numId w:val="9"/>
        </w:numPr>
        <w:adjustRightInd w:val="0"/>
        <w:snapToGrid w:val="0"/>
        <w:spacing w:after="0"/>
        <w:ind w:firstLineChars="0"/>
        <w:jc w:val="left"/>
        <w:outlineLvl w:val="2"/>
        <w:rPr>
          <w:rFonts w:cs="Times New Roman"/>
          <w:b/>
          <w:kern w:val="21"/>
        </w:rPr>
      </w:pPr>
      <w:bookmarkStart w:id="284" w:name="_Toc26521"/>
      <w:bookmarkStart w:id="285" w:name="_Toc195009869"/>
      <w:r>
        <w:rPr>
          <w:rFonts w:cs="Times New Roman" w:hint="eastAsia"/>
          <w:b/>
          <w:kern w:val="21"/>
          <w:sz w:val="28"/>
          <w:szCs w:val="28"/>
        </w:rPr>
        <w:t>地下水水质</w:t>
      </w:r>
      <w:bookmarkEnd w:id="284"/>
      <w:bookmarkEnd w:id="285"/>
    </w:p>
    <w:p w14:paraId="288161A7"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一、监测点位及监测因子</w:t>
      </w:r>
    </w:p>
    <w:p w14:paraId="068C1844" w14:textId="77777777" w:rsidR="00544649" w:rsidRDefault="00000000">
      <w:pPr>
        <w:adjustRightInd w:val="0"/>
        <w:snapToGrid w:val="0"/>
        <w:spacing w:after="0"/>
        <w:ind w:firstLine="480"/>
        <w:rPr>
          <w:rFonts w:cs="Times New Roman"/>
          <w:kern w:val="21"/>
        </w:rPr>
      </w:pPr>
      <w:r>
        <w:rPr>
          <w:rFonts w:cs="Times New Roman" w:hint="eastAsia"/>
          <w:kern w:val="21"/>
        </w:rPr>
        <w:t>地下水质量监测内容</w:t>
      </w:r>
      <w:r>
        <w:rPr>
          <w:rFonts w:cs="Times New Roman"/>
          <w:kern w:val="21"/>
        </w:rPr>
        <w:t>见下</w:t>
      </w:r>
      <w:r>
        <w:rPr>
          <w:rFonts w:cs="Times New Roman" w:hint="eastAsia"/>
          <w:kern w:val="21"/>
        </w:rPr>
        <w:t>表</w:t>
      </w:r>
      <w:r>
        <w:rPr>
          <w:rFonts w:cs="Times New Roman"/>
          <w:kern w:val="21"/>
        </w:rPr>
        <w:t>。</w:t>
      </w:r>
    </w:p>
    <w:p w14:paraId="478B9EF3" w14:textId="77777777" w:rsidR="00544649" w:rsidRDefault="00000000">
      <w:pPr>
        <w:numPr>
          <w:ilvl w:val="0"/>
          <w:numId w:val="26"/>
        </w:numPr>
        <w:adjustRightInd w:val="0"/>
        <w:snapToGrid w:val="0"/>
        <w:spacing w:beforeLines="20" w:before="62" w:afterLines="20" w:after="62" w:line="240" w:lineRule="auto"/>
        <w:ind w:left="0" w:firstLineChars="0" w:firstLine="0"/>
        <w:jc w:val="center"/>
        <w:rPr>
          <w:rFonts w:cs="Times New Roman"/>
          <w:b/>
          <w:bCs/>
          <w:kern w:val="21"/>
          <w:sz w:val="21"/>
          <w:szCs w:val="21"/>
        </w:rPr>
      </w:pPr>
      <w:r>
        <w:rPr>
          <w:rFonts w:cs="Times New Roman"/>
          <w:b/>
          <w:bCs/>
          <w:kern w:val="21"/>
          <w:sz w:val="21"/>
          <w:szCs w:val="21"/>
        </w:rPr>
        <w:t>地下水质量监测方案</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3294"/>
        <w:gridCol w:w="2897"/>
        <w:gridCol w:w="1125"/>
        <w:gridCol w:w="959"/>
      </w:tblGrid>
      <w:tr w:rsidR="00544649" w14:paraId="1B86D859" w14:textId="77777777">
        <w:trPr>
          <w:trHeight w:val="386"/>
          <w:tblHeader/>
          <w:jc w:val="center"/>
        </w:trPr>
        <w:tc>
          <w:tcPr>
            <w:tcW w:w="785" w:type="dxa"/>
            <w:vAlign w:val="center"/>
          </w:tcPr>
          <w:p w14:paraId="525DBD99"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序号</w:t>
            </w:r>
          </w:p>
        </w:tc>
        <w:tc>
          <w:tcPr>
            <w:tcW w:w="3294" w:type="dxa"/>
            <w:vAlign w:val="center"/>
          </w:tcPr>
          <w:p w14:paraId="713F70F1"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监测点位</w:t>
            </w:r>
          </w:p>
        </w:tc>
        <w:tc>
          <w:tcPr>
            <w:tcW w:w="2897" w:type="dxa"/>
            <w:vAlign w:val="center"/>
          </w:tcPr>
          <w:p w14:paraId="29DCD001"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监测因子</w:t>
            </w:r>
          </w:p>
        </w:tc>
        <w:tc>
          <w:tcPr>
            <w:tcW w:w="1125" w:type="dxa"/>
            <w:vAlign w:val="center"/>
          </w:tcPr>
          <w:p w14:paraId="172472FC"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监测频次</w:t>
            </w:r>
          </w:p>
        </w:tc>
        <w:tc>
          <w:tcPr>
            <w:tcW w:w="959" w:type="dxa"/>
            <w:vAlign w:val="center"/>
          </w:tcPr>
          <w:p w14:paraId="6C5BDEFF"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备注</w:t>
            </w:r>
          </w:p>
        </w:tc>
      </w:tr>
      <w:tr w:rsidR="00544649" w14:paraId="6EA982E1" w14:textId="77777777">
        <w:trPr>
          <w:trHeight w:val="348"/>
          <w:jc w:val="center"/>
        </w:trPr>
        <w:tc>
          <w:tcPr>
            <w:tcW w:w="785" w:type="dxa"/>
            <w:vAlign w:val="center"/>
          </w:tcPr>
          <w:p w14:paraId="1F267D9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D1</w:t>
            </w:r>
          </w:p>
        </w:tc>
        <w:tc>
          <w:tcPr>
            <w:tcW w:w="3294" w:type="dxa"/>
            <w:vAlign w:val="center"/>
          </w:tcPr>
          <w:p w14:paraId="22ADBB1E"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项目所在地上游（项目</w:t>
            </w:r>
            <w:proofErr w:type="gramStart"/>
            <w:r>
              <w:rPr>
                <w:rFonts w:cs="Times New Roman" w:hint="eastAsia"/>
                <w:kern w:val="21"/>
                <w:szCs w:val="21"/>
              </w:rPr>
              <w:t>育雏场</w:t>
            </w:r>
            <w:proofErr w:type="gramEnd"/>
            <w:r>
              <w:rPr>
                <w:rFonts w:cs="Times New Roman"/>
                <w:kern w:val="21"/>
                <w:szCs w:val="21"/>
              </w:rPr>
              <w:t>北侧）</w:t>
            </w:r>
          </w:p>
        </w:tc>
        <w:tc>
          <w:tcPr>
            <w:tcW w:w="2897" w:type="dxa"/>
            <w:vMerge w:val="restart"/>
            <w:vAlign w:val="center"/>
          </w:tcPr>
          <w:p w14:paraId="7DF02185"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K</w:t>
            </w:r>
            <w:r>
              <w:rPr>
                <w:rFonts w:cs="Times New Roman"/>
                <w:kern w:val="21"/>
                <w:sz w:val="21"/>
                <w:szCs w:val="21"/>
                <w:vertAlign w:val="superscript"/>
              </w:rPr>
              <w:t>+</w:t>
            </w:r>
            <w:r>
              <w:rPr>
                <w:rFonts w:cs="Times New Roman"/>
                <w:kern w:val="21"/>
                <w:sz w:val="21"/>
                <w:szCs w:val="21"/>
              </w:rPr>
              <w:t>、</w:t>
            </w:r>
            <w:r>
              <w:rPr>
                <w:rFonts w:cs="Times New Roman"/>
                <w:kern w:val="21"/>
                <w:sz w:val="21"/>
                <w:szCs w:val="21"/>
              </w:rPr>
              <w:t>Na</w:t>
            </w:r>
            <w:r>
              <w:rPr>
                <w:rFonts w:cs="Times New Roman"/>
                <w:kern w:val="21"/>
                <w:sz w:val="21"/>
                <w:szCs w:val="21"/>
                <w:vertAlign w:val="superscript"/>
              </w:rPr>
              <w:t>+</w:t>
            </w:r>
            <w:r>
              <w:rPr>
                <w:rFonts w:cs="Times New Roman"/>
                <w:kern w:val="21"/>
                <w:sz w:val="21"/>
                <w:szCs w:val="21"/>
              </w:rPr>
              <w:t>、</w:t>
            </w:r>
            <w:r>
              <w:rPr>
                <w:rFonts w:cs="Times New Roman"/>
                <w:kern w:val="21"/>
                <w:sz w:val="21"/>
                <w:szCs w:val="21"/>
              </w:rPr>
              <w:t>Ca</w:t>
            </w:r>
            <w:r>
              <w:rPr>
                <w:rFonts w:cs="Times New Roman"/>
                <w:kern w:val="21"/>
                <w:sz w:val="21"/>
                <w:szCs w:val="21"/>
                <w:vertAlign w:val="superscript"/>
              </w:rPr>
              <w:t>2+</w:t>
            </w:r>
            <w:r>
              <w:rPr>
                <w:rFonts w:cs="Times New Roman"/>
                <w:kern w:val="21"/>
                <w:sz w:val="21"/>
                <w:szCs w:val="21"/>
              </w:rPr>
              <w:t>、</w:t>
            </w:r>
            <w:r>
              <w:rPr>
                <w:rFonts w:cs="Times New Roman"/>
                <w:kern w:val="21"/>
                <w:sz w:val="21"/>
                <w:szCs w:val="21"/>
              </w:rPr>
              <w:t>Mg</w:t>
            </w:r>
            <w:r>
              <w:rPr>
                <w:rFonts w:cs="Times New Roman"/>
                <w:kern w:val="21"/>
                <w:sz w:val="21"/>
                <w:szCs w:val="21"/>
                <w:vertAlign w:val="superscript"/>
              </w:rPr>
              <w:t>2+</w:t>
            </w:r>
            <w:r>
              <w:rPr>
                <w:rFonts w:cs="Times New Roman"/>
                <w:kern w:val="21"/>
                <w:sz w:val="21"/>
                <w:szCs w:val="21"/>
              </w:rPr>
              <w:t>、</w:t>
            </w:r>
            <w:r>
              <w:rPr>
                <w:rFonts w:cs="Times New Roman"/>
                <w:kern w:val="21"/>
                <w:sz w:val="21"/>
                <w:szCs w:val="21"/>
              </w:rPr>
              <w:t>CO</w:t>
            </w:r>
            <w:r>
              <w:rPr>
                <w:rFonts w:cs="Times New Roman"/>
                <w:kern w:val="21"/>
                <w:sz w:val="21"/>
                <w:szCs w:val="21"/>
                <w:vertAlign w:val="subscript"/>
              </w:rPr>
              <w:t>3</w:t>
            </w:r>
            <w:r>
              <w:rPr>
                <w:rFonts w:cs="Times New Roman"/>
                <w:kern w:val="21"/>
                <w:sz w:val="21"/>
                <w:szCs w:val="21"/>
                <w:vertAlign w:val="superscript"/>
              </w:rPr>
              <w:t>2-</w:t>
            </w:r>
            <w:r>
              <w:rPr>
                <w:rFonts w:cs="Times New Roman"/>
                <w:kern w:val="21"/>
                <w:sz w:val="21"/>
                <w:szCs w:val="21"/>
              </w:rPr>
              <w:t>、</w:t>
            </w:r>
            <w:r>
              <w:rPr>
                <w:rFonts w:cs="Times New Roman"/>
                <w:kern w:val="21"/>
                <w:sz w:val="21"/>
                <w:szCs w:val="21"/>
              </w:rPr>
              <w:t>HCO</w:t>
            </w:r>
            <w:r>
              <w:rPr>
                <w:rFonts w:cs="Times New Roman"/>
                <w:kern w:val="21"/>
                <w:sz w:val="21"/>
                <w:szCs w:val="21"/>
                <w:vertAlign w:val="subscript"/>
              </w:rPr>
              <w:t>3</w:t>
            </w:r>
            <w:r>
              <w:rPr>
                <w:rFonts w:cs="Times New Roman"/>
                <w:kern w:val="21"/>
                <w:sz w:val="21"/>
                <w:szCs w:val="21"/>
                <w:vertAlign w:val="superscript"/>
              </w:rPr>
              <w:t>-</w:t>
            </w:r>
            <w:r>
              <w:rPr>
                <w:rFonts w:cs="Times New Roman"/>
                <w:kern w:val="21"/>
                <w:sz w:val="21"/>
                <w:szCs w:val="21"/>
              </w:rPr>
              <w:t>、</w:t>
            </w:r>
            <w:r>
              <w:rPr>
                <w:rFonts w:cs="Times New Roman"/>
                <w:kern w:val="21"/>
                <w:sz w:val="21"/>
                <w:szCs w:val="21"/>
              </w:rPr>
              <w:t>Cl</w:t>
            </w:r>
            <w:r>
              <w:rPr>
                <w:rFonts w:cs="Times New Roman"/>
                <w:kern w:val="21"/>
                <w:sz w:val="21"/>
                <w:szCs w:val="21"/>
                <w:vertAlign w:val="superscript"/>
              </w:rPr>
              <w:t>-</w:t>
            </w:r>
            <w:r>
              <w:rPr>
                <w:rFonts w:cs="Times New Roman"/>
                <w:kern w:val="21"/>
                <w:sz w:val="21"/>
                <w:szCs w:val="21"/>
              </w:rPr>
              <w:t>、</w:t>
            </w:r>
            <w:r>
              <w:rPr>
                <w:rFonts w:cs="Times New Roman"/>
                <w:kern w:val="21"/>
                <w:sz w:val="21"/>
                <w:szCs w:val="21"/>
              </w:rPr>
              <w:t>SO</w:t>
            </w:r>
            <w:r>
              <w:rPr>
                <w:rFonts w:cs="Times New Roman"/>
                <w:kern w:val="21"/>
                <w:sz w:val="21"/>
                <w:szCs w:val="21"/>
                <w:vertAlign w:val="subscript"/>
              </w:rPr>
              <w:t>4</w:t>
            </w:r>
            <w:r>
              <w:rPr>
                <w:rFonts w:cs="Times New Roman"/>
                <w:kern w:val="21"/>
                <w:sz w:val="21"/>
                <w:szCs w:val="21"/>
                <w:vertAlign w:val="superscript"/>
              </w:rPr>
              <w:t>2-</w:t>
            </w:r>
            <w:r>
              <w:rPr>
                <w:rFonts w:cs="Times New Roman"/>
                <w:kern w:val="21"/>
                <w:sz w:val="21"/>
                <w:szCs w:val="21"/>
              </w:rPr>
              <w:t>浓度、</w:t>
            </w:r>
            <w:r>
              <w:rPr>
                <w:rFonts w:cs="Times New Roman"/>
                <w:kern w:val="21"/>
                <w:sz w:val="21"/>
                <w:szCs w:val="21"/>
              </w:rPr>
              <w:t>pH</w:t>
            </w:r>
            <w:r>
              <w:rPr>
                <w:rFonts w:cs="Times New Roman"/>
                <w:kern w:val="21"/>
                <w:sz w:val="21"/>
                <w:szCs w:val="21"/>
              </w:rPr>
              <w:t>、氨氮、硝酸盐、总硬度、亚硝酸盐、溶解性总固体、耗氧量、总大肠菌群</w:t>
            </w:r>
          </w:p>
        </w:tc>
        <w:tc>
          <w:tcPr>
            <w:tcW w:w="1125" w:type="dxa"/>
            <w:vMerge w:val="restart"/>
            <w:vAlign w:val="center"/>
          </w:tcPr>
          <w:p w14:paraId="0042F14B"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连续监测</w:t>
            </w:r>
            <w:r>
              <w:rPr>
                <w:rFonts w:cs="Times New Roman"/>
                <w:kern w:val="21"/>
                <w:sz w:val="21"/>
                <w:szCs w:val="21"/>
              </w:rPr>
              <w:t>1</w:t>
            </w:r>
            <w:r>
              <w:rPr>
                <w:rFonts w:cs="Times New Roman"/>
                <w:kern w:val="21"/>
                <w:sz w:val="21"/>
                <w:szCs w:val="21"/>
              </w:rPr>
              <w:t>天，每天</w:t>
            </w:r>
            <w:r>
              <w:rPr>
                <w:rFonts w:cs="Times New Roman"/>
                <w:kern w:val="21"/>
                <w:sz w:val="21"/>
                <w:szCs w:val="21"/>
              </w:rPr>
              <w:t>1</w:t>
            </w:r>
            <w:r>
              <w:rPr>
                <w:rFonts w:cs="Times New Roman"/>
                <w:kern w:val="21"/>
                <w:sz w:val="21"/>
                <w:szCs w:val="21"/>
              </w:rPr>
              <w:t>次</w:t>
            </w:r>
          </w:p>
        </w:tc>
        <w:tc>
          <w:tcPr>
            <w:tcW w:w="959" w:type="dxa"/>
            <w:vMerge w:val="restart"/>
            <w:vAlign w:val="center"/>
          </w:tcPr>
          <w:p w14:paraId="232F7508"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水质、水位监测点</w:t>
            </w:r>
          </w:p>
        </w:tc>
      </w:tr>
      <w:tr w:rsidR="00544649" w14:paraId="23ECF901" w14:textId="77777777">
        <w:trPr>
          <w:trHeight w:val="368"/>
          <w:jc w:val="center"/>
        </w:trPr>
        <w:tc>
          <w:tcPr>
            <w:tcW w:w="785" w:type="dxa"/>
            <w:vAlign w:val="center"/>
          </w:tcPr>
          <w:p w14:paraId="780EEB3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D2</w:t>
            </w:r>
          </w:p>
        </w:tc>
        <w:tc>
          <w:tcPr>
            <w:tcW w:w="3294" w:type="dxa"/>
            <w:vAlign w:val="center"/>
          </w:tcPr>
          <w:p w14:paraId="6F61C7EF"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项目所在地下游（项目</w:t>
            </w:r>
            <w:proofErr w:type="gramStart"/>
            <w:r>
              <w:rPr>
                <w:rFonts w:cs="Times New Roman" w:hint="eastAsia"/>
                <w:kern w:val="21"/>
                <w:szCs w:val="21"/>
              </w:rPr>
              <w:t>蛋鸡场西北</w:t>
            </w:r>
            <w:r>
              <w:rPr>
                <w:rFonts w:cs="Times New Roman"/>
                <w:kern w:val="21"/>
                <w:szCs w:val="21"/>
              </w:rPr>
              <w:t>侧</w:t>
            </w:r>
            <w:proofErr w:type="gramEnd"/>
            <w:r>
              <w:rPr>
                <w:rFonts w:cs="Times New Roman"/>
                <w:kern w:val="21"/>
                <w:szCs w:val="21"/>
              </w:rPr>
              <w:t>）</w:t>
            </w:r>
          </w:p>
        </w:tc>
        <w:tc>
          <w:tcPr>
            <w:tcW w:w="2897" w:type="dxa"/>
            <w:vMerge/>
            <w:vAlign w:val="center"/>
          </w:tcPr>
          <w:p w14:paraId="154015E3"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125" w:type="dxa"/>
            <w:vMerge/>
            <w:vAlign w:val="center"/>
          </w:tcPr>
          <w:p w14:paraId="569454E5"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959" w:type="dxa"/>
            <w:vMerge/>
            <w:vAlign w:val="center"/>
          </w:tcPr>
          <w:p w14:paraId="1389AE36"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r>
      <w:tr w:rsidR="00544649" w14:paraId="03929310" w14:textId="77777777">
        <w:trPr>
          <w:trHeight w:val="348"/>
          <w:jc w:val="center"/>
        </w:trPr>
        <w:tc>
          <w:tcPr>
            <w:tcW w:w="785" w:type="dxa"/>
            <w:vAlign w:val="center"/>
          </w:tcPr>
          <w:p w14:paraId="5519555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D3</w:t>
            </w:r>
          </w:p>
        </w:tc>
        <w:tc>
          <w:tcPr>
            <w:tcW w:w="3294" w:type="dxa"/>
            <w:vAlign w:val="center"/>
          </w:tcPr>
          <w:p w14:paraId="47EC7487"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项目所在地下游（</w:t>
            </w:r>
            <w:r>
              <w:rPr>
                <w:rFonts w:cs="Times New Roman" w:hint="eastAsia"/>
                <w:kern w:val="21"/>
                <w:szCs w:val="21"/>
              </w:rPr>
              <w:t>项目蛋鸡场南侧厂界</w:t>
            </w:r>
            <w:r>
              <w:rPr>
                <w:rFonts w:cs="Times New Roman"/>
                <w:kern w:val="21"/>
                <w:szCs w:val="21"/>
              </w:rPr>
              <w:t>处）</w:t>
            </w:r>
          </w:p>
        </w:tc>
        <w:tc>
          <w:tcPr>
            <w:tcW w:w="2897" w:type="dxa"/>
            <w:vMerge/>
            <w:vAlign w:val="center"/>
          </w:tcPr>
          <w:p w14:paraId="553F2B2B"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125" w:type="dxa"/>
            <w:vMerge/>
            <w:vAlign w:val="center"/>
          </w:tcPr>
          <w:p w14:paraId="7367FF70"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959" w:type="dxa"/>
            <w:vMerge/>
            <w:vAlign w:val="center"/>
          </w:tcPr>
          <w:p w14:paraId="77BF5E53"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r>
    </w:tbl>
    <w:p w14:paraId="2920787F"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二、评价标准</w:t>
      </w:r>
    </w:p>
    <w:p w14:paraId="5DBB7601"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各监测因子</w:t>
      </w:r>
      <w:r>
        <w:rPr>
          <w:rFonts w:cs="Times New Roman"/>
          <w:kern w:val="21"/>
          <w:szCs w:val="24"/>
        </w:rPr>
        <w:t>执行</w:t>
      </w:r>
      <w:r>
        <w:rPr>
          <w:rFonts w:cs="Times New Roman" w:hint="eastAsia"/>
          <w:kern w:val="21"/>
          <w:szCs w:val="24"/>
        </w:rPr>
        <w:t>《地下水质量标准》（</w:t>
      </w:r>
      <w:r>
        <w:rPr>
          <w:rFonts w:cs="Times New Roman" w:hint="eastAsia"/>
          <w:kern w:val="21"/>
          <w:szCs w:val="24"/>
        </w:rPr>
        <w:t>GB/T14848-2017</w:t>
      </w:r>
      <w:r>
        <w:rPr>
          <w:rFonts w:cs="Times New Roman" w:hint="eastAsia"/>
          <w:kern w:val="21"/>
          <w:szCs w:val="24"/>
        </w:rPr>
        <w:t>）</w:t>
      </w:r>
      <w:r>
        <w:rPr>
          <w:rFonts w:cs="Times New Roman" w:hint="eastAsia"/>
          <w:kern w:val="21"/>
          <w:szCs w:val="24"/>
        </w:rPr>
        <w:t>3</w:t>
      </w:r>
      <w:r>
        <w:rPr>
          <w:rFonts w:cs="Times New Roman" w:hint="eastAsia"/>
          <w:kern w:val="21"/>
          <w:szCs w:val="24"/>
        </w:rPr>
        <w:t>类标准</w:t>
      </w:r>
      <w:r>
        <w:rPr>
          <w:rFonts w:cs="Times New Roman"/>
          <w:kern w:val="21"/>
          <w:szCs w:val="24"/>
        </w:rPr>
        <w:t>。</w:t>
      </w:r>
    </w:p>
    <w:p w14:paraId="7BAAE458"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三、监测结果</w:t>
      </w:r>
    </w:p>
    <w:p w14:paraId="1D13BEF3"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略</w:t>
      </w:r>
    </w:p>
    <w:p w14:paraId="37565E42" w14:textId="77777777" w:rsidR="00544649" w:rsidRDefault="00000000">
      <w:pPr>
        <w:keepNext/>
        <w:keepLines/>
        <w:numPr>
          <w:ilvl w:val="2"/>
          <w:numId w:val="9"/>
        </w:numPr>
        <w:adjustRightInd w:val="0"/>
        <w:snapToGrid w:val="0"/>
        <w:spacing w:after="0"/>
        <w:ind w:firstLineChars="0"/>
        <w:jc w:val="left"/>
        <w:outlineLvl w:val="2"/>
        <w:rPr>
          <w:rFonts w:cs="Times New Roman"/>
          <w:kern w:val="21"/>
          <w:sz w:val="28"/>
          <w:szCs w:val="28"/>
        </w:rPr>
      </w:pPr>
      <w:bookmarkStart w:id="286" w:name="_Toc195009870"/>
      <w:r>
        <w:rPr>
          <w:rFonts w:cs="Times New Roman"/>
          <w:b/>
          <w:bCs/>
          <w:kern w:val="21"/>
          <w:sz w:val="28"/>
          <w:szCs w:val="28"/>
        </w:rPr>
        <w:t>地下水环境质量现状评价</w:t>
      </w:r>
      <w:bookmarkEnd w:id="286"/>
    </w:p>
    <w:p w14:paraId="076AD7AE" w14:textId="77777777" w:rsidR="00544649" w:rsidRDefault="00000000">
      <w:pPr>
        <w:pStyle w:val="aff2"/>
        <w:adjustRightInd w:val="0"/>
        <w:snapToGrid w:val="0"/>
        <w:spacing w:after="0"/>
        <w:ind w:leftChars="200" w:left="480" w:firstLineChars="0" w:firstLine="0"/>
        <w:rPr>
          <w:rFonts w:ascii="Times New Roman" w:hAnsi="Times New Roman" w:cs="Times New Roman"/>
          <w:b/>
          <w:bCs/>
          <w:kern w:val="21"/>
        </w:rPr>
      </w:pPr>
      <w:r>
        <w:rPr>
          <w:rFonts w:ascii="Times New Roman" w:hAnsi="Times New Roman" w:cs="Times New Roman" w:hint="eastAsia"/>
          <w:b/>
          <w:bCs/>
          <w:kern w:val="21"/>
        </w:rPr>
        <w:t>一、</w:t>
      </w:r>
      <w:r>
        <w:rPr>
          <w:rFonts w:ascii="Times New Roman" w:hAnsi="Times New Roman" w:cs="Times New Roman"/>
          <w:b/>
          <w:bCs/>
          <w:kern w:val="21"/>
        </w:rPr>
        <w:t>评价因子</w:t>
      </w:r>
    </w:p>
    <w:p w14:paraId="28E0EF8D" w14:textId="77777777" w:rsidR="00544649" w:rsidRDefault="00000000">
      <w:pPr>
        <w:adjustRightInd w:val="0"/>
        <w:snapToGrid w:val="0"/>
        <w:spacing w:after="0"/>
        <w:ind w:firstLine="480"/>
        <w:rPr>
          <w:rFonts w:cs="Times New Roman"/>
          <w:kern w:val="21"/>
        </w:rPr>
      </w:pPr>
      <w:r>
        <w:rPr>
          <w:rFonts w:cs="Times New Roman"/>
          <w:kern w:val="21"/>
        </w:rPr>
        <w:t>根据现状监测结果，评价因子选择：</w:t>
      </w:r>
      <w:r>
        <w:rPr>
          <w:rFonts w:cs="Times New Roman"/>
          <w:kern w:val="21"/>
        </w:rPr>
        <w:t>K</w:t>
      </w:r>
      <w:r>
        <w:rPr>
          <w:rFonts w:cs="Times New Roman"/>
          <w:kern w:val="21"/>
          <w:vertAlign w:val="superscript"/>
        </w:rPr>
        <w:t>+</w:t>
      </w:r>
      <w:r>
        <w:rPr>
          <w:rFonts w:cs="Times New Roman"/>
          <w:kern w:val="21"/>
        </w:rPr>
        <w:t>、</w:t>
      </w:r>
      <w:r>
        <w:rPr>
          <w:rFonts w:cs="Times New Roman"/>
          <w:kern w:val="21"/>
        </w:rPr>
        <w:t>Na</w:t>
      </w:r>
      <w:r>
        <w:rPr>
          <w:rFonts w:cs="Times New Roman"/>
          <w:kern w:val="21"/>
          <w:vertAlign w:val="superscript"/>
        </w:rPr>
        <w:t>+</w:t>
      </w:r>
      <w:r>
        <w:rPr>
          <w:rFonts w:cs="Times New Roman"/>
          <w:kern w:val="21"/>
        </w:rPr>
        <w:t>、</w:t>
      </w:r>
      <w:r>
        <w:rPr>
          <w:rFonts w:cs="Times New Roman"/>
          <w:kern w:val="21"/>
        </w:rPr>
        <w:t>Ca</w:t>
      </w:r>
      <w:r>
        <w:rPr>
          <w:rFonts w:cs="Times New Roman"/>
          <w:kern w:val="21"/>
          <w:vertAlign w:val="superscript"/>
        </w:rPr>
        <w:t>2+</w:t>
      </w:r>
      <w:r>
        <w:rPr>
          <w:rFonts w:cs="Times New Roman"/>
          <w:kern w:val="21"/>
        </w:rPr>
        <w:t>、</w:t>
      </w:r>
      <w:r>
        <w:rPr>
          <w:rFonts w:cs="Times New Roman"/>
          <w:kern w:val="21"/>
        </w:rPr>
        <w:t>Mg</w:t>
      </w:r>
      <w:r>
        <w:rPr>
          <w:rFonts w:cs="Times New Roman"/>
          <w:kern w:val="21"/>
          <w:vertAlign w:val="superscript"/>
        </w:rPr>
        <w:t>2</w:t>
      </w:r>
      <w:r>
        <w:rPr>
          <w:rFonts w:cs="Times New Roman"/>
          <w:kern w:val="21"/>
        </w:rPr>
        <w:t>+</w:t>
      </w:r>
      <w:r>
        <w:rPr>
          <w:rFonts w:cs="Times New Roman"/>
          <w:kern w:val="21"/>
        </w:rPr>
        <w:t>、</w:t>
      </w:r>
      <w:r>
        <w:rPr>
          <w:rFonts w:cs="Times New Roman"/>
          <w:kern w:val="21"/>
        </w:rPr>
        <w:t>CO</w:t>
      </w:r>
      <w:r>
        <w:rPr>
          <w:rFonts w:cs="Times New Roman"/>
          <w:kern w:val="21"/>
          <w:vertAlign w:val="subscript"/>
        </w:rPr>
        <w:t>3</w:t>
      </w:r>
      <w:r>
        <w:rPr>
          <w:rFonts w:cs="Times New Roman"/>
          <w:kern w:val="21"/>
          <w:vertAlign w:val="superscript"/>
        </w:rPr>
        <w:t>2</w:t>
      </w:r>
      <w:r>
        <w:rPr>
          <w:rFonts w:cs="Times New Roman"/>
          <w:kern w:val="21"/>
        </w:rPr>
        <w:t>-</w:t>
      </w:r>
      <w:r>
        <w:rPr>
          <w:rFonts w:cs="Times New Roman"/>
          <w:kern w:val="21"/>
        </w:rPr>
        <w:t>、</w:t>
      </w:r>
      <w:r>
        <w:rPr>
          <w:rFonts w:cs="Times New Roman"/>
          <w:kern w:val="21"/>
        </w:rPr>
        <w:t>HCO</w:t>
      </w:r>
      <w:r>
        <w:rPr>
          <w:rFonts w:cs="Times New Roman"/>
          <w:kern w:val="21"/>
          <w:vertAlign w:val="subscript"/>
        </w:rPr>
        <w:t>3</w:t>
      </w:r>
      <w:r>
        <w:rPr>
          <w:rFonts w:cs="Times New Roman"/>
          <w:kern w:val="21"/>
          <w:vertAlign w:val="superscript"/>
        </w:rPr>
        <w:t>-</w:t>
      </w:r>
      <w:r>
        <w:rPr>
          <w:rFonts w:cs="Times New Roman"/>
          <w:kern w:val="21"/>
        </w:rPr>
        <w:t>、</w:t>
      </w:r>
      <w:r>
        <w:rPr>
          <w:rFonts w:cs="Times New Roman"/>
          <w:kern w:val="21"/>
        </w:rPr>
        <w:t>Cl</w:t>
      </w:r>
      <w:r>
        <w:rPr>
          <w:rFonts w:cs="Times New Roman"/>
          <w:kern w:val="21"/>
          <w:vertAlign w:val="superscript"/>
        </w:rPr>
        <w:t>-</w:t>
      </w:r>
      <w:r>
        <w:rPr>
          <w:rFonts w:cs="Times New Roman"/>
          <w:kern w:val="21"/>
        </w:rPr>
        <w:t>、</w:t>
      </w:r>
      <w:r>
        <w:rPr>
          <w:rFonts w:cs="Times New Roman"/>
          <w:kern w:val="21"/>
        </w:rPr>
        <w:t>SO</w:t>
      </w:r>
      <w:r>
        <w:rPr>
          <w:rFonts w:cs="Times New Roman"/>
          <w:kern w:val="21"/>
          <w:vertAlign w:val="subscript"/>
        </w:rPr>
        <w:t>4</w:t>
      </w:r>
      <w:r>
        <w:rPr>
          <w:rFonts w:cs="Times New Roman"/>
          <w:kern w:val="21"/>
          <w:vertAlign w:val="superscript"/>
        </w:rPr>
        <w:t>2-</w:t>
      </w:r>
      <w:r>
        <w:rPr>
          <w:rFonts w:cs="Times New Roman"/>
          <w:kern w:val="21"/>
        </w:rPr>
        <w:t>浓度、</w:t>
      </w:r>
      <w:r>
        <w:rPr>
          <w:rFonts w:cs="Times New Roman"/>
          <w:kern w:val="21"/>
        </w:rPr>
        <w:t>pH</w:t>
      </w:r>
      <w:r>
        <w:rPr>
          <w:rFonts w:cs="Times New Roman"/>
          <w:kern w:val="21"/>
        </w:rPr>
        <w:t>、氨氮、硝酸盐、亚硝酸盐、溶解性总固体、耗氧量、总大肠菌群。</w:t>
      </w:r>
    </w:p>
    <w:p w14:paraId="5852B6AF" w14:textId="77777777" w:rsidR="00544649" w:rsidRDefault="00000000">
      <w:pPr>
        <w:adjustRightInd w:val="0"/>
        <w:snapToGrid w:val="0"/>
        <w:spacing w:after="0"/>
        <w:ind w:firstLine="482"/>
        <w:rPr>
          <w:rFonts w:cs="Times New Roman"/>
          <w:b/>
          <w:bCs/>
          <w:kern w:val="21"/>
        </w:rPr>
      </w:pPr>
      <w:r>
        <w:rPr>
          <w:rFonts w:cs="Times New Roman" w:hint="eastAsia"/>
          <w:b/>
          <w:bCs/>
          <w:kern w:val="21"/>
        </w:rPr>
        <w:t>二、</w:t>
      </w:r>
      <w:r>
        <w:rPr>
          <w:rFonts w:cs="Times New Roman"/>
          <w:b/>
          <w:bCs/>
          <w:kern w:val="21"/>
        </w:rPr>
        <w:t>评价方法</w:t>
      </w:r>
    </w:p>
    <w:p w14:paraId="783735D5" w14:textId="77777777" w:rsidR="00544649" w:rsidRDefault="00000000">
      <w:pPr>
        <w:adjustRightInd w:val="0"/>
        <w:snapToGrid w:val="0"/>
        <w:spacing w:after="0"/>
        <w:ind w:firstLine="480"/>
        <w:rPr>
          <w:rFonts w:cs="Times New Roman"/>
          <w:kern w:val="21"/>
          <w:szCs w:val="24"/>
        </w:rPr>
      </w:pPr>
      <w:r>
        <w:rPr>
          <w:rFonts w:cs="Times New Roman"/>
          <w:kern w:val="21"/>
          <w:szCs w:val="24"/>
        </w:rPr>
        <w:lastRenderedPageBreak/>
        <w:t>采用单项标准指数法。</w:t>
      </w:r>
    </w:p>
    <w:p w14:paraId="7919198C"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w:t>
      </w:r>
      <w:r>
        <w:rPr>
          <w:rFonts w:cs="Times New Roman" w:hint="eastAsia"/>
          <w:b/>
          <w:bCs/>
          <w:kern w:val="21"/>
          <w:szCs w:val="24"/>
        </w:rPr>
        <w:t>1</w:t>
      </w:r>
      <w:r>
        <w:rPr>
          <w:rFonts w:cs="Times New Roman" w:hint="eastAsia"/>
          <w:b/>
          <w:bCs/>
          <w:kern w:val="21"/>
          <w:szCs w:val="24"/>
        </w:rPr>
        <w:t>）</w:t>
      </w:r>
      <w:r>
        <w:rPr>
          <w:rFonts w:cs="Times New Roman"/>
          <w:b/>
          <w:bCs/>
          <w:kern w:val="21"/>
          <w:szCs w:val="24"/>
        </w:rPr>
        <w:t>一般污染物标准指数法</w:t>
      </w:r>
    </w:p>
    <w:p w14:paraId="52F602B9" w14:textId="77777777" w:rsidR="00544649" w:rsidRDefault="00000000">
      <w:pPr>
        <w:adjustRightInd w:val="0"/>
        <w:snapToGrid w:val="0"/>
        <w:spacing w:after="0"/>
        <w:ind w:firstLine="480"/>
        <w:jc w:val="center"/>
        <w:rPr>
          <w:rFonts w:cs="Times New Roman"/>
          <w:kern w:val="21"/>
          <w:szCs w:val="24"/>
        </w:rPr>
      </w:pPr>
      <w:r>
        <w:rPr>
          <w:rFonts w:cs="Times New Roman"/>
          <w:kern w:val="21"/>
          <w:szCs w:val="24"/>
        </w:rPr>
        <w:object w:dxaOrig="1170" w:dyaOrig="750" w14:anchorId="00A90903">
          <v:shape id="_x0000_i1031" type="#_x0000_t75" style="width:58.5pt;height:37.5pt" o:ole="">
            <v:imagedata r:id="rId46" o:title="" embosscolor="white"/>
          </v:shape>
          <o:OLEObject Type="Embed" ProgID="Equation.3" ShapeID="_x0000_i1031" DrawAspect="Content" ObjectID="_1806238027" r:id="rId47"/>
        </w:object>
      </w:r>
    </w:p>
    <w:p w14:paraId="42D35E94" w14:textId="77777777" w:rsidR="00544649" w:rsidRDefault="00000000">
      <w:pPr>
        <w:adjustRightInd w:val="0"/>
        <w:snapToGrid w:val="0"/>
        <w:spacing w:after="0"/>
        <w:ind w:firstLine="480"/>
        <w:rPr>
          <w:rFonts w:cs="Times New Roman"/>
          <w:kern w:val="21"/>
          <w:szCs w:val="24"/>
        </w:rPr>
      </w:pPr>
      <w:r>
        <w:rPr>
          <w:rFonts w:cs="Times New Roman"/>
          <w:kern w:val="21"/>
          <w:szCs w:val="24"/>
        </w:rPr>
        <w:t>式中：</w:t>
      </w:r>
    </w:p>
    <w:p w14:paraId="41E038C5" w14:textId="77777777" w:rsidR="00544649" w:rsidRDefault="00000000">
      <w:pPr>
        <w:adjustRightInd w:val="0"/>
        <w:snapToGrid w:val="0"/>
        <w:spacing w:after="0"/>
        <w:ind w:firstLine="480"/>
        <w:rPr>
          <w:rFonts w:cs="Times New Roman"/>
          <w:kern w:val="21"/>
          <w:szCs w:val="24"/>
        </w:rPr>
      </w:pPr>
      <w:proofErr w:type="spellStart"/>
      <w:r>
        <w:rPr>
          <w:rFonts w:cs="Times New Roman"/>
          <w:i/>
          <w:iCs/>
          <w:kern w:val="21"/>
          <w:szCs w:val="24"/>
        </w:rPr>
        <w:t>S</w:t>
      </w:r>
      <w:r>
        <w:rPr>
          <w:rFonts w:cs="Times New Roman"/>
          <w:i/>
          <w:iCs/>
          <w:kern w:val="21"/>
          <w:szCs w:val="24"/>
          <w:vertAlign w:val="subscript"/>
        </w:rPr>
        <w:t>i,j</w:t>
      </w:r>
      <w:proofErr w:type="spellEnd"/>
      <w:r>
        <w:rPr>
          <w:rFonts w:cs="Times New Roman"/>
          <w:i/>
          <w:iCs/>
          <w:kern w:val="21"/>
          <w:szCs w:val="24"/>
        </w:rPr>
        <w:t>——</w:t>
      </w:r>
      <w:r>
        <w:rPr>
          <w:rFonts w:cs="Times New Roman"/>
          <w:kern w:val="21"/>
          <w:szCs w:val="24"/>
        </w:rPr>
        <w:t>污染物</w:t>
      </w:r>
      <w:proofErr w:type="spellStart"/>
      <w:r>
        <w:rPr>
          <w:rFonts w:cs="Times New Roman"/>
          <w:kern w:val="21"/>
          <w:szCs w:val="24"/>
        </w:rPr>
        <w:t>i</w:t>
      </w:r>
      <w:proofErr w:type="spellEnd"/>
      <w:r>
        <w:rPr>
          <w:rFonts w:cs="Times New Roman"/>
          <w:kern w:val="21"/>
          <w:szCs w:val="24"/>
        </w:rPr>
        <w:t>在</w:t>
      </w:r>
      <w:r>
        <w:rPr>
          <w:rFonts w:cs="Times New Roman"/>
          <w:kern w:val="21"/>
          <w:szCs w:val="24"/>
        </w:rPr>
        <w:t>j</w:t>
      </w:r>
      <w:r>
        <w:rPr>
          <w:rFonts w:cs="Times New Roman"/>
          <w:kern w:val="21"/>
          <w:szCs w:val="24"/>
        </w:rPr>
        <w:t>点的污染指数；</w:t>
      </w:r>
    </w:p>
    <w:p w14:paraId="51EEB1B6" w14:textId="77777777" w:rsidR="00544649" w:rsidRDefault="00000000">
      <w:pPr>
        <w:adjustRightInd w:val="0"/>
        <w:snapToGrid w:val="0"/>
        <w:spacing w:after="0"/>
        <w:ind w:firstLine="480"/>
        <w:rPr>
          <w:rFonts w:cs="Times New Roman"/>
          <w:kern w:val="21"/>
          <w:szCs w:val="20"/>
        </w:rPr>
      </w:pPr>
      <w:proofErr w:type="spellStart"/>
      <w:r>
        <w:rPr>
          <w:rFonts w:cs="Times New Roman"/>
          <w:i/>
          <w:iCs/>
          <w:kern w:val="21"/>
          <w:szCs w:val="20"/>
        </w:rPr>
        <w:t>C</w:t>
      </w:r>
      <w:r>
        <w:rPr>
          <w:rFonts w:cs="Times New Roman"/>
          <w:i/>
          <w:iCs/>
          <w:kern w:val="21"/>
          <w:szCs w:val="20"/>
          <w:vertAlign w:val="subscript"/>
        </w:rPr>
        <w:t>i,j</w:t>
      </w:r>
      <w:proofErr w:type="spellEnd"/>
      <w:r>
        <w:rPr>
          <w:rFonts w:cs="Times New Roman"/>
          <w:i/>
          <w:iCs/>
          <w:kern w:val="21"/>
          <w:szCs w:val="20"/>
        </w:rPr>
        <w:t>——</w:t>
      </w:r>
      <w:r>
        <w:rPr>
          <w:rFonts w:cs="Times New Roman"/>
          <w:kern w:val="21"/>
          <w:szCs w:val="20"/>
        </w:rPr>
        <w:t>污染物</w:t>
      </w:r>
      <w:proofErr w:type="spellStart"/>
      <w:r>
        <w:rPr>
          <w:rFonts w:cs="Times New Roman"/>
          <w:kern w:val="21"/>
          <w:szCs w:val="20"/>
        </w:rPr>
        <w:t>i</w:t>
      </w:r>
      <w:proofErr w:type="spellEnd"/>
      <w:r>
        <w:rPr>
          <w:rFonts w:cs="Times New Roman"/>
          <w:kern w:val="21"/>
          <w:szCs w:val="20"/>
        </w:rPr>
        <w:t>在</w:t>
      </w:r>
      <w:r>
        <w:rPr>
          <w:rFonts w:cs="Times New Roman"/>
          <w:kern w:val="21"/>
          <w:szCs w:val="20"/>
        </w:rPr>
        <w:t>j</w:t>
      </w:r>
      <w:r>
        <w:rPr>
          <w:rFonts w:cs="Times New Roman"/>
          <w:kern w:val="21"/>
          <w:szCs w:val="20"/>
        </w:rPr>
        <w:t>点的实测浓度平均值（</w:t>
      </w:r>
      <w:r>
        <w:rPr>
          <w:rFonts w:cs="Times New Roman"/>
          <w:kern w:val="21"/>
          <w:szCs w:val="20"/>
        </w:rPr>
        <w:t>mg/L</w:t>
      </w:r>
      <w:r>
        <w:rPr>
          <w:rFonts w:cs="Times New Roman"/>
          <w:kern w:val="21"/>
          <w:szCs w:val="20"/>
        </w:rPr>
        <w:t>）；</w:t>
      </w:r>
    </w:p>
    <w:p w14:paraId="4D246C48" w14:textId="77777777" w:rsidR="00544649" w:rsidRDefault="00000000">
      <w:pPr>
        <w:adjustRightInd w:val="0"/>
        <w:snapToGrid w:val="0"/>
        <w:spacing w:after="0"/>
        <w:ind w:firstLine="480"/>
        <w:rPr>
          <w:rFonts w:cs="Times New Roman"/>
          <w:kern w:val="21"/>
          <w:szCs w:val="24"/>
        </w:rPr>
      </w:pPr>
      <w:proofErr w:type="spellStart"/>
      <w:r>
        <w:rPr>
          <w:rFonts w:cs="Times New Roman"/>
          <w:i/>
          <w:iCs/>
          <w:kern w:val="21"/>
          <w:szCs w:val="24"/>
        </w:rPr>
        <w:t>C</w:t>
      </w:r>
      <w:r>
        <w:rPr>
          <w:rFonts w:cs="Times New Roman"/>
          <w:i/>
          <w:iCs/>
          <w:kern w:val="21"/>
          <w:szCs w:val="24"/>
          <w:vertAlign w:val="subscript"/>
        </w:rPr>
        <w:t>si</w:t>
      </w:r>
      <w:proofErr w:type="spellEnd"/>
      <w:r>
        <w:rPr>
          <w:rFonts w:cs="Times New Roman"/>
          <w:i/>
          <w:iCs/>
          <w:kern w:val="21"/>
          <w:szCs w:val="24"/>
        </w:rPr>
        <w:t>——</w:t>
      </w:r>
      <w:r>
        <w:rPr>
          <w:rFonts w:cs="Times New Roman"/>
          <w:kern w:val="21"/>
          <w:szCs w:val="24"/>
        </w:rPr>
        <w:t>污染物</w:t>
      </w:r>
      <w:proofErr w:type="spellStart"/>
      <w:r>
        <w:rPr>
          <w:rFonts w:cs="Times New Roman"/>
          <w:kern w:val="21"/>
          <w:szCs w:val="24"/>
        </w:rPr>
        <w:t>i</w:t>
      </w:r>
      <w:proofErr w:type="spellEnd"/>
      <w:r>
        <w:rPr>
          <w:rFonts w:cs="Times New Roman"/>
          <w:kern w:val="21"/>
          <w:szCs w:val="24"/>
        </w:rPr>
        <w:t>的评价标准（</w:t>
      </w:r>
      <w:r>
        <w:rPr>
          <w:rFonts w:cs="Times New Roman"/>
          <w:kern w:val="21"/>
          <w:szCs w:val="24"/>
        </w:rPr>
        <w:t>mg/L</w:t>
      </w:r>
      <w:r>
        <w:rPr>
          <w:rFonts w:cs="Times New Roman"/>
          <w:kern w:val="21"/>
          <w:szCs w:val="24"/>
        </w:rPr>
        <w:t>）。</w:t>
      </w:r>
    </w:p>
    <w:p w14:paraId="095AE5D8" w14:textId="77777777" w:rsidR="00544649" w:rsidRDefault="00000000">
      <w:pPr>
        <w:adjustRightInd w:val="0"/>
        <w:snapToGrid w:val="0"/>
        <w:spacing w:after="0"/>
        <w:ind w:firstLine="482"/>
        <w:rPr>
          <w:rFonts w:cs="Times New Roman"/>
          <w:kern w:val="21"/>
          <w:szCs w:val="24"/>
        </w:rPr>
      </w:pPr>
      <w:r>
        <w:rPr>
          <w:rFonts w:cs="Times New Roman" w:hint="eastAsia"/>
          <w:b/>
          <w:bCs/>
          <w:kern w:val="21"/>
          <w:szCs w:val="24"/>
        </w:rPr>
        <w:t>（</w:t>
      </w:r>
      <w:r>
        <w:rPr>
          <w:rFonts w:cs="Times New Roman" w:hint="eastAsia"/>
          <w:b/>
          <w:bCs/>
          <w:kern w:val="21"/>
          <w:szCs w:val="24"/>
        </w:rPr>
        <w:t>2</w:t>
      </w:r>
      <w:r>
        <w:rPr>
          <w:rFonts w:cs="Times New Roman" w:hint="eastAsia"/>
          <w:b/>
          <w:bCs/>
          <w:kern w:val="21"/>
          <w:szCs w:val="24"/>
        </w:rPr>
        <w:t>）</w:t>
      </w:r>
      <w:r>
        <w:rPr>
          <w:rFonts w:cs="Times New Roman"/>
          <w:b/>
          <w:bCs/>
          <w:kern w:val="21"/>
          <w:szCs w:val="24"/>
        </w:rPr>
        <w:t>pH</w:t>
      </w:r>
      <w:proofErr w:type="gramStart"/>
      <w:r>
        <w:rPr>
          <w:rFonts w:cs="Times New Roman"/>
          <w:b/>
          <w:bCs/>
          <w:kern w:val="21"/>
          <w:szCs w:val="24"/>
        </w:rPr>
        <w:t>值标准</w:t>
      </w:r>
      <w:proofErr w:type="gramEnd"/>
      <w:r>
        <w:rPr>
          <w:rFonts w:cs="Times New Roman"/>
          <w:b/>
          <w:bCs/>
          <w:kern w:val="21"/>
          <w:szCs w:val="24"/>
        </w:rPr>
        <w:t>指数</w:t>
      </w:r>
    </w:p>
    <w:p w14:paraId="7F304138" w14:textId="77777777" w:rsidR="00544649" w:rsidRDefault="00000000">
      <w:pPr>
        <w:adjustRightInd w:val="0"/>
        <w:snapToGrid w:val="0"/>
        <w:spacing w:after="0"/>
        <w:ind w:firstLine="480"/>
        <w:jc w:val="center"/>
        <w:rPr>
          <w:rFonts w:cs="Times New Roman"/>
          <w:kern w:val="21"/>
          <w:szCs w:val="24"/>
        </w:rPr>
      </w:pPr>
      <w:r>
        <w:rPr>
          <w:rFonts w:cs="Times New Roman"/>
          <w:kern w:val="21"/>
          <w:szCs w:val="24"/>
        </w:rPr>
        <w:object w:dxaOrig="1785" w:dyaOrig="765" w14:anchorId="13DDB0F3">
          <v:shape id="_x0000_i1032" type="#_x0000_t75" style="width:89.25pt;height:38.25pt" o:ole="">
            <v:imagedata r:id="rId48" o:title="" embosscolor="white"/>
          </v:shape>
          <o:OLEObject Type="Embed" ProgID="Equation.3" ShapeID="_x0000_i1032" DrawAspect="Content" ObjectID="_1806238028" r:id="rId49"/>
        </w:object>
      </w:r>
      <w:r>
        <w:rPr>
          <w:rFonts w:cs="Times New Roman"/>
          <w:kern w:val="21"/>
          <w:szCs w:val="24"/>
        </w:rPr>
        <w:object w:dxaOrig="1020" w:dyaOrig="405" w14:anchorId="43CDA658">
          <v:shape id="_x0000_i1033" type="#_x0000_t75" style="width:51pt;height:20.25pt" o:ole="">
            <v:imagedata r:id="rId50" o:title="" embosscolor="white"/>
          </v:shape>
          <o:OLEObject Type="Embed" ProgID="Equation.3" ShapeID="_x0000_i1033" DrawAspect="Content" ObjectID="_1806238029" r:id="rId51"/>
        </w:object>
      </w:r>
    </w:p>
    <w:p w14:paraId="7942F28F" w14:textId="77777777" w:rsidR="00544649" w:rsidRDefault="00000000">
      <w:pPr>
        <w:adjustRightInd w:val="0"/>
        <w:snapToGrid w:val="0"/>
        <w:spacing w:after="0"/>
        <w:ind w:firstLine="480"/>
        <w:jc w:val="center"/>
        <w:rPr>
          <w:rFonts w:cs="Times New Roman"/>
          <w:kern w:val="21"/>
          <w:szCs w:val="24"/>
        </w:rPr>
      </w:pPr>
      <w:r>
        <w:rPr>
          <w:rFonts w:cs="Times New Roman"/>
          <w:kern w:val="21"/>
          <w:szCs w:val="24"/>
        </w:rPr>
        <w:object w:dxaOrig="1785" w:dyaOrig="765" w14:anchorId="1EFD556F">
          <v:shape id="_x0000_i1034" type="#_x0000_t75" style="width:89.25pt;height:38.25pt" o:ole="">
            <v:imagedata r:id="rId52" o:title="" embosscolor="white"/>
          </v:shape>
          <o:OLEObject Type="Embed" ProgID="Equation.3" ShapeID="_x0000_i1034" DrawAspect="Content" ObjectID="_1806238030" r:id="rId53"/>
        </w:object>
      </w:r>
      <w:r>
        <w:rPr>
          <w:rFonts w:cs="Times New Roman"/>
          <w:kern w:val="21"/>
          <w:szCs w:val="24"/>
        </w:rPr>
        <w:object w:dxaOrig="960" w:dyaOrig="405" w14:anchorId="72A70BB2">
          <v:shape id="_x0000_i1035" type="#_x0000_t75" style="width:48pt;height:20.25pt" o:ole="">
            <v:imagedata r:id="rId54" o:title="" embosscolor="white"/>
          </v:shape>
          <o:OLEObject Type="Embed" ProgID="Equation.3" ShapeID="_x0000_i1035" DrawAspect="Content" ObjectID="_1806238031" r:id="rId55"/>
        </w:object>
      </w:r>
    </w:p>
    <w:p w14:paraId="18604379" w14:textId="77777777" w:rsidR="00544649" w:rsidRDefault="00000000">
      <w:pPr>
        <w:adjustRightInd w:val="0"/>
        <w:snapToGrid w:val="0"/>
        <w:spacing w:after="0"/>
        <w:ind w:firstLine="480"/>
        <w:rPr>
          <w:rFonts w:cs="Times New Roman"/>
          <w:kern w:val="21"/>
          <w:szCs w:val="24"/>
        </w:rPr>
      </w:pPr>
      <w:r>
        <w:rPr>
          <w:rFonts w:cs="Times New Roman"/>
          <w:kern w:val="21"/>
          <w:szCs w:val="24"/>
        </w:rPr>
        <w:t>式中：</w:t>
      </w:r>
    </w:p>
    <w:p w14:paraId="4009459C" w14:textId="77777777" w:rsidR="00544649" w:rsidRDefault="00000000">
      <w:pPr>
        <w:adjustRightInd w:val="0"/>
        <w:snapToGrid w:val="0"/>
        <w:spacing w:after="0"/>
        <w:ind w:firstLine="480"/>
        <w:rPr>
          <w:rFonts w:cs="Times New Roman"/>
          <w:kern w:val="21"/>
          <w:szCs w:val="24"/>
        </w:rPr>
      </w:pPr>
      <w:proofErr w:type="spellStart"/>
      <w:r>
        <w:rPr>
          <w:rFonts w:cs="Times New Roman"/>
          <w:i/>
          <w:iCs/>
          <w:kern w:val="21"/>
          <w:szCs w:val="24"/>
        </w:rPr>
        <w:t>pH</w:t>
      </w:r>
      <w:r>
        <w:rPr>
          <w:rFonts w:cs="Times New Roman"/>
          <w:i/>
          <w:iCs/>
          <w:kern w:val="21"/>
          <w:szCs w:val="24"/>
          <w:vertAlign w:val="subscript"/>
        </w:rPr>
        <w:t>j</w:t>
      </w:r>
      <w:proofErr w:type="spellEnd"/>
      <w:r>
        <w:rPr>
          <w:rFonts w:cs="Times New Roman"/>
          <w:i/>
          <w:iCs/>
          <w:kern w:val="21"/>
          <w:szCs w:val="24"/>
        </w:rPr>
        <w:t>——</w:t>
      </w:r>
      <w:r>
        <w:rPr>
          <w:rFonts w:cs="Times New Roman"/>
          <w:kern w:val="21"/>
          <w:szCs w:val="24"/>
        </w:rPr>
        <w:t>pH</w:t>
      </w:r>
      <w:r>
        <w:rPr>
          <w:rFonts w:cs="Times New Roman"/>
          <w:kern w:val="21"/>
          <w:szCs w:val="24"/>
        </w:rPr>
        <w:t>实测值；</w:t>
      </w:r>
    </w:p>
    <w:p w14:paraId="3EC0448B" w14:textId="77777777" w:rsidR="00544649" w:rsidRDefault="00000000">
      <w:pPr>
        <w:adjustRightInd w:val="0"/>
        <w:snapToGrid w:val="0"/>
        <w:spacing w:after="0"/>
        <w:ind w:firstLine="480"/>
        <w:rPr>
          <w:rFonts w:cs="Times New Roman"/>
          <w:kern w:val="21"/>
          <w:szCs w:val="24"/>
        </w:rPr>
      </w:pPr>
      <w:proofErr w:type="spellStart"/>
      <w:r>
        <w:rPr>
          <w:rFonts w:cs="Times New Roman"/>
          <w:i/>
          <w:iCs/>
          <w:kern w:val="21"/>
          <w:szCs w:val="24"/>
        </w:rPr>
        <w:t>pH</w:t>
      </w:r>
      <w:r>
        <w:rPr>
          <w:rFonts w:cs="Times New Roman"/>
          <w:i/>
          <w:iCs/>
          <w:kern w:val="21"/>
          <w:szCs w:val="24"/>
          <w:vertAlign w:val="subscript"/>
        </w:rPr>
        <w:t>sd</w:t>
      </w:r>
      <w:proofErr w:type="spellEnd"/>
      <w:r>
        <w:rPr>
          <w:rFonts w:cs="Times New Roman"/>
          <w:i/>
          <w:iCs/>
          <w:kern w:val="21"/>
          <w:szCs w:val="24"/>
        </w:rPr>
        <w:t>——</w:t>
      </w:r>
      <w:r>
        <w:rPr>
          <w:rFonts w:cs="Times New Roman"/>
          <w:kern w:val="21"/>
          <w:szCs w:val="24"/>
        </w:rPr>
        <w:t>pH</w:t>
      </w:r>
      <w:r>
        <w:rPr>
          <w:rFonts w:cs="Times New Roman"/>
          <w:kern w:val="21"/>
          <w:szCs w:val="24"/>
        </w:rPr>
        <w:t>评价标准的下限值；</w:t>
      </w:r>
    </w:p>
    <w:p w14:paraId="71125E49" w14:textId="77777777" w:rsidR="00544649" w:rsidRDefault="00000000">
      <w:pPr>
        <w:adjustRightInd w:val="0"/>
        <w:snapToGrid w:val="0"/>
        <w:spacing w:after="0"/>
        <w:ind w:firstLine="480"/>
        <w:rPr>
          <w:rFonts w:cs="Times New Roman"/>
          <w:kern w:val="21"/>
          <w:szCs w:val="24"/>
        </w:rPr>
      </w:pPr>
      <w:proofErr w:type="spellStart"/>
      <w:r>
        <w:rPr>
          <w:rFonts w:cs="Times New Roman"/>
          <w:i/>
          <w:iCs/>
          <w:kern w:val="21"/>
          <w:szCs w:val="24"/>
        </w:rPr>
        <w:t>pH</w:t>
      </w:r>
      <w:r>
        <w:rPr>
          <w:rFonts w:cs="Times New Roman"/>
          <w:i/>
          <w:iCs/>
          <w:kern w:val="21"/>
          <w:szCs w:val="24"/>
          <w:vertAlign w:val="subscript"/>
        </w:rPr>
        <w:t>su</w:t>
      </w:r>
      <w:proofErr w:type="spellEnd"/>
      <w:r>
        <w:rPr>
          <w:rFonts w:cs="Times New Roman"/>
          <w:i/>
          <w:iCs/>
          <w:kern w:val="21"/>
          <w:szCs w:val="24"/>
        </w:rPr>
        <w:t>——</w:t>
      </w:r>
      <w:r>
        <w:rPr>
          <w:rFonts w:cs="Times New Roman"/>
          <w:kern w:val="21"/>
          <w:szCs w:val="24"/>
        </w:rPr>
        <w:t>pH</w:t>
      </w:r>
      <w:r>
        <w:rPr>
          <w:rFonts w:cs="Times New Roman"/>
          <w:kern w:val="21"/>
          <w:szCs w:val="24"/>
        </w:rPr>
        <w:t>评价标准的上限值。</w:t>
      </w:r>
    </w:p>
    <w:p w14:paraId="68B815E5" w14:textId="77777777" w:rsidR="00544649" w:rsidRDefault="00000000">
      <w:pPr>
        <w:adjustRightInd w:val="0"/>
        <w:snapToGrid w:val="0"/>
        <w:spacing w:after="0"/>
        <w:ind w:firstLine="480"/>
        <w:rPr>
          <w:rFonts w:cs="Times New Roman"/>
          <w:kern w:val="21"/>
        </w:rPr>
      </w:pPr>
      <w:r>
        <w:rPr>
          <w:rFonts w:cs="Times New Roman"/>
          <w:kern w:val="21"/>
          <w:szCs w:val="24"/>
        </w:rPr>
        <w:t>当单项评价标准指数＞</w:t>
      </w:r>
      <w:r>
        <w:rPr>
          <w:rFonts w:cs="Times New Roman"/>
          <w:kern w:val="21"/>
          <w:szCs w:val="24"/>
        </w:rPr>
        <w:t>1</w:t>
      </w:r>
      <w:r>
        <w:rPr>
          <w:rFonts w:cs="Times New Roman"/>
          <w:kern w:val="21"/>
          <w:szCs w:val="24"/>
        </w:rPr>
        <w:t>，表明该地下水水质参数超过了规定的水质标准。</w:t>
      </w:r>
    </w:p>
    <w:p w14:paraId="792CEA4C" w14:textId="77777777" w:rsidR="00544649" w:rsidRDefault="00000000">
      <w:pPr>
        <w:adjustRightInd w:val="0"/>
        <w:snapToGrid w:val="0"/>
        <w:spacing w:after="0"/>
        <w:ind w:firstLine="482"/>
        <w:rPr>
          <w:rFonts w:cs="Times New Roman"/>
          <w:b/>
          <w:bCs/>
          <w:kern w:val="21"/>
        </w:rPr>
      </w:pPr>
      <w:r>
        <w:rPr>
          <w:rFonts w:cs="Times New Roman" w:hint="eastAsia"/>
          <w:b/>
          <w:bCs/>
          <w:kern w:val="21"/>
        </w:rPr>
        <w:t>三、</w:t>
      </w:r>
      <w:r>
        <w:rPr>
          <w:rFonts w:cs="Times New Roman"/>
          <w:b/>
          <w:bCs/>
          <w:kern w:val="21"/>
        </w:rPr>
        <w:t>评价结果</w:t>
      </w:r>
    </w:p>
    <w:p w14:paraId="0A6B10EB" w14:textId="77777777" w:rsidR="00544649" w:rsidRDefault="00000000">
      <w:pPr>
        <w:adjustRightInd w:val="0"/>
        <w:snapToGrid w:val="0"/>
        <w:spacing w:after="0"/>
        <w:ind w:firstLine="480"/>
        <w:rPr>
          <w:rFonts w:cs="Times New Roman"/>
          <w:kern w:val="21"/>
        </w:rPr>
      </w:pPr>
      <w:r>
        <w:rPr>
          <w:rFonts w:cs="Times New Roman" w:hint="eastAsia"/>
          <w:kern w:val="21"/>
        </w:rPr>
        <w:t>略</w:t>
      </w:r>
      <w:r>
        <w:rPr>
          <w:rFonts w:cs="Times New Roman"/>
          <w:kern w:val="21"/>
        </w:rPr>
        <w:t>。</w:t>
      </w:r>
    </w:p>
    <w:p w14:paraId="4874B620" w14:textId="77777777" w:rsidR="00544649" w:rsidRDefault="00000000">
      <w:pPr>
        <w:keepNext/>
        <w:keepLines/>
        <w:numPr>
          <w:ilvl w:val="2"/>
          <w:numId w:val="9"/>
        </w:numPr>
        <w:adjustRightInd w:val="0"/>
        <w:snapToGrid w:val="0"/>
        <w:spacing w:after="0"/>
        <w:ind w:firstLineChars="0"/>
        <w:jc w:val="left"/>
        <w:outlineLvl w:val="2"/>
        <w:rPr>
          <w:rFonts w:cs="Times New Roman"/>
          <w:kern w:val="21"/>
        </w:rPr>
      </w:pPr>
      <w:bookmarkStart w:id="287" w:name="_Toc195009871"/>
      <w:r>
        <w:rPr>
          <w:rFonts w:cs="Times New Roman"/>
          <w:b/>
          <w:bCs/>
          <w:kern w:val="21"/>
          <w:sz w:val="28"/>
          <w:szCs w:val="28"/>
        </w:rPr>
        <w:t>地下水</w:t>
      </w:r>
      <w:r>
        <w:rPr>
          <w:rFonts w:cs="Times New Roman"/>
          <w:b/>
          <w:bCs/>
          <w:kern w:val="21"/>
          <w:sz w:val="28"/>
          <w:szCs w:val="24"/>
        </w:rPr>
        <w:t>水位</w:t>
      </w:r>
      <w:bookmarkEnd w:id="287"/>
    </w:p>
    <w:p w14:paraId="37DC3D8B" w14:textId="77777777" w:rsidR="00544649" w:rsidRDefault="00000000">
      <w:pPr>
        <w:keepNext/>
        <w:keepLines/>
        <w:adjustRightInd w:val="0"/>
        <w:snapToGrid w:val="0"/>
        <w:spacing w:after="0"/>
        <w:ind w:firstLineChars="0"/>
        <w:jc w:val="left"/>
        <w:outlineLvl w:val="2"/>
        <w:rPr>
          <w:rFonts w:cs="Times New Roman"/>
          <w:kern w:val="21"/>
        </w:rPr>
      </w:pPr>
      <w:bookmarkStart w:id="288" w:name="_Toc195009872"/>
      <w:r>
        <w:rPr>
          <w:rFonts w:cs="Times New Roman" w:hint="eastAsia"/>
          <w:b/>
          <w:bCs/>
          <w:kern w:val="21"/>
          <w:sz w:val="28"/>
          <w:szCs w:val="24"/>
        </w:rPr>
        <w:t>略</w:t>
      </w:r>
      <w:bookmarkEnd w:id="288"/>
    </w:p>
    <w:p w14:paraId="2D781611"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289" w:name="_Toc195009873"/>
      <w:bookmarkStart w:id="290" w:name="_Toc26181"/>
      <w:r>
        <w:rPr>
          <w:rFonts w:cs="Times New Roman" w:hint="eastAsia"/>
          <w:b/>
          <w:bCs/>
          <w:kern w:val="21"/>
          <w:sz w:val="32"/>
          <w:szCs w:val="32"/>
        </w:rPr>
        <w:t>声环境</w:t>
      </w:r>
      <w:r>
        <w:rPr>
          <w:rFonts w:cs="Times New Roman"/>
          <w:b/>
          <w:bCs/>
          <w:kern w:val="21"/>
          <w:sz w:val="32"/>
          <w:szCs w:val="32"/>
        </w:rPr>
        <w:t>质量现状与评价</w:t>
      </w:r>
      <w:bookmarkEnd w:id="289"/>
    </w:p>
    <w:bookmarkEnd w:id="290"/>
    <w:p w14:paraId="72F343F1" w14:textId="77777777" w:rsidR="00544649" w:rsidRDefault="00000000">
      <w:pPr>
        <w:adjustRightInd w:val="0"/>
        <w:snapToGrid w:val="0"/>
        <w:spacing w:after="0"/>
        <w:ind w:firstLineChars="0" w:firstLine="0"/>
        <w:rPr>
          <w:rFonts w:cs="Times New Roman"/>
          <w:b/>
          <w:bCs/>
          <w:kern w:val="21"/>
          <w:szCs w:val="24"/>
        </w:rPr>
      </w:pPr>
      <w:r>
        <w:rPr>
          <w:rFonts w:cs="Times New Roman" w:hint="eastAsia"/>
          <w:b/>
          <w:bCs/>
          <w:kern w:val="21"/>
          <w:szCs w:val="24"/>
        </w:rPr>
        <w:t>一、监测点位及监测因子</w:t>
      </w:r>
    </w:p>
    <w:p w14:paraId="79827679" w14:textId="77777777" w:rsidR="00544649" w:rsidRDefault="00000000">
      <w:pPr>
        <w:adjustRightInd w:val="0"/>
        <w:snapToGrid w:val="0"/>
        <w:spacing w:after="0"/>
        <w:ind w:firstLine="480"/>
        <w:rPr>
          <w:rFonts w:cs="Times New Roman"/>
          <w:b/>
          <w:bCs/>
          <w:kern w:val="21"/>
          <w:sz w:val="21"/>
          <w:szCs w:val="21"/>
        </w:rPr>
      </w:pPr>
      <w:r>
        <w:rPr>
          <w:rFonts w:ascii="宋体" w:hAnsi="Calibri" w:cs="宋体" w:hint="eastAsia"/>
          <w:kern w:val="21"/>
          <w:szCs w:val="24"/>
        </w:rPr>
        <w:t>声环境质量监测内容</w:t>
      </w:r>
      <w:r>
        <w:rPr>
          <w:rFonts w:ascii="宋体" w:hAnsi="Calibri" w:cs="宋体"/>
          <w:kern w:val="21"/>
          <w:szCs w:val="24"/>
        </w:rPr>
        <w:t>见下</w:t>
      </w:r>
      <w:r>
        <w:rPr>
          <w:rFonts w:ascii="宋体" w:hAnsi="Calibri" w:cs="宋体" w:hint="eastAsia"/>
          <w:kern w:val="21"/>
          <w:szCs w:val="24"/>
        </w:rPr>
        <w:t>表</w:t>
      </w:r>
      <w:r>
        <w:rPr>
          <w:rFonts w:ascii="宋体" w:hAnsi="Calibri" w:cs="宋体"/>
          <w:kern w:val="21"/>
          <w:szCs w:val="24"/>
        </w:rPr>
        <w:t>。</w:t>
      </w:r>
    </w:p>
    <w:p w14:paraId="1D07FEF7" w14:textId="77777777" w:rsidR="00544649" w:rsidRDefault="00000000">
      <w:pPr>
        <w:numPr>
          <w:ilvl w:val="0"/>
          <w:numId w:val="26"/>
        </w:numPr>
        <w:adjustRightInd w:val="0"/>
        <w:snapToGrid w:val="0"/>
        <w:spacing w:beforeLines="20" w:before="62" w:afterLines="20" w:after="62" w:line="240" w:lineRule="auto"/>
        <w:ind w:left="0" w:firstLineChars="0"/>
        <w:jc w:val="center"/>
        <w:rPr>
          <w:rFonts w:cs="Times New Roman"/>
          <w:kern w:val="21"/>
        </w:rPr>
      </w:pPr>
      <w:r>
        <w:rPr>
          <w:rFonts w:hint="eastAsia"/>
          <w:b/>
          <w:kern w:val="21"/>
          <w:sz w:val="21"/>
        </w:rPr>
        <w:t>声环境质量监测方案</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3702"/>
        <w:gridCol w:w="2611"/>
        <w:gridCol w:w="1094"/>
        <w:gridCol w:w="1060"/>
      </w:tblGrid>
      <w:tr w:rsidR="00544649" w14:paraId="5A239CAF" w14:textId="77777777">
        <w:trPr>
          <w:trHeight w:val="662"/>
          <w:tblHeader/>
          <w:jc w:val="center"/>
        </w:trPr>
        <w:tc>
          <w:tcPr>
            <w:tcW w:w="593" w:type="dxa"/>
            <w:vAlign w:val="center"/>
          </w:tcPr>
          <w:p w14:paraId="56CCF8B6"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序号</w:t>
            </w:r>
          </w:p>
        </w:tc>
        <w:tc>
          <w:tcPr>
            <w:tcW w:w="3702" w:type="dxa"/>
            <w:vAlign w:val="center"/>
          </w:tcPr>
          <w:p w14:paraId="106E33B0"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hint="eastAsia"/>
                <w:b/>
                <w:kern w:val="21"/>
                <w:sz w:val="21"/>
                <w:szCs w:val="21"/>
              </w:rPr>
              <w:t>监测位置</w:t>
            </w:r>
          </w:p>
        </w:tc>
        <w:tc>
          <w:tcPr>
            <w:tcW w:w="2611" w:type="dxa"/>
            <w:vAlign w:val="center"/>
          </w:tcPr>
          <w:p w14:paraId="6EC1AB0B"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监测频次</w:t>
            </w:r>
          </w:p>
        </w:tc>
        <w:tc>
          <w:tcPr>
            <w:tcW w:w="1094" w:type="dxa"/>
            <w:vAlign w:val="center"/>
          </w:tcPr>
          <w:p w14:paraId="16CBC979"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监测</w:t>
            </w:r>
            <w:r>
              <w:rPr>
                <w:rFonts w:cs="Times New Roman" w:hint="eastAsia"/>
                <w:b/>
                <w:kern w:val="21"/>
                <w:sz w:val="21"/>
                <w:szCs w:val="21"/>
              </w:rPr>
              <w:t>项目</w:t>
            </w:r>
          </w:p>
        </w:tc>
        <w:tc>
          <w:tcPr>
            <w:tcW w:w="1060" w:type="dxa"/>
            <w:vAlign w:val="center"/>
          </w:tcPr>
          <w:p w14:paraId="22FCDFD4"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hint="eastAsia"/>
                <w:b/>
                <w:kern w:val="21"/>
                <w:sz w:val="21"/>
                <w:szCs w:val="21"/>
              </w:rPr>
              <w:t>备注</w:t>
            </w:r>
          </w:p>
        </w:tc>
      </w:tr>
      <w:tr w:rsidR="00544649" w14:paraId="03184D8D" w14:textId="77777777">
        <w:trPr>
          <w:trHeight w:val="396"/>
          <w:jc w:val="center"/>
        </w:trPr>
        <w:tc>
          <w:tcPr>
            <w:tcW w:w="593" w:type="dxa"/>
            <w:vAlign w:val="center"/>
          </w:tcPr>
          <w:p w14:paraId="233EC92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N1</w:t>
            </w:r>
          </w:p>
        </w:tc>
        <w:tc>
          <w:tcPr>
            <w:tcW w:w="3702" w:type="dxa"/>
            <w:vAlign w:val="center"/>
          </w:tcPr>
          <w:p w14:paraId="3AB7C65E"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roofErr w:type="gramStart"/>
            <w:r>
              <w:rPr>
                <w:rFonts w:cs="Times New Roman" w:hint="eastAsia"/>
                <w:sz w:val="21"/>
                <w:szCs w:val="21"/>
              </w:rPr>
              <w:t>育雏场</w:t>
            </w:r>
            <w:proofErr w:type="gramEnd"/>
            <w:r>
              <w:rPr>
                <w:rFonts w:cs="Times New Roman" w:hint="eastAsia"/>
                <w:sz w:val="21"/>
                <w:szCs w:val="21"/>
              </w:rPr>
              <w:t>厂界东侧</w:t>
            </w:r>
          </w:p>
        </w:tc>
        <w:tc>
          <w:tcPr>
            <w:tcW w:w="2611" w:type="dxa"/>
            <w:vMerge w:val="restart"/>
            <w:vAlign w:val="center"/>
          </w:tcPr>
          <w:p w14:paraId="3741DEE3"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连续监测</w:t>
            </w:r>
            <w:r>
              <w:rPr>
                <w:rFonts w:cs="Times New Roman"/>
                <w:kern w:val="21"/>
                <w:sz w:val="21"/>
                <w:szCs w:val="21"/>
              </w:rPr>
              <w:t>2</w:t>
            </w:r>
            <w:r>
              <w:rPr>
                <w:rFonts w:cs="Times New Roman"/>
                <w:kern w:val="21"/>
                <w:sz w:val="21"/>
                <w:szCs w:val="21"/>
              </w:rPr>
              <w:t>天，每天昼间、夜间各监测</w:t>
            </w:r>
            <w:r>
              <w:rPr>
                <w:rFonts w:cs="Times New Roman"/>
                <w:kern w:val="21"/>
                <w:sz w:val="21"/>
                <w:szCs w:val="21"/>
              </w:rPr>
              <w:t>1</w:t>
            </w:r>
            <w:r>
              <w:rPr>
                <w:rFonts w:cs="Times New Roman"/>
                <w:kern w:val="21"/>
                <w:sz w:val="21"/>
                <w:szCs w:val="21"/>
              </w:rPr>
              <w:t>次。</w:t>
            </w:r>
          </w:p>
          <w:p w14:paraId="75108307"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昼间监测时段为</w:t>
            </w:r>
            <w:r>
              <w:rPr>
                <w:rFonts w:cs="Times New Roman"/>
                <w:kern w:val="21"/>
                <w:sz w:val="21"/>
                <w:szCs w:val="21"/>
              </w:rPr>
              <w:t>6</w:t>
            </w:r>
            <w:r>
              <w:rPr>
                <w:rFonts w:cs="Times New Roman"/>
                <w:kern w:val="21"/>
                <w:sz w:val="21"/>
                <w:szCs w:val="21"/>
              </w:rPr>
              <w:t>：</w:t>
            </w:r>
            <w:r>
              <w:rPr>
                <w:rFonts w:cs="Times New Roman"/>
                <w:kern w:val="21"/>
                <w:sz w:val="21"/>
                <w:szCs w:val="21"/>
              </w:rPr>
              <w:t>00</w:t>
            </w:r>
            <w:r>
              <w:rPr>
                <w:rFonts w:cs="Times New Roman" w:hint="eastAsia"/>
                <w:kern w:val="21"/>
                <w:sz w:val="21"/>
                <w:szCs w:val="21"/>
              </w:rPr>
              <w:t>~</w:t>
            </w:r>
            <w:r>
              <w:rPr>
                <w:rFonts w:cs="Times New Roman"/>
                <w:kern w:val="21"/>
                <w:sz w:val="21"/>
                <w:szCs w:val="21"/>
              </w:rPr>
              <w:t>22</w:t>
            </w:r>
            <w:r>
              <w:rPr>
                <w:rFonts w:cs="Times New Roman"/>
                <w:kern w:val="21"/>
                <w:sz w:val="21"/>
                <w:szCs w:val="21"/>
              </w:rPr>
              <w:t>：</w:t>
            </w:r>
            <w:r>
              <w:rPr>
                <w:rFonts w:cs="Times New Roman"/>
                <w:kern w:val="21"/>
                <w:sz w:val="21"/>
                <w:szCs w:val="21"/>
              </w:rPr>
              <w:t>00</w:t>
            </w:r>
            <w:r>
              <w:rPr>
                <w:rFonts w:cs="Times New Roman" w:hint="eastAsia"/>
                <w:kern w:val="21"/>
                <w:sz w:val="21"/>
                <w:szCs w:val="21"/>
              </w:rPr>
              <w:t>；</w:t>
            </w:r>
            <w:r>
              <w:rPr>
                <w:rFonts w:cs="Times New Roman"/>
                <w:kern w:val="21"/>
                <w:sz w:val="21"/>
                <w:szCs w:val="21"/>
              </w:rPr>
              <w:t>夜间监测时</w:t>
            </w:r>
            <w:r>
              <w:rPr>
                <w:rFonts w:cs="Times New Roman"/>
                <w:kern w:val="21"/>
                <w:sz w:val="21"/>
                <w:szCs w:val="21"/>
              </w:rPr>
              <w:lastRenderedPageBreak/>
              <w:t>段为</w:t>
            </w:r>
            <w:r>
              <w:rPr>
                <w:rFonts w:cs="Times New Roman"/>
                <w:kern w:val="21"/>
                <w:sz w:val="21"/>
                <w:szCs w:val="21"/>
              </w:rPr>
              <w:t>22</w:t>
            </w:r>
            <w:r>
              <w:rPr>
                <w:rFonts w:cs="Times New Roman"/>
                <w:kern w:val="21"/>
                <w:sz w:val="21"/>
                <w:szCs w:val="21"/>
              </w:rPr>
              <w:t>：</w:t>
            </w:r>
            <w:r>
              <w:rPr>
                <w:rFonts w:cs="Times New Roman"/>
                <w:kern w:val="21"/>
                <w:sz w:val="21"/>
                <w:szCs w:val="21"/>
              </w:rPr>
              <w:t>00</w:t>
            </w:r>
            <w:r>
              <w:rPr>
                <w:rFonts w:cs="Times New Roman" w:hint="eastAsia"/>
                <w:kern w:val="21"/>
                <w:sz w:val="21"/>
                <w:szCs w:val="21"/>
              </w:rPr>
              <w:t>~</w:t>
            </w:r>
            <w:r>
              <w:rPr>
                <w:rFonts w:cs="Times New Roman"/>
                <w:kern w:val="21"/>
                <w:sz w:val="21"/>
                <w:szCs w:val="21"/>
              </w:rPr>
              <w:t>6</w:t>
            </w:r>
            <w:r>
              <w:rPr>
                <w:rFonts w:cs="Times New Roman"/>
                <w:kern w:val="21"/>
                <w:sz w:val="21"/>
                <w:szCs w:val="21"/>
              </w:rPr>
              <w:t>：</w:t>
            </w:r>
            <w:r>
              <w:rPr>
                <w:rFonts w:cs="Times New Roman"/>
                <w:kern w:val="21"/>
                <w:sz w:val="21"/>
                <w:szCs w:val="21"/>
              </w:rPr>
              <w:t>00</w:t>
            </w:r>
          </w:p>
        </w:tc>
        <w:tc>
          <w:tcPr>
            <w:tcW w:w="1094" w:type="dxa"/>
            <w:vMerge w:val="restart"/>
            <w:vAlign w:val="center"/>
          </w:tcPr>
          <w:p w14:paraId="157F9836"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lastRenderedPageBreak/>
              <w:t>等效连续</w:t>
            </w:r>
            <w:r>
              <w:rPr>
                <w:rFonts w:cs="Times New Roman" w:hint="eastAsia"/>
                <w:kern w:val="21"/>
                <w:sz w:val="21"/>
                <w:szCs w:val="21"/>
              </w:rPr>
              <w:t>A</w:t>
            </w:r>
            <w:r>
              <w:rPr>
                <w:rFonts w:cs="Times New Roman" w:hint="eastAsia"/>
                <w:kern w:val="21"/>
                <w:sz w:val="21"/>
                <w:szCs w:val="21"/>
              </w:rPr>
              <w:t>声级</w:t>
            </w:r>
          </w:p>
        </w:tc>
        <w:tc>
          <w:tcPr>
            <w:tcW w:w="1060" w:type="dxa"/>
            <w:vAlign w:val="center"/>
          </w:tcPr>
          <w:p w14:paraId="5AFEFC0C"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现状值</w:t>
            </w:r>
          </w:p>
        </w:tc>
      </w:tr>
      <w:tr w:rsidR="00544649" w14:paraId="4B9285DB" w14:textId="77777777">
        <w:trPr>
          <w:trHeight w:val="424"/>
          <w:jc w:val="center"/>
        </w:trPr>
        <w:tc>
          <w:tcPr>
            <w:tcW w:w="593" w:type="dxa"/>
            <w:vAlign w:val="center"/>
          </w:tcPr>
          <w:p w14:paraId="5663D0F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N</w:t>
            </w:r>
            <w:r>
              <w:rPr>
                <w:rFonts w:cs="Times New Roman"/>
                <w:kern w:val="21"/>
                <w:sz w:val="21"/>
                <w:szCs w:val="21"/>
              </w:rPr>
              <w:t>2</w:t>
            </w:r>
          </w:p>
        </w:tc>
        <w:tc>
          <w:tcPr>
            <w:tcW w:w="3702" w:type="dxa"/>
            <w:vAlign w:val="center"/>
          </w:tcPr>
          <w:p w14:paraId="4E559803"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roofErr w:type="gramStart"/>
            <w:r>
              <w:rPr>
                <w:rFonts w:cs="Times New Roman" w:hint="eastAsia"/>
                <w:sz w:val="21"/>
                <w:szCs w:val="21"/>
              </w:rPr>
              <w:t>育雏场</w:t>
            </w:r>
            <w:proofErr w:type="gramEnd"/>
            <w:r>
              <w:rPr>
                <w:rFonts w:cs="Times New Roman" w:hint="eastAsia"/>
                <w:sz w:val="21"/>
                <w:szCs w:val="21"/>
              </w:rPr>
              <w:t>厂界南侧</w:t>
            </w:r>
          </w:p>
        </w:tc>
        <w:tc>
          <w:tcPr>
            <w:tcW w:w="2611" w:type="dxa"/>
            <w:vMerge/>
            <w:vAlign w:val="center"/>
          </w:tcPr>
          <w:p w14:paraId="44B57F9C"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94" w:type="dxa"/>
            <w:vMerge/>
            <w:vAlign w:val="center"/>
          </w:tcPr>
          <w:p w14:paraId="01ED5952"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60" w:type="dxa"/>
            <w:vAlign w:val="center"/>
          </w:tcPr>
          <w:p w14:paraId="09884382"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现状值</w:t>
            </w:r>
          </w:p>
        </w:tc>
      </w:tr>
      <w:tr w:rsidR="00544649" w14:paraId="6BD1642C" w14:textId="77777777">
        <w:trPr>
          <w:trHeight w:val="424"/>
          <w:jc w:val="center"/>
        </w:trPr>
        <w:tc>
          <w:tcPr>
            <w:tcW w:w="593" w:type="dxa"/>
            <w:vAlign w:val="center"/>
          </w:tcPr>
          <w:p w14:paraId="4F25F2C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N3</w:t>
            </w:r>
          </w:p>
        </w:tc>
        <w:tc>
          <w:tcPr>
            <w:tcW w:w="3702" w:type="dxa"/>
            <w:vAlign w:val="center"/>
          </w:tcPr>
          <w:p w14:paraId="7DE05B44"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roofErr w:type="gramStart"/>
            <w:r>
              <w:rPr>
                <w:rFonts w:cs="Times New Roman" w:hint="eastAsia"/>
                <w:sz w:val="21"/>
                <w:szCs w:val="21"/>
              </w:rPr>
              <w:t>育雏场</w:t>
            </w:r>
            <w:proofErr w:type="gramEnd"/>
            <w:r>
              <w:rPr>
                <w:rFonts w:cs="Times New Roman" w:hint="eastAsia"/>
                <w:sz w:val="21"/>
                <w:szCs w:val="21"/>
              </w:rPr>
              <w:t>厂界西侧</w:t>
            </w:r>
          </w:p>
        </w:tc>
        <w:tc>
          <w:tcPr>
            <w:tcW w:w="2611" w:type="dxa"/>
            <w:vMerge/>
            <w:vAlign w:val="center"/>
          </w:tcPr>
          <w:p w14:paraId="231A33C5"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94" w:type="dxa"/>
            <w:vMerge/>
            <w:vAlign w:val="center"/>
          </w:tcPr>
          <w:p w14:paraId="3F40CDFB"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60" w:type="dxa"/>
            <w:vAlign w:val="center"/>
          </w:tcPr>
          <w:p w14:paraId="342ADF9D"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现状值</w:t>
            </w:r>
          </w:p>
        </w:tc>
      </w:tr>
      <w:tr w:rsidR="00544649" w14:paraId="3160787A" w14:textId="77777777">
        <w:trPr>
          <w:trHeight w:val="424"/>
          <w:jc w:val="center"/>
        </w:trPr>
        <w:tc>
          <w:tcPr>
            <w:tcW w:w="593" w:type="dxa"/>
            <w:vAlign w:val="center"/>
          </w:tcPr>
          <w:p w14:paraId="5AFCD98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lastRenderedPageBreak/>
              <w:t>N4</w:t>
            </w:r>
          </w:p>
        </w:tc>
        <w:tc>
          <w:tcPr>
            <w:tcW w:w="3702" w:type="dxa"/>
            <w:vAlign w:val="center"/>
          </w:tcPr>
          <w:p w14:paraId="3131FF76"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roofErr w:type="gramStart"/>
            <w:r>
              <w:rPr>
                <w:rFonts w:cs="Times New Roman" w:hint="eastAsia"/>
                <w:sz w:val="21"/>
                <w:szCs w:val="21"/>
              </w:rPr>
              <w:t>育雏场</w:t>
            </w:r>
            <w:proofErr w:type="gramEnd"/>
            <w:r>
              <w:rPr>
                <w:rFonts w:cs="Times New Roman" w:hint="eastAsia"/>
                <w:sz w:val="21"/>
                <w:szCs w:val="21"/>
              </w:rPr>
              <w:t>厂界北侧</w:t>
            </w:r>
          </w:p>
        </w:tc>
        <w:tc>
          <w:tcPr>
            <w:tcW w:w="2611" w:type="dxa"/>
            <w:vMerge/>
            <w:vAlign w:val="center"/>
          </w:tcPr>
          <w:p w14:paraId="66222F87"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94" w:type="dxa"/>
            <w:vMerge/>
            <w:vAlign w:val="center"/>
          </w:tcPr>
          <w:p w14:paraId="488629D4"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60" w:type="dxa"/>
            <w:vAlign w:val="center"/>
          </w:tcPr>
          <w:p w14:paraId="5DFF9769"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现状值</w:t>
            </w:r>
          </w:p>
        </w:tc>
      </w:tr>
      <w:tr w:rsidR="00544649" w14:paraId="7111E04C" w14:textId="77777777">
        <w:trPr>
          <w:trHeight w:val="424"/>
          <w:jc w:val="center"/>
        </w:trPr>
        <w:tc>
          <w:tcPr>
            <w:tcW w:w="593" w:type="dxa"/>
            <w:vAlign w:val="center"/>
          </w:tcPr>
          <w:p w14:paraId="5CFAB84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N5</w:t>
            </w:r>
          </w:p>
        </w:tc>
        <w:tc>
          <w:tcPr>
            <w:tcW w:w="3702" w:type="dxa"/>
            <w:vAlign w:val="center"/>
          </w:tcPr>
          <w:p w14:paraId="197CABCD"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sz w:val="21"/>
                <w:szCs w:val="21"/>
              </w:rPr>
              <w:t>蛋鸡场厂界东侧</w:t>
            </w:r>
          </w:p>
        </w:tc>
        <w:tc>
          <w:tcPr>
            <w:tcW w:w="2611" w:type="dxa"/>
            <w:vMerge/>
            <w:vAlign w:val="center"/>
          </w:tcPr>
          <w:p w14:paraId="5ED7A4CC"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94" w:type="dxa"/>
            <w:vMerge/>
            <w:vAlign w:val="center"/>
          </w:tcPr>
          <w:p w14:paraId="11DA1156"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60" w:type="dxa"/>
          </w:tcPr>
          <w:p w14:paraId="75D7C0F1"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现状值</w:t>
            </w:r>
          </w:p>
        </w:tc>
      </w:tr>
      <w:tr w:rsidR="00544649" w14:paraId="63CC1F9E" w14:textId="77777777">
        <w:trPr>
          <w:trHeight w:val="424"/>
          <w:jc w:val="center"/>
        </w:trPr>
        <w:tc>
          <w:tcPr>
            <w:tcW w:w="593" w:type="dxa"/>
            <w:vAlign w:val="center"/>
          </w:tcPr>
          <w:p w14:paraId="55D6C27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N6</w:t>
            </w:r>
          </w:p>
        </w:tc>
        <w:tc>
          <w:tcPr>
            <w:tcW w:w="3702" w:type="dxa"/>
            <w:vAlign w:val="center"/>
          </w:tcPr>
          <w:p w14:paraId="2AEF16A4"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sz w:val="21"/>
                <w:szCs w:val="21"/>
              </w:rPr>
              <w:t>蛋鸡场厂界南侧</w:t>
            </w:r>
          </w:p>
        </w:tc>
        <w:tc>
          <w:tcPr>
            <w:tcW w:w="2611" w:type="dxa"/>
            <w:vMerge/>
            <w:vAlign w:val="center"/>
          </w:tcPr>
          <w:p w14:paraId="31444907"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94" w:type="dxa"/>
            <w:vMerge/>
            <w:vAlign w:val="center"/>
          </w:tcPr>
          <w:p w14:paraId="23B254E8"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60" w:type="dxa"/>
          </w:tcPr>
          <w:p w14:paraId="0B700713"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现状值</w:t>
            </w:r>
          </w:p>
        </w:tc>
      </w:tr>
      <w:tr w:rsidR="00544649" w14:paraId="12129195" w14:textId="77777777">
        <w:trPr>
          <w:trHeight w:val="424"/>
          <w:jc w:val="center"/>
        </w:trPr>
        <w:tc>
          <w:tcPr>
            <w:tcW w:w="593" w:type="dxa"/>
            <w:vAlign w:val="center"/>
          </w:tcPr>
          <w:p w14:paraId="28E5E7B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N7</w:t>
            </w:r>
          </w:p>
        </w:tc>
        <w:tc>
          <w:tcPr>
            <w:tcW w:w="3702" w:type="dxa"/>
            <w:vAlign w:val="center"/>
          </w:tcPr>
          <w:p w14:paraId="16F60502"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sz w:val="21"/>
                <w:szCs w:val="21"/>
              </w:rPr>
              <w:t>蛋鸡场厂界西侧</w:t>
            </w:r>
          </w:p>
        </w:tc>
        <w:tc>
          <w:tcPr>
            <w:tcW w:w="2611" w:type="dxa"/>
            <w:vMerge/>
            <w:vAlign w:val="center"/>
          </w:tcPr>
          <w:p w14:paraId="772AEECC"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94" w:type="dxa"/>
            <w:vMerge/>
            <w:vAlign w:val="center"/>
          </w:tcPr>
          <w:p w14:paraId="4517F67B"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60" w:type="dxa"/>
          </w:tcPr>
          <w:p w14:paraId="43579597"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现状值</w:t>
            </w:r>
          </w:p>
        </w:tc>
      </w:tr>
      <w:tr w:rsidR="00544649" w14:paraId="6846282E" w14:textId="77777777">
        <w:trPr>
          <w:trHeight w:val="424"/>
          <w:jc w:val="center"/>
        </w:trPr>
        <w:tc>
          <w:tcPr>
            <w:tcW w:w="593" w:type="dxa"/>
            <w:vAlign w:val="center"/>
          </w:tcPr>
          <w:p w14:paraId="6D67BEC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N8</w:t>
            </w:r>
          </w:p>
        </w:tc>
        <w:tc>
          <w:tcPr>
            <w:tcW w:w="3702" w:type="dxa"/>
            <w:vAlign w:val="center"/>
          </w:tcPr>
          <w:p w14:paraId="400F5E64"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sz w:val="21"/>
                <w:szCs w:val="21"/>
              </w:rPr>
              <w:t>蛋鸡场厂界北侧</w:t>
            </w:r>
          </w:p>
        </w:tc>
        <w:tc>
          <w:tcPr>
            <w:tcW w:w="2611" w:type="dxa"/>
            <w:vMerge/>
            <w:vAlign w:val="center"/>
          </w:tcPr>
          <w:p w14:paraId="28A50ADB"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94" w:type="dxa"/>
            <w:vMerge/>
            <w:vAlign w:val="center"/>
          </w:tcPr>
          <w:p w14:paraId="5E9E35F2"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60" w:type="dxa"/>
          </w:tcPr>
          <w:p w14:paraId="76885C34"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现状值</w:t>
            </w:r>
          </w:p>
        </w:tc>
      </w:tr>
      <w:tr w:rsidR="00544649" w14:paraId="79C88AD9" w14:textId="77777777">
        <w:trPr>
          <w:trHeight w:val="424"/>
          <w:jc w:val="center"/>
        </w:trPr>
        <w:tc>
          <w:tcPr>
            <w:tcW w:w="593" w:type="dxa"/>
            <w:vAlign w:val="center"/>
          </w:tcPr>
          <w:p w14:paraId="66805F2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N9</w:t>
            </w:r>
          </w:p>
        </w:tc>
        <w:tc>
          <w:tcPr>
            <w:tcW w:w="3702" w:type="dxa"/>
            <w:vAlign w:val="center"/>
          </w:tcPr>
          <w:p w14:paraId="65CE3679"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sz w:val="21"/>
                <w:szCs w:val="21"/>
              </w:rPr>
              <w:t>蛋鸡场厂界东侧居民点噪声（距厂界</w:t>
            </w:r>
            <w:r>
              <w:rPr>
                <w:rFonts w:cs="Times New Roman" w:hint="eastAsia"/>
                <w:sz w:val="21"/>
                <w:szCs w:val="21"/>
              </w:rPr>
              <w:t>180</w:t>
            </w:r>
            <w:r>
              <w:rPr>
                <w:rFonts w:cs="Times New Roman"/>
                <w:sz w:val="21"/>
                <w:szCs w:val="21"/>
              </w:rPr>
              <w:t>m</w:t>
            </w:r>
            <w:r>
              <w:rPr>
                <w:rFonts w:cs="Times New Roman" w:hint="eastAsia"/>
                <w:sz w:val="21"/>
                <w:szCs w:val="21"/>
              </w:rPr>
              <w:t>）</w:t>
            </w:r>
          </w:p>
        </w:tc>
        <w:tc>
          <w:tcPr>
            <w:tcW w:w="2611" w:type="dxa"/>
            <w:vMerge/>
            <w:vAlign w:val="center"/>
          </w:tcPr>
          <w:p w14:paraId="330CB6B8"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94" w:type="dxa"/>
            <w:vMerge/>
            <w:vAlign w:val="center"/>
          </w:tcPr>
          <w:p w14:paraId="09CA86DD"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60" w:type="dxa"/>
            <w:vAlign w:val="center"/>
          </w:tcPr>
          <w:p w14:paraId="39A493D8"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现状值</w:t>
            </w:r>
          </w:p>
        </w:tc>
      </w:tr>
      <w:tr w:rsidR="00544649" w14:paraId="0F689409" w14:textId="77777777">
        <w:trPr>
          <w:trHeight w:val="424"/>
          <w:jc w:val="center"/>
        </w:trPr>
        <w:tc>
          <w:tcPr>
            <w:tcW w:w="593" w:type="dxa"/>
            <w:vAlign w:val="center"/>
          </w:tcPr>
          <w:p w14:paraId="1D83AEA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N10</w:t>
            </w:r>
          </w:p>
        </w:tc>
        <w:tc>
          <w:tcPr>
            <w:tcW w:w="3702" w:type="dxa"/>
            <w:vAlign w:val="center"/>
          </w:tcPr>
          <w:p w14:paraId="5FD108D3"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sz w:val="21"/>
                <w:szCs w:val="21"/>
              </w:rPr>
              <w:t>蛋鸡场厂界西侧居民点噪声（距厂界</w:t>
            </w:r>
            <w:r>
              <w:rPr>
                <w:rFonts w:cs="Times New Roman" w:hint="eastAsia"/>
                <w:sz w:val="21"/>
                <w:szCs w:val="21"/>
              </w:rPr>
              <w:t>125</w:t>
            </w:r>
            <w:r>
              <w:rPr>
                <w:rFonts w:cs="Times New Roman"/>
                <w:sz w:val="21"/>
                <w:szCs w:val="21"/>
              </w:rPr>
              <w:t>m</w:t>
            </w:r>
            <w:r>
              <w:rPr>
                <w:rFonts w:cs="Times New Roman" w:hint="eastAsia"/>
                <w:sz w:val="21"/>
                <w:szCs w:val="21"/>
              </w:rPr>
              <w:t>）</w:t>
            </w:r>
          </w:p>
        </w:tc>
        <w:tc>
          <w:tcPr>
            <w:tcW w:w="2611" w:type="dxa"/>
            <w:vMerge/>
            <w:vAlign w:val="center"/>
          </w:tcPr>
          <w:p w14:paraId="714C68A8"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94" w:type="dxa"/>
            <w:vMerge/>
            <w:vAlign w:val="center"/>
          </w:tcPr>
          <w:p w14:paraId="1B57E55A"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60" w:type="dxa"/>
            <w:vAlign w:val="center"/>
          </w:tcPr>
          <w:p w14:paraId="16066BF7"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现状值</w:t>
            </w:r>
          </w:p>
        </w:tc>
      </w:tr>
      <w:tr w:rsidR="00544649" w14:paraId="7B43FEF0" w14:textId="77777777">
        <w:trPr>
          <w:trHeight w:val="424"/>
          <w:jc w:val="center"/>
        </w:trPr>
        <w:tc>
          <w:tcPr>
            <w:tcW w:w="593" w:type="dxa"/>
            <w:vAlign w:val="center"/>
          </w:tcPr>
          <w:p w14:paraId="3A03E4A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N11</w:t>
            </w:r>
          </w:p>
        </w:tc>
        <w:tc>
          <w:tcPr>
            <w:tcW w:w="3702" w:type="dxa"/>
            <w:vAlign w:val="center"/>
          </w:tcPr>
          <w:p w14:paraId="42689EA8"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sz w:val="21"/>
                <w:szCs w:val="21"/>
              </w:rPr>
              <w:t>蛋鸡场厂界西侧居民点噪声（距厂界</w:t>
            </w:r>
            <w:r>
              <w:rPr>
                <w:rFonts w:cs="Times New Roman"/>
                <w:sz w:val="21"/>
                <w:szCs w:val="21"/>
              </w:rPr>
              <w:t>1</w:t>
            </w:r>
            <w:r>
              <w:rPr>
                <w:rFonts w:cs="Times New Roman" w:hint="eastAsia"/>
                <w:sz w:val="21"/>
                <w:szCs w:val="21"/>
              </w:rPr>
              <w:t>40</w:t>
            </w:r>
            <w:r>
              <w:rPr>
                <w:rFonts w:cs="Times New Roman"/>
                <w:sz w:val="21"/>
                <w:szCs w:val="21"/>
              </w:rPr>
              <w:t>m</w:t>
            </w:r>
            <w:r>
              <w:rPr>
                <w:rFonts w:cs="Times New Roman" w:hint="eastAsia"/>
                <w:sz w:val="21"/>
                <w:szCs w:val="21"/>
              </w:rPr>
              <w:t>）</w:t>
            </w:r>
          </w:p>
        </w:tc>
        <w:tc>
          <w:tcPr>
            <w:tcW w:w="2611" w:type="dxa"/>
            <w:vMerge/>
            <w:vAlign w:val="center"/>
          </w:tcPr>
          <w:p w14:paraId="429B7CC1"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94" w:type="dxa"/>
            <w:vMerge/>
            <w:vAlign w:val="center"/>
          </w:tcPr>
          <w:p w14:paraId="620DDD44" w14:textId="77777777" w:rsidR="00544649" w:rsidRDefault="00544649">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p>
        </w:tc>
        <w:tc>
          <w:tcPr>
            <w:tcW w:w="1060" w:type="dxa"/>
            <w:vAlign w:val="center"/>
          </w:tcPr>
          <w:p w14:paraId="48EE5BC9" w14:textId="77777777" w:rsidR="00544649" w:rsidRDefault="00000000">
            <w:pPr>
              <w:tabs>
                <w:tab w:val="left" w:pos="2130"/>
              </w:tabs>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现状值</w:t>
            </w:r>
          </w:p>
        </w:tc>
      </w:tr>
    </w:tbl>
    <w:p w14:paraId="7A9843FB"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二、评价标准</w:t>
      </w:r>
    </w:p>
    <w:p w14:paraId="3E74EBB2" w14:textId="77777777" w:rsidR="00544649" w:rsidRDefault="00000000">
      <w:pPr>
        <w:adjustRightInd w:val="0"/>
        <w:snapToGrid w:val="0"/>
        <w:spacing w:after="0"/>
        <w:ind w:firstLine="480"/>
        <w:rPr>
          <w:rFonts w:cs="Times New Roman"/>
          <w:kern w:val="21"/>
          <w:szCs w:val="24"/>
        </w:rPr>
      </w:pPr>
      <w:r>
        <w:rPr>
          <w:rFonts w:cs="Times New Roman"/>
          <w:kern w:val="21"/>
          <w:szCs w:val="24"/>
        </w:rPr>
        <w:t>执行</w:t>
      </w:r>
      <w:r>
        <w:rPr>
          <w:rFonts w:cs="Times New Roman" w:hint="eastAsia"/>
          <w:kern w:val="21"/>
          <w:szCs w:val="24"/>
        </w:rPr>
        <w:t>《声环境质量标准》（</w:t>
      </w:r>
      <w:r>
        <w:rPr>
          <w:rFonts w:cs="Times New Roman" w:hint="eastAsia"/>
          <w:kern w:val="21"/>
          <w:szCs w:val="24"/>
        </w:rPr>
        <w:t>GB3096-2008</w:t>
      </w:r>
      <w:r>
        <w:rPr>
          <w:rFonts w:cs="Times New Roman" w:hint="eastAsia"/>
          <w:kern w:val="21"/>
          <w:szCs w:val="24"/>
        </w:rPr>
        <w:t>）</w:t>
      </w:r>
      <w:r>
        <w:rPr>
          <w:rFonts w:cs="Times New Roman" w:hint="eastAsia"/>
          <w:kern w:val="21"/>
          <w:szCs w:val="24"/>
        </w:rPr>
        <w:t>2</w:t>
      </w:r>
      <w:r>
        <w:rPr>
          <w:rFonts w:cs="Times New Roman" w:hint="eastAsia"/>
          <w:kern w:val="21"/>
          <w:szCs w:val="24"/>
        </w:rPr>
        <w:t>类标准</w:t>
      </w:r>
      <w:r>
        <w:rPr>
          <w:rFonts w:cs="Times New Roman"/>
          <w:kern w:val="21"/>
          <w:szCs w:val="24"/>
        </w:rPr>
        <w:t>。</w:t>
      </w:r>
    </w:p>
    <w:p w14:paraId="2682DAB7"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三、监测结果</w:t>
      </w:r>
    </w:p>
    <w:p w14:paraId="112EFC78" w14:textId="77777777" w:rsidR="00544649" w:rsidRDefault="00000000">
      <w:pPr>
        <w:adjustRightInd w:val="0"/>
        <w:snapToGrid w:val="0"/>
        <w:spacing w:after="0"/>
        <w:ind w:firstLine="480"/>
        <w:rPr>
          <w:rFonts w:cs="Times New Roman"/>
          <w:kern w:val="21"/>
        </w:rPr>
      </w:pPr>
      <w:r>
        <w:rPr>
          <w:rFonts w:ascii="宋体" w:hAnsi="Calibri" w:cs="Times New Roman" w:hint="eastAsia"/>
          <w:kern w:val="21"/>
          <w:szCs w:val="24"/>
        </w:rPr>
        <w:t>略</w:t>
      </w:r>
      <w:r>
        <w:rPr>
          <w:rFonts w:hint="eastAsia"/>
          <w:kern w:val="21"/>
        </w:rPr>
        <w:t>。</w:t>
      </w:r>
    </w:p>
    <w:p w14:paraId="52984136" w14:textId="77777777" w:rsidR="00544649" w:rsidRDefault="00000000">
      <w:pPr>
        <w:keepNext/>
        <w:keepLines/>
        <w:numPr>
          <w:ilvl w:val="1"/>
          <w:numId w:val="9"/>
        </w:numPr>
        <w:adjustRightInd w:val="0"/>
        <w:snapToGrid w:val="0"/>
        <w:spacing w:after="0"/>
        <w:ind w:firstLineChars="0"/>
        <w:outlineLvl w:val="1"/>
        <w:rPr>
          <w:rFonts w:ascii="宋体" w:hAnsi="宋体" w:cs="宋体" w:hint="eastAsia"/>
          <w:b/>
          <w:kern w:val="21"/>
          <w:sz w:val="32"/>
        </w:rPr>
      </w:pPr>
      <w:bookmarkStart w:id="291" w:name="_Toc195009874"/>
      <w:bookmarkStart w:id="292" w:name="_Toc5177"/>
      <w:r>
        <w:rPr>
          <w:rFonts w:ascii="宋体" w:hAnsi="宋体" w:cs="宋体" w:hint="eastAsia"/>
          <w:b/>
          <w:kern w:val="21"/>
          <w:sz w:val="32"/>
        </w:rPr>
        <w:t>土壤环境质量现状监测与评价</w:t>
      </w:r>
      <w:bookmarkEnd w:id="291"/>
    </w:p>
    <w:p w14:paraId="360AA89B" w14:textId="77777777" w:rsidR="00544649" w:rsidRDefault="00000000">
      <w:pPr>
        <w:adjustRightInd w:val="0"/>
        <w:snapToGrid w:val="0"/>
        <w:spacing w:after="0"/>
        <w:ind w:firstLine="482"/>
        <w:rPr>
          <w:b/>
          <w:bCs/>
        </w:rPr>
      </w:pPr>
      <w:r>
        <w:rPr>
          <w:rFonts w:hint="eastAsia"/>
          <w:b/>
          <w:bCs/>
        </w:rPr>
        <w:t>一、监测点位及监测因子</w:t>
      </w:r>
    </w:p>
    <w:p w14:paraId="77942393" w14:textId="77777777" w:rsidR="00544649" w:rsidRDefault="00000000">
      <w:pPr>
        <w:adjustRightInd w:val="0"/>
        <w:snapToGrid w:val="0"/>
        <w:spacing w:after="0"/>
        <w:ind w:firstLine="480"/>
      </w:pPr>
      <w:r>
        <w:rPr>
          <w:rFonts w:hint="eastAsia"/>
        </w:rPr>
        <w:t>⑴监测点布设：项目在厂址</w:t>
      </w:r>
      <w:proofErr w:type="gramStart"/>
      <w:r>
        <w:rPr>
          <w:rFonts w:hint="eastAsia"/>
        </w:rPr>
        <w:t>育雏场</w:t>
      </w:r>
      <w:proofErr w:type="gramEnd"/>
      <w:r>
        <w:rPr>
          <w:rFonts w:hint="eastAsia"/>
        </w:rPr>
        <w:t>及蛋鸡场区域分别布设</w:t>
      </w:r>
      <w:r>
        <w:rPr>
          <w:rFonts w:hint="eastAsia"/>
        </w:rPr>
        <w:t>3</w:t>
      </w:r>
      <w:r>
        <w:rPr>
          <w:rFonts w:hint="eastAsia"/>
        </w:rPr>
        <w:t>个表层土壤监测点，具体位置详见下表，布点情况见附图。</w:t>
      </w:r>
    </w:p>
    <w:p w14:paraId="0925C2A8" w14:textId="77777777" w:rsidR="00544649" w:rsidRDefault="00000000">
      <w:pPr>
        <w:numPr>
          <w:ilvl w:val="0"/>
          <w:numId w:val="26"/>
        </w:numPr>
        <w:adjustRightInd w:val="0"/>
        <w:snapToGrid w:val="0"/>
        <w:spacing w:beforeLines="20" w:before="62" w:afterLines="20" w:after="62" w:line="240" w:lineRule="auto"/>
        <w:ind w:left="0" w:firstLineChars="0" w:firstLine="0"/>
        <w:jc w:val="center"/>
        <w:rPr>
          <w:rFonts w:cs="Times New Roman"/>
          <w:kern w:val="21"/>
          <w:sz w:val="21"/>
          <w:szCs w:val="21"/>
        </w:rPr>
      </w:pPr>
      <w:r>
        <w:rPr>
          <w:rFonts w:cs="Times New Roman" w:hint="eastAsia"/>
          <w:b/>
          <w:kern w:val="21"/>
          <w:sz w:val="21"/>
          <w:szCs w:val="21"/>
        </w:rPr>
        <w:t>土壤监测方案</w:t>
      </w:r>
    </w:p>
    <w:tbl>
      <w:tblPr>
        <w:tblStyle w:val="afc"/>
        <w:tblW w:w="9060" w:type="dxa"/>
        <w:jc w:val="center"/>
        <w:tblLayout w:type="fixed"/>
        <w:tblLook w:val="04A0" w:firstRow="1" w:lastRow="0" w:firstColumn="1" w:lastColumn="0" w:noHBand="0" w:noVBand="1"/>
      </w:tblPr>
      <w:tblGrid>
        <w:gridCol w:w="1095"/>
        <w:gridCol w:w="1099"/>
        <w:gridCol w:w="1152"/>
        <w:gridCol w:w="1094"/>
        <w:gridCol w:w="1205"/>
        <w:gridCol w:w="1152"/>
        <w:gridCol w:w="1250"/>
        <w:gridCol w:w="1013"/>
      </w:tblGrid>
      <w:tr w:rsidR="00544649" w14:paraId="04B42060" w14:textId="77777777">
        <w:trPr>
          <w:jc w:val="center"/>
        </w:trPr>
        <w:tc>
          <w:tcPr>
            <w:tcW w:w="2194" w:type="dxa"/>
            <w:gridSpan w:val="2"/>
            <w:vMerge w:val="restart"/>
            <w:vAlign w:val="center"/>
          </w:tcPr>
          <w:p w14:paraId="08A94B13" w14:textId="77777777" w:rsidR="00544649" w:rsidRDefault="00000000">
            <w:pPr>
              <w:tabs>
                <w:tab w:val="left" w:pos="2130"/>
              </w:tabs>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序号</w:t>
            </w:r>
          </w:p>
        </w:tc>
        <w:tc>
          <w:tcPr>
            <w:tcW w:w="1152" w:type="dxa"/>
            <w:vMerge w:val="restart"/>
            <w:vAlign w:val="center"/>
          </w:tcPr>
          <w:p w14:paraId="61B1D98A" w14:textId="77777777" w:rsidR="00544649" w:rsidRDefault="00000000">
            <w:pPr>
              <w:tabs>
                <w:tab w:val="left" w:pos="2130"/>
              </w:tabs>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监测位置</w:t>
            </w:r>
          </w:p>
        </w:tc>
        <w:tc>
          <w:tcPr>
            <w:tcW w:w="2299" w:type="dxa"/>
            <w:gridSpan w:val="2"/>
            <w:vMerge w:val="restart"/>
            <w:vAlign w:val="center"/>
          </w:tcPr>
          <w:p w14:paraId="7EF36177" w14:textId="77777777" w:rsidR="00544649" w:rsidRDefault="00000000">
            <w:pPr>
              <w:tabs>
                <w:tab w:val="left" w:pos="2130"/>
              </w:tabs>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采样位置</w:t>
            </w:r>
          </w:p>
        </w:tc>
        <w:tc>
          <w:tcPr>
            <w:tcW w:w="2402" w:type="dxa"/>
            <w:gridSpan w:val="2"/>
            <w:vAlign w:val="center"/>
          </w:tcPr>
          <w:p w14:paraId="59EF065E" w14:textId="77777777" w:rsidR="00544649" w:rsidRDefault="00000000">
            <w:pPr>
              <w:tabs>
                <w:tab w:val="left" w:pos="2130"/>
              </w:tabs>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监测因子</w:t>
            </w:r>
          </w:p>
        </w:tc>
        <w:tc>
          <w:tcPr>
            <w:tcW w:w="1013" w:type="dxa"/>
            <w:vMerge w:val="restart"/>
            <w:vAlign w:val="center"/>
          </w:tcPr>
          <w:p w14:paraId="41D432F8" w14:textId="77777777" w:rsidR="00544649" w:rsidRDefault="00000000">
            <w:pPr>
              <w:tabs>
                <w:tab w:val="left" w:pos="2130"/>
              </w:tabs>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监测频次</w:t>
            </w:r>
          </w:p>
        </w:tc>
      </w:tr>
      <w:tr w:rsidR="00544649" w14:paraId="5FDC43B6" w14:textId="77777777">
        <w:trPr>
          <w:jc w:val="center"/>
        </w:trPr>
        <w:tc>
          <w:tcPr>
            <w:tcW w:w="2194" w:type="dxa"/>
            <w:gridSpan w:val="2"/>
            <w:vMerge/>
            <w:vAlign w:val="center"/>
          </w:tcPr>
          <w:p w14:paraId="0D4AB2E8" w14:textId="77777777" w:rsidR="00544649" w:rsidRDefault="00544649">
            <w:pPr>
              <w:tabs>
                <w:tab w:val="left" w:pos="2130"/>
              </w:tabs>
              <w:adjustRightInd w:val="0"/>
              <w:snapToGrid w:val="0"/>
              <w:spacing w:after="0" w:line="240" w:lineRule="auto"/>
              <w:ind w:firstLineChars="0" w:firstLine="0"/>
              <w:jc w:val="center"/>
              <w:rPr>
                <w:rFonts w:cs="Times New Roman"/>
                <w:b/>
                <w:bCs/>
                <w:kern w:val="0"/>
                <w:sz w:val="21"/>
                <w:szCs w:val="21"/>
              </w:rPr>
            </w:pPr>
          </w:p>
        </w:tc>
        <w:tc>
          <w:tcPr>
            <w:tcW w:w="1152" w:type="dxa"/>
            <w:vMerge/>
            <w:vAlign w:val="center"/>
          </w:tcPr>
          <w:p w14:paraId="05BE3252" w14:textId="77777777" w:rsidR="00544649" w:rsidRDefault="00544649">
            <w:pPr>
              <w:tabs>
                <w:tab w:val="left" w:pos="2130"/>
              </w:tabs>
              <w:adjustRightInd w:val="0"/>
              <w:snapToGrid w:val="0"/>
              <w:spacing w:after="0" w:line="240" w:lineRule="auto"/>
              <w:ind w:firstLineChars="0" w:firstLine="0"/>
              <w:jc w:val="center"/>
              <w:rPr>
                <w:rFonts w:cs="Times New Roman"/>
                <w:b/>
                <w:bCs/>
                <w:kern w:val="0"/>
                <w:sz w:val="21"/>
                <w:szCs w:val="21"/>
              </w:rPr>
            </w:pPr>
          </w:p>
        </w:tc>
        <w:tc>
          <w:tcPr>
            <w:tcW w:w="2299" w:type="dxa"/>
            <w:gridSpan w:val="2"/>
            <w:vMerge/>
            <w:vAlign w:val="center"/>
          </w:tcPr>
          <w:p w14:paraId="6C9D2491" w14:textId="77777777" w:rsidR="00544649" w:rsidRDefault="00544649">
            <w:pPr>
              <w:tabs>
                <w:tab w:val="left" w:pos="2130"/>
              </w:tabs>
              <w:adjustRightInd w:val="0"/>
              <w:snapToGrid w:val="0"/>
              <w:spacing w:after="0" w:line="240" w:lineRule="auto"/>
              <w:ind w:firstLineChars="0" w:firstLine="0"/>
              <w:jc w:val="center"/>
              <w:rPr>
                <w:rFonts w:cs="Times New Roman"/>
                <w:b/>
                <w:bCs/>
                <w:kern w:val="0"/>
                <w:sz w:val="21"/>
                <w:szCs w:val="21"/>
              </w:rPr>
            </w:pPr>
          </w:p>
        </w:tc>
        <w:tc>
          <w:tcPr>
            <w:tcW w:w="1152" w:type="dxa"/>
            <w:vAlign w:val="center"/>
          </w:tcPr>
          <w:p w14:paraId="6390B207" w14:textId="77777777" w:rsidR="00544649" w:rsidRDefault="00000000">
            <w:pPr>
              <w:tabs>
                <w:tab w:val="left" w:pos="2130"/>
              </w:tabs>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基本项</w:t>
            </w:r>
          </w:p>
        </w:tc>
        <w:tc>
          <w:tcPr>
            <w:tcW w:w="1250" w:type="dxa"/>
            <w:vAlign w:val="center"/>
          </w:tcPr>
          <w:p w14:paraId="410AB15A" w14:textId="77777777" w:rsidR="00544649" w:rsidRDefault="00000000">
            <w:pPr>
              <w:tabs>
                <w:tab w:val="left" w:pos="2130"/>
              </w:tabs>
              <w:adjustRightInd w:val="0"/>
              <w:snapToGrid w:val="0"/>
              <w:spacing w:after="0" w:line="240" w:lineRule="auto"/>
              <w:ind w:firstLineChars="0" w:firstLine="0"/>
              <w:jc w:val="center"/>
              <w:rPr>
                <w:rFonts w:cs="Times New Roman"/>
                <w:b/>
                <w:bCs/>
                <w:kern w:val="0"/>
                <w:sz w:val="21"/>
                <w:szCs w:val="21"/>
              </w:rPr>
            </w:pPr>
            <w:r>
              <w:rPr>
                <w:rFonts w:cs="Times New Roman"/>
                <w:b/>
                <w:bCs/>
                <w:kern w:val="0"/>
                <w:sz w:val="21"/>
                <w:szCs w:val="21"/>
              </w:rPr>
              <w:t>特征项</w:t>
            </w:r>
          </w:p>
        </w:tc>
        <w:tc>
          <w:tcPr>
            <w:tcW w:w="1013" w:type="dxa"/>
            <w:vMerge/>
            <w:vAlign w:val="center"/>
          </w:tcPr>
          <w:p w14:paraId="5242985F" w14:textId="77777777" w:rsidR="00544649" w:rsidRDefault="00544649">
            <w:pPr>
              <w:tabs>
                <w:tab w:val="left" w:pos="2130"/>
              </w:tabs>
              <w:adjustRightInd w:val="0"/>
              <w:snapToGrid w:val="0"/>
              <w:spacing w:after="0" w:line="240" w:lineRule="auto"/>
              <w:ind w:firstLineChars="0" w:firstLine="0"/>
              <w:jc w:val="center"/>
              <w:rPr>
                <w:rFonts w:cs="Times New Roman"/>
                <w:b/>
                <w:bCs/>
                <w:kern w:val="0"/>
                <w:sz w:val="21"/>
                <w:szCs w:val="21"/>
              </w:rPr>
            </w:pPr>
          </w:p>
        </w:tc>
      </w:tr>
      <w:tr w:rsidR="00544649" w14:paraId="12A89B1E" w14:textId="77777777">
        <w:trPr>
          <w:trHeight w:val="274"/>
          <w:jc w:val="center"/>
        </w:trPr>
        <w:tc>
          <w:tcPr>
            <w:tcW w:w="1095" w:type="dxa"/>
            <w:vMerge w:val="restart"/>
            <w:vAlign w:val="center"/>
          </w:tcPr>
          <w:p w14:paraId="201E76BC"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土壤监测点位</w:t>
            </w:r>
          </w:p>
        </w:tc>
        <w:tc>
          <w:tcPr>
            <w:tcW w:w="1099" w:type="dxa"/>
            <w:vAlign w:val="center"/>
          </w:tcPr>
          <w:p w14:paraId="4BBDC710"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S1</w:t>
            </w:r>
          </w:p>
        </w:tc>
        <w:tc>
          <w:tcPr>
            <w:tcW w:w="1152" w:type="dxa"/>
            <w:vAlign w:val="center"/>
          </w:tcPr>
          <w:p w14:paraId="4A8A9691"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育雏场内（拟建养殖</w:t>
            </w:r>
            <w:r>
              <w:rPr>
                <w:rFonts w:cs="Times New Roman" w:hint="eastAsia"/>
                <w:kern w:val="0"/>
                <w:sz w:val="21"/>
                <w:szCs w:val="21"/>
              </w:rPr>
              <w:t>鸡舍</w:t>
            </w:r>
            <w:r>
              <w:rPr>
                <w:rFonts w:cs="Times New Roman"/>
                <w:kern w:val="0"/>
                <w:sz w:val="21"/>
                <w:szCs w:val="21"/>
              </w:rPr>
              <w:t>）</w:t>
            </w:r>
          </w:p>
        </w:tc>
        <w:tc>
          <w:tcPr>
            <w:tcW w:w="1094" w:type="dxa"/>
            <w:vAlign w:val="center"/>
          </w:tcPr>
          <w:p w14:paraId="41BF05C7" w14:textId="77777777" w:rsidR="00544649" w:rsidRDefault="00000000">
            <w:pPr>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表层样</w:t>
            </w:r>
          </w:p>
        </w:tc>
        <w:tc>
          <w:tcPr>
            <w:tcW w:w="1205" w:type="dxa"/>
            <w:vAlign w:val="center"/>
          </w:tcPr>
          <w:p w14:paraId="584D799C" w14:textId="77777777" w:rsidR="00544649" w:rsidRDefault="00000000">
            <w:pPr>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0-0.2m</w:t>
            </w:r>
          </w:p>
        </w:tc>
        <w:tc>
          <w:tcPr>
            <w:tcW w:w="1152" w:type="dxa"/>
            <w:vMerge w:val="restart"/>
            <w:vAlign w:val="center"/>
          </w:tcPr>
          <w:p w14:paraId="2F3F391A" w14:textId="77777777" w:rsidR="00544649" w:rsidRDefault="00000000">
            <w:pPr>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镉、汞、砷、铅、铬、铜、镍、锌</w:t>
            </w:r>
          </w:p>
        </w:tc>
        <w:tc>
          <w:tcPr>
            <w:tcW w:w="1250" w:type="dxa"/>
            <w:vMerge w:val="restart"/>
            <w:vAlign w:val="center"/>
          </w:tcPr>
          <w:p w14:paraId="277E75B6" w14:textId="77777777" w:rsidR="00544649" w:rsidRDefault="00000000">
            <w:pPr>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PH</w:t>
            </w:r>
            <w:r>
              <w:rPr>
                <w:rFonts w:cs="Times New Roman"/>
                <w:kern w:val="0"/>
                <w:sz w:val="21"/>
                <w:szCs w:val="21"/>
              </w:rPr>
              <w:t>、石油烃</w:t>
            </w:r>
          </w:p>
        </w:tc>
        <w:tc>
          <w:tcPr>
            <w:tcW w:w="1013" w:type="dxa"/>
            <w:vMerge w:val="restart"/>
            <w:vAlign w:val="center"/>
          </w:tcPr>
          <w:p w14:paraId="397683BC" w14:textId="77777777" w:rsidR="00544649" w:rsidRDefault="00000000">
            <w:pPr>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监测</w:t>
            </w:r>
            <w:r>
              <w:rPr>
                <w:rFonts w:cs="Times New Roman"/>
                <w:kern w:val="0"/>
                <w:sz w:val="21"/>
                <w:szCs w:val="21"/>
              </w:rPr>
              <w:t>1</w:t>
            </w:r>
            <w:r>
              <w:rPr>
                <w:rFonts w:cs="Times New Roman"/>
                <w:kern w:val="0"/>
                <w:sz w:val="21"/>
                <w:szCs w:val="21"/>
              </w:rPr>
              <w:t>次</w:t>
            </w:r>
          </w:p>
        </w:tc>
      </w:tr>
      <w:tr w:rsidR="00544649" w14:paraId="089E9623" w14:textId="77777777">
        <w:trPr>
          <w:trHeight w:val="440"/>
          <w:jc w:val="center"/>
        </w:trPr>
        <w:tc>
          <w:tcPr>
            <w:tcW w:w="1095" w:type="dxa"/>
            <w:vMerge/>
            <w:vAlign w:val="center"/>
          </w:tcPr>
          <w:p w14:paraId="69537CE0"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c>
          <w:tcPr>
            <w:tcW w:w="1099" w:type="dxa"/>
            <w:vAlign w:val="center"/>
          </w:tcPr>
          <w:p w14:paraId="42EA994E"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S2</w:t>
            </w:r>
          </w:p>
        </w:tc>
        <w:tc>
          <w:tcPr>
            <w:tcW w:w="1152" w:type="dxa"/>
            <w:vAlign w:val="center"/>
          </w:tcPr>
          <w:p w14:paraId="3D082FCF"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育雏场内（拟建配电室）</w:t>
            </w:r>
          </w:p>
        </w:tc>
        <w:tc>
          <w:tcPr>
            <w:tcW w:w="1094" w:type="dxa"/>
            <w:vAlign w:val="center"/>
          </w:tcPr>
          <w:p w14:paraId="7E1EF64E"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表层样</w:t>
            </w:r>
          </w:p>
        </w:tc>
        <w:tc>
          <w:tcPr>
            <w:tcW w:w="1205" w:type="dxa"/>
            <w:vAlign w:val="center"/>
          </w:tcPr>
          <w:p w14:paraId="04DC13F0"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0-0.2m</w:t>
            </w:r>
          </w:p>
        </w:tc>
        <w:tc>
          <w:tcPr>
            <w:tcW w:w="1152" w:type="dxa"/>
            <w:vMerge/>
            <w:vAlign w:val="center"/>
          </w:tcPr>
          <w:p w14:paraId="09F58C92"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c>
          <w:tcPr>
            <w:tcW w:w="1250" w:type="dxa"/>
            <w:vMerge/>
            <w:vAlign w:val="center"/>
          </w:tcPr>
          <w:p w14:paraId="2C1E813A"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c>
          <w:tcPr>
            <w:tcW w:w="1013" w:type="dxa"/>
            <w:vMerge/>
            <w:vAlign w:val="center"/>
          </w:tcPr>
          <w:p w14:paraId="29504CC9"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r>
      <w:tr w:rsidR="00544649" w14:paraId="73FC382D" w14:textId="77777777">
        <w:trPr>
          <w:trHeight w:val="776"/>
          <w:jc w:val="center"/>
        </w:trPr>
        <w:tc>
          <w:tcPr>
            <w:tcW w:w="1095" w:type="dxa"/>
            <w:vMerge/>
            <w:vAlign w:val="center"/>
          </w:tcPr>
          <w:p w14:paraId="46F26B65"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c>
          <w:tcPr>
            <w:tcW w:w="1099" w:type="dxa"/>
            <w:vAlign w:val="center"/>
          </w:tcPr>
          <w:p w14:paraId="5D0EE1BF"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S3</w:t>
            </w:r>
          </w:p>
        </w:tc>
        <w:tc>
          <w:tcPr>
            <w:tcW w:w="1152" w:type="dxa"/>
            <w:vAlign w:val="center"/>
          </w:tcPr>
          <w:p w14:paraId="1EF75759"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育雏场内（拟建污水处理站）</w:t>
            </w:r>
          </w:p>
        </w:tc>
        <w:tc>
          <w:tcPr>
            <w:tcW w:w="1094" w:type="dxa"/>
            <w:vAlign w:val="center"/>
          </w:tcPr>
          <w:p w14:paraId="11DEA795"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表层样</w:t>
            </w:r>
          </w:p>
        </w:tc>
        <w:tc>
          <w:tcPr>
            <w:tcW w:w="1205" w:type="dxa"/>
            <w:vAlign w:val="center"/>
          </w:tcPr>
          <w:p w14:paraId="25CFC617"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0-0.2m</w:t>
            </w:r>
          </w:p>
        </w:tc>
        <w:tc>
          <w:tcPr>
            <w:tcW w:w="1152" w:type="dxa"/>
            <w:vMerge/>
            <w:vAlign w:val="center"/>
          </w:tcPr>
          <w:p w14:paraId="2EEF145B"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c>
          <w:tcPr>
            <w:tcW w:w="1250" w:type="dxa"/>
            <w:vMerge/>
            <w:vAlign w:val="center"/>
          </w:tcPr>
          <w:p w14:paraId="24ECC326"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c>
          <w:tcPr>
            <w:tcW w:w="1013" w:type="dxa"/>
            <w:vMerge/>
            <w:vAlign w:val="center"/>
          </w:tcPr>
          <w:p w14:paraId="2A074559"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r>
      <w:tr w:rsidR="00544649" w14:paraId="6F5CEE2C" w14:textId="77777777">
        <w:trPr>
          <w:trHeight w:val="776"/>
          <w:jc w:val="center"/>
        </w:trPr>
        <w:tc>
          <w:tcPr>
            <w:tcW w:w="1095" w:type="dxa"/>
            <w:vMerge/>
            <w:vAlign w:val="center"/>
          </w:tcPr>
          <w:p w14:paraId="2E04162D"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c>
          <w:tcPr>
            <w:tcW w:w="1099" w:type="dxa"/>
            <w:vAlign w:val="center"/>
          </w:tcPr>
          <w:p w14:paraId="6DD391B0"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S4</w:t>
            </w:r>
          </w:p>
        </w:tc>
        <w:tc>
          <w:tcPr>
            <w:tcW w:w="1152" w:type="dxa"/>
            <w:vAlign w:val="center"/>
          </w:tcPr>
          <w:p w14:paraId="688908DE"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蛋鸡场内（拟建养殖</w:t>
            </w:r>
            <w:r>
              <w:rPr>
                <w:rFonts w:cs="Times New Roman" w:hint="eastAsia"/>
                <w:kern w:val="0"/>
                <w:sz w:val="21"/>
                <w:szCs w:val="21"/>
              </w:rPr>
              <w:t>鸡舍</w:t>
            </w:r>
            <w:r>
              <w:rPr>
                <w:rFonts w:cs="Times New Roman"/>
                <w:kern w:val="0"/>
                <w:sz w:val="21"/>
                <w:szCs w:val="21"/>
              </w:rPr>
              <w:t>）</w:t>
            </w:r>
          </w:p>
        </w:tc>
        <w:tc>
          <w:tcPr>
            <w:tcW w:w="1094" w:type="dxa"/>
            <w:vAlign w:val="center"/>
          </w:tcPr>
          <w:p w14:paraId="6C261745"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表层样</w:t>
            </w:r>
          </w:p>
        </w:tc>
        <w:tc>
          <w:tcPr>
            <w:tcW w:w="1205" w:type="dxa"/>
            <w:vAlign w:val="center"/>
          </w:tcPr>
          <w:p w14:paraId="0C579E1E"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0-0.2m</w:t>
            </w:r>
          </w:p>
        </w:tc>
        <w:tc>
          <w:tcPr>
            <w:tcW w:w="1152" w:type="dxa"/>
            <w:vMerge/>
            <w:vAlign w:val="center"/>
          </w:tcPr>
          <w:p w14:paraId="185995AE"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c>
          <w:tcPr>
            <w:tcW w:w="1250" w:type="dxa"/>
            <w:vMerge/>
            <w:vAlign w:val="center"/>
          </w:tcPr>
          <w:p w14:paraId="3FCFF134"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c>
          <w:tcPr>
            <w:tcW w:w="1013" w:type="dxa"/>
            <w:vMerge/>
            <w:vAlign w:val="center"/>
          </w:tcPr>
          <w:p w14:paraId="27652C30"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r>
      <w:tr w:rsidR="00544649" w14:paraId="54FE4A39" w14:textId="77777777">
        <w:trPr>
          <w:trHeight w:val="776"/>
          <w:jc w:val="center"/>
        </w:trPr>
        <w:tc>
          <w:tcPr>
            <w:tcW w:w="1095" w:type="dxa"/>
            <w:vMerge/>
            <w:vAlign w:val="center"/>
          </w:tcPr>
          <w:p w14:paraId="5B2A0BCA"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c>
          <w:tcPr>
            <w:tcW w:w="1099" w:type="dxa"/>
            <w:vAlign w:val="center"/>
          </w:tcPr>
          <w:p w14:paraId="77131D52"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S5</w:t>
            </w:r>
          </w:p>
        </w:tc>
        <w:tc>
          <w:tcPr>
            <w:tcW w:w="1152" w:type="dxa"/>
            <w:vAlign w:val="center"/>
          </w:tcPr>
          <w:p w14:paraId="3358C3EF"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蛋鸡场内（拟建配电室）</w:t>
            </w:r>
          </w:p>
        </w:tc>
        <w:tc>
          <w:tcPr>
            <w:tcW w:w="1094" w:type="dxa"/>
            <w:vAlign w:val="center"/>
          </w:tcPr>
          <w:p w14:paraId="6F616616"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表层样</w:t>
            </w:r>
          </w:p>
        </w:tc>
        <w:tc>
          <w:tcPr>
            <w:tcW w:w="1205" w:type="dxa"/>
            <w:vAlign w:val="center"/>
          </w:tcPr>
          <w:p w14:paraId="06965807"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0-0.2m</w:t>
            </w:r>
          </w:p>
        </w:tc>
        <w:tc>
          <w:tcPr>
            <w:tcW w:w="1152" w:type="dxa"/>
            <w:vMerge/>
            <w:vAlign w:val="center"/>
          </w:tcPr>
          <w:p w14:paraId="50BBA5BC"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c>
          <w:tcPr>
            <w:tcW w:w="1250" w:type="dxa"/>
            <w:vMerge/>
            <w:vAlign w:val="center"/>
          </w:tcPr>
          <w:p w14:paraId="49D2090B"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c>
          <w:tcPr>
            <w:tcW w:w="1013" w:type="dxa"/>
            <w:vMerge/>
            <w:vAlign w:val="center"/>
          </w:tcPr>
          <w:p w14:paraId="19B1CC7B"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r>
      <w:tr w:rsidR="00544649" w14:paraId="78767304" w14:textId="77777777">
        <w:trPr>
          <w:trHeight w:val="776"/>
          <w:jc w:val="center"/>
        </w:trPr>
        <w:tc>
          <w:tcPr>
            <w:tcW w:w="1095" w:type="dxa"/>
            <w:vMerge/>
            <w:vAlign w:val="center"/>
          </w:tcPr>
          <w:p w14:paraId="3A7247BF"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c>
          <w:tcPr>
            <w:tcW w:w="1099" w:type="dxa"/>
            <w:vAlign w:val="center"/>
          </w:tcPr>
          <w:p w14:paraId="4D373876"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S6</w:t>
            </w:r>
          </w:p>
        </w:tc>
        <w:tc>
          <w:tcPr>
            <w:tcW w:w="1152" w:type="dxa"/>
            <w:vAlign w:val="center"/>
          </w:tcPr>
          <w:p w14:paraId="5A7DEB0C"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蛋鸡场内（拟建污水处理站）</w:t>
            </w:r>
          </w:p>
        </w:tc>
        <w:tc>
          <w:tcPr>
            <w:tcW w:w="1094" w:type="dxa"/>
            <w:vAlign w:val="center"/>
          </w:tcPr>
          <w:p w14:paraId="2BAEFF95"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表层样</w:t>
            </w:r>
          </w:p>
        </w:tc>
        <w:tc>
          <w:tcPr>
            <w:tcW w:w="1205" w:type="dxa"/>
            <w:vAlign w:val="center"/>
          </w:tcPr>
          <w:p w14:paraId="738FB0E5" w14:textId="77777777" w:rsidR="00544649" w:rsidRDefault="00000000">
            <w:pPr>
              <w:tabs>
                <w:tab w:val="left" w:pos="2130"/>
              </w:tabs>
              <w:adjustRightInd w:val="0"/>
              <w:snapToGrid w:val="0"/>
              <w:spacing w:after="0" w:line="240" w:lineRule="auto"/>
              <w:ind w:firstLineChars="0" w:firstLine="0"/>
              <w:jc w:val="center"/>
              <w:rPr>
                <w:rFonts w:cs="Times New Roman"/>
                <w:kern w:val="0"/>
                <w:sz w:val="21"/>
                <w:szCs w:val="21"/>
              </w:rPr>
            </w:pPr>
            <w:r>
              <w:rPr>
                <w:rFonts w:cs="Times New Roman"/>
                <w:kern w:val="0"/>
                <w:sz w:val="21"/>
                <w:szCs w:val="21"/>
              </w:rPr>
              <w:t>0-0.2m</w:t>
            </w:r>
          </w:p>
        </w:tc>
        <w:tc>
          <w:tcPr>
            <w:tcW w:w="1152" w:type="dxa"/>
            <w:vMerge/>
            <w:vAlign w:val="center"/>
          </w:tcPr>
          <w:p w14:paraId="6A82431D"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c>
          <w:tcPr>
            <w:tcW w:w="1250" w:type="dxa"/>
            <w:vMerge/>
            <w:vAlign w:val="center"/>
          </w:tcPr>
          <w:p w14:paraId="2255AE8A"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c>
          <w:tcPr>
            <w:tcW w:w="1013" w:type="dxa"/>
            <w:vMerge/>
            <w:vAlign w:val="center"/>
          </w:tcPr>
          <w:p w14:paraId="4C15B967" w14:textId="77777777" w:rsidR="00544649" w:rsidRDefault="00544649">
            <w:pPr>
              <w:tabs>
                <w:tab w:val="left" w:pos="2130"/>
              </w:tabs>
              <w:adjustRightInd w:val="0"/>
              <w:snapToGrid w:val="0"/>
              <w:spacing w:after="0" w:line="240" w:lineRule="auto"/>
              <w:ind w:firstLineChars="0" w:firstLine="0"/>
              <w:jc w:val="center"/>
              <w:rPr>
                <w:rFonts w:cs="Times New Roman"/>
                <w:kern w:val="0"/>
                <w:sz w:val="21"/>
                <w:szCs w:val="21"/>
              </w:rPr>
            </w:pPr>
          </w:p>
        </w:tc>
      </w:tr>
    </w:tbl>
    <w:p w14:paraId="73274F0B" w14:textId="77777777" w:rsidR="00544649" w:rsidRDefault="00000000">
      <w:pPr>
        <w:adjustRightInd w:val="0"/>
        <w:snapToGrid w:val="0"/>
        <w:spacing w:after="0"/>
        <w:ind w:firstLine="482"/>
        <w:rPr>
          <w:b/>
          <w:bCs/>
        </w:rPr>
      </w:pPr>
      <w:r>
        <w:rPr>
          <w:rFonts w:hint="eastAsia"/>
          <w:b/>
          <w:bCs/>
        </w:rPr>
        <w:t>二、评价标准</w:t>
      </w:r>
    </w:p>
    <w:p w14:paraId="46105D18" w14:textId="77777777" w:rsidR="00544649" w:rsidRDefault="00000000">
      <w:pPr>
        <w:adjustRightInd w:val="0"/>
        <w:snapToGrid w:val="0"/>
        <w:spacing w:after="0"/>
        <w:ind w:firstLine="480"/>
        <w:rPr>
          <w:b/>
          <w:bCs/>
        </w:rPr>
      </w:pPr>
      <w:r>
        <w:rPr>
          <w:rFonts w:hint="eastAsia"/>
        </w:rPr>
        <w:t>根据《全国土壤污染状况评价技术规定》，土壤环境质量评价采用单因子质量指数法进行评价，公式如下：</w:t>
      </w:r>
    </w:p>
    <w:p w14:paraId="7CD0448C" w14:textId="77777777" w:rsidR="00544649" w:rsidRDefault="00000000">
      <w:pPr>
        <w:adjustRightInd w:val="0"/>
        <w:snapToGrid w:val="0"/>
        <w:spacing w:after="0"/>
        <w:ind w:firstLine="480"/>
      </w:pPr>
      <w:r>
        <w:t>Pi=Ci / Si</w:t>
      </w:r>
    </w:p>
    <w:p w14:paraId="5CE29F1A" w14:textId="77777777" w:rsidR="00544649" w:rsidRDefault="00000000">
      <w:pPr>
        <w:adjustRightInd w:val="0"/>
        <w:snapToGrid w:val="0"/>
        <w:spacing w:after="0"/>
        <w:ind w:firstLine="480"/>
      </w:pPr>
      <w:r>
        <w:rPr>
          <w:rFonts w:hint="eastAsia"/>
        </w:rPr>
        <w:t>式中：</w:t>
      </w:r>
    </w:p>
    <w:p w14:paraId="7CFE862D" w14:textId="77777777" w:rsidR="00544649" w:rsidRDefault="00000000">
      <w:pPr>
        <w:adjustRightInd w:val="0"/>
        <w:snapToGrid w:val="0"/>
        <w:spacing w:after="0"/>
        <w:ind w:firstLine="480"/>
      </w:pPr>
      <w:r>
        <w:rPr>
          <w:rFonts w:hint="eastAsia"/>
        </w:rPr>
        <w:t>Pi</w:t>
      </w:r>
      <w:r>
        <w:rPr>
          <w:rFonts w:hint="eastAsia"/>
        </w:rPr>
        <w:t>—土壤污染物的质量指数，大于</w:t>
      </w:r>
      <w:r>
        <w:rPr>
          <w:rFonts w:hint="eastAsia"/>
        </w:rPr>
        <w:t xml:space="preserve"> 1 </w:t>
      </w:r>
      <w:r>
        <w:rPr>
          <w:rFonts w:hint="eastAsia"/>
        </w:rPr>
        <w:t>说明土壤已受到污染物的污染；</w:t>
      </w:r>
    </w:p>
    <w:p w14:paraId="4B6E7577" w14:textId="77777777" w:rsidR="00544649" w:rsidRDefault="00000000">
      <w:pPr>
        <w:adjustRightInd w:val="0"/>
        <w:snapToGrid w:val="0"/>
        <w:spacing w:after="0"/>
        <w:ind w:firstLine="480"/>
      </w:pPr>
      <w:r>
        <w:rPr>
          <w:rFonts w:hint="eastAsia"/>
        </w:rPr>
        <w:t>Ci</w:t>
      </w:r>
      <w:r>
        <w:rPr>
          <w:rFonts w:hint="eastAsia"/>
        </w:rPr>
        <w:t>—土壤中污染物的含量；</w:t>
      </w:r>
    </w:p>
    <w:p w14:paraId="679D3FA7" w14:textId="77777777" w:rsidR="00544649" w:rsidRDefault="00000000">
      <w:pPr>
        <w:adjustRightInd w:val="0"/>
        <w:snapToGrid w:val="0"/>
        <w:spacing w:after="0"/>
        <w:ind w:firstLine="480"/>
      </w:pPr>
      <w:r>
        <w:rPr>
          <w:rFonts w:hint="eastAsia"/>
        </w:rPr>
        <w:t>Si</w:t>
      </w:r>
      <w:r>
        <w:rPr>
          <w:rFonts w:hint="eastAsia"/>
        </w:rPr>
        <w:t>—土壤质量标准。</w:t>
      </w:r>
    </w:p>
    <w:p w14:paraId="169FD950" w14:textId="77777777" w:rsidR="00544649" w:rsidRDefault="00000000">
      <w:pPr>
        <w:adjustRightInd w:val="0"/>
        <w:snapToGrid w:val="0"/>
        <w:spacing w:after="0"/>
        <w:ind w:firstLine="480"/>
      </w:pPr>
      <w:r>
        <w:rPr>
          <w:rFonts w:hint="eastAsia"/>
        </w:rPr>
        <w:t>执行《土壤环境质量</w:t>
      </w:r>
      <w:r>
        <w:rPr>
          <w:rFonts w:hint="eastAsia"/>
        </w:rPr>
        <w:t xml:space="preserve"> </w:t>
      </w:r>
      <w:r>
        <w:rPr>
          <w:rFonts w:hint="eastAsia"/>
        </w:rPr>
        <w:t>农用地土壤污染风险管控标准（试行）》（</w:t>
      </w:r>
      <w:r>
        <w:rPr>
          <w:rFonts w:hint="eastAsia"/>
        </w:rPr>
        <w:t>GB15618-2018</w:t>
      </w:r>
      <w:r>
        <w:rPr>
          <w:rFonts w:hint="eastAsia"/>
        </w:rPr>
        <w:t>）中“表</w:t>
      </w:r>
      <w:r>
        <w:rPr>
          <w:rFonts w:hint="eastAsia"/>
        </w:rPr>
        <w:t xml:space="preserve"> 1 </w:t>
      </w:r>
      <w:r>
        <w:rPr>
          <w:rFonts w:hint="eastAsia"/>
        </w:rPr>
        <w:t>农用地土壤污染风险筛选值（基本项目）、表</w:t>
      </w:r>
      <w:r>
        <w:rPr>
          <w:rFonts w:hint="eastAsia"/>
        </w:rPr>
        <w:t xml:space="preserve"> 3 </w:t>
      </w:r>
      <w:r>
        <w:rPr>
          <w:rFonts w:hint="eastAsia"/>
        </w:rPr>
        <w:t>农用地土壤污染风险管制值”相关标准。</w:t>
      </w:r>
    </w:p>
    <w:p w14:paraId="0D609E45"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三、监测结果</w:t>
      </w:r>
    </w:p>
    <w:p w14:paraId="7C00B8D4" w14:textId="77777777" w:rsidR="00544649" w:rsidRDefault="00000000">
      <w:pPr>
        <w:adjustRightInd w:val="0"/>
        <w:snapToGrid w:val="0"/>
        <w:spacing w:after="0"/>
        <w:ind w:firstLine="480"/>
      </w:pPr>
      <w:r>
        <w:rPr>
          <w:rFonts w:ascii="宋体" w:hAnsi="Calibri" w:cs="Times New Roman" w:hint="eastAsia"/>
          <w:kern w:val="21"/>
          <w:szCs w:val="24"/>
        </w:rPr>
        <w:t>略</w:t>
      </w:r>
      <w:r>
        <w:rPr>
          <w:rFonts w:hint="eastAsia"/>
        </w:rPr>
        <w:t>。</w:t>
      </w:r>
    </w:p>
    <w:p w14:paraId="42BFA935" w14:textId="77777777" w:rsidR="00544649" w:rsidRDefault="00000000">
      <w:pPr>
        <w:keepNext/>
        <w:keepLines/>
        <w:numPr>
          <w:ilvl w:val="1"/>
          <w:numId w:val="9"/>
        </w:numPr>
        <w:adjustRightInd w:val="0"/>
        <w:snapToGrid w:val="0"/>
        <w:spacing w:after="0"/>
        <w:ind w:firstLineChars="0"/>
        <w:outlineLvl w:val="1"/>
        <w:rPr>
          <w:rFonts w:ascii="宋体" w:hAnsi="宋体" w:cs="宋体" w:hint="eastAsia"/>
          <w:b/>
          <w:kern w:val="21"/>
          <w:sz w:val="32"/>
        </w:rPr>
      </w:pPr>
      <w:bookmarkStart w:id="293" w:name="_Toc195009875"/>
      <w:r>
        <w:rPr>
          <w:rFonts w:ascii="宋体" w:hAnsi="宋体" w:cs="宋体" w:hint="eastAsia"/>
          <w:b/>
          <w:bCs/>
          <w:kern w:val="21"/>
          <w:sz w:val="32"/>
          <w:szCs w:val="32"/>
        </w:rPr>
        <w:t>生态环境质量现状</w:t>
      </w:r>
      <w:bookmarkEnd w:id="293"/>
    </w:p>
    <w:p w14:paraId="4DCB2A66"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294" w:name="_Toc29241"/>
      <w:bookmarkStart w:id="295" w:name="_Toc26565"/>
      <w:bookmarkStart w:id="296" w:name="_Toc195009876"/>
      <w:bookmarkEnd w:id="292"/>
      <w:r>
        <w:rPr>
          <w:rFonts w:cs="Times New Roman"/>
          <w:b/>
          <w:bCs/>
          <w:kern w:val="21"/>
          <w:sz w:val="28"/>
          <w:szCs w:val="24"/>
        </w:rPr>
        <w:t>生态系统功能及保护现状</w:t>
      </w:r>
      <w:bookmarkEnd w:id="294"/>
      <w:bookmarkEnd w:id="295"/>
      <w:bookmarkEnd w:id="296"/>
    </w:p>
    <w:p w14:paraId="06266439" w14:textId="77777777" w:rsidR="00544649" w:rsidRDefault="00000000">
      <w:pPr>
        <w:adjustRightInd w:val="0"/>
        <w:snapToGrid w:val="0"/>
        <w:spacing w:after="0"/>
        <w:ind w:firstLine="480"/>
        <w:rPr>
          <w:rFonts w:cs="Times New Roman"/>
          <w:kern w:val="21"/>
        </w:rPr>
      </w:pPr>
      <w:r>
        <w:rPr>
          <w:rFonts w:cs="Times New Roman"/>
          <w:kern w:val="21"/>
        </w:rPr>
        <w:t>项目所在区域</w:t>
      </w:r>
      <w:r>
        <w:rPr>
          <w:rFonts w:cs="Times New Roman" w:hint="eastAsia"/>
          <w:kern w:val="21"/>
        </w:rPr>
        <w:t>位于广元市剑阁县剑门关镇新龙村、双鱼村</w:t>
      </w:r>
      <w:r>
        <w:rPr>
          <w:rFonts w:cs="Times New Roman"/>
          <w:kern w:val="21"/>
        </w:rPr>
        <w:t>。通过遥感影像解析与实地调查相结合的方法，根据土地利用现状分类，拟建项目评价范围土地利用类型以林地（乔木林地）为主，面积约为</w:t>
      </w:r>
      <w:r>
        <w:rPr>
          <w:rFonts w:cs="Times New Roman" w:hint="eastAsia"/>
          <w:kern w:val="21"/>
        </w:rPr>
        <w:t>168</w:t>
      </w:r>
      <w:r>
        <w:rPr>
          <w:rFonts w:cs="Times New Roman"/>
          <w:kern w:val="21"/>
        </w:rPr>
        <w:t>亩。</w:t>
      </w:r>
    </w:p>
    <w:p w14:paraId="09DF9808" w14:textId="77777777" w:rsidR="00544649" w:rsidRDefault="00000000">
      <w:pPr>
        <w:adjustRightInd w:val="0"/>
        <w:snapToGrid w:val="0"/>
        <w:spacing w:after="0"/>
        <w:ind w:firstLine="480"/>
        <w:rPr>
          <w:rFonts w:cs="Times New Roman"/>
          <w:kern w:val="21"/>
        </w:rPr>
      </w:pPr>
      <w:r>
        <w:rPr>
          <w:rFonts w:cs="Times New Roman"/>
          <w:kern w:val="21"/>
        </w:rPr>
        <w:t>根据查阅相关资料和现场调查，项目占地范围内无国家级、省级重点保护野生植物。项目占地及施工活动范围内无古树名木分布，无其他珍稀保护植物分布。本次现状调查评价范围内的植被现状类型主要为亚热带常绿阔叶林（群系主要为桉树、桦木等），</w:t>
      </w:r>
      <w:r>
        <w:rPr>
          <w:rFonts w:cs="Times New Roman" w:hint="eastAsia"/>
          <w:kern w:val="21"/>
        </w:rPr>
        <w:t>根据剑阁县林业局关于《剑阁县铁骑力士非笼养高品质蛋鸡养殖项目拟建用地范围征求意见的函》的复函，</w:t>
      </w:r>
      <w:r>
        <w:rPr>
          <w:rFonts w:cs="Times New Roman"/>
          <w:kern w:val="21"/>
        </w:rPr>
        <w:t>拟建</w:t>
      </w:r>
      <w:r>
        <w:rPr>
          <w:rFonts w:cs="Times New Roman" w:hint="eastAsia"/>
          <w:kern w:val="21"/>
        </w:rPr>
        <w:t>用地范围不涉及林业相关保护地，用地范围内无挂牌古树名木</w:t>
      </w:r>
      <w:r>
        <w:rPr>
          <w:rFonts w:cs="Times New Roman"/>
          <w:kern w:val="21"/>
        </w:rPr>
        <w:t>。</w:t>
      </w:r>
    </w:p>
    <w:p w14:paraId="61D81CA8" w14:textId="77777777" w:rsidR="00544649" w:rsidRDefault="00000000">
      <w:pPr>
        <w:adjustRightInd w:val="0"/>
        <w:snapToGrid w:val="0"/>
        <w:spacing w:after="0"/>
        <w:ind w:firstLine="480"/>
        <w:rPr>
          <w:rFonts w:cs="Times New Roman"/>
          <w:kern w:val="21"/>
        </w:rPr>
      </w:pPr>
      <w:r>
        <w:rPr>
          <w:rFonts w:cs="Times New Roman"/>
          <w:kern w:val="21"/>
        </w:rPr>
        <w:t>经现场调查、访问及查阅资料，拟建工程所在地区人类活动较为频繁，现有土地开发利用程度较高，人类活动对当地野生动物影响较大。项目所在地原</w:t>
      </w:r>
      <w:proofErr w:type="gramStart"/>
      <w:r>
        <w:rPr>
          <w:rFonts w:cs="Times New Roman"/>
          <w:kern w:val="21"/>
        </w:rPr>
        <w:t>生植</w:t>
      </w:r>
      <w:proofErr w:type="gramEnd"/>
      <w:r>
        <w:rPr>
          <w:rFonts w:cs="Times New Roman"/>
          <w:kern w:val="21"/>
        </w:rPr>
        <w:t>被极少，次生林地多呈岛屿状分布，野生动物栖息地较小，大型兽类极少。</w:t>
      </w:r>
    </w:p>
    <w:p w14:paraId="3AD04A40" w14:textId="77777777" w:rsidR="00544649" w:rsidRDefault="00000000">
      <w:pPr>
        <w:adjustRightInd w:val="0"/>
        <w:snapToGrid w:val="0"/>
        <w:spacing w:after="0"/>
        <w:ind w:firstLine="480"/>
        <w:rPr>
          <w:rFonts w:cs="Times New Roman"/>
          <w:kern w:val="21"/>
        </w:rPr>
      </w:pPr>
      <w:r>
        <w:rPr>
          <w:rFonts w:cs="Times New Roman"/>
          <w:kern w:val="21"/>
        </w:rPr>
        <w:t>项目用地范围及周边以鸟类居多，兽类、爬行类、两栖类较少，且多为和人类关</w:t>
      </w:r>
      <w:r>
        <w:rPr>
          <w:rFonts w:cs="Times New Roman"/>
          <w:kern w:val="21"/>
        </w:rPr>
        <w:lastRenderedPageBreak/>
        <w:t>系较为密切或适应了人类影响的种类，如鸟类中的雀形目，兽类中的啮齿目鼠科、松鼠科，爬行类中的蛇目、蜥蜴目，两栖类的无</w:t>
      </w:r>
      <w:proofErr w:type="gramStart"/>
      <w:r>
        <w:rPr>
          <w:rFonts w:cs="Times New Roman"/>
          <w:kern w:val="21"/>
        </w:rPr>
        <w:t>尾目蛙</w:t>
      </w:r>
      <w:proofErr w:type="gramEnd"/>
      <w:r>
        <w:rPr>
          <w:rFonts w:cs="Times New Roman"/>
          <w:kern w:val="21"/>
        </w:rPr>
        <w:t>科、蟾蜍科等，且多在农田周围活动。</w:t>
      </w:r>
    </w:p>
    <w:p w14:paraId="63BD3E55" w14:textId="77777777" w:rsidR="00544649" w:rsidRDefault="00000000">
      <w:pPr>
        <w:adjustRightInd w:val="0"/>
        <w:snapToGrid w:val="0"/>
        <w:spacing w:after="0"/>
        <w:ind w:firstLine="480"/>
        <w:rPr>
          <w:rFonts w:cs="Times New Roman"/>
          <w:kern w:val="21"/>
        </w:rPr>
      </w:pPr>
      <w:r>
        <w:rPr>
          <w:rFonts w:cs="Times New Roman"/>
          <w:kern w:val="21"/>
        </w:rPr>
        <w:t>据现场走访及查阅相关资料，项目评价范围内未发现国家及地方重点保护野生动物，以鸟类、啮齿类等常见种为主，无珍稀保护动物资源分布。</w:t>
      </w:r>
    </w:p>
    <w:p w14:paraId="6E0D2ED9"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32"/>
          <w:szCs w:val="28"/>
        </w:rPr>
      </w:pPr>
      <w:bookmarkStart w:id="297" w:name="_Toc26875"/>
      <w:bookmarkStart w:id="298" w:name="_Toc195009877"/>
      <w:r>
        <w:rPr>
          <w:rFonts w:cs="Times New Roman"/>
          <w:b/>
          <w:bCs/>
          <w:kern w:val="21"/>
          <w:sz w:val="32"/>
          <w:szCs w:val="28"/>
        </w:rPr>
        <w:t>生态环境现状</w:t>
      </w:r>
      <w:bookmarkEnd w:id="297"/>
      <w:bookmarkEnd w:id="298"/>
    </w:p>
    <w:p w14:paraId="0ACB3139" w14:textId="77777777" w:rsidR="00544649" w:rsidRDefault="00000000">
      <w:pPr>
        <w:adjustRightInd w:val="0"/>
        <w:snapToGrid w:val="0"/>
        <w:spacing w:after="0"/>
        <w:ind w:firstLine="480"/>
        <w:rPr>
          <w:rFonts w:cs="Times New Roman"/>
          <w:kern w:val="21"/>
        </w:rPr>
      </w:pPr>
      <w:r>
        <w:rPr>
          <w:rFonts w:cs="Times New Roman"/>
          <w:kern w:val="21"/>
        </w:rPr>
        <w:t>本项目位于</w:t>
      </w:r>
      <w:r>
        <w:rPr>
          <w:rFonts w:cs="Times New Roman" w:hint="eastAsia"/>
          <w:kern w:val="21"/>
        </w:rPr>
        <w:t>剑阁</w:t>
      </w:r>
      <w:r>
        <w:rPr>
          <w:rFonts w:cs="Times New Roman"/>
          <w:kern w:val="21"/>
        </w:rPr>
        <w:t>县</w:t>
      </w:r>
      <w:r>
        <w:rPr>
          <w:rFonts w:cs="Times New Roman" w:hint="eastAsia"/>
          <w:kern w:val="21"/>
        </w:rPr>
        <w:t>剑门关</w:t>
      </w:r>
      <w:r>
        <w:rPr>
          <w:rFonts w:cs="Times New Roman"/>
          <w:kern w:val="21"/>
        </w:rPr>
        <w:t>镇</w:t>
      </w:r>
      <w:r>
        <w:rPr>
          <w:rFonts w:cs="Times New Roman" w:hint="eastAsia"/>
          <w:kern w:val="21"/>
        </w:rPr>
        <w:t>新龙村、双鱼村</w:t>
      </w:r>
      <w:r>
        <w:rPr>
          <w:rFonts w:cs="Times New Roman"/>
          <w:kern w:val="21"/>
        </w:rPr>
        <w:t>，周围生态环境现状为一般农村生态环境，受人类活动影响较大，生态系统多样性程度一般，评价区域未发生珍稀保护植物，占地范围未发现古树名木。</w:t>
      </w:r>
      <w:proofErr w:type="gramStart"/>
      <w:r>
        <w:rPr>
          <w:rFonts w:cs="Times New Roman"/>
          <w:kern w:val="21"/>
        </w:rPr>
        <w:t>评价区动物</w:t>
      </w:r>
      <w:proofErr w:type="gramEnd"/>
      <w:r>
        <w:rPr>
          <w:rFonts w:cs="Times New Roman"/>
          <w:kern w:val="21"/>
        </w:rPr>
        <w:t>物种种类相对较少，数量较少，营养层次较简单，生物多样性不丰富，生态系统的稳定性比较低。该地区未发现国家级、省级保护动物等重要物种实体及繁殖巢穴等重要生境。评价范围水生生物少，鱼类资源有限，无珍稀保护类，无鱼类三场分布。区域生态环境发展趋势为城镇周边农田生态系统向城镇生态系统转变。由于农村人口的减少，农村荒地面积的增加，部分</w:t>
      </w:r>
      <w:proofErr w:type="gramStart"/>
      <w:r>
        <w:rPr>
          <w:rFonts w:cs="Times New Roman"/>
          <w:kern w:val="21"/>
        </w:rPr>
        <w:t>农田生态系统向灌草丛</w:t>
      </w:r>
      <w:proofErr w:type="gramEnd"/>
      <w:r>
        <w:rPr>
          <w:rFonts w:cs="Times New Roman"/>
          <w:kern w:val="21"/>
        </w:rPr>
        <w:t>、林地生态系统转变，有利于提升区域的生物多样性和生态结构的稳定性。</w:t>
      </w:r>
    </w:p>
    <w:p w14:paraId="302C0AE2" w14:textId="77777777" w:rsidR="00544649" w:rsidRDefault="00000000">
      <w:pPr>
        <w:adjustRightInd w:val="0"/>
        <w:snapToGrid w:val="0"/>
        <w:spacing w:after="0"/>
        <w:ind w:firstLine="482"/>
        <w:rPr>
          <w:b/>
          <w:kern w:val="21"/>
        </w:rPr>
      </w:pPr>
      <w:r>
        <w:rPr>
          <w:b/>
          <w:kern w:val="21"/>
        </w:rPr>
        <w:t>经调查，本项目</w:t>
      </w:r>
      <w:r>
        <w:rPr>
          <w:rFonts w:hint="eastAsia"/>
          <w:b/>
          <w:kern w:val="21"/>
        </w:rPr>
        <w:t>大气环境</w:t>
      </w:r>
      <w:r>
        <w:rPr>
          <w:b/>
          <w:kern w:val="21"/>
        </w:rPr>
        <w:t>评价区域范围内</w:t>
      </w:r>
      <w:r>
        <w:rPr>
          <w:rFonts w:hint="eastAsia"/>
          <w:b/>
          <w:kern w:val="21"/>
        </w:rPr>
        <w:t>涉及</w:t>
      </w:r>
      <w:r>
        <w:rPr>
          <w:rFonts w:hint="eastAsia"/>
          <w:b/>
          <w:szCs w:val="24"/>
        </w:rPr>
        <w:t>“剑门蜀道国家级风景名胜区”距离</w:t>
      </w:r>
      <w:proofErr w:type="gramStart"/>
      <w:r>
        <w:rPr>
          <w:rFonts w:hint="eastAsia"/>
          <w:b/>
          <w:szCs w:val="24"/>
        </w:rPr>
        <w:t>育雏场</w:t>
      </w:r>
      <w:proofErr w:type="gramEnd"/>
      <w:r>
        <w:rPr>
          <w:rFonts w:hint="eastAsia"/>
          <w:b/>
          <w:szCs w:val="24"/>
        </w:rPr>
        <w:t>西侧距离为</w:t>
      </w:r>
      <w:r>
        <w:rPr>
          <w:rFonts w:hint="eastAsia"/>
          <w:b/>
          <w:szCs w:val="24"/>
        </w:rPr>
        <w:t>1.34km</w:t>
      </w:r>
      <w:r>
        <w:rPr>
          <w:rFonts w:hint="eastAsia"/>
          <w:b/>
          <w:szCs w:val="24"/>
        </w:rPr>
        <w:t>；“剑门关地质公园”距离</w:t>
      </w:r>
      <w:proofErr w:type="gramStart"/>
      <w:r>
        <w:rPr>
          <w:rFonts w:hint="eastAsia"/>
          <w:b/>
          <w:szCs w:val="24"/>
        </w:rPr>
        <w:t>育雏场</w:t>
      </w:r>
      <w:proofErr w:type="gramEnd"/>
      <w:r>
        <w:rPr>
          <w:rFonts w:hint="eastAsia"/>
          <w:b/>
          <w:szCs w:val="24"/>
        </w:rPr>
        <w:t>北侧为</w:t>
      </w:r>
      <w:r>
        <w:rPr>
          <w:rFonts w:hint="eastAsia"/>
          <w:b/>
          <w:szCs w:val="24"/>
        </w:rPr>
        <w:t>2.36km</w:t>
      </w:r>
      <w:r>
        <w:rPr>
          <w:rFonts w:hint="eastAsia"/>
          <w:b/>
          <w:szCs w:val="24"/>
        </w:rPr>
        <w:t>。</w:t>
      </w:r>
      <w:r>
        <w:rPr>
          <w:rFonts w:hint="eastAsia"/>
          <w:b/>
          <w:kern w:val="21"/>
        </w:rPr>
        <w:t>评价范围内</w:t>
      </w:r>
      <w:r>
        <w:rPr>
          <w:b/>
          <w:kern w:val="21"/>
        </w:rPr>
        <w:t>无列入国家及地方保护名录的珍稀濒危动植物及古、大、珍、奇树木分布，也无社会关注的具有历史、科学、民族、文化意义的保护地。</w:t>
      </w:r>
    </w:p>
    <w:p w14:paraId="24AA5C44" w14:textId="77777777" w:rsidR="00544649" w:rsidRDefault="00544649">
      <w:pPr>
        <w:adjustRightInd w:val="0"/>
        <w:snapToGrid w:val="0"/>
        <w:spacing w:after="0"/>
        <w:ind w:firstLine="480"/>
        <w:rPr>
          <w:rFonts w:cs="Times New Roman"/>
          <w:kern w:val="21"/>
        </w:rPr>
        <w:sectPr w:rsidR="00544649">
          <w:pgSz w:w="11906" w:h="16838"/>
          <w:pgMar w:top="1134" w:right="1531" w:bottom="1134" w:left="1531" w:header="851" w:footer="794" w:gutter="0"/>
          <w:cols w:space="425"/>
          <w:docGrid w:type="lines" w:linePitch="312"/>
        </w:sectPr>
      </w:pPr>
    </w:p>
    <w:p w14:paraId="36A26037" w14:textId="77777777" w:rsidR="00544649" w:rsidRDefault="00000000">
      <w:pPr>
        <w:numPr>
          <w:ilvl w:val="0"/>
          <w:numId w:val="9"/>
        </w:numPr>
        <w:adjustRightInd w:val="0"/>
        <w:snapToGrid w:val="0"/>
        <w:spacing w:after="0"/>
        <w:ind w:firstLineChars="0"/>
        <w:outlineLvl w:val="0"/>
        <w:rPr>
          <w:rFonts w:cs="Times New Roman"/>
          <w:b/>
          <w:bCs/>
          <w:kern w:val="21"/>
          <w:sz w:val="36"/>
          <w:szCs w:val="36"/>
        </w:rPr>
      </w:pPr>
      <w:bookmarkStart w:id="299" w:name="_Toc25015"/>
      <w:bookmarkStart w:id="300" w:name="_Toc195009878"/>
      <w:r>
        <w:rPr>
          <w:rFonts w:cs="Times New Roman"/>
          <w:b/>
          <w:bCs/>
          <w:kern w:val="21"/>
          <w:sz w:val="36"/>
          <w:szCs w:val="36"/>
        </w:rPr>
        <w:lastRenderedPageBreak/>
        <w:t>环境影响分析</w:t>
      </w:r>
      <w:bookmarkEnd w:id="299"/>
      <w:bookmarkEnd w:id="300"/>
    </w:p>
    <w:p w14:paraId="0E51EAB6" w14:textId="77777777" w:rsidR="00544649" w:rsidRDefault="00000000">
      <w:pPr>
        <w:numPr>
          <w:ilvl w:val="1"/>
          <w:numId w:val="9"/>
        </w:numPr>
        <w:adjustRightInd w:val="0"/>
        <w:snapToGrid w:val="0"/>
        <w:spacing w:after="0"/>
        <w:ind w:firstLineChars="0"/>
        <w:outlineLvl w:val="1"/>
        <w:rPr>
          <w:rFonts w:cs="Times New Roman"/>
          <w:b/>
          <w:bCs/>
          <w:kern w:val="21"/>
          <w:sz w:val="32"/>
          <w:szCs w:val="28"/>
        </w:rPr>
      </w:pPr>
      <w:bookmarkStart w:id="301" w:name="_Toc29336"/>
      <w:bookmarkStart w:id="302" w:name="_Toc195009879"/>
      <w:r>
        <w:rPr>
          <w:rFonts w:cs="Times New Roman"/>
          <w:b/>
          <w:bCs/>
          <w:kern w:val="21"/>
          <w:sz w:val="32"/>
          <w:szCs w:val="28"/>
        </w:rPr>
        <w:t>施工期环境影响分析</w:t>
      </w:r>
      <w:bookmarkEnd w:id="301"/>
      <w:bookmarkEnd w:id="302"/>
    </w:p>
    <w:p w14:paraId="77A5FB97" w14:textId="77777777" w:rsidR="00544649" w:rsidRDefault="00000000">
      <w:pPr>
        <w:numPr>
          <w:ilvl w:val="2"/>
          <w:numId w:val="9"/>
        </w:numPr>
        <w:adjustRightInd w:val="0"/>
        <w:snapToGrid w:val="0"/>
        <w:spacing w:after="0"/>
        <w:ind w:firstLineChars="0"/>
        <w:outlineLvl w:val="2"/>
        <w:rPr>
          <w:rFonts w:cs="Times New Roman"/>
          <w:b/>
          <w:bCs/>
          <w:kern w:val="21"/>
          <w:sz w:val="28"/>
          <w:szCs w:val="24"/>
        </w:rPr>
      </w:pPr>
      <w:bookmarkStart w:id="303" w:name="_Toc15911"/>
      <w:bookmarkStart w:id="304" w:name="_Toc195009880"/>
      <w:r>
        <w:rPr>
          <w:rFonts w:cs="Times New Roman"/>
          <w:b/>
          <w:bCs/>
          <w:kern w:val="21"/>
          <w:sz w:val="28"/>
          <w:szCs w:val="24"/>
        </w:rPr>
        <w:t>施工期大气环境影响分析</w:t>
      </w:r>
      <w:bookmarkEnd w:id="303"/>
      <w:bookmarkEnd w:id="304"/>
    </w:p>
    <w:p w14:paraId="35B1C7E4" w14:textId="77777777" w:rsidR="00544649" w:rsidRDefault="00000000">
      <w:pPr>
        <w:pStyle w:val="aff2"/>
        <w:adjustRightInd w:val="0"/>
        <w:snapToGrid w:val="0"/>
        <w:spacing w:after="0"/>
        <w:rPr>
          <w:kern w:val="21"/>
        </w:rPr>
      </w:pPr>
      <w:r>
        <w:rPr>
          <w:rFonts w:hint="eastAsia"/>
          <w:kern w:val="21"/>
        </w:rPr>
        <w:t>本项目施工期大气污染主要来自四个方面：一是施工过程中开挖、堆放、运输材料等产生的扬尘；二是施工机械产生的施工废气；三是来往运输车辆产生的汽车尾气；四是装修过程产生的装修废气。</w:t>
      </w:r>
    </w:p>
    <w:p w14:paraId="004E4F5F" w14:textId="77777777" w:rsidR="00544649" w:rsidRDefault="00000000">
      <w:pPr>
        <w:adjustRightInd w:val="0"/>
        <w:snapToGrid w:val="0"/>
        <w:spacing w:after="0"/>
        <w:ind w:firstLine="482"/>
        <w:rPr>
          <w:rFonts w:cs="Times New Roman"/>
          <w:b/>
        </w:rPr>
      </w:pPr>
      <w:r>
        <w:rPr>
          <w:rFonts w:cs="Times New Roman"/>
          <w:b/>
        </w:rPr>
        <w:t>1</w:t>
      </w:r>
      <w:r>
        <w:rPr>
          <w:rFonts w:cs="Times New Roman"/>
          <w:b/>
        </w:rPr>
        <w:t>、扬尘</w:t>
      </w:r>
      <w:r>
        <w:rPr>
          <w:rFonts w:cs="Times New Roman"/>
          <w:b/>
        </w:rPr>
        <w:tab/>
      </w:r>
    </w:p>
    <w:p w14:paraId="5747A54F" w14:textId="77777777" w:rsidR="00544649" w:rsidRDefault="00000000">
      <w:pPr>
        <w:pStyle w:val="ab"/>
        <w:adjustRightInd w:val="0"/>
        <w:snapToGrid w:val="0"/>
        <w:spacing w:after="0" w:line="360" w:lineRule="auto"/>
        <w:ind w:firstLineChars="200" w:firstLine="480"/>
        <w:rPr>
          <w:rFonts w:ascii="Times New Roman" w:hAnsi="Times New Roman"/>
          <w:sz w:val="24"/>
        </w:rPr>
      </w:pPr>
      <w:r>
        <w:rPr>
          <w:rFonts w:ascii="Times New Roman" w:hAnsi="Times New Roman"/>
          <w:sz w:val="24"/>
        </w:rPr>
        <w:t>在整个施工期间，产生扬尘的作业主要有土地平整、开挖、回填、地面浇注、建材运输、露天堆放、装卸和搅拌等过程，如遇干旱无雨季节，在大风时，施工扬尘将更严重。</w:t>
      </w:r>
    </w:p>
    <w:p w14:paraId="729DB192" w14:textId="77777777" w:rsidR="00544649" w:rsidRDefault="00000000">
      <w:pPr>
        <w:pStyle w:val="ab"/>
        <w:adjustRightInd w:val="0"/>
        <w:snapToGrid w:val="0"/>
        <w:spacing w:after="0" w:line="360" w:lineRule="auto"/>
        <w:ind w:firstLineChars="200" w:firstLine="480"/>
        <w:rPr>
          <w:rFonts w:ascii="Times New Roman" w:hAnsi="Times New Roman"/>
          <w:sz w:val="24"/>
        </w:rPr>
      </w:pPr>
      <w:r>
        <w:rPr>
          <w:rFonts w:ascii="Times New Roman" w:hAnsi="Times New Roman"/>
          <w:sz w:val="24"/>
        </w:rPr>
        <w:t>据有关调查显示，施工工地的扬尘主要是由运输车辆行驶产生，与道路路面及车辆行驶速度有关，约占扬尘总量的</w:t>
      </w:r>
      <w:r>
        <w:rPr>
          <w:rFonts w:ascii="Times New Roman" w:hAnsi="Times New Roman"/>
          <w:sz w:val="24"/>
        </w:rPr>
        <w:t>60%</w:t>
      </w:r>
      <w:r>
        <w:rPr>
          <w:rFonts w:ascii="Times New Roman" w:hAnsi="Times New Roman"/>
          <w:sz w:val="24"/>
        </w:rPr>
        <w:t>。在完全干燥情况下，可按经验公式计算：</w:t>
      </w:r>
    </w:p>
    <w:p w14:paraId="26B22F84" w14:textId="77777777" w:rsidR="00544649" w:rsidRDefault="00000000">
      <w:pPr>
        <w:adjustRightInd w:val="0"/>
        <w:snapToGrid w:val="0"/>
        <w:spacing w:after="0"/>
        <w:ind w:firstLineChars="0" w:firstLine="0"/>
        <w:jc w:val="center"/>
        <w:rPr>
          <w:rFonts w:cs="Times New Roman"/>
          <w:szCs w:val="21"/>
          <w:vertAlign w:val="superscript"/>
        </w:rPr>
      </w:pPr>
      <w:r>
        <w:rPr>
          <w:rFonts w:cs="Times New Roman"/>
          <w:szCs w:val="21"/>
        </w:rPr>
        <w:t>Q=0.123×(v/</w:t>
      </w:r>
      <w:proofErr w:type="gramStart"/>
      <w:r>
        <w:rPr>
          <w:rFonts w:cs="Times New Roman"/>
          <w:szCs w:val="21"/>
        </w:rPr>
        <w:t>5)(</w:t>
      </w:r>
      <w:proofErr w:type="gramEnd"/>
      <w:r>
        <w:rPr>
          <w:rFonts w:cs="Times New Roman"/>
          <w:szCs w:val="21"/>
        </w:rPr>
        <w:t>W/6.8)</w:t>
      </w:r>
      <w:r>
        <w:rPr>
          <w:rFonts w:cs="Times New Roman"/>
          <w:szCs w:val="21"/>
          <w:vertAlign w:val="superscript"/>
        </w:rPr>
        <w:t>0.85</w:t>
      </w:r>
      <w:r>
        <w:rPr>
          <w:rFonts w:cs="Times New Roman"/>
          <w:szCs w:val="21"/>
        </w:rPr>
        <w:t>(P/0.5)</w:t>
      </w:r>
      <w:r>
        <w:rPr>
          <w:rFonts w:cs="Times New Roman"/>
          <w:szCs w:val="21"/>
          <w:vertAlign w:val="superscript"/>
        </w:rPr>
        <w:t>0.75</w:t>
      </w:r>
    </w:p>
    <w:p w14:paraId="1CD5B000" w14:textId="77777777" w:rsidR="00544649" w:rsidRDefault="00000000">
      <w:pPr>
        <w:pStyle w:val="ab"/>
        <w:adjustRightInd w:val="0"/>
        <w:snapToGrid w:val="0"/>
        <w:spacing w:after="0" w:line="360" w:lineRule="auto"/>
        <w:ind w:firstLine="480"/>
        <w:rPr>
          <w:rFonts w:ascii="Times New Roman" w:hAnsi="Times New Roman"/>
          <w:sz w:val="24"/>
        </w:rPr>
      </w:pPr>
      <w:r>
        <w:rPr>
          <w:rFonts w:ascii="Times New Roman" w:hAnsi="Times New Roman"/>
          <w:sz w:val="24"/>
        </w:rPr>
        <w:t>式中：</w:t>
      </w:r>
      <w:r>
        <w:rPr>
          <w:rFonts w:ascii="Times New Roman" w:hAnsi="Times New Roman"/>
          <w:sz w:val="24"/>
        </w:rPr>
        <w:t xml:space="preserve">       </w:t>
      </w:r>
      <w:r>
        <w:rPr>
          <w:rFonts w:ascii="Times New Roman" w:hAnsi="Times New Roman"/>
          <w:i/>
          <w:sz w:val="24"/>
        </w:rPr>
        <w:t>Q</w:t>
      </w:r>
      <w:proofErr w:type="gramStart"/>
      <w:r>
        <w:rPr>
          <w:rFonts w:ascii="Times New Roman" w:hAnsi="Times New Roman"/>
          <w:sz w:val="24"/>
        </w:rPr>
        <w:t>—</w:t>
      </w:r>
      <w:r>
        <w:rPr>
          <w:rFonts w:ascii="Times New Roman" w:hAnsi="Times New Roman"/>
          <w:sz w:val="24"/>
        </w:rPr>
        <w:t>汽车</w:t>
      </w:r>
      <w:proofErr w:type="gramEnd"/>
      <w:r>
        <w:rPr>
          <w:rFonts w:ascii="Times New Roman" w:hAnsi="Times New Roman"/>
          <w:sz w:val="24"/>
        </w:rPr>
        <w:t>行驶的扬尘，</w:t>
      </w:r>
      <w:r>
        <w:rPr>
          <w:rFonts w:ascii="Times New Roman" w:hAnsi="Times New Roman"/>
          <w:sz w:val="24"/>
        </w:rPr>
        <w:t>kg/km·</w:t>
      </w:r>
      <w:r>
        <w:rPr>
          <w:rFonts w:ascii="Times New Roman" w:hAnsi="Times New Roman"/>
          <w:sz w:val="24"/>
        </w:rPr>
        <w:t>辆；</w:t>
      </w:r>
    </w:p>
    <w:p w14:paraId="4CCDA9B2" w14:textId="77777777" w:rsidR="00544649" w:rsidRDefault="00000000">
      <w:pPr>
        <w:pStyle w:val="ab"/>
        <w:adjustRightInd w:val="0"/>
        <w:snapToGrid w:val="0"/>
        <w:spacing w:after="0" w:line="360" w:lineRule="auto"/>
        <w:ind w:firstLine="480"/>
        <w:rPr>
          <w:rFonts w:ascii="Times New Roman" w:hAnsi="Times New Roman"/>
          <w:sz w:val="24"/>
        </w:rPr>
      </w:pPr>
      <w:r>
        <w:rPr>
          <w:rFonts w:ascii="Times New Roman" w:hAnsi="Times New Roman"/>
          <w:sz w:val="24"/>
        </w:rPr>
        <w:t xml:space="preserve">             </w:t>
      </w:r>
      <w:r>
        <w:rPr>
          <w:rFonts w:ascii="Times New Roman" w:hAnsi="Times New Roman"/>
          <w:i/>
          <w:sz w:val="24"/>
        </w:rPr>
        <w:t>v</w:t>
      </w:r>
      <w:proofErr w:type="gramStart"/>
      <w:r>
        <w:rPr>
          <w:rFonts w:ascii="Times New Roman" w:hAnsi="Times New Roman"/>
          <w:sz w:val="24"/>
        </w:rPr>
        <w:t>—</w:t>
      </w:r>
      <w:r>
        <w:rPr>
          <w:rFonts w:ascii="Times New Roman" w:hAnsi="Times New Roman"/>
          <w:sz w:val="24"/>
        </w:rPr>
        <w:t>汽车</w:t>
      </w:r>
      <w:proofErr w:type="gramEnd"/>
      <w:r>
        <w:rPr>
          <w:rFonts w:ascii="Times New Roman" w:hAnsi="Times New Roman"/>
          <w:sz w:val="24"/>
        </w:rPr>
        <w:t>速度，</w:t>
      </w:r>
      <w:r>
        <w:rPr>
          <w:rFonts w:ascii="Times New Roman" w:hAnsi="Times New Roman"/>
          <w:sz w:val="24"/>
        </w:rPr>
        <w:t>km/h</w:t>
      </w:r>
      <w:r>
        <w:rPr>
          <w:rFonts w:ascii="Times New Roman" w:hAnsi="Times New Roman"/>
          <w:sz w:val="24"/>
        </w:rPr>
        <w:t>；</w:t>
      </w:r>
    </w:p>
    <w:p w14:paraId="08F3E643" w14:textId="77777777" w:rsidR="00544649" w:rsidRDefault="00000000">
      <w:pPr>
        <w:pStyle w:val="ab"/>
        <w:adjustRightInd w:val="0"/>
        <w:snapToGrid w:val="0"/>
        <w:spacing w:after="0" w:line="360" w:lineRule="auto"/>
        <w:ind w:firstLine="480"/>
        <w:rPr>
          <w:rFonts w:ascii="Times New Roman" w:hAnsi="Times New Roman"/>
          <w:sz w:val="24"/>
        </w:rPr>
      </w:pPr>
      <w:r>
        <w:rPr>
          <w:rFonts w:ascii="Times New Roman" w:hAnsi="Times New Roman"/>
          <w:sz w:val="24"/>
        </w:rPr>
        <w:t xml:space="preserve">             </w:t>
      </w:r>
      <w:r>
        <w:rPr>
          <w:rFonts w:ascii="Times New Roman" w:hAnsi="Times New Roman"/>
          <w:i/>
          <w:sz w:val="24"/>
        </w:rPr>
        <w:t>W</w:t>
      </w:r>
      <w:proofErr w:type="gramStart"/>
      <w:r>
        <w:rPr>
          <w:rFonts w:ascii="Times New Roman" w:hAnsi="Times New Roman"/>
          <w:sz w:val="24"/>
        </w:rPr>
        <w:t>—</w:t>
      </w:r>
      <w:r>
        <w:rPr>
          <w:rFonts w:ascii="Times New Roman" w:hAnsi="Times New Roman"/>
          <w:sz w:val="24"/>
        </w:rPr>
        <w:t>汽车</w:t>
      </w:r>
      <w:proofErr w:type="gramEnd"/>
      <w:r>
        <w:rPr>
          <w:rFonts w:ascii="Times New Roman" w:hAnsi="Times New Roman"/>
          <w:sz w:val="24"/>
        </w:rPr>
        <w:t>载重量，</w:t>
      </w:r>
      <w:r>
        <w:rPr>
          <w:rFonts w:ascii="Times New Roman" w:hAnsi="Times New Roman"/>
          <w:sz w:val="24"/>
        </w:rPr>
        <w:t>t</w:t>
      </w:r>
      <w:r>
        <w:rPr>
          <w:rFonts w:ascii="Times New Roman" w:hAnsi="Times New Roman"/>
          <w:sz w:val="24"/>
        </w:rPr>
        <w:t>；</w:t>
      </w:r>
    </w:p>
    <w:p w14:paraId="0FD54E97" w14:textId="77777777" w:rsidR="00544649" w:rsidRDefault="00000000">
      <w:pPr>
        <w:pStyle w:val="ab"/>
        <w:adjustRightInd w:val="0"/>
        <w:snapToGrid w:val="0"/>
        <w:spacing w:after="0" w:line="360" w:lineRule="auto"/>
        <w:ind w:firstLine="480"/>
        <w:rPr>
          <w:rFonts w:ascii="Times New Roman" w:hAnsi="Times New Roman"/>
          <w:sz w:val="24"/>
        </w:rPr>
      </w:pPr>
      <w:r>
        <w:rPr>
          <w:rFonts w:ascii="Times New Roman" w:hAnsi="Times New Roman"/>
          <w:sz w:val="24"/>
        </w:rPr>
        <w:t xml:space="preserve">             </w:t>
      </w:r>
      <w:r>
        <w:rPr>
          <w:rFonts w:ascii="Times New Roman" w:hAnsi="Times New Roman"/>
          <w:i/>
          <w:sz w:val="24"/>
        </w:rPr>
        <w:t>P</w:t>
      </w:r>
      <w:proofErr w:type="gramStart"/>
      <w:r>
        <w:rPr>
          <w:rFonts w:ascii="Times New Roman" w:hAnsi="Times New Roman"/>
          <w:sz w:val="24"/>
        </w:rPr>
        <w:t>—</w:t>
      </w:r>
      <w:r>
        <w:rPr>
          <w:rFonts w:ascii="Times New Roman" w:hAnsi="Times New Roman"/>
          <w:sz w:val="24"/>
        </w:rPr>
        <w:t>道路</w:t>
      </w:r>
      <w:proofErr w:type="gramEnd"/>
      <w:r>
        <w:rPr>
          <w:rFonts w:ascii="Times New Roman" w:hAnsi="Times New Roman"/>
          <w:sz w:val="24"/>
        </w:rPr>
        <w:t>表面粉尘量，</w:t>
      </w:r>
      <w:r>
        <w:rPr>
          <w:rFonts w:ascii="Times New Roman" w:hAnsi="Times New Roman"/>
          <w:sz w:val="24"/>
        </w:rPr>
        <w:t>kg/m</w:t>
      </w:r>
      <w:r>
        <w:rPr>
          <w:rFonts w:ascii="Times New Roman" w:hAnsi="Times New Roman"/>
          <w:sz w:val="24"/>
          <w:vertAlign w:val="superscript"/>
        </w:rPr>
        <w:t>2</w:t>
      </w:r>
      <w:r>
        <w:rPr>
          <w:rFonts w:ascii="Times New Roman" w:hAnsi="Times New Roman"/>
          <w:sz w:val="24"/>
        </w:rPr>
        <w:t>。</w:t>
      </w:r>
    </w:p>
    <w:p w14:paraId="0534BDD1" w14:textId="77777777" w:rsidR="00544649" w:rsidRDefault="00000000">
      <w:pPr>
        <w:pStyle w:val="ab"/>
        <w:adjustRightInd w:val="0"/>
        <w:snapToGrid w:val="0"/>
        <w:spacing w:after="0" w:line="360" w:lineRule="auto"/>
        <w:ind w:firstLineChars="200" w:firstLine="480"/>
        <w:rPr>
          <w:rFonts w:ascii="Times New Roman" w:hAnsi="Times New Roman"/>
          <w:sz w:val="24"/>
        </w:rPr>
      </w:pPr>
      <w:r>
        <w:rPr>
          <w:rFonts w:ascii="Times New Roman" w:hAnsi="Times New Roman"/>
          <w:sz w:val="24"/>
        </w:rPr>
        <w:t>一辆载重</w:t>
      </w:r>
      <w:r>
        <w:rPr>
          <w:rFonts w:ascii="Times New Roman" w:hAnsi="Times New Roman"/>
          <w:sz w:val="24"/>
        </w:rPr>
        <w:t>5t</w:t>
      </w:r>
      <w:r>
        <w:rPr>
          <w:rFonts w:ascii="Times New Roman" w:hAnsi="Times New Roman"/>
          <w:sz w:val="24"/>
        </w:rPr>
        <w:t>的卡车，通过一段长度为</w:t>
      </w:r>
      <w:r>
        <w:rPr>
          <w:rFonts w:ascii="Times New Roman" w:hAnsi="Times New Roman"/>
          <w:sz w:val="24"/>
        </w:rPr>
        <w:t>500m</w:t>
      </w:r>
      <w:r>
        <w:rPr>
          <w:rFonts w:ascii="Times New Roman" w:hAnsi="Times New Roman"/>
          <w:sz w:val="24"/>
        </w:rPr>
        <w:t>的路面时，不同表面清洁程度，不同行驶速度情况下产生的扬尘量见表</w:t>
      </w:r>
      <w:r>
        <w:rPr>
          <w:rFonts w:ascii="Times New Roman" w:hAnsi="Times New Roman"/>
          <w:sz w:val="24"/>
        </w:rPr>
        <w:t>6-1</w:t>
      </w:r>
      <w:r>
        <w:rPr>
          <w:rFonts w:ascii="Times New Roman" w:hAnsi="Times New Roman"/>
          <w:sz w:val="24"/>
        </w:rPr>
        <w:t>所示。</w:t>
      </w:r>
    </w:p>
    <w:p w14:paraId="5362AEED" w14:textId="77777777" w:rsidR="00544649" w:rsidRDefault="00000000">
      <w:pPr>
        <w:numPr>
          <w:ilvl w:val="0"/>
          <w:numId w:val="27"/>
        </w:numPr>
        <w:adjustRightInd w:val="0"/>
        <w:snapToGrid w:val="0"/>
        <w:spacing w:beforeLines="20" w:before="62" w:afterLines="20" w:after="62" w:line="240" w:lineRule="auto"/>
        <w:ind w:firstLineChars="0" w:firstLine="422"/>
        <w:jc w:val="center"/>
        <w:rPr>
          <w:rFonts w:cs="Times New Roman"/>
          <w:b/>
          <w:sz w:val="21"/>
          <w:szCs w:val="21"/>
        </w:rPr>
      </w:pPr>
      <w:r>
        <w:rPr>
          <w:rFonts w:cs="Times New Roman"/>
          <w:b/>
          <w:bCs/>
          <w:kern w:val="21"/>
          <w:sz w:val="21"/>
          <w:szCs w:val="21"/>
        </w:rPr>
        <w:t>施工期主要噪声源</w:t>
      </w:r>
      <w:r>
        <w:rPr>
          <w:rFonts w:cs="Times New Roman"/>
          <w:b/>
          <w:sz w:val="21"/>
          <w:szCs w:val="21"/>
        </w:rPr>
        <w:t>不同车速和地面清洁程度时的汽车扬尘（单位：</w:t>
      </w:r>
      <w:r>
        <w:rPr>
          <w:rFonts w:cs="Times New Roman"/>
          <w:b/>
          <w:sz w:val="21"/>
          <w:szCs w:val="21"/>
        </w:rPr>
        <w:t>kg/km·</w:t>
      </w:r>
      <w:r>
        <w:rPr>
          <w:rFonts w:cs="Times New Roman"/>
          <w:b/>
          <w:sz w:val="21"/>
          <w:szCs w:val="21"/>
        </w:rPr>
        <w:t>辆）</w:t>
      </w:r>
    </w:p>
    <w:tbl>
      <w:tblPr>
        <w:tblW w:w="9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2"/>
        <w:gridCol w:w="1138"/>
        <w:gridCol w:w="1138"/>
        <w:gridCol w:w="1138"/>
        <w:gridCol w:w="1138"/>
        <w:gridCol w:w="1138"/>
        <w:gridCol w:w="1138"/>
      </w:tblGrid>
      <w:tr w:rsidR="00544649" w14:paraId="328A3C4C" w14:textId="77777777">
        <w:trPr>
          <w:trHeight w:val="340"/>
          <w:jc w:val="center"/>
        </w:trPr>
        <w:tc>
          <w:tcPr>
            <w:tcW w:w="2232" w:type="dxa"/>
            <w:tcBorders>
              <w:top w:val="single" w:sz="12" w:space="0" w:color="auto"/>
              <w:left w:val="single" w:sz="12" w:space="0" w:color="auto"/>
              <w:bottom w:val="single" w:sz="6" w:space="0" w:color="auto"/>
              <w:tl2br w:val="single" w:sz="6" w:space="0" w:color="auto"/>
            </w:tcBorders>
            <w:vAlign w:val="center"/>
          </w:tcPr>
          <w:p w14:paraId="0BDD9630"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 xml:space="preserve">   </w:t>
            </w:r>
            <w:r>
              <w:rPr>
                <w:rFonts w:ascii="Times New Roman" w:hAnsi="Times New Roman" w:hint="eastAsia"/>
                <w:sz w:val="21"/>
                <w:szCs w:val="21"/>
              </w:rPr>
              <w:t xml:space="preserve"> </w:t>
            </w:r>
            <w:r>
              <w:rPr>
                <w:rFonts w:ascii="Times New Roman" w:hAnsi="Times New Roman"/>
                <w:sz w:val="21"/>
                <w:szCs w:val="21"/>
              </w:rPr>
              <w:t xml:space="preserve">   P(kg/m</w:t>
            </w:r>
            <w:r>
              <w:rPr>
                <w:rFonts w:ascii="Times New Roman" w:hAnsi="Times New Roman"/>
                <w:sz w:val="21"/>
                <w:szCs w:val="21"/>
                <w:vertAlign w:val="superscript"/>
              </w:rPr>
              <w:t>2</w:t>
            </w:r>
            <w:r>
              <w:rPr>
                <w:rFonts w:ascii="Times New Roman" w:hAnsi="Times New Roman"/>
                <w:sz w:val="21"/>
                <w:szCs w:val="21"/>
              </w:rPr>
              <w:t>)</w:t>
            </w:r>
          </w:p>
          <w:p w14:paraId="4ED76BFB" w14:textId="77777777" w:rsidR="00544649" w:rsidRDefault="00000000">
            <w:pPr>
              <w:pStyle w:val="ab"/>
              <w:adjustRightInd w:val="0"/>
              <w:snapToGrid w:val="0"/>
              <w:spacing w:after="0"/>
              <w:rPr>
                <w:rFonts w:ascii="Times New Roman" w:hAnsi="Times New Roman"/>
                <w:sz w:val="21"/>
                <w:szCs w:val="21"/>
              </w:rPr>
            </w:pPr>
            <w:r>
              <w:rPr>
                <w:rFonts w:ascii="Times New Roman" w:hAnsi="Times New Roman"/>
                <w:sz w:val="21"/>
                <w:szCs w:val="21"/>
              </w:rPr>
              <w:t>车速</w:t>
            </w:r>
            <w:r>
              <w:rPr>
                <w:rFonts w:ascii="Times New Roman" w:hAnsi="Times New Roman"/>
                <w:sz w:val="21"/>
                <w:szCs w:val="21"/>
              </w:rPr>
              <w:t>(km/h)</w:t>
            </w:r>
          </w:p>
        </w:tc>
        <w:tc>
          <w:tcPr>
            <w:tcW w:w="1138" w:type="dxa"/>
            <w:tcBorders>
              <w:top w:val="single" w:sz="12" w:space="0" w:color="auto"/>
              <w:bottom w:val="single" w:sz="6" w:space="0" w:color="auto"/>
            </w:tcBorders>
            <w:vAlign w:val="center"/>
          </w:tcPr>
          <w:p w14:paraId="39564D08"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0.1</w:t>
            </w:r>
          </w:p>
        </w:tc>
        <w:tc>
          <w:tcPr>
            <w:tcW w:w="1138" w:type="dxa"/>
            <w:tcBorders>
              <w:top w:val="single" w:sz="12" w:space="0" w:color="auto"/>
              <w:bottom w:val="single" w:sz="6" w:space="0" w:color="auto"/>
            </w:tcBorders>
            <w:vAlign w:val="center"/>
          </w:tcPr>
          <w:p w14:paraId="3ED6055F"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0.2</w:t>
            </w:r>
          </w:p>
        </w:tc>
        <w:tc>
          <w:tcPr>
            <w:tcW w:w="1138" w:type="dxa"/>
            <w:tcBorders>
              <w:top w:val="single" w:sz="12" w:space="0" w:color="auto"/>
              <w:bottom w:val="single" w:sz="6" w:space="0" w:color="auto"/>
            </w:tcBorders>
            <w:vAlign w:val="center"/>
          </w:tcPr>
          <w:p w14:paraId="3398E2B5"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0.3</w:t>
            </w:r>
          </w:p>
        </w:tc>
        <w:tc>
          <w:tcPr>
            <w:tcW w:w="1138" w:type="dxa"/>
            <w:tcBorders>
              <w:top w:val="single" w:sz="12" w:space="0" w:color="auto"/>
              <w:bottom w:val="single" w:sz="6" w:space="0" w:color="auto"/>
            </w:tcBorders>
            <w:vAlign w:val="center"/>
          </w:tcPr>
          <w:p w14:paraId="0B3E0164"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0.4</w:t>
            </w:r>
          </w:p>
        </w:tc>
        <w:tc>
          <w:tcPr>
            <w:tcW w:w="1138" w:type="dxa"/>
            <w:tcBorders>
              <w:top w:val="single" w:sz="12" w:space="0" w:color="auto"/>
              <w:bottom w:val="single" w:sz="6" w:space="0" w:color="auto"/>
            </w:tcBorders>
            <w:vAlign w:val="center"/>
          </w:tcPr>
          <w:p w14:paraId="64C7FF51"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0.5</w:t>
            </w:r>
          </w:p>
        </w:tc>
        <w:tc>
          <w:tcPr>
            <w:tcW w:w="1138" w:type="dxa"/>
            <w:tcBorders>
              <w:top w:val="single" w:sz="12" w:space="0" w:color="auto"/>
              <w:bottom w:val="single" w:sz="6" w:space="0" w:color="auto"/>
              <w:right w:val="single" w:sz="12" w:space="0" w:color="auto"/>
            </w:tcBorders>
            <w:vAlign w:val="center"/>
          </w:tcPr>
          <w:p w14:paraId="679AA3C9"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1.0</w:t>
            </w:r>
          </w:p>
        </w:tc>
      </w:tr>
      <w:tr w:rsidR="00544649" w14:paraId="2B73C322" w14:textId="77777777">
        <w:trPr>
          <w:trHeight w:val="340"/>
          <w:jc w:val="center"/>
        </w:trPr>
        <w:tc>
          <w:tcPr>
            <w:tcW w:w="2232" w:type="dxa"/>
            <w:tcBorders>
              <w:top w:val="single" w:sz="6" w:space="0" w:color="auto"/>
              <w:left w:val="single" w:sz="12" w:space="0" w:color="auto"/>
              <w:bottom w:val="single" w:sz="6" w:space="0" w:color="auto"/>
            </w:tcBorders>
            <w:vAlign w:val="center"/>
          </w:tcPr>
          <w:p w14:paraId="7C38071F"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5</w:t>
            </w:r>
          </w:p>
        </w:tc>
        <w:tc>
          <w:tcPr>
            <w:tcW w:w="1138" w:type="dxa"/>
            <w:tcBorders>
              <w:top w:val="single" w:sz="6" w:space="0" w:color="auto"/>
              <w:bottom w:val="single" w:sz="6" w:space="0" w:color="auto"/>
            </w:tcBorders>
            <w:vAlign w:val="center"/>
          </w:tcPr>
          <w:p w14:paraId="0C763676"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0.0283</w:t>
            </w:r>
          </w:p>
        </w:tc>
        <w:tc>
          <w:tcPr>
            <w:tcW w:w="1138" w:type="dxa"/>
            <w:tcBorders>
              <w:top w:val="single" w:sz="6" w:space="0" w:color="auto"/>
              <w:bottom w:val="single" w:sz="6" w:space="0" w:color="auto"/>
            </w:tcBorders>
            <w:vAlign w:val="center"/>
          </w:tcPr>
          <w:p w14:paraId="2E140CA2"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0.0476</w:t>
            </w:r>
          </w:p>
        </w:tc>
        <w:tc>
          <w:tcPr>
            <w:tcW w:w="1138" w:type="dxa"/>
            <w:tcBorders>
              <w:top w:val="single" w:sz="6" w:space="0" w:color="auto"/>
              <w:bottom w:val="single" w:sz="6" w:space="0" w:color="auto"/>
            </w:tcBorders>
            <w:vAlign w:val="center"/>
          </w:tcPr>
          <w:p w14:paraId="52356C6E"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0.0646</w:t>
            </w:r>
          </w:p>
        </w:tc>
        <w:tc>
          <w:tcPr>
            <w:tcW w:w="1138" w:type="dxa"/>
            <w:tcBorders>
              <w:top w:val="single" w:sz="6" w:space="0" w:color="auto"/>
              <w:bottom w:val="single" w:sz="6" w:space="0" w:color="auto"/>
            </w:tcBorders>
            <w:vAlign w:val="center"/>
          </w:tcPr>
          <w:p w14:paraId="668DA009"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0.0801</w:t>
            </w:r>
          </w:p>
        </w:tc>
        <w:tc>
          <w:tcPr>
            <w:tcW w:w="1138" w:type="dxa"/>
            <w:tcBorders>
              <w:top w:val="single" w:sz="6" w:space="0" w:color="auto"/>
              <w:bottom w:val="single" w:sz="6" w:space="0" w:color="auto"/>
            </w:tcBorders>
            <w:vAlign w:val="center"/>
          </w:tcPr>
          <w:p w14:paraId="62415E92"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0.0947</w:t>
            </w:r>
          </w:p>
        </w:tc>
        <w:tc>
          <w:tcPr>
            <w:tcW w:w="1138" w:type="dxa"/>
            <w:tcBorders>
              <w:top w:val="single" w:sz="6" w:space="0" w:color="auto"/>
              <w:bottom w:val="single" w:sz="6" w:space="0" w:color="auto"/>
              <w:right w:val="single" w:sz="12" w:space="0" w:color="auto"/>
            </w:tcBorders>
            <w:vAlign w:val="center"/>
          </w:tcPr>
          <w:p w14:paraId="00D5F710"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0.1593</w:t>
            </w:r>
          </w:p>
        </w:tc>
      </w:tr>
      <w:tr w:rsidR="00544649" w14:paraId="42935EF8" w14:textId="77777777">
        <w:trPr>
          <w:trHeight w:val="340"/>
          <w:jc w:val="center"/>
        </w:trPr>
        <w:tc>
          <w:tcPr>
            <w:tcW w:w="2232" w:type="dxa"/>
            <w:tcBorders>
              <w:top w:val="single" w:sz="6" w:space="0" w:color="auto"/>
              <w:left w:val="single" w:sz="12" w:space="0" w:color="auto"/>
              <w:bottom w:val="single" w:sz="6" w:space="0" w:color="auto"/>
            </w:tcBorders>
            <w:vAlign w:val="center"/>
          </w:tcPr>
          <w:p w14:paraId="1311AA2D"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10</w:t>
            </w:r>
          </w:p>
        </w:tc>
        <w:tc>
          <w:tcPr>
            <w:tcW w:w="1138" w:type="dxa"/>
            <w:tcBorders>
              <w:top w:val="single" w:sz="6" w:space="0" w:color="auto"/>
              <w:bottom w:val="single" w:sz="6" w:space="0" w:color="auto"/>
            </w:tcBorders>
            <w:vAlign w:val="center"/>
          </w:tcPr>
          <w:p w14:paraId="27BA2F84"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0.0566</w:t>
            </w:r>
          </w:p>
        </w:tc>
        <w:tc>
          <w:tcPr>
            <w:tcW w:w="1138" w:type="dxa"/>
            <w:tcBorders>
              <w:top w:val="single" w:sz="6" w:space="0" w:color="auto"/>
              <w:bottom w:val="single" w:sz="6" w:space="0" w:color="auto"/>
            </w:tcBorders>
            <w:vAlign w:val="center"/>
          </w:tcPr>
          <w:p w14:paraId="2CBDAEC3"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0.0953</w:t>
            </w:r>
          </w:p>
        </w:tc>
        <w:tc>
          <w:tcPr>
            <w:tcW w:w="1138" w:type="dxa"/>
            <w:tcBorders>
              <w:top w:val="single" w:sz="6" w:space="0" w:color="auto"/>
              <w:bottom w:val="single" w:sz="6" w:space="0" w:color="auto"/>
            </w:tcBorders>
            <w:vAlign w:val="center"/>
          </w:tcPr>
          <w:p w14:paraId="03E63BD5"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0.1291</w:t>
            </w:r>
          </w:p>
        </w:tc>
        <w:tc>
          <w:tcPr>
            <w:tcW w:w="1138" w:type="dxa"/>
            <w:tcBorders>
              <w:top w:val="single" w:sz="6" w:space="0" w:color="auto"/>
              <w:bottom w:val="single" w:sz="6" w:space="0" w:color="auto"/>
            </w:tcBorders>
            <w:vAlign w:val="center"/>
          </w:tcPr>
          <w:p w14:paraId="32921310"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0.1602</w:t>
            </w:r>
          </w:p>
        </w:tc>
        <w:tc>
          <w:tcPr>
            <w:tcW w:w="1138" w:type="dxa"/>
            <w:tcBorders>
              <w:top w:val="single" w:sz="6" w:space="0" w:color="auto"/>
              <w:bottom w:val="single" w:sz="6" w:space="0" w:color="auto"/>
            </w:tcBorders>
            <w:vAlign w:val="center"/>
          </w:tcPr>
          <w:p w14:paraId="28F2233E"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0.1894</w:t>
            </w:r>
          </w:p>
        </w:tc>
        <w:tc>
          <w:tcPr>
            <w:tcW w:w="1138" w:type="dxa"/>
            <w:tcBorders>
              <w:top w:val="single" w:sz="6" w:space="0" w:color="auto"/>
              <w:bottom w:val="single" w:sz="6" w:space="0" w:color="auto"/>
              <w:right w:val="single" w:sz="12" w:space="0" w:color="auto"/>
            </w:tcBorders>
            <w:vAlign w:val="center"/>
          </w:tcPr>
          <w:p w14:paraId="6C3EDC39"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0.3186</w:t>
            </w:r>
          </w:p>
        </w:tc>
      </w:tr>
      <w:tr w:rsidR="00544649" w14:paraId="32FE78DA" w14:textId="77777777">
        <w:trPr>
          <w:trHeight w:val="340"/>
          <w:jc w:val="center"/>
        </w:trPr>
        <w:tc>
          <w:tcPr>
            <w:tcW w:w="2232" w:type="dxa"/>
            <w:tcBorders>
              <w:top w:val="single" w:sz="6" w:space="0" w:color="auto"/>
              <w:left w:val="single" w:sz="12" w:space="0" w:color="auto"/>
              <w:bottom w:val="single" w:sz="6" w:space="0" w:color="auto"/>
            </w:tcBorders>
            <w:vAlign w:val="center"/>
          </w:tcPr>
          <w:p w14:paraId="2AAF33AD"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15</w:t>
            </w:r>
          </w:p>
        </w:tc>
        <w:tc>
          <w:tcPr>
            <w:tcW w:w="1138" w:type="dxa"/>
            <w:tcBorders>
              <w:top w:val="single" w:sz="6" w:space="0" w:color="auto"/>
              <w:bottom w:val="single" w:sz="6" w:space="0" w:color="auto"/>
            </w:tcBorders>
            <w:vAlign w:val="center"/>
          </w:tcPr>
          <w:p w14:paraId="1E5E36B0"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0.0850</w:t>
            </w:r>
          </w:p>
        </w:tc>
        <w:tc>
          <w:tcPr>
            <w:tcW w:w="1138" w:type="dxa"/>
            <w:tcBorders>
              <w:top w:val="single" w:sz="6" w:space="0" w:color="auto"/>
              <w:bottom w:val="single" w:sz="6" w:space="0" w:color="auto"/>
            </w:tcBorders>
            <w:vAlign w:val="center"/>
          </w:tcPr>
          <w:p w14:paraId="1F64B251"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0.1429</w:t>
            </w:r>
          </w:p>
        </w:tc>
        <w:tc>
          <w:tcPr>
            <w:tcW w:w="1138" w:type="dxa"/>
            <w:tcBorders>
              <w:top w:val="single" w:sz="6" w:space="0" w:color="auto"/>
              <w:bottom w:val="single" w:sz="6" w:space="0" w:color="auto"/>
            </w:tcBorders>
            <w:vAlign w:val="center"/>
          </w:tcPr>
          <w:p w14:paraId="75197FA0"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0.1937</w:t>
            </w:r>
          </w:p>
        </w:tc>
        <w:tc>
          <w:tcPr>
            <w:tcW w:w="1138" w:type="dxa"/>
            <w:tcBorders>
              <w:top w:val="single" w:sz="6" w:space="0" w:color="auto"/>
              <w:bottom w:val="single" w:sz="6" w:space="0" w:color="auto"/>
            </w:tcBorders>
            <w:vAlign w:val="center"/>
          </w:tcPr>
          <w:p w14:paraId="6E4211C9"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0.2403</w:t>
            </w:r>
          </w:p>
        </w:tc>
        <w:tc>
          <w:tcPr>
            <w:tcW w:w="1138" w:type="dxa"/>
            <w:tcBorders>
              <w:top w:val="single" w:sz="6" w:space="0" w:color="auto"/>
              <w:bottom w:val="single" w:sz="6" w:space="0" w:color="auto"/>
            </w:tcBorders>
            <w:vAlign w:val="center"/>
          </w:tcPr>
          <w:p w14:paraId="77B1452D"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0.2841</w:t>
            </w:r>
          </w:p>
        </w:tc>
        <w:tc>
          <w:tcPr>
            <w:tcW w:w="1138" w:type="dxa"/>
            <w:tcBorders>
              <w:top w:val="single" w:sz="6" w:space="0" w:color="auto"/>
              <w:bottom w:val="single" w:sz="6" w:space="0" w:color="auto"/>
              <w:right w:val="single" w:sz="12" w:space="0" w:color="auto"/>
            </w:tcBorders>
            <w:vAlign w:val="center"/>
          </w:tcPr>
          <w:p w14:paraId="66B7C49C"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0.4778</w:t>
            </w:r>
          </w:p>
        </w:tc>
      </w:tr>
      <w:tr w:rsidR="00544649" w14:paraId="17EBACEA" w14:textId="77777777">
        <w:trPr>
          <w:trHeight w:val="340"/>
          <w:jc w:val="center"/>
        </w:trPr>
        <w:tc>
          <w:tcPr>
            <w:tcW w:w="2232" w:type="dxa"/>
            <w:tcBorders>
              <w:top w:val="single" w:sz="6" w:space="0" w:color="auto"/>
              <w:left w:val="single" w:sz="12" w:space="0" w:color="auto"/>
              <w:bottom w:val="single" w:sz="12" w:space="0" w:color="auto"/>
            </w:tcBorders>
            <w:vAlign w:val="center"/>
          </w:tcPr>
          <w:p w14:paraId="676F176A"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20</w:t>
            </w:r>
          </w:p>
        </w:tc>
        <w:tc>
          <w:tcPr>
            <w:tcW w:w="1138" w:type="dxa"/>
            <w:tcBorders>
              <w:top w:val="single" w:sz="6" w:space="0" w:color="auto"/>
              <w:bottom w:val="single" w:sz="12" w:space="0" w:color="auto"/>
            </w:tcBorders>
            <w:vAlign w:val="center"/>
          </w:tcPr>
          <w:p w14:paraId="2BE21DA4"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0.1133</w:t>
            </w:r>
          </w:p>
        </w:tc>
        <w:tc>
          <w:tcPr>
            <w:tcW w:w="1138" w:type="dxa"/>
            <w:tcBorders>
              <w:top w:val="single" w:sz="6" w:space="0" w:color="auto"/>
              <w:bottom w:val="single" w:sz="12" w:space="0" w:color="auto"/>
            </w:tcBorders>
            <w:vAlign w:val="center"/>
          </w:tcPr>
          <w:p w14:paraId="1C97F825"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0.1905</w:t>
            </w:r>
          </w:p>
        </w:tc>
        <w:tc>
          <w:tcPr>
            <w:tcW w:w="1138" w:type="dxa"/>
            <w:tcBorders>
              <w:top w:val="single" w:sz="6" w:space="0" w:color="auto"/>
              <w:bottom w:val="single" w:sz="12" w:space="0" w:color="auto"/>
            </w:tcBorders>
            <w:vAlign w:val="center"/>
          </w:tcPr>
          <w:p w14:paraId="0D175592"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0.2583</w:t>
            </w:r>
          </w:p>
        </w:tc>
        <w:tc>
          <w:tcPr>
            <w:tcW w:w="1138" w:type="dxa"/>
            <w:tcBorders>
              <w:top w:val="single" w:sz="6" w:space="0" w:color="auto"/>
              <w:bottom w:val="single" w:sz="12" w:space="0" w:color="auto"/>
            </w:tcBorders>
            <w:vAlign w:val="center"/>
          </w:tcPr>
          <w:p w14:paraId="533A895F"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0.3204</w:t>
            </w:r>
          </w:p>
        </w:tc>
        <w:tc>
          <w:tcPr>
            <w:tcW w:w="1138" w:type="dxa"/>
            <w:tcBorders>
              <w:top w:val="single" w:sz="6" w:space="0" w:color="auto"/>
              <w:bottom w:val="single" w:sz="12" w:space="0" w:color="auto"/>
            </w:tcBorders>
            <w:vAlign w:val="center"/>
          </w:tcPr>
          <w:p w14:paraId="07B4D85B"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0.3788</w:t>
            </w:r>
          </w:p>
        </w:tc>
        <w:tc>
          <w:tcPr>
            <w:tcW w:w="1138" w:type="dxa"/>
            <w:tcBorders>
              <w:top w:val="single" w:sz="6" w:space="0" w:color="auto"/>
              <w:bottom w:val="single" w:sz="12" w:space="0" w:color="auto"/>
              <w:right w:val="single" w:sz="12" w:space="0" w:color="auto"/>
            </w:tcBorders>
            <w:vAlign w:val="center"/>
          </w:tcPr>
          <w:p w14:paraId="3FDCE28A"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0.6371</w:t>
            </w:r>
          </w:p>
        </w:tc>
      </w:tr>
    </w:tbl>
    <w:p w14:paraId="47554C3F" w14:textId="77777777" w:rsidR="00544649" w:rsidRDefault="00000000">
      <w:pPr>
        <w:pStyle w:val="ab"/>
        <w:adjustRightInd w:val="0"/>
        <w:snapToGrid w:val="0"/>
        <w:spacing w:beforeLines="50" w:before="156" w:after="0" w:line="360" w:lineRule="auto"/>
        <w:ind w:firstLineChars="200" w:firstLine="480"/>
        <w:rPr>
          <w:rFonts w:ascii="Times New Roman" w:hAnsi="Times New Roman"/>
          <w:sz w:val="24"/>
        </w:rPr>
      </w:pPr>
      <w:r>
        <w:rPr>
          <w:rFonts w:ascii="Times New Roman" w:hAnsi="Times New Roman"/>
          <w:sz w:val="24"/>
        </w:rPr>
        <w:t>由表</w:t>
      </w:r>
      <w:r>
        <w:rPr>
          <w:rFonts w:ascii="Times New Roman" w:hAnsi="Times New Roman"/>
          <w:sz w:val="24"/>
        </w:rPr>
        <w:t>6-1</w:t>
      </w:r>
      <w:r>
        <w:rPr>
          <w:rFonts w:ascii="Times New Roman" w:hAnsi="Times New Roman"/>
          <w:sz w:val="24"/>
        </w:rPr>
        <w:t>可见，在同样路面清洁情况下，车速越快，扬尘量越大；而在同样车速情况下，路面清洁度越差，则扬尘量越大。根据类比调查，一般情况下，施工场地、施工道路在自然风作用下产生的扬尘所影响的范围在</w:t>
      </w:r>
      <w:r>
        <w:rPr>
          <w:rFonts w:ascii="Times New Roman" w:hAnsi="Times New Roman"/>
          <w:sz w:val="24"/>
        </w:rPr>
        <w:t>100m</w:t>
      </w:r>
      <w:r>
        <w:rPr>
          <w:rFonts w:ascii="Times New Roman" w:hAnsi="Times New Roman"/>
          <w:sz w:val="24"/>
        </w:rPr>
        <w:t>以内。</w:t>
      </w:r>
    </w:p>
    <w:p w14:paraId="2E5AF26A" w14:textId="77777777" w:rsidR="00544649" w:rsidRDefault="00000000">
      <w:pPr>
        <w:pStyle w:val="ab"/>
        <w:adjustRightInd w:val="0"/>
        <w:snapToGrid w:val="0"/>
        <w:spacing w:after="0" w:line="360" w:lineRule="auto"/>
        <w:ind w:firstLineChars="200" w:firstLine="480"/>
        <w:rPr>
          <w:rFonts w:ascii="Times New Roman" w:hAnsi="Times New Roman"/>
          <w:sz w:val="24"/>
        </w:rPr>
      </w:pPr>
      <w:r>
        <w:rPr>
          <w:rFonts w:ascii="Times New Roman" w:hAnsi="Times New Roman"/>
          <w:sz w:val="24"/>
        </w:rPr>
        <w:t>抑制扬尘的一个简洁有效的措施是洒水。如果在施工期内对车辆行驶的路面实施洒水抑尘，每天洒水</w:t>
      </w:r>
      <w:r>
        <w:rPr>
          <w:rFonts w:ascii="Times New Roman" w:hAnsi="Times New Roman"/>
          <w:sz w:val="24"/>
        </w:rPr>
        <w:t>4-5</w:t>
      </w:r>
      <w:r>
        <w:rPr>
          <w:rFonts w:ascii="Times New Roman" w:hAnsi="Times New Roman"/>
          <w:sz w:val="24"/>
        </w:rPr>
        <w:t>次，可使扬尘减少</w:t>
      </w:r>
      <w:r>
        <w:rPr>
          <w:rFonts w:ascii="Times New Roman" w:hAnsi="Times New Roman"/>
          <w:sz w:val="24"/>
        </w:rPr>
        <w:t>70%</w:t>
      </w:r>
      <w:r>
        <w:rPr>
          <w:rFonts w:ascii="Times New Roman" w:hAnsi="Times New Roman"/>
          <w:sz w:val="24"/>
        </w:rPr>
        <w:t>左右，表</w:t>
      </w:r>
      <w:r>
        <w:rPr>
          <w:rFonts w:ascii="Times New Roman" w:hAnsi="Times New Roman"/>
          <w:sz w:val="24"/>
        </w:rPr>
        <w:t>6-2</w:t>
      </w:r>
      <w:r>
        <w:rPr>
          <w:rFonts w:ascii="Times New Roman" w:hAnsi="Times New Roman"/>
          <w:sz w:val="24"/>
        </w:rPr>
        <w:t>为施工场地</w:t>
      </w:r>
      <w:proofErr w:type="gramStart"/>
      <w:r>
        <w:rPr>
          <w:rFonts w:ascii="Times New Roman" w:hAnsi="Times New Roman"/>
          <w:sz w:val="24"/>
        </w:rPr>
        <w:t>洒水抑尘的</w:t>
      </w:r>
      <w:proofErr w:type="gramEnd"/>
      <w:r>
        <w:rPr>
          <w:rFonts w:ascii="Times New Roman" w:hAnsi="Times New Roman"/>
          <w:sz w:val="24"/>
        </w:rPr>
        <w:lastRenderedPageBreak/>
        <w:t>试验结果。由该表数据可看出对施工场地实施每天洒水</w:t>
      </w:r>
      <w:r>
        <w:rPr>
          <w:rFonts w:ascii="Times New Roman" w:hAnsi="Times New Roman"/>
          <w:sz w:val="24"/>
        </w:rPr>
        <w:t>4-5</w:t>
      </w:r>
      <w:r>
        <w:rPr>
          <w:rFonts w:ascii="Times New Roman" w:hAnsi="Times New Roman"/>
          <w:sz w:val="24"/>
        </w:rPr>
        <w:t>次进行抑尘，可有效地控制施工扬尘，并可将</w:t>
      </w:r>
      <w:r>
        <w:rPr>
          <w:rFonts w:ascii="Times New Roman" w:hAnsi="Times New Roman"/>
          <w:sz w:val="24"/>
        </w:rPr>
        <w:t>TSP</w:t>
      </w:r>
      <w:r>
        <w:rPr>
          <w:rFonts w:ascii="Times New Roman" w:hAnsi="Times New Roman"/>
          <w:sz w:val="24"/>
        </w:rPr>
        <w:t>污染距离缩小到</w:t>
      </w:r>
      <w:r>
        <w:rPr>
          <w:rFonts w:ascii="Times New Roman" w:hAnsi="Times New Roman"/>
          <w:sz w:val="24"/>
        </w:rPr>
        <w:t>20-50m</w:t>
      </w:r>
      <w:r>
        <w:rPr>
          <w:rFonts w:ascii="Times New Roman" w:hAnsi="Times New Roman"/>
          <w:sz w:val="24"/>
        </w:rPr>
        <w:t>范围。</w:t>
      </w:r>
    </w:p>
    <w:p w14:paraId="7212AB11" w14:textId="77777777" w:rsidR="00544649" w:rsidRDefault="00000000">
      <w:pPr>
        <w:numPr>
          <w:ilvl w:val="0"/>
          <w:numId w:val="27"/>
        </w:numPr>
        <w:adjustRightInd w:val="0"/>
        <w:snapToGrid w:val="0"/>
        <w:spacing w:beforeLines="20" w:before="62" w:afterLines="20" w:after="62" w:line="240" w:lineRule="auto"/>
        <w:ind w:firstLineChars="0" w:firstLine="422"/>
        <w:jc w:val="center"/>
        <w:rPr>
          <w:rFonts w:cs="Times New Roman"/>
          <w:b/>
          <w:sz w:val="21"/>
          <w:szCs w:val="21"/>
        </w:rPr>
      </w:pPr>
      <w:r>
        <w:rPr>
          <w:rFonts w:cs="Times New Roman"/>
          <w:b/>
          <w:sz w:val="21"/>
          <w:szCs w:val="21"/>
        </w:rPr>
        <w:t>施工场地洒水</w:t>
      </w:r>
      <w:proofErr w:type="gramStart"/>
      <w:r>
        <w:rPr>
          <w:rFonts w:cs="Times New Roman"/>
          <w:b/>
          <w:sz w:val="21"/>
          <w:szCs w:val="21"/>
        </w:rPr>
        <w:t>抑尘试验</w:t>
      </w:r>
      <w:proofErr w:type="gramEnd"/>
      <w:r>
        <w:rPr>
          <w:rFonts w:cs="Times New Roman"/>
          <w:b/>
          <w:sz w:val="21"/>
          <w:szCs w:val="21"/>
        </w:rPr>
        <w:t>结果（单位：</w:t>
      </w:r>
      <w:r>
        <w:rPr>
          <w:rFonts w:cs="Times New Roman"/>
          <w:b/>
          <w:sz w:val="21"/>
          <w:szCs w:val="21"/>
        </w:rPr>
        <w:t>mg/m</w:t>
      </w:r>
      <w:r>
        <w:rPr>
          <w:rFonts w:cs="Times New Roman"/>
          <w:b/>
          <w:sz w:val="21"/>
          <w:szCs w:val="21"/>
          <w:vertAlign w:val="superscript"/>
        </w:rPr>
        <w:t>3</w:t>
      </w:r>
      <w:r>
        <w:rPr>
          <w:rFonts w:cs="Times New Roman"/>
          <w:b/>
          <w:sz w:val="21"/>
          <w:szCs w:val="21"/>
        </w:rPr>
        <w:t>）</w:t>
      </w:r>
    </w:p>
    <w:tbl>
      <w:tblPr>
        <w:tblW w:w="86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00"/>
        <w:gridCol w:w="1494"/>
        <w:gridCol w:w="1080"/>
        <w:gridCol w:w="1260"/>
        <w:gridCol w:w="1080"/>
        <w:gridCol w:w="1290"/>
      </w:tblGrid>
      <w:tr w:rsidR="00544649" w14:paraId="1FC6B80A" w14:textId="77777777">
        <w:trPr>
          <w:cantSplit/>
          <w:trHeight w:val="340"/>
          <w:jc w:val="center"/>
        </w:trPr>
        <w:tc>
          <w:tcPr>
            <w:tcW w:w="3894" w:type="dxa"/>
            <w:gridSpan w:val="2"/>
            <w:vAlign w:val="center"/>
          </w:tcPr>
          <w:p w14:paraId="51398DDB" w14:textId="77777777" w:rsidR="00544649" w:rsidRDefault="00000000">
            <w:pPr>
              <w:pStyle w:val="ab"/>
              <w:adjustRightInd w:val="0"/>
              <w:snapToGrid w:val="0"/>
              <w:spacing w:after="0"/>
              <w:jc w:val="center"/>
              <w:rPr>
                <w:rFonts w:ascii="Times New Roman" w:hAnsi="Times New Roman"/>
                <w:bCs/>
                <w:sz w:val="21"/>
                <w:szCs w:val="21"/>
              </w:rPr>
            </w:pPr>
            <w:r>
              <w:rPr>
                <w:rFonts w:ascii="Times New Roman" w:hAnsi="Times New Roman"/>
                <w:bCs/>
                <w:sz w:val="21"/>
                <w:szCs w:val="21"/>
              </w:rPr>
              <w:t>距离</w:t>
            </w:r>
          </w:p>
        </w:tc>
        <w:tc>
          <w:tcPr>
            <w:tcW w:w="1080" w:type="dxa"/>
            <w:vAlign w:val="center"/>
          </w:tcPr>
          <w:p w14:paraId="2803ECF1" w14:textId="77777777" w:rsidR="00544649" w:rsidRDefault="00000000">
            <w:pPr>
              <w:pStyle w:val="ab"/>
              <w:adjustRightInd w:val="0"/>
              <w:snapToGrid w:val="0"/>
              <w:spacing w:after="0"/>
              <w:jc w:val="center"/>
              <w:rPr>
                <w:rFonts w:ascii="Times New Roman" w:hAnsi="Times New Roman"/>
                <w:bCs/>
                <w:sz w:val="21"/>
                <w:szCs w:val="21"/>
              </w:rPr>
            </w:pPr>
            <w:r>
              <w:rPr>
                <w:rFonts w:ascii="Times New Roman" w:hAnsi="Times New Roman"/>
                <w:bCs/>
                <w:sz w:val="21"/>
                <w:szCs w:val="21"/>
              </w:rPr>
              <w:t>5m</w:t>
            </w:r>
          </w:p>
        </w:tc>
        <w:tc>
          <w:tcPr>
            <w:tcW w:w="1260" w:type="dxa"/>
            <w:vAlign w:val="center"/>
          </w:tcPr>
          <w:p w14:paraId="39A59FFC" w14:textId="77777777" w:rsidR="00544649" w:rsidRDefault="00000000">
            <w:pPr>
              <w:pStyle w:val="ab"/>
              <w:adjustRightInd w:val="0"/>
              <w:snapToGrid w:val="0"/>
              <w:spacing w:after="0"/>
              <w:jc w:val="center"/>
              <w:rPr>
                <w:rFonts w:ascii="Times New Roman" w:hAnsi="Times New Roman"/>
                <w:bCs/>
                <w:sz w:val="21"/>
                <w:szCs w:val="21"/>
              </w:rPr>
            </w:pPr>
            <w:r>
              <w:rPr>
                <w:rFonts w:ascii="Times New Roman" w:hAnsi="Times New Roman"/>
                <w:bCs/>
                <w:sz w:val="21"/>
                <w:szCs w:val="21"/>
              </w:rPr>
              <w:t>20m</w:t>
            </w:r>
          </w:p>
        </w:tc>
        <w:tc>
          <w:tcPr>
            <w:tcW w:w="1080" w:type="dxa"/>
            <w:vAlign w:val="center"/>
          </w:tcPr>
          <w:p w14:paraId="21F7567F" w14:textId="77777777" w:rsidR="00544649" w:rsidRDefault="00000000">
            <w:pPr>
              <w:pStyle w:val="ab"/>
              <w:adjustRightInd w:val="0"/>
              <w:snapToGrid w:val="0"/>
              <w:spacing w:after="0"/>
              <w:jc w:val="center"/>
              <w:rPr>
                <w:rFonts w:ascii="Times New Roman" w:hAnsi="Times New Roman"/>
                <w:bCs/>
                <w:sz w:val="21"/>
                <w:szCs w:val="21"/>
              </w:rPr>
            </w:pPr>
            <w:r>
              <w:rPr>
                <w:rFonts w:ascii="Times New Roman" w:hAnsi="Times New Roman"/>
                <w:bCs/>
                <w:sz w:val="21"/>
                <w:szCs w:val="21"/>
              </w:rPr>
              <w:t>50m</w:t>
            </w:r>
          </w:p>
        </w:tc>
        <w:tc>
          <w:tcPr>
            <w:tcW w:w="1290" w:type="dxa"/>
            <w:vAlign w:val="center"/>
          </w:tcPr>
          <w:p w14:paraId="28BE18B6" w14:textId="77777777" w:rsidR="00544649" w:rsidRDefault="00000000">
            <w:pPr>
              <w:pStyle w:val="ab"/>
              <w:adjustRightInd w:val="0"/>
              <w:snapToGrid w:val="0"/>
              <w:spacing w:after="0"/>
              <w:jc w:val="center"/>
              <w:rPr>
                <w:rFonts w:ascii="Times New Roman" w:hAnsi="Times New Roman"/>
                <w:bCs/>
                <w:sz w:val="21"/>
                <w:szCs w:val="21"/>
              </w:rPr>
            </w:pPr>
            <w:r>
              <w:rPr>
                <w:rFonts w:ascii="Times New Roman" w:hAnsi="Times New Roman"/>
                <w:bCs/>
                <w:sz w:val="21"/>
                <w:szCs w:val="21"/>
              </w:rPr>
              <w:t>100m</w:t>
            </w:r>
          </w:p>
        </w:tc>
      </w:tr>
      <w:tr w:rsidR="00544649" w14:paraId="27ED1E69" w14:textId="77777777">
        <w:trPr>
          <w:cantSplit/>
          <w:trHeight w:val="340"/>
          <w:jc w:val="center"/>
        </w:trPr>
        <w:tc>
          <w:tcPr>
            <w:tcW w:w="2400" w:type="dxa"/>
            <w:vMerge w:val="restart"/>
            <w:vAlign w:val="center"/>
          </w:tcPr>
          <w:p w14:paraId="258F1AC5"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TSP</w:t>
            </w:r>
            <w:r>
              <w:rPr>
                <w:rFonts w:ascii="Times New Roman" w:hAnsi="Times New Roman"/>
                <w:sz w:val="21"/>
                <w:szCs w:val="21"/>
              </w:rPr>
              <w:t>小时平均浓度</w:t>
            </w:r>
          </w:p>
        </w:tc>
        <w:tc>
          <w:tcPr>
            <w:tcW w:w="1494" w:type="dxa"/>
            <w:vAlign w:val="center"/>
          </w:tcPr>
          <w:p w14:paraId="7E02C7D0" w14:textId="77777777" w:rsidR="00544649" w:rsidRDefault="00000000">
            <w:pPr>
              <w:pStyle w:val="ab"/>
              <w:adjustRightInd w:val="0"/>
              <w:snapToGrid w:val="0"/>
              <w:spacing w:after="0"/>
              <w:jc w:val="center"/>
              <w:rPr>
                <w:rFonts w:ascii="Times New Roman" w:hAnsi="Times New Roman"/>
                <w:sz w:val="21"/>
                <w:szCs w:val="21"/>
              </w:rPr>
            </w:pPr>
            <w:proofErr w:type="gramStart"/>
            <w:r>
              <w:rPr>
                <w:rFonts w:ascii="Times New Roman" w:hAnsi="Times New Roman"/>
                <w:sz w:val="21"/>
                <w:szCs w:val="21"/>
              </w:rPr>
              <w:t>不</w:t>
            </w:r>
            <w:proofErr w:type="gramEnd"/>
            <w:r>
              <w:rPr>
                <w:rFonts w:ascii="Times New Roman" w:hAnsi="Times New Roman"/>
                <w:sz w:val="21"/>
                <w:szCs w:val="21"/>
              </w:rPr>
              <w:t>洒水</w:t>
            </w:r>
          </w:p>
        </w:tc>
        <w:tc>
          <w:tcPr>
            <w:tcW w:w="1080" w:type="dxa"/>
            <w:vAlign w:val="center"/>
          </w:tcPr>
          <w:p w14:paraId="4BB86502"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10.14</w:t>
            </w:r>
          </w:p>
        </w:tc>
        <w:tc>
          <w:tcPr>
            <w:tcW w:w="1260" w:type="dxa"/>
            <w:vAlign w:val="center"/>
          </w:tcPr>
          <w:p w14:paraId="7C07CDAC"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2.89</w:t>
            </w:r>
          </w:p>
        </w:tc>
        <w:tc>
          <w:tcPr>
            <w:tcW w:w="1080" w:type="dxa"/>
            <w:vAlign w:val="center"/>
          </w:tcPr>
          <w:p w14:paraId="526A386B"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1.15</w:t>
            </w:r>
          </w:p>
        </w:tc>
        <w:tc>
          <w:tcPr>
            <w:tcW w:w="1290" w:type="dxa"/>
            <w:vAlign w:val="center"/>
          </w:tcPr>
          <w:p w14:paraId="5003414E"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0.86</w:t>
            </w:r>
          </w:p>
        </w:tc>
      </w:tr>
      <w:tr w:rsidR="00544649" w14:paraId="501D8F5F" w14:textId="77777777">
        <w:trPr>
          <w:cantSplit/>
          <w:trHeight w:val="340"/>
          <w:jc w:val="center"/>
        </w:trPr>
        <w:tc>
          <w:tcPr>
            <w:tcW w:w="2400" w:type="dxa"/>
            <w:vMerge/>
            <w:vAlign w:val="center"/>
          </w:tcPr>
          <w:p w14:paraId="4EB46A26" w14:textId="77777777" w:rsidR="00544649" w:rsidRDefault="00544649">
            <w:pPr>
              <w:pStyle w:val="ab"/>
              <w:adjustRightInd w:val="0"/>
              <w:snapToGrid w:val="0"/>
              <w:spacing w:after="0"/>
              <w:jc w:val="center"/>
              <w:rPr>
                <w:rFonts w:ascii="Times New Roman" w:hAnsi="Times New Roman"/>
                <w:sz w:val="21"/>
                <w:szCs w:val="21"/>
              </w:rPr>
            </w:pPr>
          </w:p>
        </w:tc>
        <w:tc>
          <w:tcPr>
            <w:tcW w:w="1494" w:type="dxa"/>
            <w:vAlign w:val="center"/>
          </w:tcPr>
          <w:p w14:paraId="7A5922FF"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洒水</w:t>
            </w:r>
          </w:p>
        </w:tc>
        <w:tc>
          <w:tcPr>
            <w:tcW w:w="1080" w:type="dxa"/>
            <w:vAlign w:val="center"/>
          </w:tcPr>
          <w:p w14:paraId="48A07FC1"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2.01</w:t>
            </w:r>
          </w:p>
        </w:tc>
        <w:tc>
          <w:tcPr>
            <w:tcW w:w="1260" w:type="dxa"/>
            <w:vAlign w:val="center"/>
          </w:tcPr>
          <w:p w14:paraId="5051F756"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1.40</w:t>
            </w:r>
          </w:p>
        </w:tc>
        <w:tc>
          <w:tcPr>
            <w:tcW w:w="1080" w:type="dxa"/>
            <w:vAlign w:val="center"/>
          </w:tcPr>
          <w:p w14:paraId="738A917B"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0.67</w:t>
            </w:r>
          </w:p>
        </w:tc>
        <w:tc>
          <w:tcPr>
            <w:tcW w:w="1290" w:type="dxa"/>
            <w:vAlign w:val="center"/>
          </w:tcPr>
          <w:p w14:paraId="25FC0376"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0.60</w:t>
            </w:r>
          </w:p>
        </w:tc>
      </w:tr>
    </w:tbl>
    <w:p w14:paraId="1912109F" w14:textId="77777777" w:rsidR="00544649" w:rsidRDefault="00000000">
      <w:pPr>
        <w:pStyle w:val="ab"/>
        <w:adjustRightInd w:val="0"/>
        <w:snapToGrid w:val="0"/>
        <w:spacing w:beforeLines="50" w:before="156" w:after="0" w:line="360" w:lineRule="auto"/>
        <w:ind w:firstLineChars="200" w:firstLine="480"/>
        <w:rPr>
          <w:rFonts w:ascii="Times New Roman" w:hAnsi="Times New Roman"/>
          <w:sz w:val="24"/>
        </w:rPr>
      </w:pPr>
      <w:r>
        <w:rPr>
          <w:rFonts w:ascii="Times New Roman" w:hAnsi="Times New Roman"/>
          <w:sz w:val="24"/>
        </w:rPr>
        <w:t>施工扬尘的另一种重要产生方式是建筑材料的露天堆放和搅拌作业，这类扬尘的主要特点是受作业时风速大小的影响显著。因此，禁止在大风天气时进行此类作业以及减少建筑材料的露天堆放是抑制这类扬尘的一种很有效的手段。</w:t>
      </w:r>
    </w:p>
    <w:p w14:paraId="651466D2" w14:textId="77777777" w:rsidR="00544649" w:rsidRDefault="00000000">
      <w:pPr>
        <w:pStyle w:val="ab"/>
        <w:adjustRightInd w:val="0"/>
        <w:snapToGrid w:val="0"/>
        <w:spacing w:after="0" w:line="360" w:lineRule="auto"/>
        <w:ind w:firstLineChars="200" w:firstLine="480"/>
        <w:rPr>
          <w:rFonts w:ascii="Times New Roman" w:hAnsi="Times New Roman"/>
          <w:sz w:val="24"/>
        </w:rPr>
      </w:pPr>
      <w:r>
        <w:rPr>
          <w:rFonts w:ascii="Times New Roman" w:hAnsi="Times New Roman"/>
          <w:sz w:val="24"/>
        </w:rPr>
        <w:t>因此，项目施工时将采取封闭施工现场、采用密目安全网、定期对地面洒水、对撒落在路面的渣土及时清除、施工现场主要运输道路尽量采用硬化路面、自卸车、垃圾运输车等运输车辆不允许超载，出场前一律清洗轮胎，用毡布覆盖，并且在施工区出口设置防尘飞扬垫等一系列措施，大大减少了施工扬尘对环境空气的影响。</w:t>
      </w:r>
    </w:p>
    <w:p w14:paraId="5AB975EE" w14:textId="77777777" w:rsidR="00544649" w:rsidRDefault="00000000">
      <w:pPr>
        <w:pStyle w:val="ab"/>
        <w:adjustRightInd w:val="0"/>
        <w:snapToGrid w:val="0"/>
        <w:spacing w:after="0" w:line="360" w:lineRule="auto"/>
        <w:ind w:firstLineChars="200" w:firstLine="480"/>
        <w:rPr>
          <w:rFonts w:ascii="Times New Roman" w:hAnsi="Times New Roman"/>
          <w:sz w:val="24"/>
        </w:rPr>
      </w:pPr>
      <w:r>
        <w:rPr>
          <w:rFonts w:ascii="Times New Roman" w:hAnsi="Times New Roman"/>
          <w:sz w:val="24"/>
        </w:rPr>
        <w:t>通过资料查询及类比分析项目施工场地在采取防尘措施前后影响范围具体见表</w:t>
      </w:r>
      <w:r>
        <w:rPr>
          <w:rFonts w:ascii="Times New Roman" w:hAnsi="Times New Roman"/>
          <w:sz w:val="24"/>
        </w:rPr>
        <w:t>6-3</w:t>
      </w:r>
      <w:r>
        <w:rPr>
          <w:rFonts w:ascii="Times New Roman" w:hAnsi="Times New Roman"/>
          <w:sz w:val="24"/>
        </w:rPr>
        <w:t>。</w:t>
      </w:r>
    </w:p>
    <w:p w14:paraId="17EE1E07" w14:textId="77777777" w:rsidR="00544649" w:rsidRDefault="00000000">
      <w:pPr>
        <w:numPr>
          <w:ilvl w:val="0"/>
          <w:numId w:val="27"/>
        </w:numPr>
        <w:adjustRightInd w:val="0"/>
        <w:snapToGrid w:val="0"/>
        <w:spacing w:beforeLines="20" w:before="62" w:afterLines="20" w:after="62" w:line="240" w:lineRule="auto"/>
        <w:ind w:firstLineChars="0" w:firstLine="422"/>
        <w:jc w:val="center"/>
        <w:rPr>
          <w:rFonts w:cs="Times New Roman"/>
          <w:b/>
          <w:sz w:val="21"/>
          <w:szCs w:val="21"/>
        </w:rPr>
      </w:pPr>
      <w:r>
        <w:rPr>
          <w:rFonts w:cs="Times New Roman"/>
          <w:b/>
          <w:sz w:val="21"/>
          <w:szCs w:val="21"/>
        </w:rPr>
        <w:t>施工现场扬尘治理前后</w:t>
      </w:r>
      <w:r>
        <w:rPr>
          <w:rFonts w:cs="Times New Roman"/>
          <w:b/>
          <w:sz w:val="21"/>
          <w:szCs w:val="21"/>
        </w:rPr>
        <w:t>TSP</w:t>
      </w:r>
      <w:r>
        <w:rPr>
          <w:rFonts w:cs="Times New Roman"/>
          <w:b/>
          <w:sz w:val="21"/>
          <w:szCs w:val="21"/>
        </w:rPr>
        <w:t>浓度（单位：</w:t>
      </w:r>
      <w:r>
        <w:rPr>
          <w:rFonts w:cs="Times New Roman"/>
          <w:b/>
          <w:sz w:val="21"/>
          <w:szCs w:val="21"/>
        </w:rPr>
        <w:t>mg/m</w:t>
      </w:r>
      <w:r>
        <w:rPr>
          <w:rFonts w:cs="Times New Roman"/>
          <w:b/>
          <w:sz w:val="21"/>
          <w:szCs w:val="21"/>
          <w:vertAlign w:val="superscript"/>
        </w:rPr>
        <w:t>3</w:t>
      </w:r>
      <w:r>
        <w:rPr>
          <w:rFonts w:cs="Times New Roman"/>
          <w:b/>
          <w:sz w:val="21"/>
          <w:szCs w:val="21"/>
        </w:rPr>
        <w:t>）</w:t>
      </w:r>
    </w:p>
    <w:tbl>
      <w:tblPr>
        <w:tblW w:w="881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80"/>
        <w:gridCol w:w="1468"/>
        <w:gridCol w:w="1284"/>
        <w:gridCol w:w="559"/>
        <w:gridCol w:w="615"/>
        <w:gridCol w:w="562"/>
        <w:gridCol w:w="749"/>
        <w:gridCol w:w="587"/>
        <w:gridCol w:w="677"/>
        <w:gridCol w:w="729"/>
      </w:tblGrid>
      <w:tr w:rsidR="00544649" w14:paraId="4BC9683B" w14:textId="77777777">
        <w:trPr>
          <w:cantSplit/>
          <w:trHeight w:val="160"/>
          <w:jc w:val="center"/>
        </w:trPr>
        <w:tc>
          <w:tcPr>
            <w:tcW w:w="1580" w:type="dxa"/>
            <w:vMerge w:val="restart"/>
            <w:vAlign w:val="center"/>
          </w:tcPr>
          <w:p w14:paraId="2502C1F8" w14:textId="77777777" w:rsidR="00544649" w:rsidRDefault="00000000">
            <w:pPr>
              <w:pStyle w:val="ab"/>
              <w:adjustRightInd w:val="0"/>
              <w:snapToGrid w:val="0"/>
              <w:spacing w:after="0"/>
              <w:jc w:val="center"/>
              <w:rPr>
                <w:rFonts w:ascii="Times New Roman" w:hAnsi="Times New Roman"/>
                <w:b/>
                <w:bCs/>
                <w:sz w:val="21"/>
                <w:szCs w:val="21"/>
              </w:rPr>
            </w:pPr>
            <w:proofErr w:type="gramStart"/>
            <w:r>
              <w:rPr>
                <w:rFonts w:ascii="Times New Roman" w:hAnsi="Times New Roman"/>
                <w:b/>
                <w:bCs/>
                <w:sz w:val="21"/>
                <w:szCs w:val="21"/>
              </w:rPr>
              <w:t>产尘位置</w:t>
            </w:r>
            <w:proofErr w:type="gramEnd"/>
          </w:p>
        </w:tc>
        <w:tc>
          <w:tcPr>
            <w:tcW w:w="1468" w:type="dxa"/>
            <w:vMerge w:val="restart"/>
            <w:vAlign w:val="center"/>
          </w:tcPr>
          <w:p w14:paraId="75D80F3F" w14:textId="77777777" w:rsidR="00544649" w:rsidRDefault="00000000">
            <w:pPr>
              <w:pStyle w:val="ab"/>
              <w:adjustRightInd w:val="0"/>
              <w:snapToGrid w:val="0"/>
              <w:spacing w:after="0"/>
              <w:jc w:val="center"/>
              <w:rPr>
                <w:rFonts w:ascii="Times New Roman" w:hAnsi="Times New Roman"/>
                <w:b/>
                <w:bCs/>
                <w:sz w:val="21"/>
                <w:szCs w:val="21"/>
              </w:rPr>
            </w:pPr>
            <w:proofErr w:type="gramStart"/>
            <w:r>
              <w:rPr>
                <w:rFonts w:ascii="Times New Roman" w:hAnsi="Times New Roman"/>
                <w:b/>
                <w:bCs/>
                <w:sz w:val="21"/>
                <w:szCs w:val="21"/>
              </w:rPr>
              <w:t>产尘因素</w:t>
            </w:r>
            <w:proofErr w:type="gramEnd"/>
          </w:p>
        </w:tc>
        <w:tc>
          <w:tcPr>
            <w:tcW w:w="1284" w:type="dxa"/>
            <w:vMerge w:val="restart"/>
            <w:vAlign w:val="center"/>
          </w:tcPr>
          <w:p w14:paraId="7CCDE103" w14:textId="77777777" w:rsidR="00544649" w:rsidRDefault="00000000">
            <w:pPr>
              <w:pStyle w:val="ab"/>
              <w:adjustRightInd w:val="0"/>
              <w:snapToGrid w:val="0"/>
              <w:spacing w:after="0"/>
              <w:jc w:val="center"/>
              <w:rPr>
                <w:rFonts w:ascii="Times New Roman" w:hAnsi="Times New Roman"/>
                <w:b/>
                <w:bCs/>
                <w:sz w:val="21"/>
                <w:szCs w:val="21"/>
              </w:rPr>
            </w:pPr>
            <w:r>
              <w:rPr>
                <w:rFonts w:ascii="Times New Roman" w:hAnsi="Times New Roman"/>
                <w:b/>
                <w:bCs/>
                <w:sz w:val="21"/>
                <w:szCs w:val="21"/>
              </w:rPr>
              <w:t>治理前后</w:t>
            </w:r>
          </w:p>
        </w:tc>
        <w:tc>
          <w:tcPr>
            <w:tcW w:w="4478" w:type="dxa"/>
            <w:gridSpan w:val="7"/>
            <w:vAlign w:val="center"/>
          </w:tcPr>
          <w:p w14:paraId="013E3D7C" w14:textId="77777777" w:rsidR="00544649" w:rsidRDefault="00000000">
            <w:pPr>
              <w:pStyle w:val="ab"/>
              <w:adjustRightInd w:val="0"/>
              <w:snapToGrid w:val="0"/>
              <w:spacing w:after="0"/>
              <w:jc w:val="center"/>
              <w:rPr>
                <w:rFonts w:ascii="Times New Roman" w:hAnsi="Times New Roman"/>
                <w:b/>
                <w:bCs/>
                <w:sz w:val="21"/>
                <w:szCs w:val="21"/>
              </w:rPr>
            </w:pPr>
            <w:r>
              <w:rPr>
                <w:rFonts w:ascii="Times New Roman" w:hAnsi="Times New Roman"/>
                <w:b/>
                <w:bCs/>
                <w:sz w:val="21"/>
                <w:szCs w:val="21"/>
              </w:rPr>
              <w:t>距施工场界距离（</w:t>
            </w:r>
            <w:r>
              <w:rPr>
                <w:rFonts w:ascii="Times New Roman" w:hAnsi="Times New Roman"/>
                <w:b/>
                <w:bCs/>
                <w:sz w:val="21"/>
                <w:szCs w:val="21"/>
              </w:rPr>
              <w:t>m</w:t>
            </w:r>
            <w:r>
              <w:rPr>
                <w:rFonts w:ascii="Times New Roman" w:hAnsi="Times New Roman"/>
                <w:b/>
                <w:bCs/>
                <w:sz w:val="21"/>
                <w:szCs w:val="21"/>
              </w:rPr>
              <w:t>）</w:t>
            </w:r>
          </w:p>
        </w:tc>
      </w:tr>
      <w:tr w:rsidR="00544649" w14:paraId="5C480C31" w14:textId="77777777">
        <w:trPr>
          <w:cantSplit/>
          <w:trHeight w:val="318"/>
          <w:jc w:val="center"/>
        </w:trPr>
        <w:tc>
          <w:tcPr>
            <w:tcW w:w="1580" w:type="dxa"/>
            <w:vMerge/>
            <w:vAlign w:val="center"/>
          </w:tcPr>
          <w:p w14:paraId="08B08365" w14:textId="77777777" w:rsidR="00544649" w:rsidRDefault="00544649">
            <w:pPr>
              <w:pStyle w:val="ab"/>
              <w:adjustRightInd w:val="0"/>
              <w:snapToGrid w:val="0"/>
              <w:spacing w:after="0"/>
              <w:jc w:val="center"/>
              <w:rPr>
                <w:rFonts w:ascii="Times New Roman" w:hAnsi="Times New Roman"/>
                <w:b/>
                <w:bCs/>
                <w:sz w:val="21"/>
                <w:szCs w:val="21"/>
              </w:rPr>
            </w:pPr>
          </w:p>
        </w:tc>
        <w:tc>
          <w:tcPr>
            <w:tcW w:w="1468" w:type="dxa"/>
            <w:vMerge/>
            <w:vAlign w:val="center"/>
          </w:tcPr>
          <w:p w14:paraId="76AD5E1B" w14:textId="77777777" w:rsidR="00544649" w:rsidRDefault="00544649">
            <w:pPr>
              <w:pStyle w:val="ab"/>
              <w:adjustRightInd w:val="0"/>
              <w:snapToGrid w:val="0"/>
              <w:spacing w:after="0"/>
              <w:jc w:val="center"/>
              <w:rPr>
                <w:rFonts w:ascii="Times New Roman" w:hAnsi="Times New Roman"/>
                <w:b/>
                <w:bCs/>
                <w:sz w:val="21"/>
                <w:szCs w:val="21"/>
              </w:rPr>
            </w:pPr>
          </w:p>
        </w:tc>
        <w:tc>
          <w:tcPr>
            <w:tcW w:w="1284" w:type="dxa"/>
            <w:vMerge/>
            <w:vAlign w:val="center"/>
          </w:tcPr>
          <w:p w14:paraId="74001649" w14:textId="77777777" w:rsidR="00544649" w:rsidRDefault="00544649">
            <w:pPr>
              <w:pStyle w:val="ab"/>
              <w:adjustRightInd w:val="0"/>
              <w:snapToGrid w:val="0"/>
              <w:spacing w:after="0"/>
              <w:jc w:val="center"/>
              <w:rPr>
                <w:rFonts w:ascii="Times New Roman" w:hAnsi="Times New Roman"/>
                <w:b/>
                <w:bCs/>
                <w:sz w:val="21"/>
                <w:szCs w:val="21"/>
              </w:rPr>
            </w:pPr>
          </w:p>
        </w:tc>
        <w:tc>
          <w:tcPr>
            <w:tcW w:w="559" w:type="dxa"/>
            <w:vAlign w:val="center"/>
          </w:tcPr>
          <w:p w14:paraId="4263DEB0" w14:textId="77777777" w:rsidR="00544649" w:rsidRDefault="00000000">
            <w:pPr>
              <w:pStyle w:val="ab"/>
              <w:adjustRightInd w:val="0"/>
              <w:snapToGrid w:val="0"/>
              <w:spacing w:after="0"/>
              <w:jc w:val="center"/>
              <w:rPr>
                <w:rFonts w:ascii="Times New Roman" w:hAnsi="Times New Roman"/>
                <w:b/>
                <w:bCs/>
                <w:sz w:val="21"/>
                <w:szCs w:val="21"/>
              </w:rPr>
            </w:pPr>
            <w:r>
              <w:rPr>
                <w:rFonts w:ascii="Times New Roman" w:hAnsi="Times New Roman"/>
                <w:b/>
                <w:bCs/>
                <w:sz w:val="21"/>
                <w:szCs w:val="21"/>
              </w:rPr>
              <w:t>10</w:t>
            </w:r>
          </w:p>
        </w:tc>
        <w:tc>
          <w:tcPr>
            <w:tcW w:w="615" w:type="dxa"/>
            <w:vAlign w:val="center"/>
          </w:tcPr>
          <w:p w14:paraId="0C62DCA2" w14:textId="77777777" w:rsidR="00544649" w:rsidRDefault="00000000">
            <w:pPr>
              <w:pStyle w:val="ab"/>
              <w:adjustRightInd w:val="0"/>
              <w:snapToGrid w:val="0"/>
              <w:spacing w:after="0"/>
              <w:jc w:val="center"/>
              <w:rPr>
                <w:rFonts w:ascii="Times New Roman" w:hAnsi="Times New Roman"/>
                <w:b/>
                <w:bCs/>
                <w:sz w:val="21"/>
                <w:szCs w:val="21"/>
              </w:rPr>
            </w:pPr>
            <w:r>
              <w:rPr>
                <w:rFonts w:ascii="Times New Roman" w:hAnsi="Times New Roman"/>
                <w:b/>
                <w:bCs/>
                <w:sz w:val="21"/>
                <w:szCs w:val="21"/>
              </w:rPr>
              <w:t>30</w:t>
            </w:r>
          </w:p>
        </w:tc>
        <w:tc>
          <w:tcPr>
            <w:tcW w:w="562" w:type="dxa"/>
            <w:vAlign w:val="center"/>
          </w:tcPr>
          <w:p w14:paraId="47B6EC65" w14:textId="77777777" w:rsidR="00544649" w:rsidRDefault="00000000">
            <w:pPr>
              <w:pStyle w:val="ab"/>
              <w:adjustRightInd w:val="0"/>
              <w:snapToGrid w:val="0"/>
              <w:spacing w:after="0"/>
              <w:jc w:val="center"/>
              <w:rPr>
                <w:rFonts w:ascii="Times New Roman" w:hAnsi="Times New Roman"/>
                <w:b/>
                <w:bCs/>
                <w:sz w:val="21"/>
                <w:szCs w:val="21"/>
              </w:rPr>
            </w:pPr>
            <w:r>
              <w:rPr>
                <w:rFonts w:ascii="Times New Roman" w:hAnsi="Times New Roman"/>
                <w:b/>
                <w:bCs/>
                <w:sz w:val="21"/>
                <w:szCs w:val="21"/>
              </w:rPr>
              <w:t>50</w:t>
            </w:r>
          </w:p>
        </w:tc>
        <w:tc>
          <w:tcPr>
            <w:tcW w:w="749" w:type="dxa"/>
            <w:vAlign w:val="center"/>
          </w:tcPr>
          <w:p w14:paraId="4F97CBB6" w14:textId="77777777" w:rsidR="00544649" w:rsidRDefault="00000000">
            <w:pPr>
              <w:pStyle w:val="ab"/>
              <w:adjustRightInd w:val="0"/>
              <w:snapToGrid w:val="0"/>
              <w:spacing w:after="0"/>
              <w:jc w:val="center"/>
              <w:rPr>
                <w:rFonts w:ascii="Times New Roman" w:hAnsi="Times New Roman"/>
                <w:b/>
                <w:bCs/>
                <w:sz w:val="21"/>
                <w:szCs w:val="21"/>
              </w:rPr>
            </w:pPr>
            <w:r>
              <w:rPr>
                <w:rFonts w:ascii="Times New Roman" w:hAnsi="Times New Roman"/>
                <w:b/>
                <w:bCs/>
                <w:sz w:val="21"/>
                <w:szCs w:val="21"/>
              </w:rPr>
              <w:t>100</w:t>
            </w:r>
          </w:p>
        </w:tc>
        <w:tc>
          <w:tcPr>
            <w:tcW w:w="587" w:type="dxa"/>
            <w:vAlign w:val="center"/>
          </w:tcPr>
          <w:p w14:paraId="0D6EE9F9" w14:textId="77777777" w:rsidR="00544649" w:rsidRDefault="00000000">
            <w:pPr>
              <w:pStyle w:val="ab"/>
              <w:adjustRightInd w:val="0"/>
              <w:snapToGrid w:val="0"/>
              <w:spacing w:after="0"/>
              <w:jc w:val="center"/>
              <w:rPr>
                <w:rFonts w:ascii="Times New Roman" w:hAnsi="Times New Roman"/>
                <w:b/>
                <w:bCs/>
                <w:sz w:val="21"/>
                <w:szCs w:val="21"/>
              </w:rPr>
            </w:pPr>
            <w:r>
              <w:rPr>
                <w:rFonts w:ascii="Times New Roman" w:hAnsi="Times New Roman"/>
                <w:b/>
                <w:bCs/>
                <w:sz w:val="21"/>
                <w:szCs w:val="21"/>
              </w:rPr>
              <w:t>150</w:t>
            </w:r>
          </w:p>
        </w:tc>
        <w:tc>
          <w:tcPr>
            <w:tcW w:w="677" w:type="dxa"/>
            <w:vAlign w:val="center"/>
          </w:tcPr>
          <w:p w14:paraId="7312BBA9" w14:textId="77777777" w:rsidR="00544649" w:rsidRDefault="00000000">
            <w:pPr>
              <w:pStyle w:val="ab"/>
              <w:adjustRightInd w:val="0"/>
              <w:snapToGrid w:val="0"/>
              <w:spacing w:after="0"/>
              <w:jc w:val="center"/>
              <w:rPr>
                <w:rFonts w:ascii="Times New Roman" w:hAnsi="Times New Roman"/>
                <w:b/>
                <w:bCs/>
                <w:sz w:val="21"/>
                <w:szCs w:val="21"/>
              </w:rPr>
            </w:pPr>
            <w:r>
              <w:rPr>
                <w:rFonts w:ascii="Times New Roman" w:hAnsi="Times New Roman"/>
                <w:b/>
                <w:bCs/>
                <w:sz w:val="21"/>
                <w:szCs w:val="21"/>
              </w:rPr>
              <w:t>200</w:t>
            </w:r>
          </w:p>
        </w:tc>
        <w:tc>
          <w:tcPr>
            <w:tcW w:w="729" w:type="dxa"/>
            <w:vAlign w:val="center"/>
          </w:tcPr>
          <w:p w14:paraId="30B64A2A" w14:textId="77777777" w:rsidR="00544649" w:rsidRDefault="00000000">
            <w:pPr>
              <w:pStyle w:val="ab"/>
              <w:adjustRightInd w:val="0"/>
              <w:snapToGrid w:val="0"/>
              <w:spacing w:after="0"/>
              <w:jc w:val="center"/>
              <w:rPr>
                <w:rFonts w:ascii="Times New Roman" w:hAnsi="Times New Roman"/>
                <w:b/>
                <w:bCs/>
                <w:sz w:val="21"/>
                <w:szCs w:val="21"/>
              </w:rPr>
            </w:pPr>
            <w:r>
              <w:rPr>
                <w:rFonts w:ascii="Times New Roman" w:hAnsi="Times New Roman"/>
                <w:b/>
                <w:bCs/>
                <w:sz w:val="21"/>
                <w:szCs w:val="21"/>
              </w:rPr>
              <w:t>400</w:t>
            </w:r>
          </w:p>
        </w:tc>
      </w:tr>
      <w:tr w:rsidR="00544649" w14:paraId="0D7340CA" w14:textId="77777777">
        <w:trPr>
          <w:cantSplit/>
          <w:trHeight w:val="582"/>
          <w:jc w:val="center"/>
        </w:trPr>
        <w:tc>
          <w:tcPr>
            <w:tcW w:w="1580" w:type="dxa"/>
            <w:vMerge w:val="restart"/>
            <w:vAlign w:val="center"/>
          </w:tcPr>
          <w:p w14:paraId="530892F5"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运输沿线料场、弃土堆场、开挖现场</w:t>
            </w:r>
          </w:p>
        </w:tc>
        <w:tc>
          <w:tcPr>
            <w:tcW w:w="1468" w:type="dxa"/>
            <w:vMerge w:val="restart"/>
            <w:vAlign w:val="center"/>
          </w:tcPr>
          <w:p w14:paraId="0AFAB512"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开挖、拌和、建材、弃土运输装卸</w:t>
            </w:r>
          </w:p>
        </w:tc>
        <w:tc>
          <w:tcPr>
            <w:tcW w:w="1284" w:type="dxa"/>
            <w:vAlign w:val="center"/>
          </w:tcPr>
          <w:p w14:paraId="4F0134E0"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治理前</w:t>
            </w:r>
          </w:p>
        </w:tc>
        <w:tc>
          <w:tcPr>
            <w:tcW w:w="559" w:type="dxa"/>
            <w:vAlign w:val="center"/>
          </w:tcPr>
          <w:p w14:paraId="7C565E32"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w:t>
            </w:r>
          </w:p>
        </w:tc>
        <w:tc>
          <w:tcPr>
            <w:tcW w:w="615" w:type="dxa"/>
            <w:vAlign w:val="center"/>
          </w:tcPr>
          <w:p w14:paraId="1868A8CA"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w:t>
            </w:r>
          </w:p>
        </w:tc>
        <w:tc>
          <w:tcPr>
            <w:tcW w:w="562" w:type="dxa"/>
            <w:vAlign w:val="center"/>
          </w:tcPr>
          <w:p w14:paraId="02201458"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8.0</w:t>
            </w:r>
          </w:p>
        </w:tc>
        <w:tc>
          <w:tcPr>
            <w:tcW w:w="749" w:type="dxa"/>
            <w:vAlign w:val="center"/>
          </w:tcPr>
          <w:p w14:paraId="23B927F9"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2.3</w:t>
            </w:r>
          </w:p>
        </w:tc>
        <w:tc>
          <w:tcPr>
            <w:tcW w:w="587" w:type="dxa"/>
            <w:vAlign w:val="center"/>
          </w:tcPr>
          <w:p w14:paraId="113F3130"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1.0</w:t>
            </w:r>
          </w:p>
        </w:tc>
        <w:tc>
          <w:tcPr>
            <w:tcW w:w="677" w:type="dxa"/>
            <w:vAlign w:val="center"/>
          </w:tcPr>
          <w:p w14:paraId="404EAB9F"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0.5</w:t>
            </w:r>
          </w:p>
        </w:tc>
        <w:tc>
          <w:tcPr>
            <w:tcW w:w="729" w:type="dxa"/>
            <w:vAlign w:val="center"/>
          </w:tcPr>
          <w:p w14:paraId="251ABA8C" w14:textId="77777777" w:rsidR="00544649" w:rsidRDefault="00000000">
            <w:pPr>
              <w:pStyle w:val="ab"/>
              <w:adjustRightInd w:val="0"/>
              <w:snapToGrid w:val="0"/>
              <w:spacing w:after="0"/>
              <w:jc w:val="center"/>
              <w:rPr>
                <w:rFonts w:ascii="Times New Roman" w:hAnsi="Times New Roman"/>
                <w:b/>
                <w:sz w:val="21"/>
                <w:szCs w:val="21"/>
              </w:rPr>
            </w:pPr>
            <w:r>
              <w:rPr>
                <w:rFonts w:ascii="Times New Roman" w:hAnsi="Times New Roman"/>
                <w:bCs/>
                <w:sz w:val="21"/>
                <w:szCs w:val="21"/>
              </w:rPr>
              <w:t>0.3</w:t>
            </w:r>
          </w:p>
        </w:tc>
      </w:tr>
      <w:tr w:rsidR="00544649" w14:paraId="7E7FE9D4" w14:textId="77777777">
        <w:trPr>
          <w:cantSplit/>
          <w:trHeight w:val="154"/>
          <w:jc w:val="center"/>
        </w:trPr>
        <w:tc>
          <w:tcPr>
            <w:tcW w:w="1580" w:type="dxa"/>
            <w:vMerge/>
            <w:vAlign w:val="center"/>
          </w:tcPr>
          <w:p w14:paraId="19893424" w14:textId="77777777" w:rsidR="00544649" w:rsidRDefault="00544649">
            <w:pPr>
              <w:pStyle w:val="ab"/>
              <w:adjustRightInd w:val="0"/>
              <w:snapToGrid w:val="0"/>
              <w:spacing w:after="0"/>
              <w:jc w:val="center"/>
              <w:rPr>
                <w:rFonts w:ascii="Times New Roman" w:hAnsi="Times New Roman"/>
                <w:sz w:val="21"/>
                <w:szCs w:val="21"/>
              </w:rPr>
            </w:pPr>
          </w:p>
        </w:tc>
        <w:tc>
          <w:tcPr>
            <w:tcW w:w="1468" w:type="dxa"/>
            <w:vMerge/>
            <w:vAlign w:val="center"/>
          </w:tcPr>
          <w:p w14:paraId="3FA209BE" w14:textId="77777777" w:rsidR="00544649" w:rsidRDefault="00544649">
            <w:pPr>
              <w:pStyle w:val="ab"/>
              <w:adjustRightInd w:val="0"/>
              <w:snapToGrid w:val="0"/>
              <w:spacing w:after="0"/>
              <w:jc w:val="center"/>
              <w:rPr>
                <w:rFonts w:ascii="Times New Roman" w:hAnsi="Times New Roman"/>
                <w:sz w:val="21"/>
                <w:szCs w:val="21"/>
              </w:rPr>
            </w:pPr>
          </w:p>
        </w:tc>
        <w:tc>
          <w:tcPr>
            <w:tcW w:w="1284" w:type="dxa"/>
            <w:vAlign w:val="center"/>
          </w:tcPr>
          <w:p w14:paraId="465C8E7F"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治理后</w:t>
            </w:r>
          </w:p>
        </w:tc>
        <w:tc>
          <w:tcPr>
            <w:tcW w:w="559" w:type="dxa"/>
            <w:vAlign w:val="center"/>
          </w:tcPr>
          <w:p w14:paraId="67D37B1F"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w:t>
            </w:r>
          </w:p>
        </w:tc>
        <w:tc>
          <w:tcPr>
            <w:tcW w:w="615" w:type="dxa"/>
            <w:vAlign w:val="center"/>
          </w:tcPr>
          <w:p w14:paraId="37273E10"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2.0</w:t>
            </w:r>
          </w:p>
        </w:tc>
        <w:tc>
          <w:tcPr>
            <w:tcW w:w="562" w:type="dxa"/>
            <w:vAlign w:val="center"/>
          </w:tcPr>
          <w:p w14:paraId="7784B191"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0.8</w:t>
            </w:r>
          </w:p>
        </w:tc>
        <w:tc>
          <w:tcPr>
            <w:tcW w:w="749" w:type="dxa"/>
            <w:vAlign w:val="center"/>
          </w:tcPr>
          <w:p w14:paraId="389D0C00"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0.5</w:t>
            </w:r>
          </w:p>
        </w:tc>
        <w:tc>
          <w:tcPr>
            <w:tcW w:w="587" w:type="dxa"/>
            <w:vAlign w:val="center"/>
          </w:tcPr>
          <w:p w14:paraId="7BE22D72"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bCs/>
                <w:sz w:val="21"/>
                <w:szCs w:val="21"/>
              </w:rPr>
              <w:t>0.3</w:t>
            </w:r>
          </w:p>
        </w:tc>
        <w:tc>
          <w:tcPr>
            <w:tcW w:w="677" w:type="dxa"/>
            <w:vAlign w:val="center"/>
          </w:tcPr>
          <w:p w14:paraId="2EF65943"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0.1</w:t>
            </w:r>
          </w:p>
        </w:tc>
        <w:tc>
          <w:tcPr>
            <w:tcW w:w="729" w:type="dxa"/>
            <w:vAlign w:val="center"/>
          </w:tcPr>
          <w:p w14:paraId="3BCB3A14" w14:textId="77777777" w:rsidR="00544649" w:rsidRDefault="00000000">
            <w:pPr>
              <w:pStyle w:val="ab"/>
              <w:adjustRightInd w:val="0"/>
              <w:snapToGrid w:val="0"/>
              <w:spacing w:after="0"/>
              <w:jc w:val="center"/>
              <w:rPr>
                <w:rFonts w:ascii="Times New Roman" w:hAnsi="Times New Roman"/>
                <w:sz w:val="21"/>
                <w:szCs w:val="21"/>
              </w:rPr>
            </w:pPr>
            <w:r>
              <w:rPr>
                <w:rFonts w:ascii="Times New Roman" w:hAnsi="Times New Roman"/>
                <w:sz w:val="21"/>
                <w:szCs w:val="21"/>
              </w:rPr>
              <w:t>-</w:t>
            </w:r>
          </w:p>
        </w:tc>
      </w:tr>
    </w:tbl>
    <w:p w14:paraId="0C3A5EAF" w14:textId="77777777" w:rsidR="00544649" w:rsidRDefault="00000000">
      <w:pPr>
        <w:pStyle w:val="ab"/>
        <w:adjustRightInd w:val="0"/>
        <w:snapToGrid w:val="0"/>
        <w:spacing w:beforeLines="50" w:before="156" w:after="0" w:line="360" w:lineRule="auto"/>
        <w:ind w:firstLineChars="200" w:firstLine="480"/>
        <w:rPr>
          <w:rFonts w:ascii="Times New Roman" w:hAnsi="Times New Roman"/>
          <w:sz w:val="24"/>
          <w:szCs w:val="24"/>
        </w:rPr>
      </w:pPr>
      <w:r>
        <w:rPr>
          <w:rFonts w:ascii="Times New Roman" w:hAnsi="Times New Roman"/>
          <w:sz w:val="24"/>
          <w:szCs w:val="24"/>
        </w:rPr>
        <w:t>由表</w:t>
      </w:r>
      <w:r>
        <w:rPr>
          <w:rFonts w:ascii="Times New Roman" w:hAnsi="Times New Roman"/>
          <w:sz w:val="24"/>
          <w:szCs w:val="24"/>
        </w:rPr>
        <w:t>6-3</w:t>
      </w:r>
      <w:r>
        <w:rPr>
          <w:rFonts w:ascii="Times New Roman" w:hAnsi="Times New Roman"/>
          <w:sz w:val="24"/>
          <w:szCs w:val="24"/>
        </w:rPr>
        <w:t>可知，项目在未采取防尘措施时，施工现场影响范围在</w:t>
      </w:r>
      <w:r>
        <w:rPr>
          <w:rFonts w:ascii="Times New Roman" w:hAnsi="Times New Roman"/>
          <w:sz w:val="24"/>
          <w:szCs w:val="24"/>
        </w:rPr>
        <w:t>400</w:t>
      </w:r>
      <w:r>
        <w:rPr>
          <w:rFonts w:ascii="Times New Roman" w:hAnsi="Times New Roman"/>
          <w:sz w:val="24"/>
          <w:szCs w:val="24"/>
        </w:rPr>
        <w:t>米范围。采取相应的防尘措施后，扬尘影响范围在</w:t>
      </w:r>
      <w:r>
        <w:rPr>
          <w:rFonts w:ascii="Times New Roman" w:hAnsi="Times New Roman"/>
          <w:sz w:val="24"/>
          <w:szCs w:val="24"/>
        </w:rPr>
        <w:t>150m</w:t>
      </w:r>
      <w:r>
        <w:rPr>
          <w:rFonts w:ascii="Times New Roman" w:hAnsi="Times New Roman"/>
          <w:sz w:val="24"/>
          <w:szCs w:val="24"/>
        </w:rPr>
        <w:t>范围内，防尘措施明显，能够有效的减轻施工扬尘对周围环境空气质量的影响。</w:t>
      </w:r>
    </w:p>
    <w:p w14:paraId="364F0C02" w14:textId="77777777" w:rsidR="00544649" w:rsidRDefault="00000000">
      <w:pPr>
        <w:pStyle w:val="ab"/>
        <w:adjustRightInd w:val="0"/>
        <w:snapToGrid w:val="0"/>
        <w:spacing w:after="0" w:line="360" w:lineRule="auto"/>
        <w:ind w:firstLineChars="200" w:firstLine="482"/>
        <w:rPr>
          <w:rFonts w:ascii="Times New Roman" w:hAnsi="Times New Roman"/>
          <w:sz w:val="24"/>
          <w:szCs w:val="24"/>
        </w:rPr>
      </w:pPr>
      <w:r>
        <w:rPr>
          <w:b/>
          <w:bCs/>
          <w:kern w:val="21"/>
          <w:sz w:val="24"/>
          <w:szCs w:val="24"/>
        </w:rPr>
        <w:t>治理措施及可行性：</w:t>
      </w:r>
      <w:r>
        <w:rPr>
          <w:rFonts w:ascii="Times New Roman" w:hAnsi="Times New Roman"/>
          <w:sz w:val="24"/>
          <w:szCs w:val="24"/>
        </w:rPr>
        <w:t>根据现场踏勘，目前项目</w:t>
      </w:r>
      <w:r>
        <w:rPr>
          <w:rFonts w:ascii="Times New Roman" w:hAnsi="Times New Roman" w:hint="eastAsia"/>
          <w:sz w:val="24"/>
          <w:szCs w:val="24"/>
        </w:rPr>
        <w:t>场界范围西</w:t>
      </w:r>
      <w:r>
        <w:rPr>
          <w:rFonts w:ascii="Times New Roman" w:hAnsi="Times New Roman"/>
          <w:sz w:val="24"/>
          <w:szCs w:val="24"/>
        </w:rPr>
        <w:t>面</w:t>
      </w:r>
      <w:r>
        <w:rPr>
          <w:rFonts w:ascii="Times New Roman" w:hAnsi="Times New Roman" w:hint="eastAsia"/>
          <w:sz w:val="24"/>
          <w:szCs w:val="24"/>
        </w:rPr>
        <w:t>区域</w:t>
      </w:r>
      <w:r>
        <w:rPr>
          <w:rFonts w:ascii="Times New Roman" w:hAnsi="Times New Roman"/>
          <w:sz w:val="24"/>
          <w:szCs w:val="24"/>
        </w:rPr>
        <w:t>存在一定住户，为切实做到防尘措施，</w:t>
      </w:r>
      <w:proofErr w:type="gramStart"/>
      <w:r>
        <w:rPr>
          <w:rFonts w:ascii="Times New Roman" w:hAnsi="Times New Roman"/>
          <w:sz w:val="24"/>
          <w:szCs w:val="24"/>
        </w:rPr>
        <w:t>本环评要求</w:t>
      </w:r>
      <w:proofErr w:type="gramEnd"/>
      <w:r>
        <w:rPr>
          <w:rFonts w:ascii="Times New Roman" w:hAnsi="Times New Roman"/>
          <w:sz w:val="24"/>
          <w:szCs w:val="24"/>
        </w:rPr>
        <w:t>项目施工方严格按照本文工程分析中提出的控制措施施工，在施工建设中做到规范管理，文明施工，确保建设工地不制尘。严格遵守施工要求</w:t>
      </w:r>
      <w:r>
        <w:rPr>
          <w:rFonts w:ascii="Times New Roman" w:hAnsi="Times New Roman" w:hint="eastAsia"/>
          <w:sz w:val="24"/>
          <w:szCs w:val="24"/>
        </w:rPr>
        <w:t>“</w:t>
      </w:r>
      <w:r>
        <w:rPr>
          <w:rFonts w:ascii="Times New Roman" w:hAnsi="Times New Roman"/>
          <w:sz w:val="24"/>
          <w:szCs w:val="24"/>
        </w:rPr>
        <w:t>六个百分之百</w:t>
      </w:r>
      <w:r>
        <w:rPr>
          <w:rFonts w:ascii="Times New Roman" w:hAnsi="Times New Roman" w:hint="eastAsia"/>
          <w:sz w:val="24"/>
          <w:szCs w:val="24"/>
        </w:rPr>
        <w:t>”</w:t>
      </w:r>
      <w:r>
        <w:rPr>
          <w:rFonts w:ascii="Times New Roman" w:hAnsi="Times New Roman"/>
          <w:sz w:val="24"/>
          <w:szCs w:val="24"/>
        </w:rPr>
        <w:t>，即：工地周边围挡、物料堆放覆盖、土方开挖湿法作业、路面硬化、出入车辆清洗、渣土车辆密闭。同时增加</w:t>
      </w:r>
      <w:proofErr w:type="gramStart"/>
      <w:r>
        <w:rPr>
          <w:rFonts w:ascii="Times New Roman" w:hAnsi="Times New Roman"/>
          <w:sz w:val="24"/>
          <w:szCs w:val="24"/>
        </w:rPr>
        <w:t>洒水抑尘的</w:t>
      </w:r>
      <w:proofErr w:type="gramEnd"/>
      <w:r>
        <w:rPr>
          <w:rFonts w:ascii="Times New Roman" w:hAnsi="Times New Roman"/>
          <w:sz w:val="24"/>
          <w:szCs w:val="24"/>
        </w:rPr>
        <w:t>频次，大风天气禁止开挖作业。并在围挡上安装喷水雾降尘装置，在施工时打开该装置进行降尘。</w:t>
      </w:r>
    </w:p>
    <w:p w14:paraId="118C778E" w14:textId="77777777" w:rsidR="00544649" w:rsidRDefault="00000000">
      <w:pPr>
        <w:pStyle w:val="ab"/>
        <w:adjustRightInd w:val="0"/>
        <w:snapToGrid w:val="0"/>
        <w:spacing w:after="0" w:line="360" w:lineRule="auto"/>
        <w:ind w:firstLineChars="200" w:firstLine="480"/>
        <w:rPr>
          <w:rFonts w:ascii="Times New Roman" w:hAnsi="Times New Roman"/>
          <w:sz w:val="24"/>
        </w:rPr>
      </w:pPr>
      <w:r>
        <w:rPr>
          <w:rFonts w:ascii="Times New Roman" w:hAnsi="Times New Roman"/>
          <w:sz w:val="24"/>
        </w:rPr>
        <w:t>综上，只要严格按照上面提出的扬尘控制措施，则项目施工期产生的扬尘对环境空气质量影响较小。同时施工期是暂时的，施工扬尘将随施工期的结束而停止产生，</w:t>
      </w:r>
      <w:r>
        <w:rPr>
          <w:rFonts w:ascii="Times New Roman" w:hAnsi="Times New Roman"/>
          <w:sz w:val="24"/>
        </w:rPr>
        <w:lastRenderedPageBreak/>
        <w:t>评价建议优化施工方案，缩短施工时间，尽量减少扬尘对周边环境影响的时间。</w:t>
      </w:r>
    </w:p>
    <w:p w14:paraId="54D3395C" w14:textId="77777777" w:rsidR="00544649" w:rsidRDefault="00000000">
      <w:pPr>
        <w:adjustRightInd w:val="0"/>
        <w:snapToGrid w:val="0"/>
        <w:spacing w:after="0"/>
        <w:ind w:firstLine="480"/>
        <w:jc w:val="left"/>
        <w:rPr>
          <w:rFonts w:cs="Times New Roman"/>
        </w:rPr>
      </w:pPr>
      <w:r>
        <w:rPr>
          <w:rFonts w:cs="Times New Roman"/>
        </w:rPr>
        <w:t>根据项目所在区域大气环境质量调查结果可知，项目所在区域大气环境质量良好，因此，只要严格按照环</w:t>
      </w:r>
      <w:proofErr w:type="gramStart"/>
      <w:r>
        <w:rPr>
          <w:rFonts w:cs="Times New Roman"/>
        </w:rPr>
        <w:t>评提出</w:t>
      </w:r>
      <w:proofErr w:type="gramEnd"/>
      <w:r>
        <w:rPr>
          <w:rFonts w:cs="Times New Roman"/>
        </w:rPr>
        <w:t>的扬尘控制措施后对区域环境空气中</w:t>
      </w:r>
      <w:r>
        <w:rPr>
          <w:rFonts w:cs="Times New Roman"/>
        </w:rPr>
        <w:t>TSP</w:t>
      </w:r>
      <w:r>
        <w:rPr>
          <w:rFonts w:cs="Times New Roman"/>
        </w:rPr>
        <w:t>的污染贡献较小，项目施工不会对项目周围的环境造成明显不良影响。</w:t>
      </w:r>
    </w:p>
    <w:p w14:paraId="464C4FCB" w14:textId="77777777" w:rsidR="00544649" w:rsidRDefault="00000000">
      <w:pPr>
        <w:adjustRightInd w:val="0"/>
        <w:snapToGrid w:val="0"/>
        <w:spacing w:after="0"/>
        <w:ind w:firstLine="482"/>
        <w:rPr>
          <w:rFonts w:cs="Times New Roman"/>
          <w:b/>
        </w:rPr>
      </w:pPr>
      <w:r>
        <w:rPr>
          <w:rFonts w:cs="Times New Roman"/>
          <w:b/>
        </w:rPr>
        <w:t>2</w:t>
      </w:r>
      <w:r>
        <w:rPr>
          <w:rFonts w:cs="Times New Roman"/>
          <w:b/>
        </w:rPr>
        <w:t>、施工机械尾气</w:t>
      </w:r>
    </w:p>
    <w:p w14:paraId="789E029F" w14:textId="77777777" w:rsidR="00544649" w:rsidRDefault="00000000">
      <w:pPr>
        <w:adjustRightInd w:val="0"/>
        <w:snapToGrid w:val="0"/>
        <w:spacing w:after="0"/>
        <w:ind w:firstLine="480"/>
        <w:rPr>
          <w:rFonts w:cs="Times New Roman"/>
        </w:rPr>
      </w:pPr>
      <w:r>
        <w:rPr>
          <w:rFonts w:cs="Times New Roman"/>
        </w:rPr>
        <w:t>施工机械排放的尾气主要有</w:t>
      </w:r>
      <w:r>
        <w:rPr>
          <w:rFonts w:cs="Times New Roman"/>
        </w:rPr>
        <w:t>CO</w:t>
      </w:r>
      <w:r>
        <w:rPr>
          <w:rFonts w:cs="Times New Roman"/>
        </w:rPr>
        <w:t>、</w:t>
      </w:r>
      <w:r>
        <w:rPr>
          <w:rFonts w:cs="Times New Roman"/>
        </w:rPr>
        <w:t>NOx</w:t>
      </w:r>
      <w:r>
        <w:rPr>
          <w:rFonts w:cs="Times New Roman"/>
        </w:rPr>
        <w:t>、</w:t>
      </w:r>
      <w:r>
        <w:rPr>
          <w:rFonts w:cs="Times New Roman"/>
        </w:rPr>
        <w:t>THC</w:t>
      </w:r>
      <w:r>
        <w:rPr>
          <w:rFonts w:cs="Times New Roman"/>
        </w:rPr>
        <w:t>等大气污染物；其特点是排放量较小，且属间断性无组织排放。施工机械设备施工作业时对环境空气的影响范围主要局限于施工区内，预计工程施工作业时对局地区域环境空气影响范围仅限于下风向</w:t>
      </w:r>
      <w:r>
        <w:rPr>
          <w:rFonts w:cs="Times New Roman"/>
        </w:rPr>
        <w:t>20-30m</w:t>
      </w:r>
      <w:r>
        <w:rPr>
          <w:rFonts w:cs="Times New Roman"/>
        </w:rPr>
        <w:t>范围内，不过这种影响时间短，并随施工的完成而消失。</w:t>
      </w:r>
    </w:p>
    <w:p w14:paraId="60D792D5" w14:textId="77777777" w:rsidR="00544649" w:rsidRDefault="00000000">
      <w:pPr>
        <w:adjustRightInd w:val="0"/>
        <w:snapToGrid w:val="0"/>
        <w:spacing w:after="0"/>
        <w:ind w:firstLine="482"/>
        <w:rPr>
          <w:rFonts w:cs="Times New Roman"/>
          <w:kern w:val="21"/>
        </w:rPr>
      </w:pPr>
      <w:r>
        <w:rPr>
          <w:rFonts w:cs="Times New Roman"/>
          <w:b/>
          <w:bCs/>
          <w:kern w:val="21"/>
          <w:szCs w:val="21"/>
        </w:rPr>
        <w:t>治理措施及可行性：</w:t>
      </w:r>
      <w:r>
        <w:rPr>
          <w:rFonts w:cs="Times New Roman"/>
          <w:kern w:val="21"/>
          <w:szCs w:val="21"/>
        </w:rPr>
        <w:t>施工期间应选</w:t>
      </w:r>
      <w:proofErr w:type="gramStart"/>
      <w:r>
        <w:rPr>
          <w:rFonts w:cs="Times New Roman"/>
          <w:kern w:val="21"/>
          <w:szCs w:val="21"/>
        </w:rPr>
        <w:t>择符合</w:t>
      </w:r>
      <w:proofErr w:type="gramEnd"/>
      <w:r>
        <w:rPr>
          <w:rFonts w:cs="Times New Roman"/>
          <w:kern w:val="21"/>
          <w:szCs w:val="21"/>
        </w:rPr>
        <w:t>国家尾气排放标准的施工机械，强化机械设备的维护、保养，尽可能降低尾气</w:t>
      </w:r>
      <w:r>
        <w:rPr>
          <w:rFonts w:cs="Times New Roman"/>
          <w:kern w:val="21"/>
          <w:szCs w:val="24"/>
        </w:rPr>
        <w:t>排放</w:t>
      </w:r>
      <w:r>
        <w:rPr>
          <w:rFonts w:cs="Times New Roman"/>
          <w:kern w:val="21"/>
          <w:szCs w:val="21"/>
        </w:rPr>
        <w:t>，加强管理、合理施工，禁止机械设备超负荷运行。由</w:t>
      </w:r>
      <w:r>
        <w:rPr>
          <w:rFonts w:cs="Times New Roman"/>
          <w:kern w:val="21"/>
          <w:szCs w:val="24"/>
        </w:rPr>
        <w:t>于施工区场地开阔，空气流通性好，废气中的各种污染物能够很快扩散，因此其对环境的影响较小。</w:t>
      </w:r>
    </w:p>
    <w:p w14:paraId="4928E5FF" w14:textId="77777777" w:rsidR="00544649" w:rsidRDefault="00000000">
      <w:pPr>
        <w:adjustRightInd w:val="0"/>
        <w:snapToGrid w:val="0"/>
        <w:spacing w:after="0"/>
        <w:ind w:firstLine="482"/>
        <w:jc w:val="left"/>
        <w:rPr>
          <w:rFonts w:cs="Times New Roman"/>
          <w:b/>
        </w:rPr>
      </w:pPr>
      <w:r>
        <w:rPr>
          <w:rFonts w:cs="Times New Roman"/>
          <w:b/>
        </w:rPr>
        <w:t>3</w:t>
      </w:r>
      <w:r>
        <w:rPr>
          <w:rFonts w:cs="Times New Roman"/>
          <w:b/>
        </w:rPr>
        <w:t>、汽车尾气</w:t>
      </w:r>
    </w:p>
    <w:p w14:paraId="410C41B3" w14:textId="77777777" w:rsidR="00544649" w:rsidRDefault="00000000">
      <w:pPr>
        <w:adjustRightInd w:val="0"/>
        <w:snapToGrid w:val="0"/>
        <w:spacing w:after="0"/>
        <w:ind w:firstLine="480"/>
        <w:jc w:val="left"/>
        <w:rPr>
          <w:rFonts w:cs="Times New Roman"/>
        </w:rPr>
      </w:pPr>
      <w:r>
        <w:rPr>
          <w:rFonts w:cs="Times New Roman"/>
        </w:rPr>
        <w:t>施工期间，有运输车辆尾气排放，其特点是排放量小，属于间断性排放，项目施工场地扩散条件良好，这些废气可得到有效地稀释扩散，能够达标排放。</w:t>
      </w:r>
    </w:p>
    <w:p w14:paraId="0E41569C" w14:textId="77777777" w:rsidR="00544649" w:rsidRDefault="00000000">
      <w:pPr>
        <w:adjustRightInd w:val="0"/>
        <w:snapToGrid w:val="0"/>
        <w:spacing w:after="0"/>
        <w:ind w:firstLine="482"/>
        <w:rPr>
          <w:rFonts w:cs="Times New Roman"/>
        </w:rPr>
      </w:pPr>
      <w:r>
        <w:rPr>
          <w:rFonts w:cs="Times New Roman"/>
          <w:b/>
          <w:bCs/>
          <w:kern w:val="21"/>
          <w:szCs w:val="21"/>
        </w:rPr>
        <w:t>治理措施及可行性：</w:t>
      </w:r>
      <w:proofErr w:type="gramStart"/>
      <w:r>
        <w:rPr>
          <w:rFonts w:cs="Times New Roman"/>
        </w:rPr>
        <w:t>本环评要求</w:t>
      </w:r>
      <w:proofErr w:type="gramEnd"/>
      <w:r>
        <w:rPr>
          <w:rFonts w:cs="Times New Roman"/>
        </w:rPr>
        <w:t>建设方对运输车辆加强保养，选取优质燃料，禁止运输车辆超载行驶；并做好施工现场的交通组织，避免因施工造成的交通阻塞，减少运输车辆</w:t>
      </w:r>
      <w:proofErr w:type="gramStart"/>
      <w:r>
        <w:rPr>
          <w:rFonts w:cs="Times New Roman"/>
        </w:rPr>
        <w:t>怠速产生</w:t>
      </w:r>
      <w:proofErr w:type="gramEnd"/>
      <w:r>
        <w:rPr>
          <w:rFonts w:cs="Times New Roman"/>
        </w:rPr>
        <w:t>的废气排放，进一步降低其对外界环境的影响。</w:t>
      </w:r>
    </w:p>
    <w:p w14:paraId="7BA44555" w14:textId="77777777" w:rsidR="00544649" w:rsidRDefault="00000000">
      <w:pPr>
        <w:adjustRightInd w:val="0"/>
        <w:snapToGrid w:val="0"/>
        <w:spacing w:after="0"/>
        <w:ind w:firstLineChars="150" w:firstLine="361"/>
        <w:rPr>
          <w:rFonts w:cs="Times New Roman"/>
          <w:b/>
        </w:rPr>
      </w:pPr>
      <w:r>
        <w:rPr>
          <w:rFonts w:cs="Times New Roman"/>
          <w:b/>
        </w:rPr>
        <w:t>4</w:t>
      </w:r>
      <w:r>
        <w:rPr>
          <w:rFonts w:cs="Times New Roman"/>
          <w:b/>
        </w:rPr>
        <w:t>、装修废气</w:t>
      </w:r>
    </w:p>
    <w:p w14:paraId="6804C397" w14:textId="77777777" w:rsidR="00544649" w:rsidRDefault="00000000">
      <w:pPr>
        <w:pStyle w:val="aff2"/>
        <w:adjustRightInd w:val="0"/>
        <w:snapToGrid w:val="0"/>
        <w:spacing w:after="0"/>
        <w:rPr>
          <w:rFonts w:ascii="Times New Roman" w:hAnsi="Times New Roman" w:cs="Times New Roman"/>
          <w:kern w:val="21"/>
        </w:rPr>
      </w:pPr>
      <w:r>
        <w:rPr>
          <w:rFonts w:ascii="Times New Roman" w:hAnsi="Times New Roman" w:cs="Times New Roman" w:hint="eastAsia"/>
          <w:bCs/>
        </w:rPr>
        <w:t>装修废气主要为装修阶段使用的涂料等挥发的有机废气等气体以及装修施工产生的扬尘，该废气的排放属无组织排放，涂料挥发废气其主要污染因子为二甲苯和甲苯等，此外还有极少量的汽油、丁醇和丙醇等。在建筑装饰装修过程中，装修材料和涂料的选用应按照国家质检总局颁布的《室内装修材料</w:t>
      </w:r>
      <w:r>
        <w:rPr>
          <w:rFonts w:ascii="Times New Roman" w:hAnsi="Times New Roman" w:cs="Times New Roman" w:hint="eastAsia"/>
          <w:bCs/>
        </w:rPr>
        <w:t>10</w:t>
      </w:r>
      <w:r>
        <w:rPr>
          <w:rFonts w:ascii="Times New Roman" w:hAnsi="Times New Roman" w:cs="Times New Roman" w:hint="eastAsia"/>
          <w:bCs/>
        </w:rPr>
        <w:t>项有害物质限量》规定进行，使用污染相对较小的环保型涂料和装修材料，以减少材料中有害物质的散发量。在装修期间，应加强室内的通风换气，装修结束完成以后，也应每天进行通风换气一至二个月后才能使用。由于装修时采用的三合板和涂料等中含有的甲醛、甲苯、二甲苯等影响环境质量的有毒有害物质挥发时间长，所以入住也要注意室内空气的流畅。装修扬尘则采用室内洒水降尘予以控制，降低施工扬尘产生量。</w:t>
      </w:r>
    </w:p>
    <w:p w14:paraId="19D05F7C" w14:textId="77777777" w:rsidR="00544649" w:rsidRDefault="00000000">
      <w:pPr>
        <w:pStyle w:val="aff2"/>
        <w:adjustRightInd w:val="0"/>
        <w:snapToGrid w:val="0"/>
        <w:spacing w:after="0"/>
        <w:ind w:firstLine="482"/>
        <w:rPr>
          <w:kern w:val="21"/>
        </w:rPr>
      </w:pPr>
      <w:r>
        <w:rPr>
          <w:rFonts w:hint="eastAsia"/>
          <w:b/>
          <w:bCs/>
          <w:kern w:val="21"/>
        </w:rPr>
        <w:t>治理措施及可行性：</w:t>
      </w:r>
      <w:r>
        <w:rPr>
          <w:rFonts w:hint="eastAsia"/>
          <w:kern w:val="21"/>
        </w:rPr>
        <w:t>装修阶段整体工作周期短，本次评价要求建设单位选用环保型装修材料，加强室内通风换气、促进空气流通，降低对施工人员和周边环境的影响。</w:t>
      </w:r>
    </w:p>
    <w:p w14:paraId="69EBD38A" w14:textId="77777777" w:rsidR="00544649" w:rsidRDefault="00000000">
      <w:pPr>
        <w:adjustRightInd w:val="0"/>
        <w:snapToGrid w:val="0"/>
        <w:spacing w:after="0"/>
        <w:ind w:firstLine="482"/>
        <w:rPr>
          <w:rFonts w:cs="Times New Roman"/>
          <w:kern w:val="21"/>
        </w:rPr>
      </w:pPr>
      <w:r>
        <w:rPr>
          <w:b/>
          <w:bCs/>
          <w:kern w:val="21"/>
        </w:rPr>
        <w:lastRenderedPageBreak/>
        <w:t>总体而言，项目施工期会对施工场地周围的环境空气质量造成一定的影响，但这些影响随着施工期的结束而结束。因此，项目施工期不会造成项目所在地环境空气质量明显恶化。</w:t>
      </w:r>
    </w:p>
    <w:p w14:paraId="171F3784" w14:textId="77777777" w:rsidR="00544649" w:rsidRDefault="00000000">
      <w:pPr>
        <w:numPr>
          <w:ilvl w:val="2"/>
          <w:numId w:val="9"/>
        </w:numPr>
        <w:adjustRightInd w:val="0"/>
        <w:snapToGrid w:val="0"/>
        <w:spacing w:after="0"/>
        <w:ind w:firstLineChars="0"/>
        <w:outlineLvl w:val="2"/>
        <w:rPr>
          <w:rFonts w:cs="Times New Roman"/>
          <w:kern w:val="21"/>
        </w:rPr>
      </w:pPr>
      <w:bookmarkStart w:id="305" w:name="_Toc21144"/>
      <w:bookmarkStart w:id="306" w:name="_Toc195009881"/>
      <w:r>
        <w:rPr>
          <w:rFonts w:cs="Times New Roman"/>
          <w:b/>
          <w:bCs/>
          <w:kern w:val="21"/>
          <w:sz w:val="28"/>
          <w:szCs w:val="24"/>
        </w:rPr>
        <w:t>施工期水环境影响分析</w:t>
      </w:r>
      <w:bookmarkEnd w:id="305"/>
      <w:bookmarkEnd w:id="306"/>
    </w:p>
    <w:p w14:paraId="23A18963"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施工期废水主要为施工废水和施工人员的生活污水。</w:t>
      </w:r>
    </w:p>
    <w:p w14:paraId="07206AEB"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w:t>
      </w:r>
      <w:r>
        <w:rPr>
          <w:rFonts w:cs="Times New Roman" w:hint="eastAsia"/>
          <w:b/>
          <w:bCs/>
          <w:kern w:val="21"/>
          <w:szCs w:val="24"/>
        </w:rPr>
        <w:t>1</w:t>
      </w:r>
      <w:r>
        <w:rPr>
          <w:rFonts w:cs="Times New Roman" w:hint="eastAsia"/>
          <w:b/>
          <w:bCs/>
          <w:kern w:val="21"/>
          <w:szCs w:val="24"/>
        </w:rPr>
        <w:t>）施工废水</w:t>
      </w:r>
    </w:p>
    <w:p w14:paraId="01B26595"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施工过程中的生产废水主要来源于机械的冲刷、地及墙面的冲洗以及材料的洗刷等，悬浮物含量高，易于沉淀，经简易沉淀池处理后，循环使用，不外排，对周围环境影响较小。</w:t>
      </w:r>
    </w:p>
    <w:p w14:paraId="33EFBF0D"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w:t>
      </w:r>
      <w:r>
        <w:rPr>
          <w:rFonts w:cs="Times New Roman" w:hint="eastAsia"/>
          <w:b/>
          <w:bCs/>
          <w:kern w:val="21"/>
          <w:szCs w:val="24"/>
        </w:rPr>
        <w:t>2</w:t>
      </w:r>
      <w:r>
        <w:rPr>
          <w:rFonts w:cs="Times New Roman" w:hint="eastAsia"/>
          <w:b/>
          <w:bCs/>
          <w:kern w:val="21"/>
          <w:szCs w:val="24"/>
        </w:rPr>
        <w:t>）施工人员的生活污水</w:t>
      </w:r>
      <w:r>
        <w:rPr>
          <w:rFonts w:cs="Times New Roman" w:hint="eastAsia"/>
          <w:b/>
          <w:bCs/>
          <w:kern w:val="21"/>
          <w:szCs w:val="24"/>
        </w:rPr>
        <w:tab/>
      </w:r>
    </w:p>
    <w:p w14:paraId="0F8118DD" w14:textId="77777777" w:rsidR="00544649" w:rsidRDefault="00000000">
      <w:pPr>
        <w:adjustRightInd w:val="0"/>
        <w:snapToGrid w:val="0"/>
        <w:spacing w:after="0"/>
        <w:ind w:firstLine="480"/>
        <w:rPr>
          <w:rFonts w:cs="Times New Roman"/>
          <w:kern w:val="21"/>
          <w:szCs w:val="24"/>
        </w:rPr>
      </w:pPr>
      <w:r>
        <w:rPr>
          <w:rFonts w:cs="Times New Roman"/>
          <w:kern w:val="21"/>
        </w:rPr>
        <w:t>本项目施工期高峰时施工人数合计约</w:t>
      </w:r>
      <w:r>
        <w:rPr>
          <w:rFonts w:cs="Times New Roman" w:hint="eastAsia"/>
          <w:kern w:val="21"/>
        </w:rPr>
        <w:t>30</w:t>
      </w:r>
      <w:r>
        <w:rPr>
          <w:rFonts w:cs="Times New Roman"/>
          <w:kern w:val="21"/>
        </w:rPr>
        <w:t>人，施工人员生活主要依托当地</w:t>
      </w:r>
      <w:r>
        <w:rPr>
          <w:rFonts w:cs="Times New Roman" w:hint="eastAsia"/>
          <w:kern w:val="21"/>
        </w:rPr>
        <w:t>居民</w:t>
      </w:r>
      <w:r>
        <w:rPr>
          <w:rFonts w:cs="Times New Roman"/>
          <w:kern w:val="21"/>
        </w:rPr>
        <w:t>生活设施，不在场内食宿，工人生活用水主要为洗手、上厕所等杂用水等，员工用水量按</w:t>
      </w:r>
      <w:r>
        <w:rPr>
          <w:rFonts w:cs="Times New Roman"/>
          <w:kern w:val="21"/>
        </w:rPr>
        <w:t>50L/</w:t>
      </w:r>
      <w:r>
        <w:rPr>
          <w:rFonts w:cs="Times New Roman"/>
          <w:kern w:val="21"/>
        </w:rPr>
        <w:t>人</w:t>
      </w:r>
      <w:r>
        <w:rPr>
          <w:rFonts w:cs="Times New Roman"/>
          <w:kern w:val="21"/>
        </w:rPr>
        <w:t>·d</w:t>
      </w:r>
      <w:r>
        <w:rPr>
          <w:rFonts w:cs="Times New Roman"/>
          <w:kern w:val="21"/>
        </w:rPr>
        <w:t>计，用水量为</w:t>
      </w:r>
      <w:r>
        <w:rPr>
          <w:rFonts w:cs="Times New Roman" w:hint="eastAsia"/>
          <w:kern w:val="21"/>
        </w:rPr>
        <w:t>1.5</w:t>
      </w:r>
      <w:r>
        <w:rPr>
          <w:rFonts w:cs="Times New Roman"/>
          <w:kern w:val="21"/>
        </w:rPr>
        <w:t>m</w:t>
      </w:r>
      <w:r>
        <w:rPr>
          <w:rFonts w:cs="Times New Roman"/>
          <w:kern w:val="21"/>
          <w:vertAlign w:val="superscript"/>
        </w:rPr>
        <w:t>3</w:t>
      </w:r>
      <w:r>
        <w:rPr>
          <w:rFonts w:cs="Times New Roman"/>
          <w:kern w:val="21"/>
        </w:rPr>
        <w:t>/d</w:t>
      </w:r>
      <w:r>
        <w:rPr>
          <w:rFonts w:cs="Times New Roman"/>
          <w:kern w:val="21"/>
        </w:rPr>
        <w:t>，排污系数按</w:t>
      </w:r>
      <w:r>
        <w:rPr>
          <w:rFonts w:cs="Times New Roman"/>
          <w:kern w:val="21"/>
        </w:rPr>
        <w:t>0.85</w:t>
      </w:r>
      <w:r>
        <w:rPr>
          <w:rFonts w:cs="Times New Roman"/>
          <w:kern w:val="21"/>
        </w:rPr>
        <w:t>计，废水排水量为</w:t>
      </w:r>
      <w:r>
        <w:rPr>
          <w:rFonts w:cs="Times New Roman" w:hint="eastAsia"/>
          <w:kern w:val="21"/>
        </w:rPr>
        <w:t>1.275</w:t>
      </w:r>
      <w:r>
        <w:rPr>
          <w:rFonts w:cs="Times New Roman"/>
          <w:kern w:val="21"/>
        </w:rPr>
        <w:t>m</w:t>
      </w:r>
      <w:r>
        <w:rPr>
          <w:rFonts w:cs="Times New Roman"/>
          <w:kern w:val="21"/>
          <w:vertAlign w:val="superscript"/>
        </w:rPr>
        <w:t>3</w:t>
      </w:r>
      <w:r>
        <w:rPr>
          <w:rFonts w:cs="Times New Roman"/>
          <w:kern w:val="21"/>
        </w:rPr>
        <w:t>/d</w:t>
      </w:r>
      <w:r>
        <w:rPr>
          <w:rFonts w:cs="Times New Roman"/>
          <w:kern w:val="21"/>
        </w:rPr>
        <w:t>。</w:t>
      </w:r>
      <w:r>
        <w:rPr>
          <w:rFonts w:cs="Times New Roman" w:hint="eastAsia"/>
          <w:kern w:val="21"/>
          <w:szCs w:val="24"/>
        </w:rPr>
        <w:t>生活污水中主要污染物为</w:t>
      </w:r>
      <w:r>
        <w:rPr>
          <w:rFonts w:cs="Times New Roman" w:hint="eastAsia"/>
          <w:kern w:val="21"/>
          <w:szCs w:val="24"/>
        </w:rPr>
        <w:t>COD</w:t>
      </w:r>
      <w:r>
        <w:rPr>
          <w:rFonts w:cs="Times New Roman" w:hint="eastAsia"/>
          <w:kern w:val="21"/>
          <w:szCs w:val="24"/>
        </w:rPr>
        <w:t>、</w:t>
      </w:r>
      <w:r>
        <w:rPr>
          <w:rFonts w:cs="Times New Roman" w:hint="eastAsia"/>
          <w:kern w:val="21"/>
          <w:szCs w:val="24"/>
        </w:rPr>
        <w:t>BOD</w:t>
      </w:r>
      <w:r>
        <w:rPr>
          <w:rFonts w:cs="Times New Roman" w:hint="eastAsia"/>
          <w:kern w:val="21"/>
          <w:szCs w:val="24"/>
        </w:rPr>
        <w:t>、氨氮、</w:t>
      </w:r>
      <w:r>
        <w:rPr>
          <w:rFonts w:cs="Times New Roman" w:hint="eastAsia"/>
          <w:kern w:val="21"/>
          <w:szCs w:val="24"/>
        </w:rPr>
        <w:t>SS</w:t>
      </w:r>
      <w:r>
        <w:rPr>
          <w:rFonts w:cs="Times New Roman" w:hint="eastAsia"/>
          <w:kern w:val="21"/>
          <w:szCs w:val="24"/>
        </w:rPr>
        <w:t>，项目就近租用当地居民的民房进行临时办公，</w:t>
      </w:r>
      <w:r>
        <w:rPr>
          <w:rFonts w:cs="Times New Roman"/>
          <w:kern w:val="21"/>
        </w:rPr>
        <w:t>生活污水</w:t>
      </w:r>
      <w:r>
        <w:rPr>
          <w:rFonts w:cs="Times New Roman" w:hint="eastAsia"/>
          <w:kern w:val="21"/>
          <w:szCs w:val="24"/>
        </w:rPr>
        <w:t>经民房</w:t>
      </w:r>
      <w:r>
        <w:rPr>
          <w:rFonts w:cs="Times New Roman"/>
          <w:kern w:val="21"/>
        </w:rPr>
        <w:t>已建化粪池处理后用于周边</w:t>
      </w:r>
      <w:r>
        <w:rPr>
          <w:rFonts w:cs="Times New Roman" w:hint="eastAsia"/>
          <w:kern w:val="21"/>
        </w:rPr>
        <w:t>林地</w:t>
      </w:r>
      <w:r>
        <w:rPr>
          <w:rFonts w:cs="Times New Roman"/>
          <w:kern w:val="21"/>
        </w:rPr>
        <w:t>施肥</w:t>
      </w:r>
      <w:bookmarkStart w:id="307" w:name="_Toc6874"/>
      <w:r>
        <w:rPr>
          <w:rFonts w:cs="Times New Roman" w:hint="eastAsia"/>
          <w:kern w:val="21"/>
          <w:szCs w:val="24"/>
        </w:rPr>
        <w:t>使用，不外排。</w:t>
      </w:r>
    </w:p>
    <w:p w14:paraId="66A3972C" w14:textId="77777777" w:rsidR="00544649" w:rsidRDefault="00000000">
      <w:pPr>
        <w:adjustRightInd w:val="0"/>
        <w:snapToGrid w:val="0"/>
        <w:spacing w:after="0"/>
        <w:ind w:firstLine="480"/>
        <w:rPr>
          <w:kern w:val="21"/>
        </w:rPr>
      </w:pPr>
      <w:r>
        <w:rPr>
          <w:rFonts w:hint="eastAsia"/>
          <w:kern w:val="21"/>
        </w:rPr>
        <w:t>采取上述治理措施后，施工期产生的废水不会对地表水环境产生明显影响。</w:t>
      </w:r>
    </w:p>
    <w:p w14:paraId="2CEB585D" w14:textId="77777777" w:rsidR="00544649" w:rsidRDefault="00000000">
      <w:pPr>
        <w:numPr>
          <w:ilvl w:val="2"/>
          <w:numId w:val="9"/>
        </w:numPr>
        <w:adjustRightInd w:val="0"/>
        <w:snapToGrid w:val="0"/>
        <w:spacing w:after="0"/>
        <w:ind w:firstLineChars="0"/>
        <w:outlineLvl w:val="2"/>
        <w:rPr>
          <w:rFonts w:cs="Times New Roman"/>
          <w:b/>
          <w:bCs/>
          <w:kern w:val="21"/>
          <w:sz w:val="28"/>
          <w:szCs w:val="24"/>
        </w:rPr>
      </w:pPr>
      <w:bookmarkStart w:id="308" w:name="_Toc195009882"/>
      <w:r>
        <w:rPr>
          <w:rFonts w:cs="Times New Roman"/>
          <w:b/>
          <w:bCs/>
          <w:kern w:val="21"/>
          <w:sz w:val="28"/>
          <w:szCs w:val="24"/>
        </w:rPr>
        <w:t>施工期声环境影响分析</w:t>
      </w:r>
      <w:bookmarkEnd w:id="307"/>
      <w:bookmarkEnd w:id="308"/>
    </w:p>
    <w:p w14:paraId="5BA9B868" w14:textId="77777777" w:rsidR="00544649" w:rsidRDefault="00000000">
      <w:pPr>
        <w:adjustRightInd w:val="0"/>
        <w:snapToGrid w:val="0"/>
        <w:spacing w:after="0"/>
        <w:ind w:firstLine="482"/>
        <w:rPr>
          <w:rFonts w:cs="Times New Roman"/>
          <w:kern w:val="21"/>
        </w:rPr>
      </w:pPr>
      <w:r>
        <w:rPr>
          <w:rFonts w:cs="Times New Roman" w:hint="eastAsia"/>
          <w:b/>
          <w:kern w:val="21"/>
        </w:rPr>
        <w:t>一、</w:t>
      </w:r>
      <w:r>
        <w:rPr>
          <w:rFonts w:cs="Times New Roman"/>
          <w:b/>
          <w:kern w:val="21"/>
        </w:rPr>
        <w:t>主要声源</w:t>
      </w:r>
    </w:p>
    <w:p w14:paraId="191458B5" w14:textId="77777777" w:rsidR="00544649" w:rsidRDefault="00000000">
      <w:pPr>
        <w:adjustRightInd w:val="0"/>
        <w:snapToGrid w:val="0"/>
        <w:spacing w:after="0"/>
        <w:ind w:firstLine="480"/>
        <w:rPr>
          <w:rFonts w:cs="Times New Roman"/>
          <w:kern w:val="21"/>
        </w:rPr>
      </w:pPr>
      <w:r>
        <w:rPr>
          <w:rFonts w:cs="Times New Roman"/>
          <w:kern w:val="21"/>
        </w:rPr>
        <w:t>施工期的噪声主要来源于施工现场的各类机械设备噪声，由于各施工阶段均有大量设备交互作业，这些设备在场地内的位置以及使用率均有较大变化，因此很难计算其确切的施工场界噪声，根据施工量，按经验计算各施工阶段的昼夜的主要噪声源及</w:t>
      </w:r>
      <w:r>
        <w:rPr>
          <w:rFonts w:cs="Times New Roman" w:hint="eastAsia"/>
          <w:kern w:val="21"/>
        </w:rPr>
        <w:t>厂界</w:t>
      </w:r>
      <w:r>
        <w:rPr>
          <w:rFonts w:cs="Times New Roman"/>
          <w:kern w:val="21"/>
        </w:rPr>
        <w:t>噪声和标准声级见下表。施工期间的场界噪声必须满足《建筑施工场界环境噪声排放标准》（</w:t>
      </w:r>
      <w:r>
        <w:rPr>
          <w:rFonts w:cs="Times New Roman"/>
          <w:kern w:val="21"/>
        </w:rPr>
        <w:t>GB12523-2011</w:t>
      </w:r>
      <w:r>
        <w:rPr>
          <w:rFonts w:cs="Times New Roman"/>
          <w:kern w:val="21"/>
        </w:rPr>
        <w:t>）标准要求。</w:t>
      </w:r>
    </w:p>
    <w:p w14:paraId="3C9BD2F3" w14:textId="77777777" w:rsidR="00544649" w:rsidRDefault="00000000">
      <w:pPr>
        <w:adjustRightInd w:val="0"/>
        <w:snapToGrid w:val="0"/>
        <w:spacing w:after="0"/>
        <w:ind w:firstLine="482"/>
        <w:jc w:val="left"/>
        <w:rPr>
          <w:b/>
        </w:rPr>
      </w:pPr>
      <w:r>
        <w:rPr>
          <w:b/>
        </w:rPr>
        <w:t>1</w:t>
      </w:r>
      <w:r>
        <w:rPr>
          <w:b/>
        </w:rPr>
        <w:t>、评价执行标准</w:t>
      </w:r>
    </w:p>
    <w:p w14:paraId="40F87AC9" w14:textId="77777777" w:rsidR="00544649" w:rsidRDefault="00000000">
      <w:pPr>
        <w:adjustRightInd w:val="0"/>
        <w:snapToGrid w:val="0"/>
        <w:spacing w:after="0"/>
        <w:ind w:firstLine="480"/>
        <w:rPr>
          <w:kern w:val="0"/>
        </w:rPr>
      </w:pPr>
      <w:r>
        <w:rPr>
          <w:kern w:val="0"/>
        </w:rPr>
        <w:t>项目执行</w:t>
      </w:r>
      <w:r>
        <w:rPr>
          <w:rFonts w:eastAsia="黑体"/>
        </w:rPr>
        <w:t>《</w:t>
      </w:r>
      <w:r>
        <w:t>建筑施工场界环境噪声排放标准</w:t>
      </w:r>
      <w:r>
        <w:rPr>
          <w:rFonts w:eastAsia="黑体"/>
        </w:rPr>
        <w:t>》（</w:t>
      </w:r>
      <w:r>
        <w:rPr>
          <w:rFonts w:eastAsia="黑体"/>
        </w:rPr>
        <w:t>GB12523-2011</w:t>
      </w:r>
      <w:r>
        <w:rPr>
          <w:rFonts w:eastAsia="黑体"/>
        </w:rPr>
        <w:t>）</w:t>
      </w:r>
      <w:r>
        <w:rPr>
          <w:kern w:val="0"/>
        </w:rPr>
        <w:t>中噪声限值。</w:t>
      </w:r>
    </w:p>
    <w:p w14:paraId="178B47F0" w14:textId="77777777" w:rsidR="00544649" w:rsidRDefault="00000000">
      <w:pPr>
        <w:numPr>
          <w:ilvl w:val="0"/>
          <w:numId w:val="27"/>
        </w:numPr>
        <w:adjustRightInd w:val="0"/>
        <w:snapToGrid w:val="0"/>
        <w:spacing w:after="0" w:line="240" w:lineRule="auto"/>
        <w:ind w:firstLineChars="0"/>
        <w:jc w:val="center"/>
        <w:rPr>
          <w:b/>
          <w:sz w:val="21"/>
          <w:szCs w:val="21"/>
        </w:rPr>
      </w:pPr>
      <w:r>
        <w:rPr>
          <w:b/>
          <w:sz w:val="21"/>
          <w:szCs w:val="21"/>
        </w:rPr>
        <w:t>《建筑施工场界环境噪声排放标准》</w:t>
      </w:r>
    </w:p>
    <w:tbl>
      <w:tblPr>
        <w:tblW w:w="898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90"/>
        <w:gridCol w:w="4491"/>
      </w:tblGrid>
      <w:tr w:rsidR="00544649" w14:paraId="211559FE" w14:textId="77777777">
        <w:trPr>
          <w:trHeight w:val="20"/>
          <w:jc w:val="center"/>
        </w:trPr>
        <w:tc>
          <w:tcPr>
            <w:tcW w:w="4490" w:type="dxa"/>
            <w:vAlign w:val="center"/>
          </w:tcPr>
          <w:p w14:paraId="555390A3" w14:textId="77777777" w:rsidR="00544649" w:rsidRDefault="00000000">
            <w:pPr>
              <w:adjustRightInd w:val="0"/>
              <w:snapToGrid w:val="0"/>
              <w:spacing w:after="0" w:line="240" w:lineRule="auto"/>
              <w:ind w:firstLineChars="0" w:firstLine="0"/>
              <w:jc w:val="center"/>
              <w:rPr>
                <w:b/>
                <w:sz w:val="21"/>
                <w:szCs w:val="21"/>
              </w:rPr>
            </w:pPr>
            <w:r>
              <w:rPr>
                <w:b/>
                <w:sz w:val="21"/>
                <w:szCs w:val="21"/>
              </w:rPr>
              <w:t>昼间（</w:t>
            </w:r>
            <w:r>
              <w:rPr>
                <w:b/>
                <w:kern w:val="0"/>
                <w:sz w:val="21"/>
                <w:szCs w:val="21"/>
              </w:rPr>
              <w:t>dB(A)</w:t>
            </w:r>
            <w:r>
              <w:rPr>
                <w:b/>
                <w:sz w:val="21"/>
                <w:szCs w:val="21"/>
              </w:rPr>
              <w:t>）</w:t>
            </w:r>
          </w:p>
        </w:tc>
        <w:tc>
          <w:tcPr>
            <w:tcW w:w="4491" w:type="dxa"/>
            <w:vAlign w:val="center"/>
          </w:tcPr>
          <w:p w14:paraId="01E09DE0" w14:textId="77777777" w:rsidR="00544649" w:rsidRDefault="00000000">
            <w:pPr>
              <w:adjustRightInd w:val="0"/>
              <w:snapToGrid w:val="0"/>
              <w:spacing w:after="0" w:line="240" w:lineRule="auto"/>
              <w:ind w:firstLineChars="0" w:firstLine="0"/>
              <w:jc w:val="center"/>
              <w:rPr>
                <w:b/>
                <w:sz w:val="21"/>
                <w:szCs w:val="21"/>
              </w:rPr>
            </w:pPr>
            <w:r>
              <w:rPr>
                <w:b/>
                <w:sz w:val="21"/>
                <w:szCs w:val="21"/>
              </w:rPr>
              <w:t>夜间（</w:t>
            </w:r>
            <w:r>
              <w:rPr>
                <w:b/>
                <w:kern w:val="0"/>
                <w:sz w:val="21"/>
                <w:szCs w:val="21"/>
              </w:rPr>
              <w:t>dB(A)</w:t>
            </w:r>
            <w:r>
              <w:rPr>
                <w:b/>
                <w:sz w:val="21"/>
                <w:szCs w:val="21"/>
              </w:rPr>
              <w:t>）</w:t>
            </w:r>
          </w:p>
        </w:tc>
      </w:tr>
      <w:tr w:rsidR="00544649" w14:paraId="1CD54A01" w14:textId="77777777">
        <w:trPr>
          <w:trHeight w:val="20"/>
          <w:jc w:val="center"/>
        </w:trPr>
        <w:tc>
          <w:tcPr>
            <w:tcW w:w="4490" w:type="dxa"/>
            <w:vAlign w:val="center"/>
          </w:tcPr>
          <w:p w14:paraId="4B2A20EB" w14:textId="77777777" w:rsidR="00544649" w:rsidRDefault="00000000">
            <w:pPr>
              <w:adjustRightInd w:val="0"/>
              <w:snapToGrid w:val="0"/>
              <w:spacing w:after="0" w:line="240" w:lineRule="auto"/>
              <w:ind w:firstLineChars="0" w:firstLine="0"/>
              <w:jc w:val="center"/>
              <w:rPr>
                <w:sz w:val="21"/>
                <w:szCs w:val="21"/>
              </w:rPr>
            </w:pPr>
            <w:r>
              <w:rPr>
                <w:sz w:val="21"/>
                <w:szCs w:val="21"/>
              </w:rPr>
              <w:t>70</w:t>
            </w:r>
          </w:p>
        </w:tc>
        <w:tc>
          <w:tcPr>
            <w:tcW w:w="4491" w:type="dxa"/>
            <w:vAlign w:val="center"/>
          </w:tcPr>
          <w:p w14:paraId="2A3DB854" w14:textId="77777777" w:rsidR="00544649" w:rsidRDefault="00000000">
            <w:pPr>
              <w:adjustRightInd w:val="0"/>
              <w:snapToGrid w:val="0"/>
              <w:spacing w:after="0" w:line="240" w:lineRule="auto"/>
              <w:ind w:firstLineChars="0" w:firstLine="0"/>
              <w:jc w:val="center"/>
              <w:rPr>
                <w:sz w:val="21"/>
                <w:szCs w:val="21"/>
              </w:rPr>
            </w:pPr>
            <w:r>
              <w:rPr>
                <w:sz w:val="21"/>
                <w:szCs w:val="21"/>
              </w:rPr>
              <w:t>55</w:t>
            </w:r>
          </w:p>
        </w:tc>
      </w:tr>
    </w:tbl>
    <w:p w14:paraId="3D84D9E3" w14:textId="77777777" w:rsidR="00544649" w:rsidRDefault="00000000">
      <w:pPr>
        <w:adjustRightInd w:val="0"/>
        <w:snapToGrid w:val="0"/>
        <w:spacing w:after="0"/>
        <w:ind w:firstLine="482"/>
        <w:jc w:val="left"/>
        <w:rPr>
          <w:b/>
        </w:rPr>
      </w:pPr>
      <w:r>
        <w:rPr>
          <w:b/>
        </w:rPr>
        <w:t>2</w:t>
      </w:r>
      <w:r>
        <w:rPr>
          <w:b/>
        </w:rPr>
        <w:t>、噪声源强</w:t>
      </w:r>
    </w:p>
    <w:p w14:paraId="2CA7A4EB" w14:textId="77777777" w:rsidR="00544649" w:rsidRDefault="00000000">
      <w:pPr>
        <w:adjustRightInd w:val="0"/>
        <w:snapToGrid w:val="0"/>
        <w:spacing w:after="0"/>
        <w:ind w:firstLine="480"/>
        <w:rPr>
          <w:rFonts w:cs="Times New Roman"/>
          <w:kern w:val="21"/>
        </w:rPr>
      </w:pPr>
      <w:r>
        <w:rPr>
          <w:rFonts w:cs="Times New Roman"/>
          <w:kern w:val="21"/>
        </w:rPr>
        <w:t>在项目的设备安装阶段，</w:t>
      </w:r>
      <w:r>
        <w:rPr>
          <w:rFonts w:cs="Times New Roman"/>
          <w:kern w:val="21"/>
          <w:szCs w:val="21"/>
        </w:rPr>
        <w:t>施工噪声主要来源于施工过程中机械</w:t>
      </w:r>
      <w:r>
        <w:rPr>
          <w:rFonts w:cs="Times New Roman"/>
          <w:kern w:val="21"/>
        </w:rPr>
        <w:t>设备的使用，如电锯、切割机、电焊机等，以及车辆运输活动。施工期主要噪声源及噪声源强分别见下</w:t>
      </w:r>
      <w:r>
        <w:rPr>
          <w:rFonts w:cs="Times New Roman"/>
          <w:kern w:val="21"/>
        </w:rPr>
        <w:lastRenderedPageBreak/>
        <w:t>表所示。</w:t>
      </w:r>
    </w:p>
    <w:p w14:paraId="366EA1D7" w14:textId="77777777" w:rsidR="00544649" w:rsidRDefault="00000000">
      <w:pPr>
        <w:adjustRightInd w:val="0"/>
        <w:snapToGrid w:val="0"/>
        <w:spacing w:after="0"/>
        <w:ind w:firstLine="480"/>
        <w:rPr>
          <w:rFonts w:cs="Times New Roman"/>
          <w:kern w:val="21"/>
        </w:rPr>
      </w:pPr>
      <w:r>
        <w:rPr>
          <w:kern w:val="21"/>
        </w:rPr>
        <w:t>施工单位应尽量选择低噪设备，严格控制施工时间，同时可设置简易隔声墙等降低噪</w:t>
      </w:r>
      <w:r>
        <w:rPr>
          <w:rFonts w:cs="Times New Roman"/>
          <w:kern w:val="21"/>
          <w:szCs w:val="24"/>
        </w:rPr>
        <w:t>声对周边环境的影响。常用施工设备和运输车辆在作业期间所产生的</w:t>
      </w:r>
      <w:proofErr w:type="gramStart"/>
      <w:r>
        <w:rPr>
          <w:rFonts w:cs="Times New Roman"/>
          <w:kern w:val="21"/>
          <w:szCs w:val="24"/>
        </w:rPr>
        <w:t>噪声值见下表</w:t>
      </w:r>
      <w:proofErr w:type="gramEnd"/>
      <w:r>
        <w:rPr>
          <w:rFonts w:cs="Times New Roman" w:hint="eastAsia"/>
          <w:kern w:val="21"/>
          <w:szCs w:val="24"/>
        </w:rPr>
        <w:t>。</w:t>
      </w:r>
    </w:p>
    <w:p w14:paraId="4D43801C" w14:textId="77777777" w:rsidR="00544649" w:rsidRDefault="00000000">
      <w:pPr>
        <w:numPr>
          <w:ilvl w:val="0"/>
          <w:numId w:val="27"/>
        </w:numPr>
        <w:adjustRightInd w:val="0"/>
        <w:snapToGrid w:val="0"/>
        <w:spacing w:beforeLines="20" w:before="62" w:afterLines="20" w:after="62" w:line="240" w:lineRule="auto"/>
        <w:ind w:firstLineChars="0"/>
        <w:jc w:val="center"/>
        <w:rPr>
          <w:rFonts w:cs="Times New Roman"/>
          <w:b/>
          <w:bCs/>
          <w:kern w:val="21"/>
          <w:sz w:val="21"/>
          <w:szCs w:val="21"/>
        </w:rPr>
      </w:pPr>
      <w:bookmarkStart w:id="309" w:name="OLE_LINK10"/>
      <w:r>
        <w:rPr>
          <w:rFonts w:cs="Times New Roman"/>
          <w:b/>
          <w:bCs/>
          <w:kern w:val="21"/>
          <w:sz w:val="21"/>
          <w:szCs w:val="21"/>
        </w:rPr>
        <w:t>施工期</w:t>
      </w:r>
      <w:r>
        <w:rPr>
          <w:b/>
          <w:sz w:val="21"/>
          <w:szCs w:val="21"/>
        </w:rPr>
        <w:t>交通运输车辆噪声</w:t>
      </w:r>
      <w:r>
        <w:rPr>
          <w:rFonts w:cs="Times New Roman"/>
          <w:b/>
          <w:bCs/>
          <w:kern w:val="21"/>
          <w:sz w:val="21"/>
          <w:szCs w:val="21"/>
        </w:rPr>
        <w:t>：</w:t>
      </w:r>
      <w:r>
        <w:rPr>
          <w:rFonts w:cs="Times New Roman"/>
          <w:b/>
          <w:bCs/>
          <w:kern w:val="21"/>
          <w:sz w:val="21"/>
          <w:szCs w:val="21"/>
        </w:rPr>
        <w:t>dB</w:t>
      </w:r>
      <w:r>
        <w:rPr>
          <w:rFonts w:cs="Times New Roman"/>
          <w:b/>
          <w:bCs/>
          <w:kern w:val="21"/>
          <w:sz w:val="21"/>
          <w:szCs w:val="21"/>
        </w:rPr>
        <w:t>（</w:t>
      </w:r>
      <w:r>
        <w:rPr>
          <w:rFonts w:cs="Times New Roman"/>
          <w:b/>
          <w:bCs/>
          <w:kern w:val="21"/>
          <w:sz w:val="21"/>
          <w:szCs w:val="21"/>
        </w:rPr>
        <w:t>A</w:t>
      </w:r>
      <w:r>
        <w:rPr>
          <w:rFonts w:cs="Times New Roman"/>
          <w:b/>
          <w:bCs/>
          <w:kern w:val="21"/>
          <w:sz w:val="21"/>
          <w:szCs w:val="21"/>
        </w:rPr>
        <w:t>）</w:t>
      </w:r>
    </w:p>
    <w:tbl>
      <w:tblPr>
        <w:tblW w:w="90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97"/>
        <w:gridCol w:w="2843"/>
        <w:gridCol w:w="2370"/>
        <w:gridCol w:w="1950"/>
      </w:tblGrid>
      <w:tr w:rsidR="00544649" w14:paraId="1D4B0350" w14:textId="77777777">
        <w:trPr>
          <w:trHeight w:val="475"/>
          <w:jc w:val="center"/>
        </w:trPr>
        <w:tc>
          <w:tcPr>
            <w:tcW w:w="1897" w:type="dxa"/>
            <w:vAlign w:val="center"/>
          </w:tcPr>
          <w:bookmarkEnd w:id="309"/>
          <w:p w14:paraId="31968532" w14:textId="77777777" w:rsidR="00544649" w:rsidRDefault="00000000">
            <w:pPr>
              <w:adjustRightInd w:val="0"/>
              <w:snapToGrid w:val="0"/>
              <w:spacing w:after="0" w:line="240" w:lineRule="auto"/>
              <w:ind w:firstLineChars="0" w:firstLine="0"/>
              <w:jc w:val="center"/>
              <w:rPr>
                <w:b/>
                <w:bCs/>
                <w:sz w:val="21"/>
                <w:szCs w:val="21"/>
              </w:rPr>
            </w:pPr>
            <w:r>
              <w:rPr>
                <w:b/>
                <w:bCs/>
                <w:sz w:val="21"/>
                <w:szCs w:val="21"/>
              </w:rPr>
              <w:t>施工阶段</w:t>
            </w:r>
          </w:p>
        </w:tc>
        <w:tc>
          <w:tcPr>
            <w:tcW w:w="2843" w:type="dxa"/>
            <w:vAlign w:val="center"/>
          </w:tcPr>
          <w:p w14:paraId="76808C87" w14:textId="77777777" w:rsidR="00544649" w:rsidRDefault="00000000">
            <w:pPr>
              <w:adjustRightInd w:val="0"/>
              <w:snapToGrid w:val="0"/>
              <w:spacing w:after="0" w:line="240" w:lineRule="auto"/>
              <w:ind w:firstLineChars="0" w:firstLine="0"/>
              <w:jc w:val="center"/>
              <w:rPr>
                <w:b/>
                <w:bCs/>
                <w:sz w:val="21"/>
                <w:szCs w:val="21"/>
              </w:rPr>
            </w:pPr>
            <w:r>
              <w:rPr>
                <w:b/>
                <w:bCs/>
                <w:sz w:val="21"/>
                <w:szCs w:val="21"/>
              </w:rPr>
              <w:t>运输内容</w:t>
            </w:r>
          </w:p>
        </w:tc>
        <w:tc>
          <w:tcPr>
            <w:tcW w:w="2370" w:type="dxa"/>
            <w:vAlign w:val="center"/>
          </w:tcPr>
          <w:p w14:paraId="3C9C0E2E" w14:textId="77777777" w:rsidR="00544649" w:rsidRDefault="00000000">
            <w:pPr>
              <w:adjustRightInd w:val="0"/>
              <w:snapToGrid w:val="0"/>
              <w:spacing w:after="0" w:line="240" w:lineRule="auto"/>
              <w:ind w:firstLineChars="0" w:firstLine="0"/>
              <w:jc w:val="center"/>
              <w:rPr>
                <w:b/>
                <w:bCs/>
                <w:sz w:val="21"/>
                <w:szCs w:val="21"/>
              </w:rPr>
            </w:pPr>
            <w:r>
              <w:rPr>
                <w:b/>
                <w:bCs/>
                <w:sz w:val="21"/>
                <w:szCs w:val="21"/>
              </w:rPr>
              <w:t>车辆类型</w:t>
            </w:r>
          </w:p>
        </w:tc>
        <w:tc>
          <w:tcPr>
            <w:tcW w:w="1950" w:type="dxa"/>
            <w:vAlign w:val="center"/>
          </w:tcPr>
          <w:p w14:paraId="49D8CD5B" w14:textId="77777777" w:rsidR="00544649" w:rsidRDefault="00000000">
            <w:pPr>
              <w:adjustRightInd w:val="0"/>
              <w:snapToGrid w:val="0"/>
              <w:spacing w:after="0" w:line="240" w:lineRule="auto"/>
              <w:ind w:firstLineChars="0" w:firstLine="0"/>
              <w:jc w:val="center"/>
              <w:rPr>
                <w:b/>
                <w:bCs/>
                <w:sz w:val="21"/>
                <w:szCs w:val="21"/>
              </w:rPr>
            </w:pPr>
            <w:r>
              <w:rPr>
                <w:b/>
                <w:bCs/>
                <w:sz w:val="21"/>
                <w:szCs w:val="21"/>
              </w:rPr>
              <w:t>声源强度</w:t>
            </w:r>
            <w:r>
              <w:rPr>
                <w:b/>
                <w:bCs/>
                <w:sz w:val="21"/>
                <w:szCs w:val="21"/>
              </w:rPr>
              <w:t>[dB(A)]</w:t>
            </w:r>
          </w:p>
        </w:tc>
      </w:tr>
      <w:tr w:rsidR="00544649" w14:paraId="302B4B30" w14:textId="77777777">
        <w:trPr>
          <w:jc w:val="center"/>
        </w:trPr>
        <w:tc>
          <w:tcPr>
            <w:tcW w:w="1897" w:type="dxa"/>
            <w:vAlign w:val="center"/>
          </w:tcPr>
          <w:p w14:paraId="61CAD313" w14:textId="77777777" w:rsidR="00544649" w:rsidRDefault="00000000">
            <w:pPr>
              <w:adjustRightInd w:val="0"/>
              <w:snapToGrid w:val="0"/>
              <w:spacing w:after="0" w:line="240" w:lineRule="auto"/>
              <w:ind w:firstLineChars="0" w:firstLine="0"/>
              <w:jc w:val="center"/>
              <w:rPr>
                <w:sz w:val="21"/>
                <w:szCs w:val="21"/>
              </w:rPr>
            </w:pPr>
            <w:r>
              <w:rPr>
                <w:sz w:val="21"/>
                <w:szCs w:val="21"/>
              </w:rPr>
              <w:t>土石方阶段</w:t>
            </w:r>
          </w:p>
        </w:tc>
        <w:tc>
          <w:tcPr>
            <w:tcW w:w="2843" w:type="dxa"/>
            <w:vAlign w:val="center"/>
          </w:tcPr>
          <w:p w14:paraId="3D1076E4" w14:textId="77777777" w:rsidR="00544649" w:rsidRDefault="00000000">
            <w:pPr>
              <w:adjustRightInd w:val="0"/>
              <w:snapToGrid w:val="0"/>
              <w:spacing w:after="0" w:line="240" w:lineRule="auto"/>
              <w:ind w:firstLineChars="0" w:firstLine="0"/>
              <w:jc w:val="center"/>
              <w:rPr>
                <w:sz w:val="21"/>
                <w:szCs w:val="21"/>
              </w:rPr>
            </w:pPr>
            <w:r>
              <w:rPr>
                <w:sz w:val="21"/>
                <w:szCs w:val="21"/>
              </w:rPr>
              <w:t>土石方等</w:t>
            </w:r>
          </w:p>
        </w:tc>
        <w:tc>
          <w:tcPr>
            <w:tcW w:w="2370" w:type="dxa"/>
            <w:vAlign w:val="center"/>
          </w:tcPr>
          <w:p w14:paraId="3BADCD63" w14:textId="77777777" w:rsidR="00544649" w:rsidRDefault="00000000">
            <w:pPr>
              <w:adjustRightInd w:val="0"/>
              <w:snapToGrid w:val="0"/>
              <w:spacing w:after="0" w:line="240" w:lineRule="auto"/>
              <w:ind w:firstLineChars="0" w:firstLine="0"/>
              <w:jc w:val="center"/>
              <w:rPr>
                <w:sz w:val="21"/>
                <w:szCs w:val="21"/>
              </w:rPr>
            </w:pPr>
            <w:r>
              <w:rPr>
                <w:sz w:val="21"/>
                <w:szCs w:val="21"/>
              </w:rPr>
              <w:t>大型载重车</w:t>
            </w:r>
          </w:p>
        </w:tc>
        <w:tc>
          <w:tcPr>
            <w:tcW w:w="1950" w:type="dxa"/>
            <w:vAlign w:val="center"/>
          </w:tcPr>
          <w:p w14:paraId="15AD3086" w14:textId="77777777" w:rsidR="00544649" w:rsidRDefault="00000000">
            <w:pPr>
              <w:adjustRightInd w:val="0"/>
              <w:snapToGrid w:val="0"/>
              <w:spacing w:after="0" w:line="240" w:lineRule="auto"/>
              <w:ind w:firstLineChars="0" w:firstLine="0"/>
              <w:jc w:val="center"/>
              <w:rPr>
                <w:sz w:val="21"/>
                <w:szCs w:val="21"/>
              </w:rPr>
            </w:pPr>
            <w:r>
              <w:rPr>
                <w:sz w:val="21"/>
                <w:szCs w:val="21"/>
              </w:rPr>
              <w:t>84</w:t>
            </w:r>
            <w:r>
              <w:rPr>
                <w:rFonts w:hint="eastAsia"/>
                <w:sz w:val="21"/>
                <w:szCs w:val="21"/>
              </w:rPr>
              <w:t>~</w:t>
            </w:r>
            <w:r>
              <w:rPr>
                <w:sz w:val="21"/>
                <w:szCs w:val="21"/>
              </w:rPr>
              <w:t>89</w:t>
            </w:r>
          </w:p>
        </w:tc>
      </w:tr>
      <w:tr w:rsidR="00544649" w14:paraId="5B42B458" w14:textId="77777777">
        <w:trPr>
          <w:jc w:val="center"/>
        </w:trPr>
        <w:tc>
          <w:tcPr>
            <w:tcW w:w="1897" w:type="dxa"/>
            <w:vAlign w:val="center"/>
          </w:tcPr>
          <w:p w14:paraId="07F0475C" w14:textId="77777777" w:rsidR="00544649" w:rsidRDefault="00000000">
            <w:pPr>
              <w:adjustRightInd w:val="0"/>
              <w:snapToGrid w:val="0"/>
              <w:spacing w:after="0" w:line="240" w:lineRule="auto"/>
              <w:ind w:firstLineChars="0" w:firstLine="0"/>
              <w:jc w:val="center"/>
              <w:rPr>
                <w:sz w:val="21"/>
                <w:szCs w:val="21"/>
              </w:rPr>
            </w:pPr>
            <w:r>
              <w:rPr>
                <w:sz w:val="21"/>
                <w:szCs w:val="21"/>
              </w:rPr>
              <w:t>底板与结构阶段</w:t>
            </w:r>
          </w:p>
        </w:tc>
        <w:tc>
          <w:tcPr>
            <w:tcW w:w="2843" w:type="dxa"/>
            <w:vAlign w:val="center"/>
          </w:tcPr>
          <w:p w14:paraId="27EE3C83" w14:textId="77777777" w:rsidR="00544649" w:rsidRDefault="00000000">
            <w:pPr>
              <w:adjustRightInd w:val="0"/>
              <w:snapToGrid w:val="0"/>
              <w:spacing w:after="0" w:line="240" w:lineRule="auto"/>
              <w:ind w:firstLineChars="0" w:firstLine="0"/>
              <w:jc w:val="center"/>
              <w:rPr>
                <w:sz w:val="21"/>
                <w:szCs w:val="21"/>
              </w:rPr>
            </w:pPr>
            <w:r>
              <w:rPr>
                <w:sz w:val="21"/>
                <w:szCs w:val="21"/>
              </w:rPr>
              <w:t>钢筋、混凝土等</w:t>
            </w:r>
          </w:p>
        </w:tc>
        <w:tc>
          <w:tcPr>
            <w:tcW w:w="2370" w:type="dxa"/>
            <w:vAlign w:val="center"/>
          </w:tcPr>
          <w:p w14:paraId="799427E2" w14:textId="77777777" w:rsidR="00544649" w:rsidRDefault="00000000">
            <w:pPr>
              <w:adjustRightInd w:val="0"/>
              <w:snapToGrid w:val="0"/>
              <w:spacing w:after="0" w:line="240" w:lineRule="auto"/>
              <w:ind w:firstLineChars="0" w:firstLine="0"/>
              <w:jc w:val="center"/>
              <w:rPr>
                <w:sz w:val="21"/>
                <w:szCs w:val="21"/>
              </w:rPr>
            </w:pPr>
            <w:r>
              <w:rPr>
                <w:sz w:val="21"/>
                <w:szCs w:val="21"/>
              </w:rPr>
              <w:t>混凝土罐车、载重车</w:t>
            </w:r>
          </w:p>
        </w:tc>
        <w:tc>
          <w:tcPr>
            <w:tcW w:w="1950" w:type="dxa"/>
            <w:vAlign w:val="center"/>
          </w:tcPr>
          <w:p w14:paraId="43CAEF14" w14:textId="77777777" w:rsidR="00544649" w:rsidRDefault="00000000">
            <w:pPr>
              <w:adjustRightInd w:val="0"/>
              <w:snapToGrid w:val="0"/>
              <w:spacing w:after="0" w:line="240" w:lineRule="auto"/>
              <w:ind w:firstLineChars="0" w:firstLine="0"/>
              <w:jc w:val="center"/>
              <w:rPr>
                <w:sz w:val="21"/>
                <w:szCs w:val="21"/>
              </w:rPr>
            </w:pPr>
            <w:r>
              <w:rPr>
                <w:sz w:val="21"/>
                <w:szCs w:val="21"/>
              </w:rPr>
              <w:t>80</w:t>
            </w:r>
            <w:r>
              <w:rPr>
                <w:rFonts w:hint="eastAsia"/>
                <w:sz w:val="21"/>
                <w:szCs w:val="21"/>
              </w:rPr>
              <w:t>~</w:t>
            </w:r>
            <w:r>
              <w:rPr>
                <w:sz w:val="21"/>
                <w:szCs w:val="21"/>
              </w:rPr>
              <w:t>85</w:t>
            </w:r>
          </w:p>
        </w:tc>
      </w:tr>
      <w:tr w:rsidR="00544649" w14:paraId="41C3DDB6" w14:textId="77777777">
        <w:trPr>
          <w:trHeight w:val="90"/>
          <w:jc w:val="center"/>
        </w:trPr>
        <w:tc>
          <w:tcPr>
            <w:tcW w:w="1897" w:type="dxa"/>
            <w:vAlign w:val="center"/>
          </w:tcPr>
          <w:p w14:paraId="290D8B42" w14:textId="77777777" w:rsidR="00544649" w:rsidRDefault="00000000">
            <w:pPr>
              <w:pStyle w:val="22"/>
              <w:snapToGrid w:val="0"/>
              <w:spacing w:before="0" w:after="0"/>
              <w:textAlignment w:val="auto"/>
              <w:rPr>
                <w:rFonts w:ascii="Times New Roman"/>
                <w:kern w:val="2"/>
                <w:szCs w:val="21"/>
              </w:rPr>
            </w:pPr>
            <w:r>
              <w:rPr>
                <w:rFonts w:ascii="Times New Roman"/>
                <w:kern w:val="2"/>
                <w:szCs w:val="21"/>
              </w:rPr>
              <w:t>装修安装阶段</w:t>
            </w:r>
          </w:p>
        </w:tc>
        <w:tc>
          <w:tcPr>
            <w:tcW w:w="2843" w:type="dxa"/>
            <w:vAlign w:val="center"/>
          </w:tcPr>
          <w:p w14:paraId="07A41D0D" w14:textId="77777777" w:rsidR="00544649" w:rsidRDefault="00000000">
            <w:pPr>
              <w:adjustRightInd w:val="0"/>
              <w:snapToGrid w:val="0"/>
              <w:spacing w:after="0" w:line="240" w:lineRule="auto"/>
              <w:ind w:firstLineChars="0" w:firstLine="0"/>
              <w:jc w:val="center"/>
              <w:rPr>
                <w:sz w:val="21"/>
                <w:szCs w:val="21"/>
              </w:rPr>
            </w:pPr>
            <w:r>
              <w:rPr>
                <w:sz w:val="21"/>
                <w:szCs w:val="21"/>
              </w:rPr>
              <w:t>各种装修</w:t>
            </w:r>
            <w:proofErr w:type="gramStart"/>
            <w:r>
              <w:rPr>
                <w:sz w:val="21"/>
                <w:szCs w:val="21"/>
              </w:rPr>
              <w:t>材料机</w:t>
            </w:r>
            <w:proofErr w:type="gramEnd"/>
            <w:r>
              <w:rPr>
                <w:sz w:val="21"/>
                <w:szCs w:val="21"/>
              </w:rPr>
              <w:t>必备设备</w:t>
            </w:r>
          </w:p>
        </w:tc>
        <w:tc>
          <w:tcPr>
            <w:tcW w:w="2370" w:type="dxa"/>
            <w:vAlign w:val="center"/>
          </w:tcPr>
          <w:p w14:paraId="3DFB266F" w14:textId="77777777" w:rsidR="00544649" w:rsidRDefault="00000000">
            <w:pPr>
              <w:adjustRightInd w:val="0"/>
              <w:snapToGrid w:val="0"/>
              <w:spacing w:after="0" w:line="240" w:lineRule="auto"/>
              <w:ind w:firstLineChars="0" w:firstLine="0"/>
              <w:jc w:val="center"/>
              <w:rPr>
                <w:sz w:val="21"/>
                <w:szCs w:val="21"/>
              </w:rPr>
            </w:pPr>
            <w:r>
              <w:rPr>
                <w:sz w:val="21"/>
                <w:szCs w:val="21"/>
              </w:rPr>
              <w:t>轻型载重卡车</w:t>
            </w:r>
          </w:p>
        </w:tc>
        <w:tc>
          <w:tcPr>
            <w:tcW w:w="1950" w:type="dxa"/>
            <w:vAlign w:val="center"/>
          </w:tcPr>
          <w:p w14:paraId="66FE3854" w14:textId="77777777" w:rsidR="00544649" w:rsidRDefault="00000000">
            <w:pPr>
              <w:adjustRightInd w:val="0"/>
              <w:snapToGrid w:val="0"/>
              <w:spacing w:after="0" w:line="240" w:lineRule="auto"/>
              <w:ind w:firstLineChars="0" w:firstLine="0"/>
              <w:jc w:val="center"/>
              <w:rPr>
                <w:sz w:val="21"/>
                <w:szCs w:val="21"/>
              </w:rPr>
            </w:pPr>
            <w:r>
              <w:rPr>
                <w:sz w:val="21"/>
                <w:szCs w:val="21"/>
              </w:rPr>
              <w:t>75</w:t>
            </w:r>
            <w:r>
              <w:rPr>
                <w:rFonts w:hint="eastAsia"/>
                <w:sz w:val="21"/>
                <w:szCs w:val="21"/>
              </w:rPr>
              <w:t>~</w:t>
            </w:r>
            <w:r>
              <w:rPr>
                <w:sz w:val="21"/>
                <w:szCs w:val="21"/>
              </w:rPr>
              <w:t>80</w:t>
            </w:r>
          </w:p>
        </w:tc>
      </w:tr>
    </w:tbl>
    <w:p w14:paraId="121D57E0" w14:textId="77777777" w:rsidR="00544649" w:rsidRDefault="00000000">
      <w:pPr>
        <w:numPr>
          <w:ilvl w:val="0"/>
          <w:numId w:val="27"/>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施工期</w:t>
      </w:r>
      <w:r>
        <w:rPr>
          <w:rFonts w:hint="eastAsia"/>
          <w:b/>
          <w:sz w:val="21"/>
          <w:szCs w:val="21"/>
        </w:rPr>
        <w:t>施工设备</w:t>
      </w:r>
      <w:r>
        <w:rPr>
          <w:b/>
          <w:sz w:val="21"/>
          <w:szCs w:val="21"/>
        </w:rPr>
        <w:t>噪声声源强度表</w:t>
      </w:r>
      <w:r>
        <w:rPr>
          <w:rFonts w:cs="Times New Roman"/>
          <w:b/>
          <w:bCs/>
          <w:kern w:val="21"/>
          <w:sz w:val="21"/>
          <w:szCs w:val="21"/>
        </w:rPr>
        <w:t>：</w:t>
      </w:r>
      <w:r>
        <w:rPr>
          <w:rFonts w:cs="Times New Roman"/>
          <w:b/>
          <w:bCs/>
          <w:kern w:val="21"/>
          <w:sz w:val="21"/>
          <w:szCs w:val="21"/>
        </w:rPr>
        <w:t>dB</w:t>
      </w:r>
      <w:r>
        <w:rPr>
          <w:rFonts w:cs="Times New Roman"/>
          <w:b/>
          <w:bCs/>
          <w:kern w:val="21"/>
          <w:sz w:val="21"/>
          <w:szCs w:val="21"/>
        </w:rPr>
        <w:t>（</w:t>
      </w:r>
      <w:r>
        <w:rPr>
          <w:rFonts w:cs="Times New Roman"/>
          <w:b/>
          <w:bCs/>
          <w:kern w:val="21"/>
          <w:sz w:val="21"/>
          <w:szCs w:val="21"/>
        </w:rPr>
        <w:t>A</w:t>
      </w:r>
      <w:r>
        <w:rPr>
          <w:rFonts w:cs="Times New Roman"/>
          <w:b/>
          <w:bCs/>
          <w:kern w:val="21"/>
          <w:sz w:val="21"/>
          <w:szCs w:val="21"/>
        </w:rPr>
        <w:t>）</w:t>
      </w:r>
    </w:p>
    <w:tbl>
      <w:tblPr>
        <w:tblW w:w="90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1"/>
        <w:gridCol w:w="2991"/>
        <w:gridCol w:w="3073"/>
      </w:tblGrid>
      <w:tr w:rsidR="00544649" w14:paraId="6971C196" w14:textId="77777777">
        <w:trPr>
          <w:cantSplit/>
          <w:trHeight w:val="90"/>
          <w:tblHeader/>
          <w:jc w:val="center"/>
        </w:trPr>
        <w:tc>
          <w:tcPr>
            <w:tcW w:w="2991" w:type="dxa"/>
            <w:vAlign w:val="center"/>
          </w:tcPr>
          <w:p w14:paraId="0AC0EE2A" w14:textId="77777777" w:rsidR="00544649" w:rsidRDefault="00000000">
            <w:pPr>
              <w:adjustRightInd w:val="0"/>
              <w:snapToGrid w:val="0"/>
              <w:spacing w:after="0" w:line="240" w:lineRule="auto"/>
              <w:ind w:firstLineChars="0" w:firstLine="0"/>
              <w:jc w:val="center"/>
              <w:rPr>
                <w:rFonts w:cs="Times New Roman"/>
                <w:b/>
                <w:bCs/>
                <w:sz w:val="21"/>
                <w:szCs w:val="21"/>
              </w:rPr>
            </w:pPr>
            <w:r>
              <w:rPr>
                <w:rFonts w:cs="Times New Roman"/>
                <w:b/>
                <w:bCs/>
                <w:sz w:val="21"/>
                <w:szCs w:val="21"/>
              </w:rPr>
              <w:t>施工阶段</w:t>
            </w:r>
          </w:p>
        </w:tc>
        <w:tc>
          <w:tcPr>
            <w:tcW w:w="2991" w:type="dxa"/>
            <w:vAlign w:val="center"/>
          </w:tcPr>
          <w:p w14:paraId="267D872B" w14:textId="77777777" w:rsidR="00544649" w:rsidRDefault="00000000">
            <w:pPr>
              <w:adjustRightInd w:val="0"/>
              <w:snapToGrid w:val="0"/>
              <w:spacing w:after="0" w:line="240" w:lineRule="auto"/>
              <w:ind w:firstLineChars="0" w:firstLine="0"/>
              <w:jc w:val="center"/>
              <w:rPr>
                <w:rFonts w:cs="Times New Roman"/>
                <w:b/>
                <w:bCs/>
                <w:sz w:val="21"/>
                <w:szCs w:val="21"/>
              </w:rPr>
            </w:pPr>
            <w:r>
              <w:rPr>
                <w:rFonts w:cs="Times New Roman"/>
                <w:b/>
                <w:bCs/>
                <w:sz w:val="21"/>
                <w:szCs w:val="21"/>
              </w:rPr>
              <w:t>声源</w:t>
            </w:r>
          </w:p>
        </w:tc>
        <w:tc>
          <w:tcPr>
            <w:tcW w:w="3073" w:type="dxa"/>
            <w:vAlign w:val="center"/>
          </w:tcPr>
          <w:p w14:paraId="38B74228" w14:textId="77777777" w:rsidR="00544649" w:rsidRDefault="00000000">
            <w:pPr>
              <w:adjustRightInd w:val="0"/>
              <w:snapToGrid w:val="0"/>
              <w:spacing w:after="0" w:line="240" w:lineRule="auto"/>
              <w:ind w:firstLineChars="0" w:firstLine="0"/>
              <w:jc w:val="center"/>
              <w:rPr>
                <w:rFonts w:cs="Times New Roman"/>
                <w:b/>
                <w:bCs/>
                <w:sz w:val="21"/>
                <w:szCs w:val="21"/>
              </w:rPr>
            </w:pPr>
            <w:r>
              <w:rPr>
                <w:rFonts w:cs="Times New Roman"/>
                <w:b/>
                <w:bCs/>
                <w:sz w:val="21"/>
                <w:szCs w:val="21"/>
              </w:rPr>
              <w:t>声源强度</w:t>
            </w:r>
            <w:r>
              <w:rPr>
                <w:rFonts w:cs="Times New Roman"/>
                <w:b/>
                <w:bCs/>
                <w:sz w:val="21"/>
                <w:szCs w:val="21"/>
              </w:rPr>
              <w:t>[dB(A)]</w:t>
            </w:r>
          </w:p>
        </w:tc>
      </w:tr>
      <w:tr w:rsidR="00544649" w14:paraId="1888D49B" w14:textId="77777777">
        <w:trPr>
          <w:cantSplit/>
          <w:trHeight w:val="65"/>
          <w:tblHeader/>
          <w:jc w:val="center"/>
        </w:trPr>
        <w:tc>
          <w:tcPr>
            <w:tcW w:w="2991" w:type="dxa"/>
            <w:vMerge w:val="restart"/>
            <w:vAlign w:val="center"/>
          </w:tcPr>
          <w:p w14:paraId="4C1C7527"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土石方阶段</w:t>
            </w:r>
          </w:p>
        </w:tc>
        <w:tc>
          <w:tcPr>
            <w:tcW w:w="2991" w:type="dxa"/>
            <w:vAlign w:val="center"/>
          </w:tcPr>
          <w:p w14:paraId="7AC734F4"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挖土机</w:t>
            </w:r>
          </w:p>
        </w:tc>
        <w:tc>
          <w:tcPr>
            <w:tcW w:w="3073" w:type="dxa"/>
            <w:vAlign w:val="center"/>
          </w:tcPr>
          <w:p w14:paraId="47476209"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78</w:t>
            </w:r>
            <w:r>
              <w:rPr>
                <w:rFonts w:cs="Times New Roman" w:hint="eastAsia"/>
                <w:sz w:val="21"/>
                <w:szCs w:val="21"/>
              </w:rPr>
              <w:t>~</w:t>
            </w:r>
            <w:r>
              <w:rPr>
                <w:rFonts w:cs="Times New Roman"/>
                <w:sz w:val="21"/>
                <w:szCs w:val="21"/>
              </w:rPr>
              <w:t>96</w:t>
            </w:r>
          </w:p>
        </w:tc>
      </w:tr>
      <w:tr w:rsidR="00544649" w14:paraId="1ADE2776" w14:textId="77777777">
        <w:trPr>
          <w:cantSplit/>
          <w:tblHeader/>
          <w:jc w:val="center"/>
        </w:trPr>
        <w:tc>
          <w:tcPr>
            <w:tcW w:w="2991" w:type="dxa"/>
            <w:vMerge/>
            <w:vAlign w:val="center"/>
          </w:tcPr>
          <w:p w14:paraId="5450EFE9"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2991" w:type="dxa"/>
            <w:vAlign w:val="center"/>
          </w:tcPr>
          <w:p w14:paraId="4010A0ED"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冲击机</w:t>
            </w:r>
          </w:p>
        </w:tc>
        <w:tc>
          <w:tcPr>
            <w:tcW w:w="3073" w:type="dxa"/>
            <w:vAlign w:val="center"/>
          </w:tcPr>
          <w:p w14:paraId="58FA716C"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95</w:t>
            </w:r>
          </w:p>
        </w:tc>
      </w:tr>
      <w:tr w:rsidR="00544649" w14:paraId="002926D2" w14:textId="77777777">
        <w:trPr>
          <w:cantSplit/>
          <w:tblHeader/>
          <w:jc w:val="center"/>
        </w:trPr>
        <w:tc>
          <w:tcPr>
            <w:tcW w:w="2991" w:type="dxa"/>
            <w:vMerge/>
            <w:vAlign w:val="center"/>
          </w:tcPr>
          <w:p w14:paraId="579C8A92"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2991" w:type="dxa"/>
            <w:vAlign w:val="center"/>
          </w:tcPr>
          <w:p w14:paraId="2B7CDF6D"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空压机</w:t>
            </w:r>
          </w:p>
        </w:tc>
        <w:tc>
          <w:tcPr>
            <w:tcW w:w="3073" w:type="dxa"/>
            <w:vAlign w:val="center"/>
          </w:tcPr>
          <w:p w14:paraId="70943103"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75</w:t>
            </w:r>
            <w:r>
              <w:rPr>
                <w:rFonts w:cs="Times New Roman" w:hint="eastAsia"/>
                <w:sz w:val="21"/>
                <w:szCs w:val="21"/>
              </w:rPr>
              <w:t>~</w:t>
            </w:r>
            <w:r>
              <w:rPr>
                <w:rFonts w:cs="Times New Roman"/>
                <w:sz w:val="21"/>
                <w:szCs w:val="21"/>
              </w:rPr>
              <w:t>85</w:t>
            </w:r>
          </w:p>
        </w:tc>
      </w:tr>
      <w:tr w:rsidR="00544649" w14:paraId="499626D7" w14:textId="77777777">
        <w:trPr>
          <w:cantSplit/>
          <w:trHeight w:val="65"/>
          <w:tblHeader/>
          <w:jc w:val="center"/>
        </w:trPr>
        <w:tc>
          <w:tcPr>
            <w:tcW w:w="2991" w:type="dxa"/>
            <w:vMerge/>
            <w:vAlign w:val="center"/>
          </w:tcPr>
          <w:p w14:paraId="45C2FAF7"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2991" w:type="dxa"/>
            <w:vAlign w:val="center"/>
          </w:tcPr>
          <w:p w14:paraId="6422A3CE"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卷扬机</w:t>
            </w:r>
          </w:p>
        </w:tc>
        <w:tc>
          <w:tcPr>
            <w:tcW w:w="3073" w:type="dxa"/>
            <w:vAlign w:val="center"/>
          </w:tcPr>
          <w:p w14:paraId="1FF30867"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90</w:t>
            </w:r>
            <w:r>
              <w:rPr>
                <w:rFonts w:cs="Times New Roman" w:hint="eastAsia"/>
                <w:sz w:val="21"/>
                <w:szCs w:val="21"/>
              </w:rPr>
              <w:t>~</w:t>
            </w:r>
            <w:r>
              <w:rPr>
                <w:rFonts w:cs="Times New Roman"/>
                <w:sz w:val="21"/>
                <w:szCs w:val="21"/>
              </w:rPr>
              <w:t>105</w:t>
            </w:r>
          </w:p>
        </w:tc>
      </w:tr>
      <w:tr w:rsidR="00544649" w14:paraId="01AF234B" w14:textId="77777777">
        <w:trPr>
          <w:cantSplit/>
          <w:tblHeader/>
          <w:jc w:val="center"/>
        </w:trPr>
        <w:tc>
          <w:tcPr>
            <w:tcW w:w="2991" w:type="dxa"/>
            <w:vMerge w:val="restart"/>
            <w:vAlign w:val="center"/>
          </w:tcPr>
          <w:p w14:paraId="205CF4A1"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底板与结构阶段</w:t>
            </w:r>
          </w:p>
        </w:tc>
        <w:tc>
          <w:tcPr>
            <w:tcW w:w="2991" w:type="dxa"/>
            <w:vAlign w:val="center"/>
          </w:tcPr>
          <w:p w14:paraId="292174E5"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混凝土输送泵</w:t>
            </w:r>
          </w:p>
        </w:tc>
        <w:tc>
          <w:tcPr>
            <w:tcW w:w="3073" w:type="dxa"/>
            <w:vAlign w:val="center"/>
          </w:tcPr>
          <w:p w14:paraId="038E35B5"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90</w:t>
            </w:r>
            <w:r>
              <w:rPr>
                <w:rFonts w:cs="Times New Roman" w:hint="eastAsia"/>
                <w:sz w:val="21"/>
                <w:szCs w:val="21"/>
              </w:rPr>
              <w:t>~</w:t>
            </w:r>
            <w:r>
              <w:rPr>
                <w:rFonts w:cs="Times New Roman"/>
                <w:sz w:val="21"/>
                <w:szCs w:val="21"/>
              </w:rPr>
              <w:t>100</w:t>
            </w:r>
          </w:p>
        </w:tc>
      </w:tr>
      <w:tr w:rsidR="00544649" w14:paraId="56032154" w14:textId="77777777">
        <w:trPr>
          <w:cantSplit/>
          <w:tblHeader/>
          <w:jc w:val="center"/>
        </w:trPr>
        <w:tc>
          <w:tcPr>
            <w:tcW w:w="2991" w:type="dxa"/>
            <w:vMerge/>
            <w:vAlign w:val="center"/>
          </w:tcPr>
          <w:p w14:paraId="36E9B31D"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2991" w:type="dxa"/>
            <w:vAlign w:val="center"/>
          </w:tcPr>
          <w:p w14:paraId="3E892239"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振捣器</w:t>
            </w:r>
          </w:p>
        </w:tc>
        <w:tc>
          <w:tcPr>
            <w:tcW w:w="3073" w:type="dxa"/>
            <w:vAlign w:val="center"/>
          </w:tcPr>
          <w:p w14:paraId="2DF2C883"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100</w:t>
            </w:r>
            <w:r>
              <w:rPr>
                <w:rFonts w:cs="Times New Roman" w:hint="eastAsia"/>
                <w:sz w:val="21"/>
                <w:szCs w:val="21"/>
              </w:rPr>
              <w:t>~</w:t>
            </w:r>
            <w:r>
              <w:rPr>
                <w:rFonts w:cs="Times New Roman"/>
                <w:sz w:val="21"/>
                <w:szCs w:val="21"/>
              </w:rPr>
              <w:t>100</w:t>
            </w:r>
          </w:p>
        </w:tc>
      </w:tr>
      <w:tr w:rsidR="00544649" w14:paraId="574DEF2B" w14:textId="77777777">
        <w:trPr>
          <w:cantSplit/>
          <w:tblHeader/>
          <w:jc w:val="center"/>
        </w:trPr>
        <w:tc>
          <w:tcPr>
            <w:tcW w:w="2991" w:type="dxa"/>
            <w:vMerge/>
            <w:vAlign w:val="center"/>
          </w:tcPr>
          <w:p w14:paraId="51228841"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2991" w:type="dxa"/>
            <w:vAlign w:val="center"/>
          </w:tcPr>
          <w:p w14:paraId="34D1FF4E"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电锯</w:t>
            </w:r>
          </w:p>
        </w:tc>
        <w:tc>
          <w:tcPr>
            <w:tcW w:w="3073" w:type="dxa"/>
            <w:vAlign w:val="center"/>
          </w:tcPr>
          <w:p w14:paraId="773C1711"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100</w:t>
            </w:r>
            <w:r>
              <w:rPr>
                <w:rFonts w:cs="Times New Roman" w:hint="eastAsia"/>
                <w:sz w:val="21"/>
                <w:szCs w:val="21"/>
              </w:rPr>
              <w:t>~</w:t>
            </w:r>
            <w:r>
              <w:rPr>
                <w:rFonts w:cs="Times New Roman"/>
                <w:sz w:val="21"/>
                <w:szCs w:val="21"/>
              </w:rPr>
              <w:t>100</w:t>
            </w:r>
          </w:p>
        </w:tc>
      </w:tr>
      <w:tr w:rsidR="00544649" w14:paraId="284A0A78" w14:textId="77777777">
        <w:trPr>
          <w:cantSplit/>
          <w:tblHeader/>
          <w:jc w:val="center"/>
        </w:trPr>
        <w:tc>
          <w:tcPr>
            <w:tcW w:w="2991" w:type="dxa"/>
            <w:vMerge/>
            <w:vAlign w:val="center"/>
          </w:tcPr>
          <w:p w14:paraId="63DD3889"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2991" w:type="dxa"/>
            <w:vAlign w:val="center"/>
          </w:tcPr>
          <w:p w14:paraId="38CEB989"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电焊机</w:t>
            </w:r>
          </w:p>
        </w:tc>
        <w:tc>
          <w:tcPr>
            <w:tcW w:w="3073" w:type="dxa"/>
            <w:vAlign w:val="center"/>
          </w:tcPr>
          <w:p w14:paraId="6DB08778"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90</w:t>
            </w:r>
            <w:r>
              <w:rPr>
                <w:rFonts w:cs="Times New Roman" w:hint="eastAsia"/>
                <w:sz w:val="21"/>
                <w:szCs w:val="21"/>
              </w:rPr>
              <w:t>~</w:t>
            </w:r>
            <w:r>
              <w:rPr>
                <w:rFonts w:cs="Times New Roman"/>
                <w:sz w:val="21"/>
                <w:szCs w:val="21"/>
              </w:rPr>
              <w:t>95</w:t>
            </w:r>
          </w:p>
        </w:tc>
      </w:tr>
      <w:tr w:rsidR="00544649" w14:paraId="71C92853" w14:textId="77777777">
        <w:trPr>
          <w:cantSplit/>
          <w:tblHeader/>
          <w:jc w:val="center"/>
        </w:trPr>
        <w:tc>
          <w:tcPr>
            <w:tcW w:w="2991" w:type="dxa"/>
            <w:vMerge w:val="restart"/>
            <w:vAlign w:val="center"/>
          </w:tcPr>
          <w:p w14:paraId="3B806B72"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装修安装阶段</w:t>
            </w:r>
          </w:p>
        </w:tc>
        <w:tc>
          <w:tcPr>
            <w:tcW w:w="2991" w:type="dxa"/>
            <w:vAlign w:val="center"/>
          </w:tcPr>
          <w:p w14:paraId="48A6C3B0"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电钻、手工钻等</w:t>
            </w:r>
          </w:p>
        </w:tc>
        <w:tc>
          <w:tcPr>
            <w:tcW w:w="3073" w:type="dxa"/>
            <w:vAlign w:val="center"/>
          </w:tcPr>
          <w:p w14:paraId="40AE1785"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100</w:t>
            </w:r>
            <w:r>
              <w:rPr>
                <w:rFonts w:cs="Times New Roman" w:hint="eastAsia"/>
                <w:sz w:val="21"/>
                <w:szCs w:val="21"/>
              </w:rPr>
              <w:t>~</w:t>
            </w:r>
            <w:r>
              <w:rPr>
                <w:rFonts w:cs="Times New Roman"/>
                <w:sz w:val="21"/>
                <w:szCs w:val="21"/>
              </w:rPr>
              <w:t>105</w:t>
            </w:r>
          </w:p>
        </w:tc>
      </w:tr>
      <w:tr w:rsidR="00544649" w14:paraId="634F90B4" w14:textId="77777777">
        <w:trPr>
          <w:cantSplit/>
          <w:tblHeader/>
          <w:jc w:val="center"/>
        </w:trPr>
        <w:tc>
          <w:tcPr>
            <w:tcW w:w="2991" w:type="dxa"/>
            <w:vMerge/>
            <w:vAlign w:val="center"/>
          </w:tcPr>
          <w:p w14:paraId="4D1CDE47"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2991" w:type="dxa"/>
            <w:vAlign w:val="center"/>
          </w:tcPr>
          <w:p w14:paraId="678839CF"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电锤</w:t>
            </w:r>
          </w:p>
        </w:tc>
        <w:tc>
          <w:tcPr>
            <w:tcW w:w="3073" w:type="dxa"/>
            <w:vAlign w:val="center"/>
          </w:tcPr>
          <w:p w14:paraId="701EA93E"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100</w:t>
            </w:r>
            <w:r>
              <w:rPr>
                <w:rFonts w:cs="Times New Roman" w:hint="eastAsia"/>
                <w:sz w:val="21"/>
                <w:szCs w:val="21"/>
              </w:rPr>
              <w:t>~</w:t>
            </w:r>
            <w:r>
              <w:rPr>
                <w:rFonts w:cs="Times New Roman"/>
                <w:sz w:val="21"/>
                <w:szCs w:val="21"/>
              </w:rPr>
              <w:t>105</w:t>
            </w:r>
          </w:p>
        </w:tc>
      </w:tr>
      <w:tr w:rsidR="00544649" w14:paraId="5386A0FD" w14:textId="77777777">
        <w:trPr>
          <w:cantSplit/>
          <w:trHeight w:val="231"/>
          <w:tblHeader/>
          <w:jc w:val="center"/>
        </w:trPr>
        <w:tc>
          <w:tcPr>
            <w:tcW w:w="2991" w:type="dxa"/>
            <w:vMerge/>
            <w:vAlign w:val="center"/>
          </w:tcPr>
          <w:p w14:paraId="7E6F39DB" w14:textId="77777777" w:rsidR="00544649" w:rsidRDefault="00544649">
            <w:pPr>
              <w:adjustRightInd w:val="0"/>
              <w:snapToGrid w:val="0"/>
              <w:spacing w:after="0" w:line="240" w:lineRule="auto"/>
              <w:ind w:firstLineChars="0" w:firstLine="0"/>
              <w:jc w:val="center"/>
              <w:rPr>
                <w:rFonts w:cs="Times New Roman"/>
                <w:sz w:val="21"/>
                <w:szCs w:val="21"/>
              </w:rPr>
            </w:pPr>
          </w:p>
        </w:tc>
        <w:tc>
          <w:tcPr>
            <w:tcW w:w="2991" w:type="dxa"/>
            <w:vAlign w:val="center"/>
          </w:tcPr>
          <w:p w14:paraId="0C0B790D"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无齿锯</w:t>
            </w:r>
          </w:p>
        </w:tc>
        <w:tc>
          <w:tcPr>
            <w:tcW w:w="3073" w:type="dxa"/>
            <w:vAlign w:val="center"/>
          </w:tcPr>
          <w:p w14:paraId="2F2FB02E" w14:textId="77777777" w:rsidR="00544649" w:rsidRDefault="00000000">
            <w:pPr>
              <w:adjustRightInd w:val="0"/>
              <w:snapToGrid w:val="0"/>
              <w:spacing w:after="0" w:line="240" w:lineRule="auto"/>
              <w:ind w:firstLineChars="0" w:firstLine="0"/>
              <w:jc w:val="center"/>
              <w:rPr>
                <w:rFonts w:cs="Times New Roman"/>
                <w:sz w:val="21"/>
                <w:szCs w:val="21"/>
              </w:rPr>
            </w:pPr>
            <w:r>
              <w:rPr>
                <w:rFonts w:cs="Times New Roman"/>
                <w:sz w:val="21"/>
                <w:szCs w:val="21"/>
              </w:rPr>
              <w:t>105</w:t>
            </w:r>
          </w:p>
        </w:tc>
      </w:tr>
    </w:tbl>
    <w:p w14:paraId="17150F5C" w14:textId="77777777" w:rsidR="00544649" w:rsidRDefault="00000000">
      <w:pPr>
        <w:adjustRightInd w:val="0"/>
        <w:snapToGrid w:val="0"/>
        <w:spacing w:after="0"/>
        <w:ind w:firstLine="482"/>
        <w:rPr>
          <w:rFonts w:cs="Times New Roman"/>
          <w:b/>
          <w:kern w:val="21"/>
          <w:szCs w:val="24"/>
        </w:rPr>
      </w:pPr>
      <w:r>
        <w:rPr>
          <w:rFonts w:cs="Times New Roman" w:hint="eastAsia"/>
          <w:b/>
          <w:bCs/>
          <w:kern w:val="21"/>
          <w:szCs w:val="24"/>
        </w:rPr>
        <w:t>三、</w:t>
      </w:r>
      <w:r>
        <w:rPr>
          <w:rFonts w:cs="Times New Roman"/>
          <w:b/>
          <w:kern w:val="21"/>
          <w:szCs w:val="24"/>
        </w:rPr>
        <w:t>施工期噪声保护措施</w:t>
      </w:r>
    </w:p>
    <w:p w14:paraId="1DFB028F" w14:textId="77777777" w:rsidR="00544649" w:rsidRDefault="00000000">
      <w:pPr>
        <w:adjustRightInd w:val="0"/>
        <w:snapToGrid w:val="0"/>
        <w:spacing w:after="0"/>
        <w:ind w:firstLine="480"/>
        <w:rPr>
          <w:rFonts w:cs="Times New Roman"/>
          <w:kern w:val="21"/>
          <w:szCs w:val="24"/>
        </w:rPr>
      </w:pPr>
      <w:r>
        <w:rPr>
          <w:rFonts w:cs="Times New Roman"/>
          <w:kern w:val="21"/>
          <w:szCs w:val="24"/>
        </w:rPr>
        <w:t>施工期的噪声影响是短期的，项目建成后，施工期噪声的影响也就此结束。但是由于施工机械均为强噪声源，施工期间噪声影响范围较大，必须采取积极的降噪措施。本次评价提出以下要求：</w:t>
      </w:r>
    </w:p>
    <w:p w14:paraId="419DDC06"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1</w:t>
      </w:r>
      <w:r>
        <w:rPr>
          <w:rFonts w:cs="Times New Roman"/>
          <w:kern w:val="21"/>
          <w:szCs w:val="24"/>
        </w:rPr>
        <w:t>）根据《中华人民共和国噪声污染防治法》第二十九条规定：施工单位必须在工程开工</w:t>
      </w:r>
      <w:r>
        <w:rPr>
          <w:rFonts w:cs="Times New Roman"/>
          <w:kern w:val="21"/>
          <w:szCs w:val="24"/>
        </w:rPr>
        <w:t>15</w:t>
      </w:r>
      <w:r>
        <w:rPr>
          <w:rFonts w:cs="Times New Roman"/>
          <w:kern w:val="21"/>
          <w:szCs w:val="24"/>
        </w:rPr>
        <w:t>日以前向工程所在地县级以上地方人民政府环境保护行政主管部门申报工程项目名称、施工场所和期限、建筑施工机械可能产生的</w:t>
      </w:r>
      <w:r>
        <w:rPr>
          <w:rFonts w:cs="Times New Roman"/>
          <w:kern w:val="21"/>
        </w:rPr>
        <w:t>环境</w:t>
      </w:r>
      <w:r>
        <w:rPr>
          <w:rFonts w:cs="Times New Roman"/>
          <w:kern w:val="21"/>
          <w:szCs w:val="24"/>
        </w:rPr>
        <w:t>噪声值以及所采取的环境噪声污染防治措施情况；</w:t>
      </w:r>
    </w:p>
    <w:p w14:paraId="600EB53C"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2</w:t>
      </w:r>
      <w:r>
        <w:rPr>
          <w:rFonts w:cs="Times New Roman"/>
          <w:kern w:val="21"/>
          <w:szCs w:val="24"/>
        </w:rPr>
        <w:t>）合理安排施工时间，高噪声工种禁止午休（</w:t>
      </w:r>
      <w:r>
        <w:rPr>
          <w:rFonts w:cs="Times New Roman"/>
          <w:kern w:val="21"/>
          <w:szCs w:val="24"/>
        </w:rPr>
        <w:t>12</w:t>
      </w:r>
      <w:r>
        <w:rPr>
          <w:rFonts w:cs="Times New Roman"/>
          <w:kern w:val="21"/>
          <w:szCs w:val="24"/>
        </w:rPr>
        <w:t>：</w:t>
      </w:r>
      <w:r>
        <w:rPr>
          <w:rFonts w:cs="Times New Roman"/>
          <w:kern w:val="21"/>
          <w:szCs w:val="24"/>
        </w:rPr>
        <w:t>00~14</w:t>
      </w:r>
      <w:r>
        <w:rPr>
          <w:rFonts w:cs="Times New Roman"/>
          <w:kern w:val="21"/>
          <w:szCs w:val="24"/>
        </w:rPr>
        <w:t>：</w:t>
      </w:r>
      <w:r>
        <w:rPr>
          <w:rFonts w:cs="Times New Roman"/>
          <w:kern w:val="21"/>
          <w:szCs w:val="24"/>
        </w:rPr>
        <w:t>00</w:t>
      </w:r>
      <w:r>
        <w:rPr>
          <w:rFonts w:cs="Times New Roman"/>
          <w:kern w:val="21"/>
          <w:szCs w:val="24"/>
        </w:rPr>
        <w:t>）和夜间（</w:t>
      </w:r>
      <w:r>
        <w:rPr>
          <w:rFonts w:cs="Times New Roman"/>
          <w:kern w:val="21"/>
          <w:szCs w:val="24"/>
        </w:rPr>
        <w:t>22</w:t>
      </w:r>
      <w:r>
        <w:rPr>
          <w:rFonts w:cs="Times New Roman"/>
          <w:kern w:val="21"/>
          <w:szCs w:val="24"/>
        </w:rPr>
        <w:t>：</w:t>
      </w:r>
      <w:r>
        <w:rPr>
          <w:rFonts w:cs="Times New Roman"/>
          <w:kern w:val="21"/>
          <w:szCs w:val="24"/>
        </w:rPr>
        <w:t>00~06</w:t>
      </w:r>
      <w:r>
        <w:rPr>
          <w:rFonts w:cs="Times New Roman"/>
          <w:kern w:val="21"/>
          <w:szCs w:val="24"/>
        </w:rPr>
        <w:t>：</w:t>
      </w:r>
      <w:r>
        <w:rPr>
          <w:rFonts w:cs="Times New Roman"/>
          <w:kern w:val="21"/>
          <w:szCs w:val="24"/>
        </w:rPr>
        <w:t>00</w:t>
      </w:r>
      <w:r>
        <w:rPr>
          <w:rFonts w:cs="Times New Roman"/>
          <w:kern w:val="21"/>
          <w:szCs w:val="24"/>
        </w:rPr>
        <w:t>）施工，避免在同一时间内集中使用大量的动力机械设备。如夜间需进行施工工艺要求必须连续作业的强噪声施工，建设单位应首先征得项目所在地环保、建委、城管等主管部门同意。同时，要求施工单位严格执行《建筑施工场界环境噪声排放标准》（</w:t>
      </w:r>
      <w:r>
        <w:rPr>
          <w:rFonts w:cs="Times New Roman"/>
          <w:kern w:val="21"/>
          <w:szCs w:val="24"/>
        </w:rPr>
        <w:t>GB12523-2011</w:t>
      </w:r>
      <w:r>
        <w:rPr>
          <w:rFonts w:cs="Times New Roman"/>
          <w:kern w:val="21"/>
          <w:szCs w:val="24"/>
        </w:rPr>
        <w:t>）中的相关规定，施工期间的场界噪声必须满足《建筑施工场界环境噪声排放标准》（</w:t>
      </w:r>
      <w:r>
        <w:rPr>
          <w:rFonts w:cs="Times New Roman"/>
          <w:kern w:val="21"/>
          <w:szCs w:val="24"/>
        </w:rPr>
        <w:t>GB12523-2011</w:t>
      </w:r>
      <w:r>
        <w:rPr>
          <w:rFonts w:cs="Times New Roman"/>
          <w:kern w:val="21"/>
          <w:szCs w:val="24"/>
        </w:rPr>
        <w:t>）各阶段标准限值要求；</w:t>
      </w:r>
    </w:p>
    <w:p w14:paraId="60B2E6CA"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lastRenderedPageBreak/>
        <w:t>施工噪声仅在施工期的设备安装阶段产生，会随着设备安装的结束而消失。施工期噪声经过采取上述措施治理后，其施工期间的场界噪声可以满足《建筑施工场界环境噪声排放标准》（</w:t>
      </w:r>
      <w:r>
        <w:rPr>
          <w:rFonts w:cs="Times New Roman"/>
          <w:b/>
          <w:bCs/>
          <w:kern w:val="21"/>
          <w:szCs w:val="24"/>
        </w:rPr>
        <w:t>GB12523-2011</w:t>
      </w:r>
      <w:r>
        <w:rPr>
          <w:rFonts w:cs="Times New Roman"/>
          <w:b/>
          <w:bCs/>
          <w:kern w:val="21"/>
          <w:szCs w:val="24"/>
        </w:rPr>
        <w:t>）标准的要求，实现达标排放，不会对</w:t>
      </w:r>
      <w:proofErr w:type="gramStart"/>
      <w:r>
        <w:rPr>
          <w:rFonts w:cs="Times New Roman"/>
          <w:b/>
          <w:bCs/>
          <w:kern w:val="21"/>
          <w:szCs w:val="24"/>
        </w:rPr>
        <w:t>周围声</w:t>
      </w:r>
      <w:proofErr w:type="gramEnd"/>
      <w:r>
        <w:rPr>
          <w:rFonts w:cs="Times New Roman"/>
          <w:b/>
          <w:bCs/>
          <w:kern w:val="21"/>
          <w:szCs w:val="24"/>
        </w:rPr>
        <w:t>环境产生不利影响。</w:t>
      </w:r>
    </w:p>
    <w:p w14:paraId="4A4CC31A" w14:textId="77777777" w:rsidR="00544649" w:rsidRDefault="00000000">
      <w:pPr>
        <w:numPr>
          <w:ilvl w:val="2"/>
          <w:numId w:val="9"/>
        </w:numPr>
        <w:adjustRightInd w:val="0"/>
        <w:snapToGrid w:val="0"/>
        <w:spacing w:after="0"/>
        <w:ind w:firstLineChars="0"/>
        <w:outlineLvl w:val="2"/>
        <w:rPr>
          <w:rFonts w:cs="Times New Roman"/>
          <w:b/>
          <w:bCs/>
          <w:kern w:val="21"/>
          <w:sz w:val="28"/>
          <w:szCs w:val="24"/>
        </w:rPr>
      </w:pPr>
      <w:bookmarkStart w:id="310" w:name="_Toc12419"/>
      <w:bookmarkStart w:id="311" w:name="_Toc195009883"/>
      <w:r>
        <w:rPr>
          <w:rFonts w:cs="Times New Roman"/>
          <w:b/>
          <w:bCs/>
          <w:kern w:val="21"/>
          <w:sz w:val="28"/>
          <w:szCs w:val="24"/>
        </w:rPr>
        <w:t>施工期固体废物环境影响分析</w:t>
      </w:r>
      <w:bookmarkEnd w:id="310"/>
      <w:bookmarkEnd w:id="311"/>
    </w:p>
    <w:p w14:paraId="7DE58F9D" w14:textId="77777777" w:rsidR="00544649" w:rsidRDefault="00000000">
      <w:pPr>
        <w:adjustRightInd w:val="0"/>
        <w:snapToGrid w:val="0"/>
        <w:spacing w:after="0"/>
        <w:ind w:firstLine="480"/>
        <w:rPr>
          <w:rFonts w:cs="Times New Roman"/>
          <w:kern w:val="21"/>
          <w:szCs w:val="24"/>
        </w:rPr>
      </w:pPr>
      <w:r>
        <w:rPr>
          <w:rFonts w:cs="Times New Roman"/>
          <w:kern w:val="21"/>
          <w:szCs w:val="24"/>
        </w:rPr>
        <w:t>根据工程分析，</w:t>
      </w:r>
      <w:r>
        <w:rPr>
          <w:rFonts w:cs="Times New Roman" w:hint="eastAsia"/>
          <w:kern w:val="21"/>
          <w:szCs w:val="24"/>
        </w:rPr>
        <w:t>本</w:t>
      </w:r>
      <w:r>
        <w:rPr>
          <w:rFonts w:cs="Times New Roman"/>
          <w:kern w:val="21"/>
          <w:szCs w:val="24"/>
        </w:rPr>
        <w:t>项目施工期产生的固体废弃物</w:t>
      </w:r>
      <w:r>
        <w:rPr>
          <w:rFonts w:cs="Times New Roman"/>
          <w:kern w:val="21"/>
          <w:szCs w:val="21"/>
        </w:rPr>
        <w:t>主要包括建筑垃圾和施工人员生活垃圾。</w:t>
      </w:r>
    </w:p>
    <w:p w14:paraId="6AC36BB3" w14:textId="77777777" w:rsidR="00544649" w:rsidRDefault="00000000">
      <w:pPr>
        <w:adjustRightInd w:val="0"/>
        <w:snapToGrid w:val="0"/>
        <w:spacing w:after="0"/>
        <w:ind w:firstLine="482"/>
        <w:rPr>
          <w:rFonts w:cs="Times New Roman"/>
          <w:b/>
          <w:kern w:val="21"/>
        </w:rPr>
      </w:pPr>
      <w:r>
        <w:rPr>
          <w:rFonts w:cs="Times New Roman"/>
          <w:b/>
          <w:kern w:val="21"/>
        </w:rPr>
        <w:t>（</w:t>
      </w:r>
      <w:r>
        <w:rPr>
          <w:rFonts w:cs="Times New Roman"/>
          <w:b/>
          <w:kern w:val="21"/>
        </w:rPr>
        <w:t>1</w:t>
      </w:r>
      <w:r>
        <w:rPr>
          <w:rFonts w:cs="Times New Roman"/>
          <w:b/>
          <w:kern w:val="21"/>
        </w:rPr>
        <w:t>）</w:t>
      </w:r>
      <w:r>
        <w:rPr>
          <w:rFonts w:cs="Times New Roman" w:hint="eastAsia"/>
          <w:b/>
          <w:kern w:val="21"/>
        </w:rPr>
        <w:t>土石方</w:t>
      </w:r>
    </w:p>
    <w:p w14:paraId="6607A0FF" w14:textId="77777777" w:rsidR="00544649" w:rsidRDefault="00000000">
      <w:pPr>
        <w:adjustRightInd w:val="0"/>
        <w:snapToGrid w:val="0"/>
        <w:spacing w:after="0"/>
        <w:ind w:firstLine="480"/>
        <w:rPr>
          <w:rFonts w:cs="Times New Roman"/>
          <w:bCs/>
          <w:kern w:val="21"/>
        </w:rPr>
      </w:pPr>
      <w:r>
        <w:rPr>
          <w:rFonts w:cs="Times New Roman" w:hint="eastAsia"/>
          <w:bCs/>
          <w:kern w:val="21"/>
        </w:rPr>
        <w:t>施工时，将进行场地平整、地基开挖，本项目所在地地势不平，根据业主介绍，所开挖的土石方全部用于填方和场地平整，使地势平坦，</w:t>
      </w:r>
      <w:proofErr w:type="gramStart"/>
      <w:r>
        <w:rPr>
          <w:rFonts w:cs="Times New Roman" w:hint="eastAsia"/>
          <w:bCs/>
          <w:kern w:val="21"/>
        </w:rPr>
        <w:t>无弃方外运</w:t>
      </w:r>
      <w:proofErr w:type="gramEnd"/>
      <w:r>
        <w:rPr>
          <w:rFonts w:cs="Times New Roman" w:hint="eastAsia"/>
          <w:bCs/>
          <w:kern w:val="21"/>
        </w:rPr>
        <w:t>。评价要求开挖临时堆存的土方应做好相应的防风、防雨措施。</w:t>
      </w:r>
    </w:p>
    <w:p w14:paraId="4DB830DA" w14:textId="77777777" w:rsidR="00544649" w:rsidRDefault="00000000">
      <w:pPr>
        <w:adjustRightInd w:val="0"/>
        <w:snapToGrid w:val="0"/>
        <w:spacing w:after="0"/>
        <w:ind w:firstLine="482"/>
        <w:rPr>
          <w:rFonts w:cs="Times New Roman"/>
          <w:b/>
          <w:kern w:val="21"/>
        </w:rPr>
      </w:pPr>
      <w:r>
        <w:rPr>
          <w:rFonts w:cs="Times New Roman" w:hint="eastAsia"/>
          <w:b/>
          <w:kern w:val="21"/>
        </w:rPr>
        <w:t>（</w:t>
      </w:r>
      <w:r>
        <w:rPr>
          <w:rFonts w:cs="Times New Roman" w:hint="eastAsia"/>
          <w:b/>
          <w:kern w:val="21"/>
        </w:rPr>
        <w:t>2</w:t>
      </w:r>
      <w:r>
        <w:rPr>
          <w:rFonts w:cs="Times New Roman" w:hint="eastAsia"/>
          <w:b/>
          <w:kern w:val="21"/>
        </w:rPr>
        <w:t>）</w:t>
      </w:r>
      <w:r>
        <w:rPr>
          <w:rFonts w:cs="Times New Roman"/>
          <w:b/>
          <w:kern w:val="21"/>
        </w:rPr>
        <w:t>建筑垃圾</w:t>
      </w:r>
    </w:p>
    <w:p w14:paraId="2E36E959" w14:textId="77777777" w:rsidR="00544649" w:rsidRDefault="00000000">
      <w:pPr>
        <w:adjustRightInd w:val="0"/>
        <w:snapToGrid w:val="0"/>
        <w:spacing w:after="0"/>
        <w:ind w:firstLine="480"/>
        <w:rPr>
          <w:rFonts w:cs="Times New Roman"/>
          <w:kern w:val="21"/>
          <w:szCs w:val="24"/>
        </w:rPr>
      </w:pPr>
      <w:r>
        <w:rPr>
          <w:rFonts w:cs="Times New Roman"/>
          <w:kern w:val="21"/>
          <w:szCs w:val="21"/>
        </w:rPr>
        <w:t>在</w:t>
      </w:r>
      <w:r>
        <w:rPr>
          <w:kern w:val="21"/>
        </w:rPr>
        <w:t>施工期主体工程和设备安装过程中</w:t>
      </w:r>
      <w:r>
        <w:rPr>
          <w:rFonts w:cs="Times New Roman"/>
          <w:kern w:val="21"/>
          <w:szCs w:val="24"/>
        </w:rPr>
        <w:t>会产生一定数量</w:t>
      </w:r>
      <w:r>
        <w:rPr>
          <w:rFonts w:cs="Times New Roman" w:hint="eastAsia"/>
          <w:kern w:val="21"/>
          <w:szCs w:val="24"/>
        </w:rPr>
        <w:t>的</w:t>
      </w:r>
      <w:r>
        <w:rPr>
          <w:kern w:val="21"/>
        </w:rPr>
        <w:t>建筑垃圾</w:t>
      </w:r>
      <w:r>
        <w:rPr>
          <w:rFonts w:hint="eastAsia"/>
          <w:kern w:val="21"/>
        </w:rPr>
        <w:t>，</w:t>
      </w:r>
      <w:r>
        <w:rPr>
          <w:kern w:val="21"/>
        </w:rPr>
        <w:t>如废纸板、编织袋等</w:t>
      </w:r>
      <w:r>
        <w:rPr>
          <w:rFonts w:hint="eastAsia"/>
          <w:kern w:val="21"/>
        </w:rPr>
        <w:t>；</w:t>
      </w:r>
      <w:r>
        <w:rPr>
          <w:rFonts w:hint="eastAsia"/>
          <w:kern w:val="21"/>
          <w:szCs w:val="24"/>
        </w:rPr>
        <w:t>还会产生一定数量的装修垃圾，</w:t>
      </w:r>
      <w:r>
        <w:rPr>
          <w:rFonts w:cs="Times New Roman"/>
          <w:kern w:val="21"/>
          <w:szCs w:val="24"/>
        </w:rPr>
        <w:t>如废油漆桶、废涂料桶等，建筑</w:t>
      </w:r>
      <w:r>
        <w:rPr>
          <w:kern w:val="21"/>
          <w:szCs w:val="24"/>
        </w:rPr>
        <w:t>垃圾</w:t>
      </w:r>
      <w:r>
        <w:rPr>
          <w:rFonts w:hint="eastAsia"/>
          <w:kern w:val="21"/>
          <w:szCs w:val="24"/>
        </w:rPr>
        <w:t>中可回收利用的</w:t>
      </w:r>
      <w:r>
        <w:rPr>
          <w:kern w:val="21"/>
        </w:rPr>
        <w:t>出售给废品回收站，不能回收的运往政府指定堆放点</w:t>
      </w:r>
      <w:r>
        <w:rPr>
          <w:rFonts w:hint="eastAsia"/>
          <w:kern w:val="21"/>
        </w:rPr>
        <w:t>；</w:t>
      </w:r>
      <w:r>
        <w:rPr>
          <w:rFonts w:hint="eastAsia"/>
          <w:kern w:val="21"/>
          <w:szCs w:val="24"/>
        </w:rPr>
        <w:t>废油漆桶、废涂料桶等装修垃圾交由有相应</w:t>
      </w:r>
      <w:proofErr w:type="gramStart"/>
      <w:r>
        <w:rPr>
          <w:rFonts w:hint="eastAsia"/>
          <w:kern w:val="21"/>
          <w:szCs w:val="24"/>
        </w:rPr>
        <w:t>危废处理</w:t>
      </w:r>
      <w:proofErr w:type="gramEnd"/>
      <w:r>
        <w:rPr>
          <w:rFonts w:hint="eastAsia"/>
          <w:kern w:val="21"/>
          <w:szCs w:val="24"/>
        </w:rPr>
        <w:t>资质的单位处理。</w:t>
      </w:r>
    </w:p>
    <w:p w14:paraId="0BA2C01F" w14:textId="77777777" w:rsidR="00544649" w:rsidRDefault="00000000">
      <w:pPr>
        <w:adjustRightInd w:val="0"/>
        <w:snapToGrid w:val="0"/>
        <w:spacing w:after="0"/>
        <w:ind w:firstLine="480"/>
        <w:rPr>
          <w:rFonts w:cs="Times New Roman"/>
          <w:kern w:val="21"/>
          <w:szCs w:val="24"/>
        </w:rPr>
      </w:pPr>
      <w:r>
        <w:rPr>
          <w:rFonts w:cs="Times New Roman"/>
          <w:kern w:val="21"/>
          <w:szCs w:val="24"/>
        </w:rPr>
        <w:t>在施工期要加强对废弃物的收集和管理，将建筑垃圾和能回收的废材料、废包装袋分别收集堆放，废材料、废包装袋及时出售给废品回收公司处理，不能回收的建筑垃圾由施工方统一清运。为确保废弃物处置措施落实，建设单位或施工总承包单位在与建筑垃圾清运公司签订清运合同时，应</w:t>
      </w:r>
      <w:r>
        <w:rPr>
          <w:rFonts w:cs="Times New Roman"/>
          <w:kern w:val="21"/>
        </w:rPr>
        <w:t>要求</w:t>
      </w:r>
      <w:r>
        <w:rPr>
          <w:rFonts w:cs="Times New Roman"/>
          <w:kern w:val="21"/>
          <w:szCs w:val="24"/>
        </w:rPr>
        <w:t>承包公司提供废弃物去向的证明材料，严禁随意倾倒。</w:t>
      </w:r>
    </w:p>
    <w:p w14:paraId="7DB10EFE" w14:textId="77777777" w:rsidR="00544649" w:rsidRDefault="00000000">
      <w:pPr>
        <w:adjustRightInd w:val="0"/>
        <w:snapToGrid w:val="0"/>
        <w:spacing w:after="0"/>
        <w:ind w:firstLine="482"/>
        <w:rPr>
          <w:rFonts w:cs="Times New Roman"/>
          <w:b/>
          <w:kern w:val="21"/>
        </w:rPr>
      </w:pPr>
      <w:r>
        <w:rPr>
          <w:rFonts w:cs="Times New Roman"/>
          <w:b/>
          <w:kern w:val="21"/>
        </w:rPr>
        <w:t>（</w:t>
      </w:r>
      <w:r>
        <w:rPr>
          <w:rFonts w:cs="Times New Roman" w:hint="eastAsia"/>
          <w:b/>
          <w:kern w:val="21"/>
        </w:rPr>
        <w:t>3</w:t>
      </w:r>
      <w:r>
        <w:rPr>
          <w:rFonts w:cs="Times New Roman"/>
          <w:b/>
          <w:kern w:val="21"/>
        </w:rPr>
        <w:t>）</w:t>
      </w:r>
      <w:r>
        <w:rPr>
          <w:rFonts w:cs="Times New Roman" w:hint="eastAsia"/>
          <w:b/>
          <w:kern w:val="21"/>
        </w:rPr>
        <w:t>装修垃圾</w:t>
      </w:r>
    </w:p>
    <w:p w14:paraId="0C992D26" w14:textId="77777777" w:rsidR="00544649" w:rsidRDefault="00000000">
      <w:pPr>
        <w:adjustRightInd w:val="0"/>
        <w:snapToGrid w:val="0"/>
        <w:spacing w:after="0"/>
        <w:ind w:firstLine="480"/>
        <w:rPr>
          <w:rFonts w:cs="Times New Roman"/>
          <w:bCs/>
          <w:kern w:val="21"/>
        </w:rPr>
      </w:pPr>
      <w:r>
        <w:rPr>
          <w:rFonts w:cs="Times New Roman" w:hint="eastAsia"/>
          <w:bCs/>
          <w:kern w:val="21"/>
        </w:rPr>
        <w:t>装修垃圾一般有废砖头、砂、水泥及木屑等，会产生扬尘，因此不能随意倾倒，而应用编织袋包装后运出屋外，放在指定地点，由环卫部门统一清运处理。</w:t>
      </w:r>
    </w:p>
    <w:p w14:paraId="6B65BC7B" w14:textId="77777777" w:rsidR="00544649" w:rsidRDefault="00000000">
      <w:pPr>
        <w:adjustRightInd w:val="0"/>
        <w:snapToGrid w:val="0"/>
        <w:spacing w:after="0"/>
        <w:ind w:firstLine="482"/>
        <w:rPr>
          <w:rFonts w:cs="Times New Roman"/>
          <w:b/>
          <w:kern w:val="21"/>
        </w:rPr>
      </w:pPr>
      <w:r>
        <w:rPr>
          <w:rFonts w:cs="Times New Roman" w:hint="eastAsia"/>
          <w:b/>
          <w:kern w:val="21"/>
        </w:rPr>
        <w:t>（</w:t>
      </w:r>
      <w:r>
        <w:rPr>
          <w:rFonts w:cs="Times New Roman" w:hint="eastAsia"/>
          <w:b/>
          <w:kern w:val="21"/>
        </w:rPr>
        <w:t>4</w:t>
      </w:r>
      <w:r>
        <w:rPr>
          <w:rFonts w:cs="Times New Roman" w:hint="eastAsia"/>
          <w:b/>
          <w:kern w:val="21"/>
        </w:rPr>
        <w:t>）</w:t>
      </w:r>
      <w:r>
        <w:rPr>
          <w:rFonts w:cs="Times New Roman"/>
          <w:b/>
          <w:kern w:val="21"/>
        </w:rPr>
        <w:t>生活垃圾</w:t>
      </w:r>
    </w:p>
    <w:p w14:paraId="38FCA4EF" w14:textId="77777777" w:rsidR="00544649" w:rsidRDefault="00000000">
      <w:pPr>
        <w:adjustRightInd w:val="0"/>
        <w:snapToGrid w:val="0"/>
        <w:spacing w:after="0"/>
        <w:ind w:firstLine="480"/>
        <w:rPr>
          <w:rFonts w:cs="Times New Roman"/>
          <w:kern w:val="21"/>
          <w:szCs w:val="24"/>
        </w:rPr>
      </w:pPr>
      <w:r>
        <w:rPr>
          <w:rFonts w:cs="Times New Roman"/>
          <w:kern w:val="21"/>
        </w:rPr>
        <w:t>本项目施工人员</w:t>
      </w:r>
      <w:r>
        <w:rPr>
          <w:rFonts w:cs="Times New Roman" w:hint="eastAsia"/>
          <w:kern w:val="21"/>
        </w:rPr>
        <w:t>高峰期</w:t>
      </w:r>
      <w:r>
        <w:rPr>
          <w:rFonts w:cs="Times New Roman"/>
          <w:kern w:val="21"/>
        </w:rPr>
        <w:t>约</w:t>
      </w:r>
      <w:r>
        <w:rPr>
          <w:rFonts w:cs="Times New Roman" w:hint="eastAsia"/>
          <w:kern w:val="21"/>
        </w:rPr>
        <w:t>30</w:t>
      </w:r>
      <w:r>
        <w:rPr>
          <w:rFonts w:cs="Times New Roman"/>
          <w:kern w:val="21"/>
        </w:rPr>
        <w:t>人，</w:t>
      </w:r>
      <w:r>
        <w:rPr>
          <w:rFonts w:cs="Times New Roman"/>
          <w:kern w:val="21"/>
          <w:szCs w:val="24"/>
        </w:rPr>
        <w:t>生活垃圾产生量按每人</w:t>
      </w:r>
      <w:r>
        <w:rPr>
          <w:rFonts w:cs="Times New Roman"/>
          <w:kern w:val="21"/>
          <w:szCs w:val="24"/>
        </w:rPr>
        <w:t>0.5kg/d</w:t>
      </w:r>
      <w:r>
        <w:rPr>
          <w:rFonts w:cs="Times New Roman"/>
          <w:kern w:val="21"/>
          <w:szCs w:val="24"/>
        </w:rPr>
        <w:t>计，施工人员生活垃圾产生量约为</w:t>
      </w:r>
      <w:r>
        <w:rPr>
          <w:rFonts w:cs="Times New Roman"/>
          <w:kern w:val="21"/>
          <w:szCs w:val="24"/>
        </w:rPr>
        <w:t>0.0</w:t>
      </w:r>
      <w:r>
        <w:rPr>
          <w:rFonts w:cs="Times New Roman" w:hint="eastAsia"/>
          <w:kern w:val="21"/>
          <w:szCs w:val="24"/>
        </w:rPr>
        <w:t>1</w:t>
      </w:r>
      <w:r>
        <w:rPr>
          <w:rFonts w:cs="Times New Roman"/>
          <w:kern w:val="21"/>
          <w:szCs w:val="24"/>
        </w:rPr>
        <w:t>5t/d</w:t>
      </w:r>
      <w:r>
        <w:rPr>
          <w:rFonts w:cs="Times New Roman"/>
          <w:kern w:val="21"/>
          <w:szCs w:val="24"/>
        </w:rPr>
        <w:t>。施工过程中产生的生活垃圾经生活垃圾桶集中收集后由环卫部门统一运送到垃圾处理厂集中处理。</w:t>
      </w:r>
    </w:p>
    <w:p w14:paraId="4F502E2E"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综上所述，采取以上措施后，项目施工期间产生的固体废弃物均能得到清洁处理和处置，施工期产生的固废对周围环境的影响较小。</w:t>
      </w:r>
    </w:p>
    <w:p w14:paraId="52086DE1" w14:textId="77777777" w:rsidR="00544649" w:rsidRDefault="00000000">
      <w:pPr>
        <w:keepNext/>
        <w:keepLines/>
        <w:numPr>
          <w:ilvl w:val="2"/>
          <w:numId w:val="9"/>
        </w:numPr>
        <w:adjustRightInd w:val="0"/>
        <w:snapToGrid w:val="0"/>
        <w:spacing w:after="0"/>
        <w:ind w:firstLineChars="0"/>
        <w:jc w:val="left"/>
        <w:outlineLvl w:val="2"/>
        <w:rPr>
          <w:rFonts w:cs="Times New Roman"/>
          <w:b/>
          <w:kern w:val="21"/>
          <w:sz w:val="28"/>
          <w:szCs w:val="32"/>
        </w:rPr>
      </w:pPr>
      <w:bookmarkStart w:id="312" w:name="_Toc195009884"/>
      <w:r>
        <w:rPr>
          <w:rFonts w:cs="Times New Roman"/>
          <w:b/>
          <w:kern w:val="21"/>
          <w:sz w:val="28"/>
          <w:szCs w:val="32"/>
        </w:rPr>
        <w:lastRenderedPageBreak/>
        <w:t>施工期</w:t>
      </w:r>
      <w:r>
        <w:rPr>
          <w:rFonts w:cs="Times New Roman" w:hint="eastAsia"/>
          <w:b/>
          <w:kern w:val="21"/>
          <w:sz w:val="28"/>
          <w:szCs w:val="32"/>
        </w:rPr>
        <w:t>生态环境</w:t>
      </w:r>
      <w:r>
        <w:rPr>
          <w:rFonts w:cs="Times New Roman"/>
          <w:b/>
          <w:kern w:val="21"/>
          <w:sz w:val="28"/>
          <w:szCs w:val="32"/>
        </w:rPr>
        <w:t>影响分析</w:t>
      </w:r>
      <w:bookmarkEnd w:id="312"/>
    </w:p>
    <w:p w14:paraId="286C4268" w14:textId="77777777" w:rsidR="00544649" w:rsidRDefault="00000000">
      <w:pPr>
        <w:adjustRightInd w:val="0"/>
        <w:snapToGrid w:val="0"/>
        <w:spacing w:after="0"/>
        <w:ind w:firstLine="480"/>
        <w:rPr>
          <w:rFonts w:cs="Times New Roman"/>
          <w:kern w:val="21"/>
        </w:rPr>
      </w:pPr>
      <w:r>
        <w:rPr>
          <w:rFonts w:cs="Times New Roman" w:hint="eastAsia"/>
          <w:kern w:val="21"/>
        </w:rPr>
        <w:t>根据现场调查，本项目所在区域生态环境较单一、生物多样性较低，无珍稀濒危保护陆生动物、植物的自然分布。施工期对生态环境的影响主要体现在植被的破坏以及场地开挖造成的局部水土流失及边坡松散</w:t>
      </w:r>
      <w:proofErr w:type="gramStart"/>
      <w:r>
        <w:rPr>
          <w:rFonts w:cs="Times New Roman" w:hint="eastAsia"/>
          <w:kern w:val="21"/>
        </w:rPr>
        <w:t>垮脱造成</w:t>
      </w:r>
      <w:proofErr w:type="gramEnd"/>
      <w:r>
        <w:rPr>
          <w:rFonts w:cs="Times New Roman" w:hint="eastAsia"/>
          <w:kern w:val="21"/>
        </w:rPr>
        <w:t>的环境影响。</w:t>
      </w:r>
    </w:p>
    <w:p w14:paraId="5C3C584F" w14:textId="77777777" w:rsidR="00544649" w:rsidRDefault="00000000">
      <w:pPr>
        <w:adjustRightInd w:val="0"/>
        <w:snapToGrid w:val="0"/>
        <w:spacing w:after="0"/>
        <w:ind w:firstLine="482"/>
        <w:rPr>
          <w:rFonts w:cs="Times New Roman"/>
          <w:kern w:val="21"/>
        </w:rPr>
      </w:pPr>
      <w:r>
        <w:rPr>
          <w:rFonts w:cs="Times New Roman" w:hint="eastAsia"/>
          <w:b/>
          <w:bCs/>
          <w:kern w:val="21"/>
        </w:rPr>
        <w:t>对植被的影响：</w:t>
      </w:r>
      <w:r>
        <w:rPr>
          <w:rFonts w:cs="Times New Roman" w:hint="eastAsia"/>
          <w:kern w:val="21"/>
        </w:rPr>
        <w:t>项目用地现状覆盖有植被（主要为农作物、树林），项目的实施将会对现有植被造成破坏。在施工作业过程中，不得随意开挖，强化生态环境保护意识，严格控制施工作业区，不得随意扩大范围，尽量减少对植被的破坏。合理利用场地内原有树林植被设置绿化带，尽量保留可利用植被，降低生态影响。项目实施后，对厂区内进行绿化，种植花草树木，尽量恢复区域绿化。</w:t>
      </w:r>
    </w:p>
    <w:p w14:paraId="1214C850" w14:textId="77777777" w:rsidR="00544649" w:rsidRDefault="00000000">
      <w:pPr>
        <w:adjustRightInd w:val="0"/>
        <w:snapToGrid w:val="0"/>
        <w:spacing w:after="0"/>
        <w:ind w:firstLine="482"/>
        <w:rPr>
          <w:rFonts w:cs="Times New Roman"/>
          <w:kern w:val="21"/>
        </w:rPr>
      </w:pPr>
      <w:r>
        <w:rPr>
          <w:rFonts w:cs="Times New Roman" w:hint="eastAsia"/>
          <w:b/>
          <w:bCs/>
          <w:kern w:val="21"/>
        </w:rPr>
        <w:t>水土流失：</w:t>
      </w:r>
      <w:r>
        <w:rPr>
          <w:rFonts w:cs="Times New Roman" w:hint="eastAsia"/>
          <w:kern w:val="21"/>
        </w:rPr>
        <w:t>其主要发生在以下情形：一是基础开挖、土石方填埋和平整等工序形成土表层土石填料裸露、边坡裸露；二是土壤的裸露。当雨天特别是雨季来临时，如果不采取有效措施，将导致严重的水土流失。整个施工过程中尽可能避开雨天开挖施工；在施工作业过程中，不得随意开挖，强化生态环境保护意识，严格控制施工作业区，不得随意扩大范围，尽量减少对植被的破坏，保护水土资源；对于开挖土石方，减少临时堆放和不必要的转运过程，应尽快回填剩余用于场区内土地平整。环</w:t>
      </w:r>
      <w:proofErr w:type="gramStart"/>
      <w:r>
        <w:rPr>
          <w:rFonts w:cs="Times New Roman" w:hint="eastAsia"/>
          <w:kern w:val="21"/>
        </w:rPr>
        <w:t>评要求</w:t>
      </w:r>
      <w:proofErr w:type="gramEnd"/>
      <w:r>
        <w:rPr>
          <w:rFonts w:cs="Times New Roman" w:hint="eastAsia"/>
          <w:kern w:val="21"/>
        </w:rPr>
        <w:t>挖方时对土方进行剥离，可用土进行单独保存；在基础清理开挖时，为防止开挖土方进入施工区外，在开挖线外缘一侧用编织袋装清理表层</w:t>
      </w:r>
      <w:proofErr w:type="gramStart"/>
      <w:r>
        <w:rPr>
          <w:rFonts w:cs="Times New Roman" w:hint="eastAsia"/>
          <w:kern w:val="21"/>
        </w:rPr>
        <w:t>土临时</w:t>
      </w:r>
      <w:proofErr w:type="gramEnd"/>
      <w:r>
        <w:rPr>
          <w:rFonts w:cs="Times New Roman" w:hint="eastAsia"/>
          <w:kern w:val="21"/>
        </w:rPr>
        <w:t>拦挡；临时堆场周边设置围挡，并采用防雨布进行覆盖；尽快完善在施工场地四周雨水排水沟，防止雨水冲刷场地，并在排水沟出口设临时沉淀池，使雨水经沉淀后排放，尽力减少施工期水土流失。</w:t>
      </w:r>
    </w:p>
    <w:p w14:paraId="425550F8" w14:textId="77777777" w:rsidR="00544649" w:rsidRDefault="00000000">
      <w:pPr>
        <w:adjustRightInd w:val="0"/>
        <w:snapToGrid w:val="0"/>
        <w:spacing w:after="0"/>
        <w:ind w:firstLine="480"/>
        <w:rPr>
          <w:rFonts w:cs="Times New Roman"/>
          <w:kern w:val="21"/>
        </w:rPr>
      </w:pPr>
      <w:r>
        <w:rPr>
          <w:rFonts w:cs="Times New Roman" w:hint="eastAsia"/>
          <w:kern w:val="21"/>
        </w:rPr>
        <w:t>通过采取以上措施后，可大大减少了因施工造成水土流失，将对生态环境的影响降至最低，且施工期影响是短暂的。因此，本工程施工</w:t>
      </w:r>
      <w:proofErr w:type="gramStart"/>
      <w:r>
        <w:rPr>
          <w:rFonts w:cs="Times New Roman" w:hint="eastAsia"/>
          <w:kern w:val="21"/>
        </w:rPr>
        <w:t>期不会</w:t>
      </w:r>
      <w:proofErr w:type="gramEnd"/>
      <w:r>
        <w:rPr>
          <w:rFonts w:cs="Times New Roman" w:hint="eastAsia"/>
          <w:kern w:val="21"/>
        </w:rPr>
        <w:t>对所在区域生态环境造成明显影响。</w:t>
      </w:r>
    </w:p>
    <w:p w14:paraId="0EDFC505"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313" w:name="_Toc22376"/>
      <w:bookmarkStart w:id="314" w:name="_Toc195009885"/>
      <w:r>
        <w:rPr>
          <w:rFonts w:cs="Times New Roman"/>
          <w:b/>
          <w:bCs/>
          <w:kern w:val="21"/>
          <w:sz w:val="32"/>
          <w:szCs w:val="32"/>
        </w:rPr>
        <w:t>运营期环境影响分析</w:t>
      </w:r>
      <w:bookmarkEnd w:id="313"/>
      <w:bookmarkEnd w:id="314"/>
    </w:p>
    <w:p w14:paraId="39960425"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315" w:name="_Toc195009886"/>
      <w:r>
        <w:rPr>
          <w:rFonts w:cs="Times New Roman"/>
          <w:b/>
          <w:bCs/>
          <w:kern w:val="21"/>
          <w:sz w:val="28"/>
          <w:szCs w:val="24"/>
        </w:rPr>
        <w:t>运营期大气环境影响分析</w:t>
      </w:r>
      <w:bookmarkEnd w:id="315"/>
    </w:p>
    <w:p w14:paraId="4B29C32D" w14:textId="77777777" w:rsidR="00544649" w:rsidRDefault="00000000">
      <w:pPr>
        <w:keepNext/>
        <w:keepLines/>
        <w:numPr>
          <w:ilvl w:val="3"/>
          <w:numId w:val="9"/>
        </w:numPr>
        <w:adjustRightInd w:val="0"/>
        <w:snapToGrid w:val="0"/>
        <w:spacing w:after="0"/>
        <w:ind w:firstLineChars="0"/>
        <w:jc w:val="left"/>
        <w:outlineLvl w:val="3"/>
        <w:rPr>
          <w:rFonts w:cs="Times New Roman"/>
          <w:b/>
          <w:bCs/>
          <w:kern w:val="21"/>
        </w:rPr>
      </w:pPr>
      <w:r>
        <w:rPr>
          <w:rFonts w:cs="Times New Roman" w:hint="eastAsia"/>
          <w:b/>
          <w:bCs/>
          <w:kern w:val="21"/>
        </w:rPr>
        <w:t>气象资料</w:t>
      </w:r>
    </w:p>
    <w:p w14:paraId="1C3176FB" w14:textId="77777777" w:rsidR="00544649" w:rsidRDefault="00000000">
      <w:pPr>
        <w:adjustRightInd w:val="0"/>
        <w:snapToGrid w:val="0"/>
        <w:spacing w:after="0"/>
        <w:ind w:firstLine="480"/>
        <w:rPr>
          <w:rFonts w:cs="Times New Roman"/>
          <w:kern w:val="21"/>
        </w:rPr>
      </w:pPr>
      <w:r>
        <w:rPr>
          <w:rFonts w:cs="Times New Roman" w:hint="eastAsia"/>
          <w:kern w:val="21"/>
        </w:rPr>
        <w:t>剑阁县属亚热带湿润季风气候。气候温和，光照比较适宜，四季分明，大陆性季风明显。由于地理位置和多变地貌影响，垂直气候明显，小区域气候差异大，出现海拔高程不同，气候各异，高山顶和</w:t>
      </w:r>
      <w:proofErr w:type="gramStart"/>
      <w:r>
        <w:rPr>
          <w:rFonts w:cs="Times New Roman" w:hint="eastAsia"/>
          <w:kern w:val="21"/>
        </w:rPr>
        <w:t>漕</w:t>
      </w:r>
      <w:proofErr w:type="gramEnd"/>
      <w:r>
        <w:rPr>
          <w:rFonts w:cs="Times New Roman" w:hint="eastAsia"/>
          <w:kern w:val="21"/>
        </w:rPr>
        <w:t>谷地气温相差大。气候随海拔升高而降低。降水充分，但呈陡峭单峰型分布，时空分布不均，常有“东边日出西边雨”情形。剑阁</w:t>
      </w:r>
      <w:proofErr w:type="gramStart"/>
      <w:r>
        <w:rPr>
          <w:rFonts w:cs="Times New Roman" w:hint="eastAsia"/>
          <w:kern w:val="21"/>
        </w:rPr>
        <w:t>县</w:t>
      </w:r>
      <w:r>
        <w:rPr>
          <w:rFonts w:cs="Times New Roman" w:hint="eastAsia"/>
          <w:kern w:val="21"/>
        </w:rPr>
        <w:lastRenderedPageBreak/>
        <w:t>一般</w:t>
      </w:r>
      <w:proofErr w:type="gramEnd"/>
      <w:r>
        <w:rPr>
          <w:rFonts w:cs="Times New Roman" w:hint="eastAsia"/>
          <w:kern w:val="21"/>
        </w:rPr>
        <w:t>年平均气温约</w:t>
      </w:r>
      <w:r>
        <w:rPr>
          <w:rFonts w:cs="Times New Roman" w:hint="eastAsia"/>
          <w:kern w:val="21"/>
        </w:rPr>
        <w:t>15.4</w:t>
      </w:r>
      <w:r>
        <w:rPr>
          <w:rFonts w:cs="Times New Roman" w:hint="eastAsia"/>
          <w:kern w:val="21"/>
        </w:rPr>
        <w:t>℃，年均降水量</w:t>
      </w:r>
      <w:r>
        <w:rPr>
          <w:rFonts w:cs="Times New Roman" w:hint="eastAsia"/>
          <w:kern w:val="21"/>
        </w:rPr>
        <w:t>1212.8</w:t>
      </w:r>
      <w:r>
        <w:rPr>
          <w:rFonts w:cs="Times New Roman" w:hint="eastAsia"/>
          <w:kern w:val="21"/>
        </w:rPr>
        <w:t>毫米，境内风向随季节变化明显，夏半年盛行偏南风，冬半年盛行偏北风。全年无霜期约</w:t>
      </w:r>
      <w:r>
        <w:rPr>
          <w:rFonts w:cs="Times New Roman" w:hint="eastAsia"/>
          <w:kern w:val="21"/>
        </w:rPr>
        <w:t>270</w:t>
      </w:r>
      <w:r>
        <w:rPr>
          <w:rFonts w:cs="Times New Roman" w:hint="eastAsia"/>
          <w:kern w:val="21"/>
        </w:rPr>
        <w:t>天。秋冬两季多雾，多年平均日照时数为</w:t>
      </w:r>
      <w:r>
        <w:rPr>
          <w:rFonts w:cs="Times New Roman" w:hint="eastAsia"/>
          <w:kern w:val="21"/>
        </w:rPr>
        <w:t>1828.3</w:t>
      </w:r>
      <w:r>
        <w:rPr>
          <w:rFonts w:cs="Times New Roman" w:hint="eastAsia"/>
          <w:kern w:val="21"/>
        </w:rPr>
        <w:t>小时。</w:t>
      </w:r>
      <w:r>
        <w:rPr>
          <w:rFonts w:cs="Times New Roman" w:hint="eastAsia"/>
          <w:kern w:val="21"/>
          <w:szCs w:val="24"/>
        </w:rPr>
        <w:t>区域主要气象参数如下：</w:t>
      </w:r>
    </w:p>
    <w:p w14:paraId="30AE48A9" w14:textId="77777777" w:rsidR="00544649" w:rsidRDefault="00000000">
      <w:pPr>
        <w:numPr>
          <w:ilvl w:val="0"/>
          <w:numId w:val="27"/>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hint="eastAsia"/>
          <w:b/>
          <w:bCs/>
          <w:kern w:val="21"/>
          <w:sz w:val="21"/>
          <w:szCs w:val="21"/>
        </w:rPr>
        <w:t>剑阁县</w:t>
      </w:r>
      <w:r>
        <w:rPr>
          <w:rFonts w:cs="Times New Roman"/>
          <w:b/>
          <w:bCs/>
          <w:kern w:val="21"/>
          <w:sz w:val="21"/>
          <w:szCs w:val="21"/>
        </w:rPr>
        <w:t>主要气象参数</w:t>
      </w:r>
    </w:p>
    <w:tbl>
      <w:tblPr>
        <w:tblStyle w:val="afc"/>
        <w:tblW w:w="9060" w:type="dxa"/>
        <w:jc w:val="center"/>
        <w:tblLayout w:type="fixed"/>
        <w:tblLook w:val="04A0" w:firstRow="1" w:lastRow="0" w:firstColumn="1" w:lastColumn="0" w:noHBand="0" w:noVBand="1"/>
      </w:tblPr>
      <w:tblGrid>
        <w:gridCol w:w="1076"/>
        <w:gridCol w:w="2660"/>
        <w:gridCol w:w="2662"/>
        <w:gridCol w:w="2662"/>
      </w:tblGrid>
      <w:tr w:rsidR="00544649" w14:paraId="1B5BF400" w14:textId="77777777">
        <w:trPr>
          <w:tblHeader/>
          <w:jc w:val="center"/>
        </w:trPr>
        <w:tc>
          <w:tcPr>
            <w:tcW w:w="1076" w:type="dxa"/>
          </w:tcPr>
          <w:p w14:paraId="29264E31"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序号</w:t>
            </w:r>
          </w:p>
        </w:tc>
        <w:tc>
          <w:tcPr>
            <w:tcW w:w="2660" w:type="dxa"/>
          </w:tcPr>
          <w:p w14:paraId="3D927CA0"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名称</w:t>
            </w:r>
          </w:p>
        </w:tc>
        <w:tc>
          <w:tcPr>
            <w:tcW w:w="2662" w:type="dxa"/>
          </w:tcPr>
          <w:p w14:paraId="37C3E343"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hint="eastAsia"/>
                <w:b/>
                <w:bCs/>
                <w:kern w:val="21"/>
                <w:sz w:val="21"/>
                <w:szCs w:val="21"/>
              </w:rPr>
              <w:t>单位</w:t>
            </w:r>
          </w:p>
        </w:tc>
        <w:tc>
          <w:tcPr>
            <w:tcW w:w="2662" w:type="dxa"/>
          </w:tcPr>
          <w:p w14:paraId="70F252B6"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参数</w:t>
            </w:r>
          </w:p>
        </w:tc>
      </w:tr>
      <w:tr w:rsidR="00544649" w14:paraId="56F155A7" w14:textId="77777777">
        <w:trPr>
          <w:jc w:val="center"/>
        </w:trPr>
        <w:tc>
          <w:tcPr>
            <w:tcW w:w="1076" w:type="dxa"/>
          </w:tcPr>
          <w:p w14:paraId="31AC5C6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w:t>
            </w:r>
          </w:p>
        </w:tc>
        <w:tc>
          <w:tcPr>
            <w:tcW w:w="2660" w:type="dxa"/>
          </w:tcPr>
          <w:p w14:paraId="3C626C7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多年平均气温</w:t>
            </w:r>
          </w:p>
        </w:tc>
        <w:tc>
          <w:tcPr>
            <w:tcW w:w="2662" w:type="dxa"/>
          </w:tcPr>
          <w:p w14:paraId="26E79A7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2662" w:type="dxa"/>
          </w:tcPr>
          <w:p w14:paraId="1E1CEE5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15.4</w:t>
            </w:r>
          </w:p>
        </w:tc>
      </w:tr>
      <w:tr w:rsidR="00544649" w14:paraId="09A3F25E" w14:textId="77777777">
        <w:trPr>
          <w:trHeight w:val="336"/>
          <w:jc w:val="center"/>
        </w:trPr>
        <w:tc>
          <w:tcPr>
            <w:tcW w:w="1076" w:type="dxa"/>
          </w:tcPr>
          <w:p w14:paraId="036FC8C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w:t>
            </w:r>
          </w:p>
        </w:tc>
        <w:tc>
          <w:tcPr>
            <w:tcW w:w="2660" w:type="dxa"/>
          </w:tcPr>
          <w:p w14:paraId="72763D5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多年极端最高气温</w:t>
            </w:r>
          </w:p>
        </w:tc>
        <w:tc>
          <w:tcPr>
            <w:tcW w:w="2662" w:type="dxa"/>
          </w:tcPr>
          <w:p w14:paraId="3D1C955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2662" w:type="dxa"/>
          </w:tcPr>
          <w:p w14:paraId="0C99F6F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39.7</w:t>
            </w:r>
          </w:p>
        </w:tc>
      </w:tr>
      <w:tr w:rsidR="00544649" w14:paraId="271CFB94" w14:textId="77777777">
        <w:trPr>
          <w:jc w:val="center"/>
        </w:trPr>
        <w:tc>
          <w:tcPr>
            <w:tcW w:w="1076" w:type="dxa"/>
          </w:tcPr>
          <w:p w14:paraId="7195C00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3</w:t>
            </w:r>
          </w:p>
        </w:tc>
        <w:tc>
          <w:tcPr>
            <w:tcW w:w="2660" w:type="dxa"/>
          </w:tcPr>
          <w:p w14:paraId="18F5FD5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多年极端最低气温</w:t>
            </w:r>
          </w:p>
        </w:tc>
        <w:tc>
          <w:tcPr>
            <w:tcW w:w="2662" w:type="dxa"/>
          </w:tcPr>
          <w:p w14:paraId="30045F5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2662" w:type="dxa"/>
          </w:tcPr>
          <w:p w14:paraId="32CABF6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r>
              <w:rPr>
                <w:rFonts w:cs="Times New Roman" w:hint="eastAsia"/>
                <w:kern w:val="21"/>
                <w:sz w:val="21"/>
                <w:szCs w:val="21"/>
              </w:rPr>
              <w:t>6.8</w:t>
            </w:r>
          </w:p>
        </w:tc>
      </w:tr>
      <w:tr w:rsidR="00544649" w14:paraId="5744A0CB" w14:textId="77777777">
        <w:trPr>
          <w:jc w:val="center"/>
        </w:trPr>
        <w:tc>
          <w:tcPr>
            <w:tcW w:w="1076" w:type="dxa"/>
          </w:tcPr>
          <w:p w14:paraId="1DEC229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4</w:t>
            </w:r>
          </w:p>
        </w:tc>
        <w:tc>
          <w:tcPr>
            <w:tcW w:w="2660" w:type="dxa"/>
          </w:tcPr>
          <w:p w14:paraId="06F82C8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全年无霜期</w:t>
            </w:r>
          </w:p>
        </w:tc>
        <w:tc>
          <w:tcPr>
            <w:tcW w:w="2662" w:type="dxa"/>
          </w:tcPr>
          <w:p w14:paraId="79D06AC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d</w:t>
            </w:r>
          </w:p>
        </w:tc>
        <w:tc>
          <w:tcPr>
            <w:tcW w:w="2662" w:type="dxa"/>
          </w:tcPr>
          <w:p w14:paraId="4B9CBE7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270</w:t>
            </w:r>
          </w:p>
        </w:tc>
      </w:tr>
      <w:tr w:rsidR="00544649" w14:paraId="2B3B5018" w14:textId="77777777">
        <w:trPr>
          <w:jc w:val="center"/>
        </w:trPr>
        <w:tc>
          <w:tcPr>
            <w:tcW w:w="1076" w:type="dxa"/>
          </w:tcPr>
          <w:p w14:paraId="7ED96E5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5</w:t>
            </w:r>
          </w:p>
        </w:tc>
        <w:tc>
          <w:tcPr>
            <w:tcW w:w="2660" w:type="dxa"/>
          </w:tcPr>
          <w:p w14:paraId="766B4E0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多年平均气压</w:t>
            </w:r>
          </w:p>
        </w:tc>
        <w:tc>
          <w:tcPr>
            <w:tcW w:w="2662" w:type="dxa"/>
          </w:tcPr>
          <w:p w14:paraId="0D9D72E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proofErr w:type="spellStart"/>
            <w:r>
              <w:rPr>
                <w:rFonts w:cs="Times New Roman"/>
                <w:kern w:val="21"/>
                <w:sz w:val="21"/>
                <w:szCs w:val="21"/>
              </w:rPr>
              <w:t>hPa</w:t>
            </w:r>
            <w:proofErr w:type="spellEnd"/>
          </w:p>
        </w:tc>
        <w:tc>
          <w:tcPr>
            <w:tcW w:w="2662" w:type="dxa"/>
          </w:tcPr>
          <w:p w14:paraId="6C4EEF3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95</w:t>
            </w:r>
            <w:r>
              <w:rPr>
                <w:rFonts w:cs="Times New Roman" w:hint="eastAsia"/>
                <w:kern w:val="21"/>
                <w:sz w:val="21"/>
                <w:szCs w:val="21"/>
              </w:rPr>
              <w:t>2.2</w:t>
            </w:r>
          </w:p>
        </w:tc>
      </w:tr>
      <w:tr w:rsidR="00544649" w14:paraId="5D628E5B" w14:textId="77777777">
        <w:trPr>
          <w:jc w:val="center"/>
        </w:trPr>
        <w:tc>
          <w:tcPr>
            <w:tcW w:w="1076" w:type="dxa"/>
          </w:tcPr>
          <w:p w14:paraId="1D7C772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6</w:t>
            </w:r>
          </w:p>
        </w:tc>
        <w:tc>
          <w:tcPr>
            <w:tcW w:w="2660" w:type="dxa"/>
          </w:tcPr>
          <w:p w14:paraId="4AF48D4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多年平均相对湿度</w:t>
            </w:r>
          </w:p>
        </w:tc>
        <w:tc>
          <w:tcPr>
            <w:tcW w:w="2662" w:type="dxa"/>
          </w:tcPr>
          <w:p w14:paraId="22DCC2C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2662" w:type="dxa"/>
          </w:tcPr>
          <w:p w14:paraId="0A28E19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74.6</w:t>
            </w:r>
          </w:p>
        </w:tc>
      </w:tr>
      <w:tr w:rsidR="00544649" w14:paraId="1552943E" w14:textId="77777777">
        <w:trPr>
          <w:jc w:val="center"/>
        </w:trPr>
        <w:tc>
          <w:tcPr>
            <w:tcW w:w="1076" w:type="dxa"/>
          </w:tcPr>
          <w:p w14:paraId="28FC1D9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7</w:t>
            </w:r>
          </w:p>
        </w:tc>
        <w:tc>
          <w:tcPr>
            <w:tcW w:w="2660" w:type="dxa"/>
          </w:tcPr>
          <w:p w14:paraId="6B08E0B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多年平均降水量</w:t>
            </w:r>
          </w:p>
        </w:tc>
        <w:tc>
          <w:tcPr>
            <w:tcW w:w="2662" w:type="dxa"/>
          </w:tcPr>
          <w:p w14:paraId="4EA257D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mm</w:t>
            </w:r>
          </w:p>
        </w:tc>
        <w:tc>
          <w:tcPr>
            <w:tcW w:w="2662" w:type="dxa"/>
          </w:tcPr>
          <w:p w14:paraId="4510171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1212.8</w:t>
            </w:r>
          </w:p>
        </w:tc>
      </w:tr>
      <w:tr w:rsidR="00544649" w14:paraId="169556F8" w14:textId="77777777">
        <w:trPr>
          <w:jc w:val="center"/>
        </w:trPr>
        <w:tc>
          <w:tcPr>
            <w:tcW w:w="1076" w:type="dxa"/>
          </w:tcPr>
          <w:p w14:paraId="1C0DBB8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8</w:t>
            </w:r>
          </w:p>
        </w:tc>
        <w:tc>
          <w:tcPr>
            <w:tcW w:w="2660" w:type="dxa"/>
          </w:tcPr>
          <w:p w14:paraId="55E116C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多年平均风速</w:t>
            </w:r>
          </w:p>
        </w:tc>
        <w:tc>
          <w:tcPr>
            <w:tcW w:w="2662" w:type="dxa"/>
          </w:tcPr>
          <w:p w14:paraId="37344C4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m/s</w:t>
            </w:r>
          </w:p>
        </w:tc>
        <w:tc>
          <w:tcPr>
            <w:tcW w:w="2662" w:type="dxa"/>
          </w:tcPr>
          <w:p w14:paraId="6C5F142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1.4</w:t>
            </w:r>
          </w:p>
        </w:tc>
      </w:tr>
      <w:tr w:rsidR="00544649" w14:paraId="5CD03528" w14:textId="77777777">
        <w:trPr>
          <w:jc w:val="center"/>
        </w:trPr>
        <w:tc>
          <w:tcPr>
            <w:tcW w:w="1076" w:type="dxa"/>
          </w:tcPr>
          <w:p w14:paraId="7A36151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9</w:t>
            </w:r>
          </w:p>
        </w:tc>
        <w:tc>
          <w:tcPr>
            <w:tcW w:w="2660" w:type="dxa"/>
          </w:tcPr>
          <w:p w14:paraId="07D54CD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多年平均静风频率</w:t>
            </w:r>
          </w:p>
        </w:tc>
        <w:tc>
          <w:tcPr>
            <w:tcW w:w="2662" w:type="dxa"/>
          </w:tcPr>
          <w:p w14:paraId="1CF169E9"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c>
          <w:tcPr>
            <w:tcW w:w="2662" w:type="dxa"/>
          </w:tcPr>
          <w:p w14:paraId="7478E40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16</w:t>
            </w:r>
          </w:p>
        </w:tc>
      </w:tr>
    </w:tbl>
    <w:p w14:paraId="3A94394A" w14:textId="77777777" w:rsidR="00544649" w:rsidRDefault="00000000">
      <w:pPr>
        <w:keepNext/>
        <w:keepLines/>
        <w:numPr>
          <w:ilvl w:val="3"/>
          <w:numId w:val="9"/>
        </w:numPr>
        <w:adjustRightInd w:val="0"/>
        <w:snapToGrid w:val="0"/>
        <w:spacing w:after="0"/>
        <w:ind w:firstLineChars="0"/>
        <w:jc w:val="left"/>
        <w:outlineLvl w:val="3"/>
        <w:rPr>
          <w:rFonts w:cs="Times New Roman"/>
          <w:b/>
          <w:bCs/>
          <w:kern w:val="21"/>
        </w:rPr>
      </w:pPr>
      <w:r>
        <w:rPr>
          <w:rFonts w:cs="Times New Roman" w:hint="eastAsia"/>
          <w:b/>
          <w:bCs/>
          <w:kern w:val="21"/>
        </w:rPr>
        <w:t>主要污染物</w:t>
      </w:r>
    </w:p>
    <w:p w14:paraId="6366AC17" w14:textId="77777777" w:rsidR="00544649" w:rsidRDefault="00000000">
      <w:pPr>
        <w:adjustRightInd w:val="0"/>
        <w:snapToGrid w:val="0"/>
        <w:spacing w:after="0"/>
        <w:ind w:firstLine="480"/>
        <w:rPr>
          <w:rFonts w:cs="Times New Roman"/>
          <w:kern w:val="21"/>
        </w:rPr>
      </w:pPr>
      <w:r>
        <w:rPr>
          <w:rFonts w:cs="Times New Roman"/>
          <w:kern w:val="21"/>
        </w:rPr>
        <w:t>根据工程分析，本项目排放的废气主要有</w:t>
      </w:r>
      <w:r>
        <w:rPr>
          <w:rFonts w:cs="Times New Roman" w:hint="eastAsia"/>
          <w:kern w:val="21"/>
        </w:rPr>
        <w:t>鸡舍、污水处理站恶臭（污染因子主要为</w:t>
      </w:r>
      <w:r>
        <w:rPr>
          <w:rFonts w:cs="Times New Roman" w:hint="eastAsia"/>
          <w:kern w:val="21"/>
        </w:rPr>
        <w:t>NH</w:t>
      </w:r>
      <w:r>
        <w:rPr>
          <w:rFonts w:cs="Times New Roman" w:hint="eastAsia"/>
          <w:kern w:val="21"/>
          <w:vertAlign w:val="subscript"/>
        </w:rPr>
        <w:t>3</w:t>
      </w:r>
      <w:r>
        <w:rPr>
          <w:rFonts w:cs="Times New Roman" w:hint="eastAsia"/>
          <w:kern w:val="21"/>
        </w:rPr>
        <w:t>、</w:t>
      </w:r>
      <w:r>
        <w:rPr>
          <w:rFonts w:cs="Times New Roman" w:hint="eastAsia"/>
          <w:kern w:val="21"/>
        </w:rPr>
        <w:t>H</w:t>
      </w:r>
      <w:r>
        <w:rPr>
          <w:rFonts w:cs="Times New Roman" w:hint="eastAsia"/>
          <w:kern w:val="21"/>
          <w:vertAlign w:val="subscript"/>
        </w:rPr>
        <w:t>2</w:t>
      </w:r>
      <w:r>
        <w:rPr>
          <w:rFonts w:cs="Times New Roman" w:hint="eastAsia"/>
          <w:kern w:val="21"/>
        </w:rPr>
        <w:t>S</w:t>
      </w:r>
      <w:r>
        <w:rPr>
          <w:rFonts w:cs="Times New Roman" w:hint="eastAsia"/>
          <w:kern w:val="21"/>
        </w:rPr>
        <w:t>、臭气浓度）、备用发电机燃烧废气、食堂油烟、天然气锅炉燃烧废气。</w:t>
      </w:r>
      <w:r>
        <w:rPr>
          <w:rFonts w:cs="Times New Roman"/>
          <w:kern w:val="21"/>
        </w:rPr>
        <w:t>其中主要大气污染物为养殖过程中产生的恶臭。</w:t>
      </w:r>
    </w:p>
    <w:p w14:paraId="00DFA28D" w14:textId="77777777" w:rsidR="00544649" w:rsidRDefault="00000000">
      <w:pPr>
        <w:keepNext/>
        <w:keepLines/>
        <w:numPr>
          <w:ilvl w:val="3"/>
          <w:numId w:val="9"/>
        </w:numPr>
        <w:adjustRightInd w:val="0"/>
        <w:snapToGrid w:val="0"/>
        <w:spacing w:after="0"/>
        <w:ind w:firstLineChars="0"/>
        <w:jc w:val="left"/>
        <w:outlineLvl w:val="3"/>
        <w:rPr>
          <w:rFonts w:cs="Times New Roman"/>
          <w:b/>
          <w:bCs/>
          <w:kern w:val="21"/>
        </w:rPr>
      </w:pPr>
      <w:r>
        <w:rPr>
          <w:rFonts w:hint="eastAsia"/>
          <w:b/>
          <w:kern w:val="21"/>
        </w:rPr>
        <w:t>大气污染物源强</w:t>
      </w:r>
    </w:p>
    <w:p w14:paraId="5A460A4A" w14:textId="77777777" w:rsidR="00544649" w:rsidRDefault="00000000">
      <w:pPr>
        <w:adjustRightInd w:val="0"/>
        <w:snapToGrid w:val="0"/>
        <w:spacing w:beforeLines="50" w:before="156" w:after="0"/>
        <w:ind w:firstLine="482"/>
        <w:rPr>
          <w:rFonts w:cs="Times New Roman"/>
          <w:b/>
          <w:bCs/>
          <w:kern w:val="21"/>
          <w:szCs w:val="24"/>
        </w:rPr>
      </w:pPr>
      <w:r>
        <w:rPr>
          <w:rFonts w:cs="Times New Roman" w:hint="eastAsia"/>
          <w:b/>
          <w:bCs/>
          <w:kern w:val="21"/>
          <w:szCs w:val="24"/>
        </w:rPr>
        <w:t>略</w:t>
      </w:r>
    </w:p>
    <w:p w14:paraId="157CB934" w14:textId="77777777" w:rsidR="00544649" w:rsidRDefault="00000000">
      <w:pPr>
        <w:keepNext/>
        <w:keepLines/>
        <w:numPr>
          <w:ilvl w:val="3"/>
          <w:numId w:val="9"/>
        </w:numPr>
        <w:adjustRightInd w:val="0"/>
        <w:snapToGrid w:val="0"/>
        <w:spacing w:after="0"/>
        <w:ind w:firstLineChars="0"/>
        <w:jc w:val="left"/>
        <w:outlineLvl w:val="3"/>
        <w:rPr>
          <w:rFonts w:cs="Times New Roman"/>
          <w:b/>
          <w:bCs/>
          <w:kern w:val="21"/>
        </w:rPr>
      </w:pPr>
      <w:r>
        <w:rPr>
          <w:rFonts w:cs="Times New Roman" w:hint="eastAsia"/>
          <w:b/>
          <w:bCs/>
          <w:kern w:val="21"/>
        </w:rPr>
        <w:t>影响预测</w:t>
      </w:r>
    </w:p>
    <w:p w14:paraId="6CD9BE87" w14:textId="77777777" w:rsidR="00544649" w:rsidRDefault="00000000">
      <w:pPr>
        <w:adjustRightInd w:val="0"/>
        <w:snapToGrid w:val="0"/>
        <w:spacing w:after="0"/>
        <w:ind w:firstLine="482"/>
        <w:rPr>
          <w:rFonts w:cs="Times New Roman"/>
          <w:b/>
          <w:kern w:val="21"/>
          <w:szCs w:val="24"/>
        </w:rPr>
      </w:pPr>
      <w:r>
        <w:rPr>
          <w:rFonts w:cs="Times New Roman" w:hint="eastAsia"/>
          <w:b/>
          <w:kern w:val="21"/>
          <w:szCs w:val="24"/>
        </w:rPr>
        <w:t>1</w:t>
      </w:r>
      <w:r>
        <w:rPr>
          <w:rFonts w:cs="Times New Roman" w:hint="eastAsia"/>
          <w:b/>
          <w:kern w:val="21"/>
          <w:szCs w:val="24"/>
        </w:rPr>
        <w:t>、评价因子</w:t>
      </w:r>
    </w:p>
    <w:p w14:paraId="786F3B8C" w14:textId="77777777" w:rsidR="00544649" w:rsidRDefault="00000000">
      <w:pPr>
        <w:adjustRightInd w:val="0"/>
        <w:snapToGrid w:val="0"/>
        <w:spacing w:after="0"/>
        <w:ind w:firstLine="480"/>
        <w:rPr>
          <w:rFonts w:cs="Times New Roman"/>
          <w:kern w:val="21"/>
        </w:rPr>
      </w:pPr>
      <w:r>
        <w:rPr>
          <w:rFonts w:cs="Times New Roman" w:hint="eastAsia"/>
          <w:kern w:val="21"/>
          <w:szCs w:val="24"/>
        </w:rPr>
        <w:t>根据工程分析，结合本项目特征，项目运营过程中鸡舍排放的废气包括氨气、硫化氢、臭气浓度、二氧化硫、氮氧化物、颗粒物，排放方式为无组织排放，本次选取氨气、硫化氢、二氧化硫、氮氧化物、颗粒物作为大气环境影响评价因子。</w:t>
      </w:r>
    </w:p>
    <w:p w14:paraId="5E4C6976" w14:textId="77777777" w:rsidR="00544649" w:rsidRDefault="00000000">
      <w:pPr>
        <w:adjustRightInd w:val="0"/>
        <w:snapToGrid w:val="0"/>
        <w:spacing w:after="0"/>
        <w:ind w:firstLine="482"/>
        <w:rPr>
          <w:rFonts w:cs="Times New Roman"/>
          <w:b/>
          <w:kern w:val="21"/>
          <w:szCs w:val="20"/>
        </w:rPr>
      </w:pPr>
      <w:r>
        <w:rPr>
          <w:rFonts w:cs="Times New Roman" w:hint="eastAsia"/>
          <w:b/>
          <w:kern w:val="21"/>
          <w:szCs w:val="20"/>
        </w:rPr>
        <w:t>2</w:t>
      </w:r>
      <w:r>
        <w:rPr>
          <w:rFonts w:cs="Times New Roman" w:hint="eastAsia"/>
          <w:b/>
          <w:kern w:val="21"/>
          <w:szCs w:val="20"/>
        </w:rPr>
        <w:t>、估算模式参数</w:t>
      </w:r>
    </w:p>
    <w:p w14:paraId="3476BA98" w14:textId="77777777" w:rsidR="00544649" w:rsidRDefault="00000000">
      <w:pPr>
        <w:adjustRightInd w:val="0"/>
        <w:snapToGrid w:val="0"/>
        <w:spacing w:after="0"/>
        <w:ind w:firstLine="480"/>
        <w:rPr>
          <w:rFonts w:cs="Times New Roman"/>
          <w:kern w:val="21"/>
          <w:szCs w:val="24"/>
        </w:rPr>
      </w:pPr>
      <w:r>
        <w:rPr>
          <w:rFonts w:cs="Times New Roman"/>
          <w:kern w:val="21"/>
          <w:szCs w:val="24"/>
        </w:rPr>
        <w:t>本次大气环境影响预测采用《环境影响评价技术导则大气环境》（</w:t>
      </w:r>
      <w:r>
        <w:rPr>
          <w:rFonts w:cs="Times New Roman"/>
          <w:kern w:val="21"/>
          <w:szCs w:val="24"/>
        </w:rPr>
        <w:t>HJ2.2-2018</w:t>
      </w:r>
      <w:r>
        <w:rPr>
          <w:rFonts w:cs="Times New Roman"/>
          <w:kern w:val="21"/>
          <w:szCs w:val="24"/>
        </w:rPr>
        <w:t>）推荐模式清单中的</w:t>
      </w:r>
      <w:r>
        <w:rPr>
          <w:rFonts w:cs="Times New Roman"/>
          <w:kern w:val="21"/>
          <w:szCs w:val="24"/>
        </w:rPr>
        <w:t>AERSCREEN</w:t>
      </w:r>
      <w:r>
        <w:rPr>
          <w:rFonts w:cs="Times New Roman"/>
          <w:kern w:val="21"/>
          <w:szCs w:val="24"/>
        </w:rPr>
        <w:t>模型进行预测，计算</w:t>
      </w:r>
      <w:proofErr w:type="gramStart"/>
      <w:r>
        <w:rPr>
          <w:rFonts w:cs="Times New Roman"/>
          <w:kern w:val="21"/>
          <w:szCs w:val="24"/>
        </w:rPr>
        <w:t>各预测</w:t>
      </w:r>
      <w:proofErr w:type="gramEnd"/>
      <w:r>
        <w:rPr>
          <w:rFonts w:cs="Times New Roman"/>
          <w:kern w:val="21"/>
          <w:szCs w:val="24"/>
        </w:rPr>
        <w:t>因子最大落地地面浓度值。</w:t>
      </w:r>
    </w:p>
    <w:p w14:paraId="49E1342E" w14:textId="77777777" w:rsidR="00544649" w:rsidRDefault="00000000">
      <w:pPr>
        <w:adjustRightInd w:val="0"/>
        <w:snapToGrid w:val="0"/>
        <w:spacing w:after="0"/>
        <w:ind w:firstLine="480"/>
        <w:rPr>
          <w:rFonts w:cs="Times New Roman"/>
          <w:kern w:val="21"/>
        </w:rPr>
      </w:pPr>
      <w:r>
        <w:rPr>
          <w:rFonts w:cs="Times New Roman"/>
          <w:kern w:val="21"/>
          <w:szCs w:val="24"/>
        </w:rPr>
        <w:t>根据项目所在地环境特点，项目估算模型参数详见下表：</w:t>
      </w:r>
    </w:p>
    <w:p w14:paraId="5F9BB62E" w14:textId="77777777" w:rsidR="00544649" w:rsidRDefault="00000000">
      <w:pPr>
        <w:numPr>
          <w:ilvl w:val="0"/>
          <w:numId w:val="27"/>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项目估算模型参数一览表</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3021"/>
        <w:gridCol w:w="3018"/>
      </w:tblGrid>
      <w:tr w:rsidR="00544649" w14:paraId="4186A58E" w14:textId="77777777">
        <w:trPr>
          <w:trHeight w:val="340"/>
          <w:jc w:val="center"/>
        </w:trPr>
        <w:tc>
          <w:tcPr>
            <w:tcW w:w="6040" w:type="dxa"/>
            <w:gridSpan w:val="2"/>
            <w:vAlign w:val="center"/>
          </w:tcPr>
          <w:p w14:paraId="73A8EB02"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参数</w:t>
            </w:r>
          </w:p>
        </w:tc>
        <w:tc>
          <w:tcPr>
            <w:tcW w:w="3018" w:type="dxa"/>
            <w:vAlign w:val="center"/>
          </w:tcPr>
          <w:p w14:paraId="324CA5F0"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取值</w:t>
            </w:r>
          </w:p>
        </w:tc>
      </w:tr>
      <w:tr w:rsidR="00544649" w14:paraId="6D09D731" w14:textId="77777777">
        <w:trPr>
          <w:trHeight w:val="340"/>
          <w:jc w:val="center"/>
        </w:trPr>
        <w:tc>
          <w:tcPr>
            <w:tcW w:w="3019" w:type="dxa"/>
            <w:vMerge w:val="restart"/>
            <w:vAlign w:val="center"/>
          </w:tcPr>
          <w:p w14:paraId="658A095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lastRenderedPageBreak/>
              <w:t>城市农村</w:t>
            </w:r>
            <w:r>
              <w:rPr>
                <w:rFonts w:cs="Times New Roman"/>
                <w:kern w:val="21"/>
                <w:sz w:val="21"/>
                <w:szCs w:val="21"/>
              </w:rPr>
              <w:t>/</w:t>
            </w:r>
            <w:r>
              <w:rPr>
                <w:rFonts w:cs="Times New Roman"/>
                <w:kern w:val="21"/>
                <w:sz w:val="21"/>
                <w:szCs w:val="21"/>
              </w:rPr>
              <w:t>选项</w:t>
            </w:r>
          </w:p>
        </w:tc>
        <w:tc>
          <w:tcPr>
            <w:tcW w:w="3021" w:type="dxa"/>
            <w:vAlign w:val="center"/>
          </w:tcPr>
          <w:p w14:paraId="7B95E0E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城市</w:t>
            </w:r>
            <w:r>
              <w:rPr>
                <w:rFonts w:cs="Times New Roman"/>
                <w:kern w:val="21"/>
                <w:sz w:val="21"/>
                <w:szCs w:val="21"/>
              </w:rPr>
              <w:t>/</w:t>
            </w:r>
            <w:r>
              <w:rPr>
                <w:rFonts w:cs="Times New Roman"/>
                <w:kern w:val="21"/>
                <w:sz w:val="21"/>
                <w:szCs w:val="21"/>
              </w:rPr>
              <w:t>农村</w:t>
            </w:r>
          </w:p>
        </w:tc>
        <w:tc>
          <w:tcPr>
            <w:tcW w:w="3018" w:type="dxa"/>
            <w:vAlign w:val="center"/>
          </w:tcPr>
          <w:p w14:paraId="3FE270B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农村</w:t>
            </w:r>
          </w:p>
        </w:tc>
      </w:tr>
      <w:tr w:rsidR="00544649" w14:paraId="57976B6F" w14:textId="77777777">
        <w:trPr>
          <w:trHeight w:val="340"/>
          <w:jc w:val="center"/>
        </w:trPr>
        <w:tc>
          <w:tcPr>
            <w:tcW w:w="3019" w:type="dxa"/>
            <w:vMerge/>
            <w:vAlign w:val="center"/>
          </w:tcPr>
          <w:p w14:paraId="2D91690A"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3021" w:type="dxa"/>
            <w:vAlign w:val="center"/>
          </w:tcPr>
          <w:p w14:paraId="3E77706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人口数（城市人口数）</w:t>
            </w:r>
          </w:p>
        </w:tc>
        <w:tc>
          <w:tcPr>
            <w:tcW w:w="3018" w:type="dxa"/>
            <w:vAlign w:val="center"/>
          </w:tcPr>
          <w:p w14:paraId="071F51F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r>
      <w:tr w:rsidR="00544649" w14:paraId="7701C49C" w14:textId="77777777">
        <w:trPr>
          <w:trHeight w:val="340"/>
          <w:jc w:val="center"/>
        </w:trPr>
        <w:tc>
          <w:tcPr>
            <w:tcW w:w="6040" w:type="dxa"/>
            <w:gridSpan w:val="2"/>
            <w:vAlign w:val="center"/>
          </w:tcPr>
          <w:p w14:paraId="670155D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最高环境温度</w:t>
            </w:r>
          </w:p>
        </w:tc>
        <w:tc>
          <w:tcPr>
            <w:tcW w:w="3018" w:type="dxa"/>
            <w:vAlign w:val="center"/>
          </w:tcPr>
          <w:p w14:paraId="3947151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39.7</w:t>
            </w:r>
            <w:r>
              <w:rPr>
                <w:rFonts w:cs="Times New Roman"/>
                <w:kern w:val="21"/>
                <w:sz w:val="21"/>
                <w:szCs w:val="21"/>
              </w:rPr>
              <w:t>℃</w:t>
            </w:r>
          </w:p>
        </w:tc>
      </w:tr>
      <w:tr w:rsidR="00544649" w14:paraId="44C28467" w14:textId="77777777">
        <w:trPr>
          <w:trHeight w:val="340"/>
          <w:jc w:val="center"/>
        </w:trPr>
        <w:tc>
          <w:tcPr>
            <w:tcW w:w="6040" w:type="dxa"/>
            <w:gridSpan w:val="2"/>
            <w:vAlign w:val="center"/>
          </w:tcPr>
          <w:p w14:paraId="19E0950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最低环境温度</w:t>
            </w:r>
          </w:p>
        </w:tc>
        <w:tc>
          <w:tcPr>
            <w:tcW w:w="3018" w:type="dxa"/>
            <w:vAlign w:val="center"/>
          </w:tcPr>
          <w:p w14:paraId="57C1E6D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r>
              <w:rPr>
                <w:rFonts w:cs="Times New Roman" w:hint="eastAsia"/>
                <w:kern w:val="21"/>
                <w:sz w:val="21"/>
                <w:szCs w:val="21"/>
              </w:rPr>
              <w:t>6.8</w:t>
            </w:r>
            <w:r>
              <w:rPr>
                <w:rFonts w:cs="Times New Roman"/>
                <w:kern w:val="21"/>
                <w:sz w:val="21"/>
                <w:szCs w:val="21"/>
              </w:rPr>
              <w:t>℃</w:t>
            </w:r>
          </w:p>
        </w:tc>
      </w:tr>
      <w:tr w:rsidR="00544649" w14:paraId="6747A5B6" w14:textId="77777777">
        <w:trPr>
          <w:trHeight w:val="340"/>
          <w:jc w:val="center"/>
        </w:trPr>
        <w:tc>
          <w:tcPr>
            <w:tcW w:w="6040" w:type="dxa"/>
            <w:gridSpan w:val="2"/>
            <w:vAlign w:val="center"/>
          </w:tcPr>
          <w:p w14:paraId="755E2E4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土地利用类型</w:t>
            </w:r>
          </w:p>
        </w:tc>
        <w:tc>
          <w:tcPr>
            <w:tcW w:w="3018" w:type="dxa"/>
            <w:vAlign w:val="center"/>
          </w:tcPr>
          <w:p w14:paraId="3921F88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落叶林</w:t>
            </w:r>
          </w:p>
        </w:tc>
      </w:tr>
      <w:tr w:rsidR="00544649" w14:paraId="16277E3A" w14:textId="77777777">
        <w:trPr>
          <w:trHeight w:val="340"/>
          <w:jc w:val="center"/>
        </w:trPr>
        <w:tc>
          <w:tcPr>
            <w:tcW w:w="6040" w:type="dxa"/>
            <w:gridSpan w:val="2"/>
            <w:vAlign w:val="center"/>
          </w:tcPr>
          <w:p w14:paraId="42AD151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区域湿度条件</w:t>
            </w:r>
          </w:p>
        </w:tc>
        <w:tc>
          <w:tcPr>
            <w:tcW w:w="3018" w:type="dxa"/>
            <w:vAlign w:val="center"/>
          </w:tcPr>
          <w:p w14:paraId="050E7191"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湿</w:t>
            </w:r>
          </w:p>
        </w:tc>
      </w:tr>
      <w:tr w:rsidR="00544649" w14:paraId="493F08AB" w14:textId="77777777">
        <w:trPr>
          <w:trHeight w:val="340"/>
          <w:jc w:val="center"/>
        </w:trPr>
        <w:tc>
          <w:tcPr>
            <w:tcW w:w="3019" w:type="dxa"/>
            <w:vMerge w:val="restart"/>
            <w:vAlign w:val="center"/>
          </w:tcPr>
          <w:p w14:paraId="0422338B"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是否考虑地形</w:t>
            </w:r>
          </w:p>
        </w:tc>
        <w:tc>
          <w:tcPr>
            <w:tcW w:w="3021" w:type="dxa"/>
            <w:vAlign w:val="center"/>
          </w:tcPr>
          <w:p w14:paraId="2F1FFF0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考虑地形</w:t>
            </w:r>
          </w:p>
        </w:tc>
        <w:tc>
          <w:tcPr>
            <w:tcW w:w="3018" w:type="dxa"/>
            <w:vAlign w:val="center"/>
          </w:tcPr>
          <w:p w14:paraId="7986F3A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是</w:t>
            </w:r>
          </w:p>
        </w:tc>
      </w:tr>
      <w:tr w:rsidR="00544649" w14:paraId="1D37EDAA" w14:textId="77777777">
        <w:trPr>
          <w:trHeight w:val="340"/>
          <w:jc w:val="center"/>
        </w:trPr>
        <w:tc>
          <w:tcPr>
            <w:tcW w:w="3019" w:type="dxa"/>
            <w:vMerge/>
            <w:vAlign w:val="center"/>
          </w:tcPr>
          <w:p w14:paraId="123C5347"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3021" w:type="dxa"/>
            <w:vAlign w:val="center"/>
          </w:tcPr>
          <w:p w14:paraId="2F53856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地形数据分辨率（</w:t>
            </w:r>
            <w:r>
              <w:rPr>
                <w:rFonts w:cs="Times New Roman"/>
                <w:kern w:val="21"/>
                <w:sz w:val="21"/>
                <w:szCs w:val="21"/>
              </w:rPr>
              <w:t>m</w:t>
            </w:r>
            <w:r>
              <w:rPr>
                <w:rFonts w:cs="Times New Roman"/>
                <w:kern w:val="21"/>
                <w:sz w:val="21"/>
                <w:szCs w:val="21"/>
              </w:rPr>
              <w:t>）</w:t>
            </w:r>
          </w:p>
        </w:tc>
        <w:tc>
          <w:tcPr>
            <w:tcW w:w="3018" w:type="dxa"/>
            <w:vAlign w:val="center"/>
          </w:tcPr>
          <w:p w14:paraId="3231027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r>
      <w:tr w:rsidR="00544649" w14:paraId="641EBBA8" w14:textId="77777777">
        <w:trPr>
          <w:trHeight w:val="340"/>
          <w:jc w:val="center"/>
        </w:trPr>
        <w:tc>
          <w:tcPr>
            <w:tcW w:w="3019" w:type="dxa"/>
            <w:vMerge w:val="restart"/>
            <w:vAlign w:val="center"/>
          </w:tcPr>
          <w:p w14:paraId="05A55E3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是否考虑海岸线熏烟</w:t>
            </w:r>
          </w:p>
        </w:tc>
        <w:tc>
          <w:tcPr>
            <w:tcW w:w="3021" w:type="dxa"/>
            <w:vAlign w:val="center"/>
          </w:tcPr>
          <w:p w14:paraId="341C141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考虑海岸线熏烟</w:t>
            </w:r>
          </w:p>
        </w:tc>
        <w:tc>
          <w:tcPr>
            <w:tcW w:w="3018" w:type="dxa"/>
            <w:vAlign w:val="center"/>
          </w:tcPr>
          <w:p w14:paraId="343B5AF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否</w:t>
            </w:r>
          </w:p>
        </w:tc>
      </w:tr>
      <w:tr w:rsidR="00544649" w14:paraId="5EC39BCB" w14:textId="77777777">
        <w:trPr>
          <w:trHeight w:val="340"/>
          <w:jc w:val="center"/>
        </w:trPr>
        <w:tc>
          <w:tcPr>
            <w:tcW w:w="3019" w:type="dxa"/>
            <w:vMerge/>
            <w:vAlign w:val="center"/>
          </w:tcPr>
          <w:p w14:paraId="0A11FFC4"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3021" w:type="dxa"/>
            <w:vAlign w:val="center"/>
          </w:tcPr>
          <w:p w14:paraId="6F8DAC9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海岸线距离</w:t>
            </w:r>
            <w:r>
              <w:rPr>
                <w:rFonts w:cs="Times New Roman"/>
                <w:kern w:val="21"/>
                <w:sz w:val="21"/>
                <w:szCs w:val="21"/>
              </w:rPr>
              <w:t>/km</w:t>
            </w:r>
          </w:p>
        </w:tc>
        <w:tc>
          <w:tcPr>
            <w:tcW w:w="3018" w:type="dxa"/>
            <w:vAlign w:val="center"/>
          </w:tcPr>
          <w:p w14:paraId="2923D58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r>
      <w:tr w:rsidR="00544649" w14:paraId="197F2AEC" w14:textId="77777777">
        <w:trPr>
          <w:trHeight w:val="340"/>
          <w:jc w:val="center"/>
        </w:trPr>
        <w:tc>
          <w:tcPr>
            <w:tcW w:w="3019" w:type="dxa"/>
            <w:vMerge/>
            <w:vAlign w:val="center"/>
          </w:tcPr>
          <w:p w14:paraId="113CAF56" w14:textId="77777777" w:rsidR="00544649" w:rsidRDefault="00544649">
            <w:pPr>
              <w:adjustRightInd w:val="0"/>
              <w:snapToGrid w:val="0"/>
              <w:spacing w:beforeLines="20" w:before="62" w:afterLines="20" w:after="62" w:line="240" w:lineRule="auto"/>
              <w:ind w:firstLineChars="0" w:firstLine="0"/>
              <w:jc w:val="center"/>
              <w:rPr>
                <w:rFonts w:cs="Times New Roman"/>
                <w:kern w:val="21"/>
                <w:sz w:val="21"/>
                <w:szCs w:val="21"/>
              </w:rPr>
            </w:pPr>
          </w:p>
        </w:tc>
        <w:tc>
          <w:tcPr>
            <w:tcW w:w="3021" w:type="dxa"/>
            <w:vAlign w:val="center"/>
          </w:tcPr>
          <w:p w14:paraId="601F41F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海岸线方向</w:t>
            </w:r>
            <w:r>
              <w:rPr>
                <w:rFonts w:cs="Times New Roman"/>
                <w:kern w:val="21"/>
                <w:sz w:val="21"/>
                <w:szCs w:val="21"/>
              </w:rPr>
              <w:t>/</w:t>
            </w:r>
            <w:r>
              <w:rPr>
                <w:rFonts w:cs="Times New Roman"/>
                <w:kern w:val="21"/>
                <w:sz w:val="21"/>
                <w:szCs w:val="21"/>
                <w:vertAlign w:val="superscript"/>
              </w:rPr>
              <w:t>o</w:t>
            </w:r>
          </w:p>
        </w:tc>
        <w:tc>
          <w:tcPr>
            <w:tcW w:w="3018" w:type="dxa"/>
            <w:vAlign w:val="center"/>
          </w:tcPr>
          <w:p w14:paraId="2A339F9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w:t>
            </w:r>
          </w:p>
        </w:tc>
      </w:tr>
    </w:tbl>
    <w:p w14:paraId="3E9E4DE4"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3</w:t>
      </w:r>
      <w:r>
        <w:rPr>
          <w:rFonts w:cs="Times New Roman" w:hint="eastAsia"/>
          <w:b/>
          <w:bCs/>
          <w:kern w:val="21"/>
          <w:szCs w:val="24"/>
        </w:rPr>
        <w:t>、污染源估算模式预测结果</w:t>
      </w:r>
    </w:p>
    <w:p w14:paraId="48C33F83"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略。</w:t>
      </w:r>
    </w:p>
    <w:p w14:paraId="05686507" w14:textId="77777777" w:rsidR="00544649" w:rsidRDefault="00000000">
      <w:pPr>
        <w:keepNext/>
        <w:keepLines/>
        <w:numPr>
          <w:ilvl w:val="3"/>
          <w:numId w:val="9"/>
        </w:numPr>
        <w:adjustRightInd w:val="0"/>
        <w:snapToGrid w:val="0"/>
        <w:spacing w:after="0"/>
        <w:ind w:firstLineChars="0"/>
        <w:jc w:val="left"/>
        <w:outlineLvl w:val="3"/>
        <w:rPr>
          <w:rFonts w:cs="Times New Roman"/>
          <w:b/>
          <w:bCs/>
          <w:kern w:val="21"/>
        </w:rPr>
      </w:pPr>
      <w:r>
        <w:rPr>
          <w:rFonts w:cs="Times New Roman"/>
          <w:b/>
          <w:bCs/>
          <w:kern w:val="21"/>
        </w:rPr>
        <w:t>大气环境防护距离及卫生防护距离</w:t>
      </w:r>
    </w:p>
    <w:p w14:paraId="10F86841" w14:textId="77777777" w:rsidR="00544649" w:rsidRDefault="00000000">
      <w:pPr>
        <w:adjustRightInd w:val="0"/>
        <w:snapToGrid w:val="0"/>
        <w:spacing w:after="0"/>
        <w:ind w:firstLine="482"/>
        <w:rPr>
          <w:rFonts w:cs="Times New Roman"/>
          <w:b/>
          <w:kern w:val="21"/>
        </w:rPr>
      </w:pPr>
      <w:r>
        <w:rPr>
          <w:rFonts w:cs="Times New Roman"/>
          <w:b/>
          <w:kern w:val="21"/>
        </w:rPr>
        <w:t>1</w:t>
      </w:r>
      <w:r>
        <w:rPr>
          <w:rFonts w:cs="Times New Roman"/>
          <w:b/>
          <w:kern w:val="21"/>
        </w:rPr>
        <w:t>、大气环境防护距离</w:t>
      </w:r>
    </w:p>
    <w:p w14:paraId="24C44D9F" w14:textId="77777777" w:rsidR="00544649" w:rsidRDefault="00000000">
      <w:pPr>
        <w:adjustRightInd w:val="0"/>
        <w:snapToGrid w:val="0"/>
        <w:spacing w:after="0"/>
        <w:ind w:firstLine="480"/>
        <w:rPr>
          <w:rFonts w:cs="Times New Roman"/>
          <w:kern w:val="21"/>
        </w:rPr>
      </w:pPr>
      <w:r>
        <w:rPr>
          <w:rFonts w:cs="Times New Roman"/>
          <w:kern w:val="21"/>
        </w:rPr>
        <w:t>根据</w:t>
      </w:r>
      <w:r>
        <w:rPr>
          <w:rFonts w:cs="Times New Roman"/>
          <w:kern w:val="21"/>
        </w:rPr>
        <w:t>HJ2.2-2018</w:t>
      </w:r>
      <w:r>
        <w:rPr>
          <w:rFonts w:cs="Times New Roman"/>
          <w:kern w:val="21"/>
        </w:rPr>
        <w:t>，对于项目场界浓度满足大气污染物</w:t>
      </w:r>
      <w:r>
        <w:rPr>
          <w:rFonts w:cs="Times New Roman" w:hint="eastAsia"/>
          <w:kern w:val="21"/>
        </w:rPr>
        <w:t>厂界</w:t>
      </w:r>
      <w:r>
        <w:rPr>
          <w:rFonts w:cs="Times New Roman"/>
          <w:kern w:val="21"/>
        </w:rPr>
        <w:t>浓度限值，但场界外大气污染物短期贡献浓度超过环境质量浓度限值的，可以自场界向外设置一定范围的大气环境防护区域，以确保大气环境防护区域外的污染物贡献浓度满足环境质量标准。</w:t>
      </w:r>
    </w:p>
    <w:p w14:paraId="19E29598" w14:textId="77777777" w:rsidR="00544649" w:rsidRDefault="00000000">
      <w:pPr>
        <w:adjustRightInd w:val="0"/>
        <w:snapToGrid w:val="0"/>
        <w:spacing w:after="0"/>
        <w:ind w:firstLine="480"/>
        <w:rPr>
          <w:rFonts w:cs="Times New Roman"/>
          <w:kern w:val="21"/>
        </w:rPr>
      </w:pPr>
      <w:r>
        <w:rPr>
          <w:rFonts w:cs="Times New Roman"/>
          <w:kern w:val="21"/>
        </w:rPr>
        <w:t>根据前述氨、硫化氢气体无组织排放情况，经计算本项目各废气污染物</w:t>
      </w:r>
      <w:r>
        <w:rPr>
          <w:rFonts w:cs="Times New Roman" w:hint="eastAsia"/>
          <w:kern w:val="21"/>
        </w:rPr>
        <w:t>厂</w:t>
      </w:r>
      <w:r>
        <w:rPr>
          <w:rFonts w:cs="Times New Roman"/>
          <w:kern w:val="21"/>
        </w:rPr>
        <w:t>界监控点</w:t>
      </w:r>
      <w:proofErr w:type="gramStart"/>
      <w:r>
        <w:rPr>
          <w:rFonts w:cs="Times New Roman"/>
          <w:kern w:val="21"/>
        </w:rPr>
        <w:t>最大占</w:t>
      </w:r>
      <w:proofErr w:type="gramEnd"/>
      <w:r>
        <w:rPr>
          <w:rFonts w:cs="Times New Roman"/>
          <w:kern w:val="21"/>
        </w:rPr>
        <w:t>标率均小于</w:t>
      </w:r>
      <w:r>
        <w:rPr>
          <w:rFonts w:cs="Times New Roman"/>
          <w:kern w:val="21"/>
        </w:rPr>
        <w:t>10%</w:t>
      </w:r>
      <w:r>
        <w:rPr>
          <w:rFonts w:cs="Times New Roman"/>
          <w:kern w:val="21"/>
        </w:rPr>
        <w:t>，无超标点，故无</w:t>
      </w:r>
      <w:r>
        <w:rPr>
          <w:rFonts w:cs="Times New Roman" w:hint="eastAsia"/>
          <w:kern w:val="21"/>
        </w:rPr>
        <w:t>须</w:t>
      </w:r>
      <w:r>
        <w:rPr>
          <w:rFonts w:cs="Times New Roman"/>
          <w:kern w:val="21"/>
        </w:rPr>
        <w:t>设置大气环境防护</w:t>
      </w:r>
      <w:r>
        <w:rPr>
          <w:rFonts w:cs="Times New Roman" w:hint="eastAsia"/>
          <w:kern w:val="21"/>
        </w:rPr>
        <w:t>距离</w:t>
      </w:r>
      <w:r>
        <w:rPr>
          <w:rFonts w:cs="Times New Roman"/>
          <w:kern w:val="21"/>
        </w:rPr>
        <w:t>。</w:t>
      </w:r>
    </w:p>
    <w:p w14:paraId="2491B0FA"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2</w:t>
      </w:r>
      <w:r>
        <w:rPr>
          <w:rFonts w:cs="Times New Roman"/>
          <w:b/>
          <w:bCs/>
          <w:kern w:val="21"/>
          <w:szCs w:val="24"/>
        </w:rPr>
        <w:t>、卫生防护距离</w:t>
      </w:r>
    </w:p>
    <w:p w14:paraId="043F289D"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w:t>
      </w:r>
      <w:r>
        <w:rPr>
          <w:rFonts w:cs="Times New Roman"/>
          <w:b/>
          <w:bCs/>
          <w:kern w:val="21"/>
          <w:szCs w:val="24"/>
        </w:rPr>
        <w:t>1</w:t>
      </w:r>
      <w:r>
        <w:rPr>
          <w:rFonts w:cs="Times New Roman"/>
          <w:b/>
          <w:bCs/>
          <w:kern w:val="21"/>
          <w:szCs w:val="24"/>
        </w:rPr>
        <w:t>）有害物质选取</w:t>
      </w:r>
    </w:p>
    <w:p w14:paraId="0605AE95" w14:textId="77777777" w:rsidR="00544649" w:rsidRDefault="00000000">
      <w:pPr>
        <w:adjustRightInd w:val="0"/>
        <w:snapToGrid w:val="0"/>
        <w:spacing w:after="0"/>
        <w:ind w:firstLine="480"/>
        <w:rPr>
          <w:rFonts w:cs="Times New Roman"/>
          <w:kern w:val="21"/>
          <w:szCs w:val="24"/>
        </w:rPr>
      </w:pPr>
      <w:r>
        <w:rPr>
          <w:rFonts w:cs="Times New Roman"/>
          <w:kern w:val="21"/>
          <w:szCs w:val="24"/>
        </w:rPr>
        <w:t>根据《大气有害物质无组织排放卫生防护距离推导技术导则》（</w:t>
      </w:r>
      <w:r>
        <w:rPr>
          <w:rFonts w:cs="Times New Roman"/>
          <w:kern w:val="21"/>
          <w:szCs w:val="24"/>
        </w:rPr>
        <w:t>GB/T39499-2020</w:t>
      </w:r>
      <w:r>
        <w:rPr>
          <w:rFonts w:cs="Times New Roman"/>
          <w:kern w:val="21"/>
          <w:szCs w:val="24"/>
        </w:rPr>
        <w:t>）规定，选取特征大气有害物质时，应首先考虑其对人体健康损害毒性特点，确定单个大气有害物质的无组织排放量及等标排放量（</w:t>
      </w:r>
      <w:r>
        <w:rPr>
          <w:rFonts w:cs="Times New Roman"/>
          <w:kern w:val="21"/>
          <w:szCs w:val="24"/>
        </w:rPr>
        <w:t>Q</w:t>
      </w:r>
      <w:r>
        <w:rPr>
          <w:rFonts w:cs="Times New Roman"/>
          <w:kern w:val="21"/>
          <w:szCs w:val="24"/>
          <w:vertAlign w:val="subscript"/>
        </w:rPr>
        <w:t>c</w:t>
      </w:r>
      <w:r>
        <w:rPr>
          <w:rFonts w:cs="Times New Roman"/>
          <w:kern w:val="21"/>
          <w:szCs w:val="24"/>
        </w:rPr>
        <w:t>/C</w:t>
      </w:r>
      <w:r>
        <w:rPr>
          <w:rFonts w:cs="Times New Roman"/>
          <w:kern w:val="21"/>
          <w:szCs w:val="24"/>
          <w:vertAlign w:val="subscript"/>
        </w:rPr>
        <w:t>m</w:t>
      </w:r>
      <w:r>
        <w:rPr>
          <w:rFonts w:cs="Times New Roman"/>
          <w:kern w:val="21"/>
          <w:szCs w:val="24"/>
        </w:rPr>
        <w:t>），最终确定卫生防护距离相关的主要特征大气有害物质</w:t>
      </w:r>
      <w:r>
        <w:rPr>
          <w:rFonts w:cs="Times New Roman"/>
          <w:kern w:val="21"/>
          <w:szCs w:val="24"/>
        </w:rPr>
        <w:t>1</w:t>
      </w:r>
      <w:r>
        <w:rPr>
          <w:rFonts w:cs="Times New Roman"/>
          <w:kern w:val="21"/>
          <w:szCs w:val="24"/>
        </w:rPr>
        <w:t>种</w:t>
      </w:r>
      <w:r>
        <w:rPr>
          <w:rFonts w:cs="Times New Roman"/>
          <w:kern w:val="21"/>
          <w:szCs w:val="24"/>
        </w:rPr>
        <w:t>~2</w:t>
      </w:r>
      <w:r>
        <w:rPr>
          <w:rFonts w:cs="Times New Roman"/>
          <w:kern w:val="21"/>
          <w:szCs w:val="24"/>
        </w:rPr>
        <w:t>种。</w:t>
      </w:r>
    </w:p>
    <w:p w14:paraId="7CD7F615" w14:textId="77777777" w:rsidR="00544649" w:rsidRDefault="00000000">
      <w:pPr>
        <w:adjustRightInd w:val="0"/>
        <w:snapToGrid w:val="0"/>
        <w:spacing w:after="0"/>
        <w:ind w:firstLine="480"/>
        <w:rPr>
          <w:rFonts w:cs="Times New Roman"/>
          <w:kern w:val="21"/>
          <w:szCs w:val="24"/>
        </w:rPr>
      </w:pPr>
      <w:r>
        <w:rPr>
          <w:rFonts w:cs="Times New Roman"/>
          <w:kern w:val="21"/>
          <w:szCs w:val="24"/>
        </w:rPr>
        <w:t>当企业无组织排放存在多种有毒有害污染物时，基于单个污染物的等标排放量计算结果，优先选择等标排放量大的污染物为企业无组织排放的主要特征大气有害物质。当两种污染物的等标排放量相差在</w:t>
      </w:r>
      <w:r>
        <w:rPr>
          <w:rFonts w:cs="Times New Roman"/>
          <w:kern w:val="21"/>
          <w:szCs w:val="24"/>
        </w:rPr>
        <w:t>10%</w:t>
      </w:r>
      <w:r>
        <w:rPr>
          <w:rFonts w:cs="Times New Roman"/>
          <w:kern w:val="21"/>
          <w:szCs w:val="24"/>
        </w:rPr>
        <w:t>以内时，需要同时选择这两种特征大气有害物质计算卫生防护距离初值。</w:t>
      </w:r>
    </w:p>
    <w:p w14:paraId="00E21399"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w:t>
      </w:r>
      <w:r>
        <w:rPr>
          <w:rFonts w:cs="Times New Roman"/>
          <w:b/>
          <w:bCs/>
          <w:kern w:val="21"/>
          <w:szCs w:val="24"/>
        </w:rPr>
        <w:t>2</w:t>
      </w:r>
      <w:r>
        <w:rPr>
          <w:rFonts w:cs="Times New Roman"/>
          <w:b/>
          <w:bCs/>
          <w:kern w:val="21"/>
          <w:szCs w:val="24"/>
        </w:rPr>
        <w:t>）计算公式</w:t>
      </w:r>
    </w:p>
    <w:p w14:paraId="7C1682E2" w14:textId="77777777" w:rsidR="00544649" w:rsidRDefault="00000000">
      <w:pPr>
        <w:adjustRightInd w:val="0"/>
        <w:snapToGrid w:val="0"/>
        <w:spacing w:after="0"/>
        <w:ind w:firstLine="480"/>
        <w:rPr>
          <w:rFonts w:cs="Times New Roman"/>
          <w:kern w:val="21"/>
          <w:szCs w:val="24"/>
        </w:rPr>
      </w:pPr>
      <w:r>
        <w:rPr>
          <w:rFonts w:cs="Times New Roman"/>
          <w:kern w:val="21"/>
          <w:szCs w:val="24"/>
        </w:rPr>
        <w:t>卫生防护距离的计算方法采用《大气有害物质无组织排放卫生防护距离推导技术</w:t>
      </w:r>
      <w:r>
        <w:rPr>
          <w:rFonts w:cs="Times New Roman"/>
          <w:kern w:val="21"/>
          <w:szCs w:val="24"/>
        </w:rPr>
        <w:lastRenderedPageBreak/>
        <w:t>导则》（</w:t>
      </w:r>
      <w:r>
        <w:rPr>
          <w:rFonts w:cs="Times New Roman"/>
          <w:kern w:val="21"/>
          <w:szCs w:val="24"/>
        </w:rPr>
        <w:t>GB/T39499-2020</w:t>
      </w:r>
      <w:r>
        <w:rPr>
          <w:rFonts w:cs="Times New Roman"/>
          <w:kern w:val="21"/>
          <w:szCs w:val="24"/>
        </w:rPr>
        <w:t>）中有害气体无组织排放控制与工业企业卫生防护距离标准的制定方法，工业企业卫生防护距离初值按下式计算：</w:t>
      </w:r>
    </w:p>
    <w:p w14:paraId="06A8220D" w14:textId="77777777" w:rsidR="00544649" w:rsidRDefault="00000000">
      <w:pPr>
        <w:adjustRightInd w:val="0"/>
        <w:snapToGrid w:val="0"/>
        <w:spacing w:after="0"/>
        <w:ind w:firstLine="480"/>
        <w:jc w:val="center"/>
        <w:rPr>
          <w:rFonts w:cs="Times New Roman"/>
          <w:kern w:val="21"/>
          <w:szCs w:val="24"/>
        </w:rPr>
      </w:pPr>
      <w:r>
        <w:rPr>
          <w:rFonts w:cs="Times New Roman"/>
          <w:kern w:val="21"/>
          <w:szCs w:val="24"/>
        </w:rPr>
        <w:object w:dxaOrig="2790" w:dyaOrig="690" w14:anchorId="7D11AB5F">
          <v:shape id="_x0000_i1036" type="#_x0000_t75" style="width:139.5pt;height:34.5pt" o:ole="">
            <v:imagedata r:id="rId56" o:title=""/>
          </v:shape>
          <o:OLEObject Type="Embed" ProgID="Equation.3" ShapeID="_x0000_i1036" DrawAspect="Content" ObjectID="_1806238032" r:id="rId57"/>
        </w:object>
      </w:r>
    </w:p>
    <w:p w14:paraId="7B2EF4CE" w14:textId="77777777" w:rsidR="00544649" w:rsidRDefault="00000000">
      <w:pPr>
        <w:adjustRightInd w:val="0"/>
        <w:snapToGrid w:val="0"/>
        <w:spacing w:after="0"/>
        <w:ind w:firstLine="480"/>
        <w:rPr>
          <w:rFonts w:cs="Times New Roman"/>
          <w:kern w:val="21"/>
          <w:szCs w:val="24"/>
        </w:rPr>
      </w:pPr>
      <w:r>
        <w:rPr>
          <w:rFonts w:cs="Times New Roman"/>
          <w:kern w:val="21"/>
          <w:szCs w:val="24"/>
        </w:rPr>
        <w:t>式中：</w:t>
      </w:r>
    </w:p>
    <w:p w14:paraId="537289DB" w14:textId="77777777" w:rsidR="00544649" w:rsidRDefault="00000000">
      <w:pPr>
        <w:adjustRightInd w:val="0"/>
        <w:snapToGrid w:val="0"/>
        <w:spacing w:after="0"/>
        <w:ind w:firstLine="480"/>
        <w:rPr>
          <w:rFonts w:cs="Times New Roman"/>
          <w:kern w:val="21"/>
          <w:szCs w:val="24"/>
        </w:rPr>
      </w:pPr>
      <w:r>
        <w:rPr>
          <w:rFonts w:cs="Times New Roman"/>
          <w:i/>
          <w:iCs/>
          <w:kern w:val="21"/>
          <w:szCs w:val="24"/>
        </w:rPr>
        <w:t>C</w:t>
      </w:r>
      <w:r>
        <w:rPr>
          <w:rFonts w:cs="Times New Roman"/>
          <w:i/>
          <w:iCs/>
          <w:kern w:val="21"/>
          <w:szCs w:val="24"/>
          <w:vertAlign w:val="subscript"/>
        </w:rPr>
        <w:t>m</w:t>
      </w:r>
      <w:r>
        <w:rPr>
          <w:rFonts w:cs="Times New Roman"/>
          <w:kern w:val="21"/>
          <w:szCs w:val="24"/>
        </w:rPr>
        <w:t>——</w:t>
      </w:r>
      <w:r>
        <w:rPr>
          <w:rFonts w:cs="Times New Roman"/>
          <w:kern w:val="21"/>
          <w:szCs w:val="24"/>
        </w:rPr>
        <w:t>排放标准浓度限值（</w:t>
      </w:r>
      <w:r>
        <w:rPr>
          <w:rFonts w:cs="Times New Roman"/>
          <w:kern w:val="21"/>
          <w:szCs w:val="24"/>
        </w:rPr>
        <w:t>mg/m</w:t>
      </w:r>
      <w:r>
        <w:rPr>
          <w:rFonts w:cs="Times New Roman"/>
          <w:kern w:val="21"/>
          <w:szCs w:val="24"/>
          <w:vertAlign w:val="superscript"/>
        </w:rPr>
        <w:t>3</w:t>
      </w:r>
      <w:r>
        <w:rPr>
          <w:rFonts w:cs="Times New Roman"/>
          <w:kern w:val="21"/>
          <w:szCs w:val="24"/>
        </w:rPr>
        <w:t>）；</w:t>
      </w:r>
    </w:p>
    <w:p w14:paraId="6C1F7CAF" w14:textId="77777777" w:rsidR="00544649" w:rsidRDefault="00000000">
      <w:pPr>
        <w:adjustRightInd w:val="0"/>
        <w:snapToGrid w:val="0"/>
        <w:spacing w:after="0"/>
        <w:ind w:firstLine="480"/>
        <w:rPr>
          <w:rFonts w:cs="Times New Roman"/>
          <w:kern w:val="21"/>
          <w:szCs w:val="24"/>
        </w:rPr>
      </w:pPr>
      <w:r>
        <w:rPr>
          <w:rFonts w:cs="Times New Roman"/>
          <w:i/>
          <w:iCs/>
          <w:kern w:val="21"/>
          <w:szCs w:val="24"/>
        </w:rPr>
        <w:t>Q</w:t>
      </w:r>
      <w:r>
        <w:rPr>
          <w:rFonts w:cs="Times New Roman"/>
          <w:i/>
          <w:iCs/>
          <w:kern w:val="21"/>
          <w:szCs w:val="24"/>
          <w:vertAlign w:val="subscript"/>
        </w:rPr>
        <w:t>c</w:t>
      </w:r>
      <w:r>
        <w:rPr>
          <w:rFonts w:cs="Times New Roman"/>
          <w:kern w:val="21"/>
          <w:szCs w:val="24"/>
        </w:rPr>
        <w:t>——</w:t>
      </w:r>
      <w:r>
        <w:rPr>
          <w:rFonts w:cs="Times New Roman"/>
          <w:kern w:val="21"/>
          <w:szCs w:val="24"/>
        </w:rPr>
        <w:t>工业企业有害气体无组织排放量可以达到的控制水平（</w:t>
      </w:r>
      <w:r>
        <w:rPr>
          <w:rFonts w:cs="Times New Roman"/>
          <w:kern w:val="21"/>
          <w:szCs w:val="24"/>
        </w:rPr>
        <w:t>kg/h</w:t>
      </w:r>
      <w:r>
        <w:rPr>
          <w:rFonts w:cs="Times New Roman"/>
          <w:kern w:val="21"/>
          <w:szCs w:val="24"/>
        </w:rPr>
        <w:t>）；</w:t>
      </w:r>
    </w:p>
    <w:p w14:paraId="0EFF3585" w14:textId="77777777" w:rsidR="00544649" w:rsidRDefault="00000000">
      <w:pPr>
        <w:adjustRightInd w:val="0"/>
        <w:snapToGrid w:val="0"/>
        <w:spacing w:after="0"/>
        <w:ind w:firstLine="480"/>
        <w:rPr>
          <w:rFonts w:cs="Times New Roman"/>
          <w:kern w:val="21"/>
          <w:szCs w:val="24"/>
        </w:rPr>
      </w:pPr>
      <w:r>
        <w:rPr>
          <w:rFonts w:cs="Times New Roman"/>
          <w:i/>
          <w:iCs/>
          <w:kern w:val="21"/>
          <w:szCs w:val="24"/>
        </w:rPr>
        <w:t>L</w:t>
      </w:r>
      <w:r>
        <w:rPr>
          <w:rFonts w:cs="Times New Roman"/>
          <w:kern w:val="21"/>
          <w:szCs w:val="24"/>
        </w:rPr>
        <w:t>——</w:t>
      </w:r>
      <w:r>
        <w:rPr>
          <w:rFonts w:cs="Times New Roman"/>
          <w:kern w:val="21"/>
          <w:szCs w:val="24"/>
        </w:rPr>
        <w:t>工业企业所需的卫生防护距离（</w:t>
      </w:r>
      <w:r>
        <w:rPr>
          <w:rFonts w:cs="Times New Roman"/>
          <w:kern w:val="21"/>
          <w:szCs w:val="24"/>
        </w:rPr>
        <w:t>m</w:t>
      </w:r>
      <w:r>
        <w:rPr>
          <w:rFonts w:cs="Times New Roman"/>
          <w:kern w:val="21"/>
          <w:szCs w:val="24"/>
        </w:rPr>
        <w:t>）；</w:t>
      </w:r>
    </w:p>
    <w:p w14:paraId="6FB4F12D" w14:textId="77777777" w:rsidR="00544649" w:rsidRDefault="00000000">
      <w:pPr>
        <w:adjustRightInd w:val="0"/>
        <w:snapToGrid w:val="0"/>
        <w:spacing w:after="0"/>
        <w:ind w:firstLine="480"/>
        <w:rPr>
          <w:rFonts w:cs="Times New Roman"/>
          <w:kern w:val="21"/>
          <w:szCs w:val="24"/>
        </w:rPr>
      </w:pPr>
      <w:r>
        <w:rPr>
          <w:rFonts w:cs="Times New Roman"/>
          <w:i/>
          <w:iCs/>
          <w:kern w:val="21"/>
          <w:szCs w:val="24"/>
        </w:rPr>
        <w:t>r</w:t>
      </w:r>
      <w:r>
        <w:rPr>
          <w:rFonts w:cs="Times New Roman"/>
          <w:kern w:val="21"/>
          <w:szCs w:val="24"/>
        </w:rPr>
        <w:t>——</w:t>
      </w:r>
      <w:r>
        <w:rPr>
          <w:rFonts w:cs="Times New Roman"/>
          <w:kern w:val="21"/>
          <w:szCs w:val="24"/>
        </w:rPr>
        <w:t>有害气体无组织排放源所在生产单元的等效半径，</w:t>
      </w:r>
      <w:r>
        <w:rPr>
          <w:rFonts w:cs="Times New Roman"/>
          <w:kern w:val="21"/>
          <w:szCs w:val="24"/>
        </w:rPr>
        <w:t>m</w:t>
      </w:r>
      <w:r>
        <w:rPr>
          <w:rFonts w:cs="Times New Roman"/>
          <w:kern w:val="21"/>
          <w:szCs w:val="24"/>
        </w:rPr>
        <w:t>，根据生产单元的占地面积</w:t>
      </w:r>
      <w:r>
        <w:rPr>
          <w:rFonts w:cs="Times New Roman"/>
          <w:kern w:val="21"/>
          <w:szCs w:val="24"/>
        </w:rPr>
        <w:t>S</w:t>
      </w:r>
      <w:r>
        <w:rPr>
          <w:rFonts w:cs="Times New Roman"/>
          <w:kern w:val="21"/>
          <w:szCs w:val="24"/>
        </w:rPr>
        <w:t>（</w:t>
      </w:r>
      <w:r>
        <w:rPr>
          <w:rFonts w:cs="Times New Roman"/>
          <w:kern w:val="21"/>
          <w:szCs w:val="24"/>
        </w:rPr>
        <w:t>m</w:t>
      </w:r>
      <w:r>
        <w:rPr>
          <w:rFonts w:cs="Times New Roman"/>
          <w:kern w:val="21"/>
          <w:szCs w:val="24"/>
          <w:vertAlign w:val="superscript"/>
        </w:rPr>
        <w:t>2</w:t>
      </w:r>
      <w:r>
        <w:rPr>
          <w:rFonts w:cs="Times New Roman"/>
          <w:kern w:val="21"/>
          <w:szCs w:val="24"/>
        </w:rPr>
        <w:t>）计算，</w:t>
      </w:r>
      <w:r>
        <w:rPr>
          <w:rFonts w:cs="Times New Roman"/>
          <w:i/>
          <w:iCs/>
          <w:kern w:val="21"/>
          <w:szCs w:val="24"/>
        </w:rPr>
        <w:t>r</w:t>
      </w:r>
      <w:r>
        <w:rPr>
          <w:rFonts w:cs="Times New Roman"/>
          <w:kern w:val="21"/>
          <w:szCs w:val="24"/>
        </w:rPr>
        <w:t>=</w:t>
      </w:r>
      <w:r>
        <w:rPr>
          <w:rFonts w:cs="Times New Roman"/>
          <w:kern w:val="21"/>
          <w:szCs w:val="24"/>
        </w:rPr>
        <w:t>（</w:t>
      </w:r>
      <w:r>
        <w:rPr>
          <w:rFonts w:cs="Times New Roman"/>
          <w:i/>
          <w:iCs/>
          <w:kern w:val="21"/>
          <w:szCs w:val="24"/>
        </w:rPr>
        <w:t>S/π</w:t>
      </w:r>
      <w:r>
        <w:rPr>
          <w:rFonts w:cs="Times New Roman"/>
          <w:kern w:val="21"/>
          <w:szCs w:val="24"/>
        </w:rPr>
        <w:t>）</w:t>
      </w:r>
      <w:r>
        <w:rPr>
          <w:rFonts w:cs="Times New Roman"/>
          <w:kern w:val="21"/>
          <w:szCs w:val="24"/>
          <w:vertAlign w:val="superscript"/>
        </w:rPr>
        <w:t>0.50</w:t>
      </w:r>
      <w:r>
        <w:rPr>
          <w:rFonts w:cs="Times New Roman"/>
          <w:kern w:val="21"/>
          <w:szCs w:val="24"/>
        </w:rPr>
        <w:t>，由面源的长度和宽度进行计算；</w:t>
      </w:r>
    </w:p>
    <w:p w14:paraId="0B953E97" w14:textId="77777777" w:rsidR="00544649" w:rsidRDefault="00000000">
      <w:pPr>
        <w:adjustRightInd w:val="0"/>
        <w:snapToGrid w:val="0"/>
        <w:spacing w:after="0"/>
        <w:ind w:firstLine="480"/>
        <w:rPr>
          <w:rFonts w:cs="Times New Roman"/>
          <w:kern w:val="21"/>
          <w:szCs w:val="24"/>
        </w:rPr>
      </w:pPr>
      <w:r>
        <w:rPr>
          <w:rFonts w:cs="Times New Roman"/>
          <w:i/>
          <w:iCs/>
          <w:kern w:val="21"/>
          <w:szCs w:val="24"/>
        </w:rPr>
        <w:t>A</w:t>
      </w:r>
      <w:r>
        <w:rPr>
          <w:rFonts w:cs="Times New Roman"/>
          <w:i/>
          <w:iCs/>
          <w:kern w:val="21"/>
          <w:szCs w:val="24"/>
        </w:rPr>
        <w:t>、</w:t>
      </w:r>
      <w:r>
        <w:rPr>
          <w:rFonts w:cs="Times New Roman"/>
          <w:i/>
          <w:iCs/>
          <w:kern w:val="21"/>
          <w:szCs w:val="24"/>
        </w:rPr>
        <w:t>B</w:t>
      </w:r>
      <w:r>
        <w:rPr>
          <w:rFonts w:cs="Times New Roman"/>
          <w:i/>
          <w:iCs/>
          <w:kern w:val="21"/>
          <w:szCs w:val="24"/>
        </w:rPr>
        <w:t>、</w:t>
      </w:r>
      <w:r>
        <w:rPr>
          <w:rFonts w:cs="Times New Roman"/>
          <w:i/>
          <w:iCs/>
          <w:kern w:val="21"/>
          <w:szCs w:val="24"/>
        </w:rPr>
        <w:t>C</w:t>
      </w:r>
      <w:r>
        <w:rPr>
          <w:rFonts w:cs="Times New Roman"/>
          <w:i/>
          <w:iCs/>
          <w:kern w:val="21"/>
          <w:szCs w:val="24"/>
        </w:rPr>
        <w:t>、</w:t>
      </w:r>
      <w:r>
        <w:rPr>
          <w:rFonts w:cs="Times New Roman"/>
          <w:i/>
          <w:iCs/>
          <w:kern w:val="21"/>
          <w:szCs w:val="24"/>
        </w:rPr>
        <w:t>D</w:t>
      </w:r>
      <w:r>
        <w:rPr>
          <w:rFonts w:cs="Times New Roman"/>
          <w:kern w:val="21"/>
          <w:szCs w:val="24"/>
        </w:rPr>
        <w:t>——</w:t>
      </w:r>
      <w:r>
        <w:rPr>
          <w:rFonts w:cs="Times New Roman"/>
          <w:kern w:val="21"/>
          <w:szCs w:val="24"/>
        </w:rPr>
        <w:t>卫生防护距离计算系数，无因次，根据工业企业所在地区近五年平均风速（项目所在区域近五年平均风速</w:t>
      </w:r>
      <w:r>
        <w:rPr>
          <w:rFonts w:cs="Times New Roman" w:hint="eastAsia"/>
          <w:kern w:val="21"/>
          <w:szCs w:val="24"/>
        </w:rPr>
        <w:t>1.1</w:t>
      </w:r>
      <w:r>
        <w:rPr>
          <w:rFonts w:cs="Times New Roman"/>
          <w:kern w:val="21"/>
          <w:szCs w:val="24"/>
        </w:rPr>
        <w:t>m/s</w:t>
      </w:r>
      <w:r>
        <w:rPr>
          <w:rFonts w:cs="Times New Roman"/>
          <w:kern w:val="21"/>
          <w:szCs w:val="24"/>
        </w:rPr>
        <w:t>）及工业企业大气污染源构成类别选取，具体数据选取为</w:t>
      </w:r>
      <w:r>
        <w:rPr>
          <w:rFonts w:cs="Times New Roman"/>
          <w:kern w:val="21"/>
          <w:szCs w:val="24"/>
        </w:rPr>
        <w:t>A=400</w:t>
      </w:r>
      <w:r>
        <w:rPr>
          <w:rFonts w:cs="Times New Roman"/>
          <w:kern w:val="21"/>
          <w:szCs w:val="24"/>
        </w:rPr>
        <w:t>，</w:t>
      </w:r>
      <w:r>
        <w:rPr>
          <w:rFonts w:cs="Times New Roman"/>
          <w:kern w:val="21"/>
          <w:szCs w:val="24"/>
        </w:rPr>
        <w:t>B=0.01</w:t>
      </w:r>
      <w:r>
        <w:rPr>
          <w:rFonts w:cs="Times New Roman"/>
          <w:kern w:val="21"/>
          <w:szCs w:val="24"/>
        </w:rPr>
        <w:t>，</w:t>
      </w:r>
      <w:r>
        <w:rPr>
          <w:rFonts w:cs="Times New Roman"/>
          <w:kern w:val="21"/>
          <w:szCs w:val="24"/>
        </w:rPr>
        <w:t>C=1.85</w:t>
      </w:r>
      <w:r>
        <w:rPr>
          <w:rFonts w:cs="Times New Roman"/>
          <w:kern w:val="21"/>
          <w:szCs w:val="24"/>
        </w:rPr>
        <w:t>，</w:t>
      </w:r>
      <w:r>
        <w:rPr>
          <w:rFonts w:cs="Times New Roman"/>
          <w:kern w:val="21"/>
          <w:szCs w:val="24"/>
        </w:rPr>
        <w:t>D=0.78</w:t>
      </w:r>
      <w:r>
        <w:rPr>
          <w:rFonts w:cs="Times New Roman"/>
          <w:kern w:val="21"/>
          <w:szCs w:val="24"/>
        </w:rPr>
        <w:t>。</w:t>
      </w:r>
    </w:p>
    <w:p w14:paraId="778EE86A" w14:textId="77777777" w:rsidR="00544649" w:rsidRDefault="00000000">
      <w:pPr>
        <w:numPr>
          <w:ilvl w:val="0"/>
          <w:numId w:val="27"/>
        </w:numPr>
        <w:adjustRightInd w:val="0"/>
        <w:snapToGrid w:val="0"/>
        <w:spacing w:beforeLines="20" w:before="62" w:afterLines="20" w:after="62" w:line="240" w:lineRule="auto"/>
        <w:ind w:firstLineChars="0"/>
        <w:jc w:val="center"/>
        <w:rPr>
          <w:rFonts w:cs="Times New Roman"/>
          <w:b/>
          <w:bCs/>
          <w:kern w:val="21"/>
          <w:sz w:val="21"/>
          <w:szCs w:val="21"/>
        </w:rPr>
      </w:pPr>
      <w:r>
        <w:rPr>
          <w:rFonts w:cs="Times New Roman"/>
          <w:b/>
          <w:bCs/>
          <w:kern w:val="21"/>
          <w:sz w:val="21"/>
          <w:szCs w:val="21"/>
        </w:rPr>
        <w:t>卫生防护距离初值计算参数表</w:t>
      </w:r>
    </w:p>
    <w:tbl>
      <w:tblPr>
        <w:tblStyle w:val="afc"/>
        <w:tblW w:w="9060" w:type="dxa"/>
        <w:jc w:val="center"/>
        <w:tblLayout w:type="fixed"/>
        <w:tblLook w:val="04A0" w:firstRow="1" w:lastRow="0" w:firstColumn="1" w:lastColumn="0" w:noHBand="0" w:noVBand="1"/>
      </w:tblPr>
      <w:tblGrid>
        <w:gridCol w:w="751"/>
        <w:gridCol w:w="2944"/>
        <w:gridCol w:w="594"/>
        <w:gridCol w:w="594"/>
        <w:gridCol w:w="611"/>
        <w:gridCol w:w="583"/>
        <w:gridCol w:w="594"/>
        <w:gridCol w:w="598"/>
        <w:gridCol w:w="594"/>
        <w:gridCol w:w="594"/>
        <w:gridCol w:w="603"/>
      </w:tblGrid>
      <w:tr w:rsidR="00544649" w14:paraId="5D97BE3E" w14:textId="77777777">
        <w:trPr>
          <w:trHeight w:val="90"/>
          <w:tblHeader/>
          <w:jc w:val="center"/>
        </w:trPr>
        <w:tc>
          <w:tcPr>
            <w:tcW w:w="751" w:type="dxa"/>
            <w:vMerge w:val="restart"/>
            <w:vAlign w:val="center"/>
          </w:tcPr>
          <w:p w14:paraId="4077283D"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计算系数</w:t>
            </w:r>
          </w:p>
        </w:tc>
        <w:tc>
          <w:tcPr>
            <w:tcW w:w="2944" w:type="dxa"/>
            <w:vMerge w:val="restart"/>
            <w:vAlign w:val="center"/>
          </w:tcPr>
          <w:p w14:paraId="364F7E35"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snapToGrid w:val="0"/>
                <w:kern w:val="21"/>
                <w:sz w:val="21"/>
                <w:szCs w:val="21"/>
              </w:rPr>
              <w:t>工业企业所在地区近</w:t>
            </w:r>
            <w:r>
              <w:rPr>
                <w:rFonts w:cs="Times New Roman"/>
                <w:b/>
                <w:bCs/>
                <w:snapToGrid w:val="0"/>
                <w:kern w:val="21"/>
                <w:sz w:val="21"/>
                <w:szCs w:val="21"/>
              </w:rPr>
              <w:t>5</w:t>
            </w:r>
            <w:r>
              <w:rPr>
                <w:rFonts w:cs="Times New Roman"/>
                <w:b/>
                <w:bCs/>
                <w:snapToGrid w:val="0"/>
                <w:kern w:val="21"/>
                <w:sz w:val="21"/>
                <w:szCs w:val="21"/>
              </w:rPr>
              <w:t>年平均风速（</w:t>
            </w:r>
            <w:r>
              <w:rPr>
                <w:rFonts w:cs="Times New Roman"/>
                <w:b/>
                <w:bCs/>
                <w:snapToGrid w:val="0"/>
                <w:kern w:val="21"/>
                <w:sz w:val="21"/>
                <w:szCs w:val="21"/>
              </w:rPr>
              <w:t>m/s</w:t>
            </w:r>
            <w:r>
              <w:rPr>
                <w:rFonts w:cs="Times New Roman"/>
                <w:b/>
                <w:bCs/>
                <w:snapToGrid w:val="0"/>
                <w:kern w:val="21"/>
                <w:sz w:val="21"/>
                <w:szCs w:val="21"/>
              </w:rPr>
              <w:t>）</w:t>
            </w:r>
          </w:p>
        </w:tc>
        <w:tc>
          <w:tcPr>
            <w:tcW w:w="5365" w:type="dxa"/>
            <w:gridSpan w:val="9"/>
            <w:vAlign w:val="center"/>
          </w:tcPr>
          <w:p w14:paraId="22A98D20" w14:textId="77777777" w:rsidR="00544649" w:rsidRDefault="00000000">
            <w:pPr>
              <w:adjustRightInd w:val="0"/>
              <w:snapToGrid w:val="0"/>
              <w:spacing w:beforeLines="20" w:before="62" w:afterLines="20" w:after="62" w:line="240" w:lineRule="auto"/>
              <w:ind w:firstLineChars="0" w:firstLine="0"/>
              <w:jc w:val="center"/>
              <w:rPr>
                <w:rFonts w:cs="Times New Roman"/>
                <w:b/>
                <w:bCs/>
                <w:snapToGrid w:val="0"/>
                <w:kern w:val="21"/>
                <w:sz w:val="21"/>
                <w:szCs w:val="21"/>
              </w:rPr>
            </w:pPr>
            <w:r>
              <w:rPr>
                <w:rFonts w:cs="Times New Roman"/>
                <w:b/>
                <w:bCs/>
                <w:snapToGrid w:val="0"/>
                <w:kern w:val="21"/>
                <w:sz w:val="21"/>
                <w:szCs w:val="21"/>
              </w:rPr>
              <w:t>卫生防护距离</w:t>
            </w:r>
            <w:r>
              <w:rPr>
                <w:rFonts w:cs="Times New Roman"/>
                <w:b/>
                <w:bCs/>
                <w:snapToGrid w:val="0"/>
                <w:kern w:val="21"/>
                <w:sz w:val="21"/>
                <w:szCs w:val="21"/>
              </w:rPr>
              <w:t>L</w:t>
            </w:r>
            <w:r>
              <w:rPr>
                <w:rFonts w:cs="Times New Roman"/>
                <w:b/>
                <w:bCs/>
                <w:snapToGrid w:val="0"/>
                <w:kern w:val="21"/>
                <w:sz w:val="21"/>
                <w:szCs w:val="21"/>
              </w:rPr>
              <w:t>（</w:t>
            </w:r>
            <w:r>
              <w:rPr>
                <w:rFonts w:cs="Times New Roman"/>
                <w:b/>
                <w:bCs/>
                <w:snapToGrid w:val="0"/>
                <w:kern w:val="21"/>
                <w:sz w:val="21"/>
                <w:szCs w:val="21"/>
              </w:rPr>
              <w:t>m</w:t>
            </w:r>
            <w:r>
              <w:rPr>
                <w:rFonts w:cs="Times New Roman"/>
                <w:b/>
                <w:bCs/>
                <w:snapToGrid w:val="0"/>
                <w:kern w:val="21"/>
                <w:sz w:val="21"/>
                <w:szCs w:val="21"/>
              </w:rPr>
              <w:t>）</w:t>
            </w:r>
          </w:p>
        </w:tc>
      </w:tr>
      <w:tr w:rsidR="00544649" w14:paraId="5F60AF73" w14:textId="77777777">
        <w:trPr>
          <w:tblHeader/>
          <w:jc w:val="center"/>
        </w:trPr>
        <w:tc>
          <w:tcPr>
            <w:tcW w:w="751" w:type="dxa"/>
            <w:vMerge/>
            <w:vAlign w:val="center"/>
          </w:tcPr>
          <w:p w14:paraId="216A4484" w14:textId="77777777" w:rsidR="00544649" w:rsidRDefault="00544649">
            <w:pPr>
              <w:adjustRightInd w:val="0"/>
              <w:snapToGrid w:val="0"/>
              <w:spacing w:beforeLines="20" w:before="62" w:afterLines="20" w:after="62" w:line="240" w:lineRule="auto"/>
              <w:ind w:firstLineChars="0" w:firstLine="0"/>
              <w:jc w:val="center"/>
              <w:rPr>
                <w:rFonts w:cs="Times New Roman"/>
                <w:b/>
                <w:bCs/>
                <w:kern w:val="21"/>
                <w:sz w:val="21"/>
                <w:szCs w:val="21"/>
              </w:rPr>
            </w:pPr>
          </w:p>
        </w:tc>
        <w:tc>
          <w:tcPr>
            <w:tcW w:w="2944" w:type="dxa"/>
            <w:vMerge/>
            <w:vAlign w:val="center"/>
          </w:tcPr>
          <w:p w14:paraId="04D33654" w14:textId="77777777" w:rsidR="00544649" w:rsidRDefault="00544649">
            <w:pPr>
              <w:adjustRightInd w:val="0"/>
              <w:snapToGrid w:val="0"/>
              <w:spacing w:beforeLines="20" w:before="62" w:afterLines="20" w:after="62" w:line="240" w:lineRule="auto"/>
              <w:ind w:firstLineChars="0" w:firstLine="0"/>
              <w:jc w:val="center"/>
              <w:rPr>
                <w:rFonts w:cs="Times New Roman"/>
                <w:b/>
                <w:bCs/>
                <w:kern w:val="21"/>
                <w:sz w:val="21"/>
                <w:szCs w:val="21"/>
              </w:rPr>
            </w:pPr>
          </w:p>
        </w:tc>
        <w:tc>
          <w:tcPr>
            <w:tcW w:w="1799" w:type="dxa"/>
            <w:gridSpan w:val="3"/>
            <w:vAlign w:val="center"/>
          </w:tcPr>
          <w:p w14:paraId="35D7D4BC"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snapToGrid w:val="0"/>
                <w:kern w:val="21"/>
                <w:sz w:val="21"/>
                <w:szCs w:val="21"/>
              </w:rPr>
              <w:t>L≤1000</w:t>
            </w:r>
          </w:p>
        </w:tc>
        <w:tc>
          <w:tcPr>
            <w:tcW w:w="1775" w:type="dxa"/>
            <w:gridSpan w:val="3"/>
            <w:vAlign w:val="center"/>
          </w:tcPr>
          <w:p w14:paraId="34090E2F"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snapToGrid w:val="0"/>
                <w:kern w:val="21"/>
                <w:sz w:val="21"/>
                <w:szCs w:val="21"/>
              </w:rPr>
              <w:t>1000</w:t>
            </w:r>
            <w:r>
              <w:rPr>
                <w:rFonts w:cs="Times New Roman"/>
                <w:b/>
                <w:bCs/>
                <w:snapToGrid w:val="0"/>
                <w:kern w:val="21"/>
                <w:sz w:val="21"/>
                <w:szCs w:val="21"/>
              </w:rPr>
              <w:t>＜</w:t>
            </w:r>
            <w:r>
              <w:rPr>
                <w:rFonts w:cs="Times New Roman"/>
                <w:b/>
                <w:bCs/>
                <w:snapToGrid w:val="0"/>
                <w:kern w:val="21"/>
                <w:sz w:val="21"/>
                <w:szCs w:val="21"/>
              </w:rPr>
              <w:t>L≤2000</w:t>
            </w:r>
          </w:p>
        </w:tc>
        <w:tc>
          <w:tcPr>
            <w:tcW w:w="1791" w:type="dxa"/>
            <w:gridSpan w:val="3"/>
            <w:vAlign w:val="center"/>
          </w:tcPr>
          <w:p w14:paraId="5A71EB67"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snapToGrid w:val="0"/>
                <w:kern w:val="21"/>
                <w:sz w:val="21"/>
                <w:szCs w:val="21"/>
              </w:rPr>
              <w:t>1000</w:t>
            </w:r>
            <w:r>
              <w:rPr>
                <w:rFonts w:cs="Times New Roman"/>
                <w:b/>
                <w:bCs/>
                <w:snapToGrid w:val="0"/>
                <w:kern w:val="21"/>
                <w:sz w:val="21"/>
                <w:szCs w:val="21"/>
              </w:rPr>
              <w:t>＜</w:t>
            </w:r>
            <w:r>
              <w:rPr>
                <w:rFonts w:cs="Times New Roman"/>
                <w:b/>
                <w:bCs/>
                <w:snapToGrid w:val="0"/>
                <w:kern w:val="21"/>
                <w:sz w:val="21"/>
                <w:szCs w:val="21"/>
              </w:rPr>
              <w:t>L≤2000</w:t>
            </w:r>
          </w:p>
        </w:tc>
      </w:tr>
      <w:tr w:rsidR="00544649" w14:paraId="7EE453AB" w14:textId="77777777">
        <w:trPr>
          <w:trHeight w:val="90"/>
          <w:tblHeader/>
          <w:jc w:val="center"/>
        </w:trPr>
        <w:tc>
          <w:tcPr>
            <w:tcW w:w="751" w:type="dxa"/>
            <w:vMerge/>
            <w:vAlign w:val="center"/>
          </w:tcPr>
          <w:p w14:paraId="1B37B13C" w14:textId="77777777" w:rsidR="00544649" w:rsidRDefault="00544649">
            <w:pPr>
              <w:adjustRightInd w:val="0"/>
              <w:snapToGrid w:val="0"/>
              <w:spacing w:beforeLines="20" w:before="62" w:afterLines="20" w:after="62" w:line="240" w:lineRule="auto"/>
              <w:ind w:firstLineChars="0" w:firstLine="0"/>
              <w:jc w:val="center"/>
              <w:rPr>
                <w:rFonts w:cs="Times New Roman"/>
                <w:b/>
                <w:bCs/>
                <w:kern w:val="21"/>
                <w:sz w:val="21"/>
                <w:szCs w:val="21"/>
              </w:rPr>
            </w:pPr>
          </w:p>
        </w:tc>
        <w:tc>
          <w:tcPr>
            <w:tcW w:w="2944" w:type="dxa"/>
            <w:vMerge/>
            <w:vAlign w:val="center"/>
          </w:tcPr>
          <w:p w14:paraId="42971833" w14:textId="77777777" w:rsidR="00544649" w:rsidRDefault="00544649">
            <w:pPr>
              <w:adjustRightInd w:val="0"/>
              <w:snapToGrid w:val="0"/>
              <w:spacing w:beforeLines="20" w:before="62" w:afterLines="20" w:after="62" w:line="240" w:lineRule="auto"/>
              <w:ind w:firstLineChars="0" w:firstLine="0"/>
              <w:jc w:val="center"/>
              <w:rPr>
                <w:rFonts w:cs="Times New Roman"/>
                <w:b/>
                <w:bCs/>
                <w:kern w:val="21"/>
                <w:sz w:val="21"/>
                <w:szCs w:val="21"/>
              </w:rPr>
            </w:pPr>
          </w:p>
        </w:tc>
        <w:tc>
          <w:tcPr>
            <w:tcW w:w="594" w:type="dxa"/>
            <w:vAlign w:val="center"/>
          </w:tcPr>
          <w:p w14:paraId="3988285B"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snapToGrid w:val="0"/>
                <w:kern w:val="21"/>
                <w:sz w:val="21"/>
                <w:szCs w:val="21"/>
              </w:rPr>
              <w:t>Ⅰ</w:t>
            </w:r>
          </w:p>
        </w:tc>
        <w:tc>
          <w:tcPr>
            <w:tcW w:w="594" w:type="dxa"/>
            <w:vAlign w:val="center"/>
          </w:tcPr>
          <w:p w14:paraId="3780FE01"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snapToGrid w:val="0"/>
                <w:kern w:val="21"/>
                <w:sz w:val="21"/>
                <w:szCs w:val="21"/>
              </w:rPr>
              <w:t>Ⅱ</w:t>
            </w:r>
          </w:p>
        </w:tc>
        <w:tc>
          <w:tcPr>
            <w:tcW w:w="611" w:type="dxa"/>
            <w:vAlign w:val="center"/>
          </w:tcPr>
          <w:p w14:paraId="6A9D491F"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snapToGrid w:val="0"/>
                <w:kern w:val="21"/>
                <w:sz w:val="21"/>
                <w:szCs w:val="21"/>
              </w:rPr>
              <w:t>Ⅲ</w:t>
            </w:r>
          </w:p>
        </w:tc>
        <w:tc>
          <w:tcPr>
            <w:tcW w:w="583" w:type="dxa"/>
            <w:vAlign w:val="center"/>
          </w:tcPr>
          <w:p w14:paraId="2F0B2585"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snapToGrid w:val="0"/>
                <w:kern w:val="21"/>
                <w:sz w:val="21"/>
                <w:szCs w:val="21"/>
              </w:rPr>
              <w:t>Ⅰ</w:t>
            </w:r>
          </w:p>
        </w:tc>
        <w:tc>
          <w:tcPr>
            <w:tcW w:w="594" w:type="dxa"/>
            <w:vAlign w:val="center"/>
          </w:tcPr>
          <w:p w14:paraId="59AB3170"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snapToGrid w:val="0"/>
                <w:kern w:val="21"/>
                <w:sz w:val="21"/>
                <w:szCs w:val="21"/>
              </w:rPr>
              <w:t>Ⅱ</w:t>
            </w:r>
          </w:p>
        </w:tc>
        <w:tc>
          <w:tcPr>
            <w:tcW w:w="598" w:type="dxa"/>
            <w:vAlign w:val="center"/>
          </w:tcPr>
          <w:p w14:paraId="17947287"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snapToGrid w:val="0"/>
                <w:kern w:val="21"/>
                <w:sz w:val="21"/>
                <w:szCs w:val="21"/>
              </w:rPr>
              <w:t>Ⅲ</w:t>
            </w:r>
          </w:p>
        </w:tc>
        <w:tc>
          <w:tcPr>
            <w:tcW w:w="594" w:type="dxa"/>
            <w:vAlign w:val="center"/>
          </w:tcPr>
          <w:p w14:paraId="34FA5A8B"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snapToGrid w:val="0"/>
                <w:kern w:val="21"/>
                <w:sz w:val="21"/>
                <w:szCs w:val="21"/>
              </w:rPr>
              <w:t>Ⅰ</w:t>
            </w:r>
          </w:p>
        </w:tc>
        <w:tc>
          <w:tcPr>
            <w:tcW w:w="594" w:type="dxa"/>
            <w:vAlign w:val="center"/>
          </w:tcPr>
          <w:p w14:paraId="03705480"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snapToGrid w:val="0"/>
                <w:kern w:val="21"/>
                <w:sz w:val="21"/>
                <w:szCs w:val="21"/>
              </w:rPr>
              <w:t>Ⅱ</w:t>
            </w:r>
          </w:p>
        </w:tc>
        <w:tc>
          <w:tcPr>
            <w:tcW w:w="603" w:type="dxa"/>
            <w:vAlign w:val="center"/>
          </w:tcPr>
          <w:p w14:paraId="0766695A"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snapToGrid w:val="0"/>
                <w:kern w:val="21"/>
                <w:sz w:val="21"/>
                <w:szCs w:val="21"/>
              </w:rPr>
              <w:t>Ⅲ</w:t>
            </w:r>
          </w:p>
        </w:tc>
      </w:tr>
      <w:tr w:rsidR="00544649" w14:paraId="30226855" w14:textId="77777777">
        <w:trPr>
          <w:jc w:val="center"/>
        </w:trPr>
        <w:tc>
          <w:tcPr>
            <w:tcW w:w="751" w:type="dxa"/>
            <w:vMerge w:val="restart"/>
            <w:vAlign w:val="center"/>
          </w:tcPr>
          <w:p w14:paraId="186ACD3F"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A</w:t>
            </w:r>
          </w:p>
        </w:tc>
        <w:tc>
          <w:tcPr>
            <w:tcW w:w="2944" w:type="dxa"/>
            <w:vAlign w:val="center"/>
          </w:tcPr>
          <w:p w14:paraId="5450A2C2"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&lt;2</w:t>
            </w:r>
          </w:p>
        </w:tc>
        <w:tc>
          <w:tcPr>
            <w:tcW w:w="594" w:type="dxa"/>
            <w:vAlign w:val="center"/>
          </w:tcPr>
          <w:p w14:paraId="3480C126"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400</w:t>
            </w:r>
          </w:p>
        </w:tc>
        <w:tc>
          <w:tcPr>
            <w:tcW w:w="594" w:type="dxa"/>
            <w:vAlign w:val="center"/>
          </w:tcPr>
          <w:p w14:paraId="4A7E8C05"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400</w:t>
            </w:r>
          </w:p>
        </w:tc>
        <w:tc>
          <w:tcPr>
            <w:tcW w:w="611" w:type="dxa"/>
            <w:vAlign w:val="center"/>
          </w:tcPr>
          <w:p w14:paraId="73CE8503"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400</w:t>
            </w:r>
          </w:p>
        </w:tc>
        <w:tc>
          <w:tcPr>
            <w:tcW w:w="583" w:type="dxa"/>
            <w:vAlign w:val="center"/>
          </w:tcPr>
          <w:p w14:paraId="54D1C531"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400</w:t>
            </w:r>
          </w:p>
        </w:tc>
        <w:tc>
          <w:tcPr>
            <w:tcW w:w="594" w:type="dxa"/>
            <w:vAlign w:val="center"/>
          </w:tcPr>
          <w:p w14:paraId="0E86C172"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400</w:t>
            </w:r>
          </w:p>
        </w:tc>
        <w:tc>
          <w:tcPr>
            <w:tcW w:w="598" w:type="dxa"/>
            <w:vAlign w:val="center"/>
          </w:tcPr>
          <w:p w14:paraId="62B7E151"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400</w:t>
            </w:r>
          </w:p>
        </w:tc>
        <w:tc>
          <w:tcPr>
            <w:tcW w:w="594" w:type="dxa"/>
            <w:vAlign w:val="center"/>
          </w:tcPr>
          <w:p w14:paraId="434BD564"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80</w:t>
            </w:r>
          </w:p>
        </w:tc>
        <w:tc>
          <w:tcPr>
            <w:tcW w:w="594" w:type="dxa"/>
            <w:vAlign w:val="center"/>
          </w:tcPr>
          <w:p w14:paraId="4F46258F"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80</w:t>
            </w:r>
          </w:p>
        </w:tc>
        <w:tc>
          <w:tcPr>
            <w:tcW w:w="603" w:type="dxa"/>
            <w:vAlign w:val="center"/>
          </w:tcPr>
          <w:p w14:paraId="511BBCAF"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80</w:t>
            </w:r>
          </w:p>
        </w:tc>
      </w:tr>
      <w:tr w:rsidR="00544649" w14:paraId="2DA29944" w14:textId="77777777">
        <w:trPr>
          <w:jc w:val="center"/>
        </w:trPr>
        <w:tc>
          <w:tcPr>
            <w:tcW w:w="751" w:type="dxa"/>
            <w:vMerge/>
            <w:vAlign w:val="center"/>
          </w:tcPr>
          <w:p w14:paraId="330947CA" w14:textId="77777777" w:rsidR="00544649" w:rsidRDefault="00544649">
            <w:pPr>
              <w:keepNext/>
              <w:numPr>
                <w:ilvl w:val="0"/>
                <w:numId w:val="28"/>
              </w:numPr>
              <w:adjustRightInd w:val="0"/>
              <w:snapToGrid w:val="0"/>
              <w:spacing w:beforeLines="20" w:before="62" w:afterLines="20" w:after="62" w:line="240" w:lineRule="auto"/>
              <w:ind w:left="0" w:firstLineChars="0" w:firstLine="0"/>
              <w:jc w:val="center"/>
              <w:rPr>
                <w:rFonts w:cs="Times New Roman"/>
                <w:b/>
                <w:bCs/>
                <w:kern w:val="21"/>
                <w:sz w:val="21"/>
                <w:szCs w:val="21"/>
              </w:rPr>
            </w:pPr>
          </w:p>
        </w:tc>
        <w:tc>
          <w:tcPr>
            <w:tcW w:w="2944" w:type="dxa"/>
            <w:vAlign w:val="center"/>
          </w:tcPr>
          <w:p w14:paraId="0613F218"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2~4</w:t>
            </w:r>
          </w:p>
        </w:tc>
        <w:tc>
          <w:tcPr>
            <w:tcW w:w="594" w:type="dxa"/>
            <w:vAlign w:val="center"/>
          </w:tcPr>
          <w:p w14:paraId="463B30CD"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700</w:t>
            </w:r>
          </w:p>
        </w:tc>
        <w:tc>
          <w:tcPr>
            <w:tcW w:w="594" w:type="dxa"/>
            <w:vAlign w:val="center"/>
          </w:tcPr>
          <w:p w14:paraId="67CBF725"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470</w:t>
            </w:r>
          </w:p>
        </w:tc>
        <w:tc>
          <w:tcPr>
            <w:tcW w:w="611" w:type="dxa"/>
            <w:vAlign w:val="center"/>
          </w:tcPr>
          <w:p w14:paraId="16D53C02"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350</w:t>
            </w:r>
          </w:p>
        </w:tc>
        <w:tc>
          <w:tcPr>
            <w:tcW w:w="583" w:type="dxa"/>
            <w:vAlign w:val="center"/>
          </w:tcPr>
          <w:p w14:paraId="0D6BCBFB"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700</w:t>
            </w:r>
          </w:p>
        </w:tc>
        <w:tc>
          <w:tcPr>
            <w:tcW w:w="594" w:type="dxa"/>
            <w:vAlign w:val="center"/>
          </w:tcPr>
          <w:p w14:paraId="7B7D18F2"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470</w:t>
            </w:r>
          </w:p>
        </w:tc>
        <w:tc>
          <w:tcPr>
            <w:tcW w:w="598" w:type="dxa"/>
            <w:vAlign w:val="center"/>
          </w:tcPr>
          <w:p w14:paraId="09330809"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350</w:t>
            </w:r>
          </w:p>
        </w:tc>
        <w:tc>
          <w:tcPr>
            <w:tcW w:w="594" w:type="dxa"/>
            <w:vAlign w:val="center"/>
          </w:tcPr>
          <w:p w14:paraId="05C7E829"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380</w:t>
            </w:r>
          </w:p>
        </w:tc>
        <w:tc>
          <w:tcPr>
            <w:tcW w:w="594" w:type="dxa"/>
            <w:vAlign w:val="center"/>
          </w:tcPr>
          <w:p w14:paraId="61222AC9"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250</w:t>
            </w:r>
          </w:p>
        </w:tc>
        <w:tc>
          <w:tcPr>
            <w:tcW w:w="603" w:type="dxa"/>
            <w:vAlign w:val="center"/>
          </w:tcPr>
          <w:p w14:paraId="76D03C34"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190</w:t>
            </w:r>
          </w:p>
        </w:tc>
      </w:tr>
      <w:tr w:rsidR="00544649" w14:paraId="5FBD26FA" w14:textId="77777777">
        <w:trPr>
          <w:jc w:val="center"/>
        </w:trPr>
        <w:tc>
          <w:tcPr>
            <w:tcW w:w="751" w:type="dxa"/>
            <w:vMerge/>
            <w:vAlign w:val="center"/>
          </w:tcPr>
          <w:p w14:paraId="51DEA1A4" w14:textId="77777777" w:rsidR="00544649" w:rsidRDefault="00544649">
            <w:pPr>
              <w:keepNext/>
              <w:numPr>
                <w:ilvl w:val="0"/>
                <w:numId w:val="28"/>
              </w:numPr>
              <w:adjustRightInd w:val="0"/>
              <w:snapToGrid w:val="0"/>
              <w:spacing w:beforeLines="20" w:before="62" w:afterLines="20" w:after="62" w:line="240" w:lineRule="auto"/>
              <w:ind w:left="0" w:firstLineChars="0" w:firstLine="0"/>
              <w:jc w:val="center"/>
              <w:rPr>
                <w:rFonts w:cs="Times New Roman"/>
                <w:b/>
                <w:bCs/>
                <w:kern w:val="21"/>
                <w:sz w:val="21"/>
                <w:szCs w:val="21"/>
              </w:rPr>
            </w:pPr>
          </w:p>
        </w:tc>
        <w:tc>
          <w:tcPr>
            <w:tcW w:w="2944" w:type="dxa"/>
            <w:vAlign w:val="center"/>
          </w:tcPr>
          <w:p w14:paraId="64EBE58B"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4</w:t>
            </w:r>
          </w:p>
        </w:tc>
        <w:tc>
          <w:tcPr>
            <w:tcW w:w="594" w:type="dxa"/>
            <w:vAlign w:val="center"/>
          </w:tcPr>
          <w:p w14:paraId="48D204F3"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530</w:t>
            </w:r>
          </w:p>
        </w:tc>
        <w:tc>
          <w:tcPr>
            <w:tcW w:w="594" w:type="dxa"/>
            <w:vAlign w:val="center"/>
          </w:tcPr>
          <w:p w14:paraId="3C14B6FE"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350</w:t>
            </w:r>
          </w:p>
        </w:tc>
        <w:tc>
          <w:tcPr>
            <w:tcW w:w="611" w:type="dxa"/>
            <w:vAlign w:val="center"/>
          </w:tcPr>
          <w:p w14:paraId="01BD0A84"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260</w:t>
            </w:r>
          </w:p>
        </w:tc>
        <w:tc>
          <w:tcPr>
            <w:tcW w:w="583" w:type="dxa"/>
            <w:vAlign w:val="center"/>
          </w:tcPr>
          <w:p w14:paraId="4C490E11"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530</w:t>
            </w:r>
          </w:p>
        </w:tc>
        <w:tc>
          <w:tcPr>
            <w:tcW w:w="594" w:type="dxa"/>
            <w:vAlign w:val="center"/>
          </w:tcPr>
          <w:p w14:paraId="29AD9126"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350</w:t>
            </w:r>
          </w:p>
        </w:tc>
        <w:tc>
          <w:tcPr>
            <w:tcW w:w="598" w:type="dxa"/>
            <w:vAlign w:val="center"/>
          </w:tcPr>
          <w:p w14:paraId="02A629AA"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260</w:t>
            </w:r>
          </w:p>
        </w:tc>
        <w:tc>
          <w:tcPr>
            <w:tcW w:w="594" w:type="dxa"/>
            <w:vAlign w:val="center"/>
          </w:tcPr>
          <w:p w14:paraId="3B98FD7B"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290</w:t>
            </w:r>
          </w:p>
        </w:tc>
        <w:tc>
          <w:tcPr>
            <w:tcW w:w="594" w:type="dxa"/>
            <w:vAlign w:val="center"/>
          </w:tcPr>
          <w:p w14:paraId="77411D4B"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190</w:t>
            </w:r>
          </w:p>
        </w:tc>
        <w:tc>
          <w:tcPr>
            <w:tcW w:w="603" w:type="dxa"/>
            <w:vAlign w:val="center"/>
          </w:tcPr>
          <w:p w14:paraId="180DAD46"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140</w:t>
            </w:r>
          </w:p>
        </w:tc>
      </w:tr>
      <w:tr w:rsidR="00544649" w14:paraId="319D0C09" w14:textId="77777777">
        <w:trPr>
          <w:jc w:val="center"/>
        </w:trPr>
        <w:tc>
          <w:tcPr>
            <w:tcW w:w="751" w:type="dxa"/>
            <w:vMerge w:val="restart"/>
            <w:vAlign w:val="center"/>
          </w:tcPr>
          <w:p w14:paraId="768D28C6"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B</w:t>
            </w:r>
          </w:p>
        </w:tc>
        <w:tc>
          <w:tcPr>
            <w:tcW w:w="2944" w:type="dxa"/>
            <w:vAlign w:val="center"/>
          </w:tcPr>
          <w:p w14:paraId="2062199C"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&lt;2</w:t>
            </w:r>
          </w:p>
        </w:tc>
        <w:tc>
          <w:tcPr>
            <w:tcW w:w="1799" w:type="dxa"/>
            <w:gridSpan w:val="3"/>
            <w:vAlign w:val="center"/>
          </w:tcPr>
          <w:p w14:paraId="6E7D3BE1"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0.01</w:t>
            </w:r>
          </w:p>
        </w:tc>
        <w:tc>
          <w:tcPr>
            <w:tcW w:w="1775" w:type="dxa"/>
            <w:gridSpan w:val="3"/>
            <w:vAlign w:val="center"/>
          </w:tcPr>
          <w:p w14:paraId="556F0825"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0.015</w:t>
            </w:r>
          </w:p>
        </w:tc>
        <w:tc>
          <w:tcPr>
            <w:tcW w:w="1791" w:type="dxa"/>
            <w:gridSpan w:val="3"/>
            <w:vAlign w:val="center"/>
          </w:tcPr>
          <w:p w14:paraId="1F985261"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0.015</w:t>
            </w:r>
          </w:p>
        </w:tc>
      </w:tr>
      <w:tr w:rsidR="00544649" w14:paraId="0D71C215" w14:textId="77777777">
        <w:trPr>
          <w:jc w:val="center"/>
        </w:trPr>
        <w:tc>
          <w:tcPr>
            <w:tcW w:w="751" w:type="dxa"/>
            <w:vMerge/>
            <w:vAlign w:val="center"/>
          </w:tcPr>
          <w:p w14:paraId="70E382F8" w14:textId="77777777" w:rsidR="00544649" w:rsidRDefault="00544649">
            <w:pPr>
              <w:keepNext/>
              <w:numPr>
                <w:ilvl w:val="0"/>
                <w:numId w:val="28"/>
              </w:numPr>
              <w:adjustRightInd w:val="0"/>
              <w:snapToGrid w:val="0"/>
              <w:spacing w:beforeLines="20" w:before="62" w:afterLines="20" w:after="62" w:line="240" w:lineRule="auto"/>
              <w:ind w:left="0" w:firstLineChars="0" w:firstLine="0"/>
              <w:jc w:val="center"/>
              <w:rPr>
                <w:rFonts w:cs="Times New Roman"/>
                <w:b/>
                <w:bCs/>
                <w:kern w:val="21"/>
                <w:sz w:val="21"/>
                <w:szCs w:val="21"/>
              </w:rPr>
            </w:pPr>
          </w:p>
        </w:tc>
        <w:tc>
          <w:tcPr>
            <w:tcW w:w="2944" w:type="dxa"/>
            <w:vAlign w:val="center"/>
          </w:tcPr>
          <w:p w14:paraId="63244BCB"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2</w:t>
            </w:r>
          </w:p>
        </w:tc>
        <w:tc>
          <w:tcPr>
            <w:tcW w:w="1799" w:type="dxa"/>
            <w:gridSpan w:val="3"/>
            <w:vAlign w:val="center"/>
          </w:tcPr>
          <w:p w14:paraId="027C9393"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0.021</w:t>
            </w:r>
          </w:p>
        </w:tc>
        <w:tc>
          <w:tcPr>
            <w:tcW w:w="1775" w:type="dxa"/>
            <w:gridSpan w:val="3"/>
            <w:vAlign w:val="center"/>
          </w:tcPr>
          <w:p w14:paraId="0036264E"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0.036</w:t>
            </w:r>
          </w:p>
        </w:tc>
        <w:tc>
          <w:tcPr>
            <w:tcW w:w="1791" w:type="dxa"/>
            <w:gridSpan w:val="3"/>
            <w:vAlign w:val="center"/>
          </w:tcPr>
          <w:p w14:paraId="38681EC8"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0.036</w:t>
            </w:r>
          </w:p>
        </w:tc>
      </w:tr>
      <w:tr w:rsidR="00544649" w14:paraId="4EFBC9B3" w14:textId="77777777">
        <w:trPr>
          <w:jc w:val="center"/>
        </w:trPr>
        <w:tc>
          <w:tcPr>
            <w:tcW w:w="751" w:type="dxa"/>
            <w:vMerge w:val="restart"/>
            <w:vAlign w:val="center"/>
          </w:tcPr>
          <w:p w14:paraId="602F6AA1"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C</w:t>
            </w:r>
          </w:p>
        </w:tc>
        <w:tc>
          <w:tcPr>
            <w:tcW w:w="2944" w:type="dxa"/>
            <w:vAlign w:val="center"/>
          </w:tcPr>
          <w:p w14:paraId="161A9BE0"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&lt;2</w:t>
            </w:r>
          </w:p>
        </w:tc>
        <w:tc>
          <w:tcPr>
            <w:tcW w:w="1799" w:type="dxa"/>
            <w:gridSpan w:val="3"/>
            <w:vAlign w:val="center"/>
          </w:tcPr>
          <w:p w14:paraId="15DA9DBF"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1.85</w:t>
            </w:r>
          </w:p>
        </w:tc>
        <w:tc>
          <w:tcPr>
            <w:tcW w:w="1775" w:type="dxa"/>
            <w:gridSpan w:val="3"/>
            <w:vAlign w:val="center"/>
          </w:tcPr>
          <w:p w14:paraId="7EE252CB"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1.79</w:t>
            </w:r>
          </w:p>
        </w:tc>
        <w:tc>
          <w:tcPr>
            <w:tcW w:w="1791" w:type="dxa"/>
            <w:gridSpan w:val="3"/>
            <w:vAlign w:val="center"/>
          </w:tcPr>
          <w:p w14:paraId="4B8F2E9B"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1.79</w:t>
            </w:r>
          </w:p>
        </w:tc>
      </w:tr>
      <w:tr w:rsidR="00544649" w14:paraId="61EA2507" w14:textId="77777777">
        <w:trPr>
          <w:jc w:val="center"/>
        </w:trPr>
        <w:tc>
          <w:tcPr>
            <w:tcW w:w="751" w:type="dxa"/>
            <w:vMerge/>
            <w:vAlign w:val="center"/>
          </w:tcPr>
          <w:p w14:paraId="2C75A641" w14:textId="77777777" w:rsidR="00544649" w:rsidRDefault="00544649">
            <w:pPr>
              <w:keepNext/>
              <w:numPr>
                <w:ilvl w:val="0"/>
                <w:numId w:val="28"/>
              </w:numPr>
              <w:adjustRightInd w:val="0"/>
              <w:snapToGrid w:val="0"/>
              <w:spacing w:beforeLines="20" w:before="62" w:afterLines="20" w:after="62" w:line="240" w:lineRule="auto"/>
              <w:ind w:left="0" w:firstLineChars="0" w:firstLine="0"/>
              <w:jc w:val="center"/>
              <w:rPr>
                <w:rFonts w:cs="Times New Roman"/>
                <w:b/>
                <w:bCs/>
                <w:kern w:val="21"/>
                <w:sz w:val="21"/>
                <w:szCs w:val="21"/>
              </w:rPr>
            </w:pPr>
          </w:p>
        </w:tc>
        <w:tc>
          <w:tcPr>
            <w:tcW w:w="2944" w:type="dxa"/>
            <w:vAlign w:val="center"/>
          </w:tcPr>
          <w:p w14:paraId="3877D75E"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2</w:t>
            </w:r>
          </w:p>
        </w:tc>
        <w:tc>
          <w:tcPr>
            <w:tcW w:w="1799" w:type="dxa"/>
            <w:gridSpan w:val="3"/>
            <w:vAlign w:val="center"/>
          </w:tcPr>
          <w:p w14:paraId="688DFD20"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1.85</w:t>
            </w:r>
          </w:p>
        </w:tc>
        <w:tc>
          <w:tcPr>
            <w:tcW w:w="1775" w:type="dxa"/>
            <w:gridSpan w:val="3"/>
            <w:vAlign w:val="center"/>
          </w:tcPr>
          <w:p w14:paraId="2A349582"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1.77</w:t>
            </w:r>
          </w:p>
        </w:tc>
        <w:tc>
          <w:tcPr>
            <w:tcW w:w="1791" w:type="dxa"/>
            <w:gridSpan w:val="3"/>
            <w:vAlign w:val="center"/>
          </w:tcPr>
          <w:p w14:paraId="3E5870BF"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1.77</w:t>
            </w:r>
          </w:p>
        </w:tc>
      </w:tr>
      <w:tr w:rsidR="00544649" w14:paraId="37147677" w14:textId="77777777">
        <w:trPr>
          <w:jc w:val="center"/>
        </w:trPr>
        <w:tc>
          <w:tcPr>
            <w:tcW w:w="751" w:type="dxa"/>
            <w:vMerge w:val="restart"/>
            <w:vAlign w:val="center"/>
          </w:tcPr>
          <w:p w14:paraId="6E9B6EFB"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snapToGrid w:val="0"/>
                <w:kern w:val="21"/>
                <w:sz w:val="21"/>
                <w:szCs w:val="21"/>
              </w:rPr>
              <w:t>D</w:t>
            </w:r>
          </w:p>
        </w:tc>
        <w:tc>
          <w:tcPr>
            <w:tcW w:w="2944" w:type="dxa"/>
            <w:vAlign w:val="center"/>
          </w:tcPr>
          <w:p w14:paraId="5BFD9389" w14:textId="77777777" w:rsidR="00544649" w:rsidRDefault="00000000">
            <w:pPr>
              <w:adjustRightInd w:val="0"/>
              <w:snapToGrid w:val="0"/>
              <w:spacing w:beforeLines="20" w:before="62" w:afterLines="20" w:after="62" w:line="240" w:lineRule="auto"/>
              <w:ind w:firstLineChars="0" w:firstLine="0"/>
              <w:jc w:val="center"/>
              <w:rPr>
                <w:rFonts w:cs="Times New Roman"/>
                <w:snapToGrid w:val="0"/>
                <w:kern w:val="21"/>
                <w:sz w:val="21"/>
                <w:szCs w:val="21"/>
              </w:rPr>
            </w:pPr>
            <w:r>
              <w:rPr>
                <w:rFonts w:cs="Times New Roman"/>
                <w:snapToGrid w:val="0"/>
                <w:kern w:val="21"/>
                <w:sz w:val="21"/>
                <w:szCs w:val="21"/>
              </w:rPr>
              <w:t>&lt;2</w:t>
            </w:r>
          </w:p>
        </w:tc>
        <w:tc>
          <w:tcPr>
            <w:tcW w:w="1799" w:type="dxa"/>
            <w:gridSpan w:val="3"/>
            <w:vAlign w:val="center"/>
          </w:tcPr>
          <w:p w14:paraId="2A11CE74" w14:textId="77777777" w:rsidR="00544649" w:rsidRDefault="00000000">
            <w:pPr>
              <w:adjustRightInd w:val="0"/>
              <w:snapToGrid w:val="0"/>
              <w:spacing w:beforeLines="20" w:before="62" w:afterLines="20" w:after="62" w:line="240" w:lineRule="auto"/>
              <w:ind w:firstLineChars="0" w:firstLine="0"/>
              <w:jc w:val="center"/>
              <w:rPr>
                <w:rFonts w:cs="Times New Roman"/>
                <w:snapToGrid w:val="0"/>
                <w:kern w:val="21"/>
                <w:sz w:val="21"/>
                <w:szCs w:val="21"/>
              </w:rPr>
            </w:pPr>
            <w:r>
              <w:rPr>
                <w:rFonts w:cs="Times New Roman"/>
                <w:snapToGrid w:val="0"/>
                <w:kern w:val="21"/>
                <w:sz w:val="21"/>
                <w:szCs w:val="21"/>
              </w:rPr>
              <w:t>0.78</w:t>
            </w:r>
          </w:p>
        </w:tc>
        <w:tc>
          <w:tcPr>
            <w:tcW w:w="1775" w:type="dxa"/>
            <w:gridSpan w:val="3"/>
            <w:vAlign w:val="center"/>
          </w:tcPr>
          <w:p w14:paraId="082A1043" w14:textId="77777777" w:rsidR="00544649" w:rsidRDefault="00000000">
            <w:pPr>
              <w:adjustRightInd w:val="0"/>
              <w:snapToGrid w:val="0"/>
              <w:spacing w:beforeLines="20" w:before="62" w:afterLines="20" w:after="62" w:line="240" w:lineRule="auto"/>
              <w:ind w:firstLineChars="0" w:firstLine="0"/>
              <w:jc w:val="center"/>
              <w:rPr>
                <w:rFonts w:cs="Times New Roman"/>
                <w:snapToGrid w:val="0"/>
                <w:kern w:val="21"/>
                <w:sz w:val="21"/>
                <w:szCs w:val="21"/>
              </w:rPr>
            </w:pPr>
            <w:r>
              <w:rPr>
                <w:rFonts w:cs="Times New Roman"/>
                <w:snapToGrid w:val="0"/>
                <w:kern w:val="21"/>
                <w:sz w:val="21"/>
                <w:szCs w:val="21"/>
              </w:rPr>
              <w:t>0.78</w:t>
            </w:r>
          </w:p>
        </w:tc>
        <w:tc>
          <w:tcPr>
            <w:tcW w:w="1791" w:type="dxa"/>
            <w:gridSpan w:val="3"/>
            <w:vAlign w:val="center"/>
          </w:tcPr>
          <w:p w14:paraId="50BE7ED4" w14:textId="77777777" w:rsidR="00544649" w:rsidRDefault="00000000">
            <w:pPr>
              <w:adjustRightInd w:val="0"/>
              <w:snapToGrid w:val="0"/>
              <w:spacing w:beforeLines="20" w:before="62" w:afterLines="20" w:after="62" w:line="240" w:lineRule="auto"/>
              <w:ind w:firstLineChars="0" w:firstLine="0"/>
              <w:jc w:val="center"/>
              <w:rPr>
                <w:rFonts w:cs="Times New Roman"/>
                <w:snapToGrid w:val="0"/>
                <w:kern w:val="21"/>
                <w:sz w:val="21"/>
                <w:szCs w:val="21"/>
              </w:rPr>
            </w:pPr>
            <w:r>
              <w:rPr>
                <w:rFonts w:cs="Times New Roman"/>
                <w:snapToGrid w:val="0"/>
                <w:kern w:val="21"/>
                <w:sz w:val="21"/>
                <w:szCs w:val="21"/>
              </w:rPr>
              <w:t>0.57</w:t>
            </w:r>
          </w:p>
        </w:tc>
      </w:tr>
      <w:tr w:rsidR="00544649" w14:paraId="04963602" w14:textId="77777777">
        <w:trPr>
          <w:jc w:val="center"/>
        </w:trPr>
        <w:tc>
          <w:tcPr>
            <w:tcW w:w="751" w:type="dxa"/>
            <w:vMerge/>
            <w:vAlign w:val="center"/>
          </w:tcPr>
          <w:p w14:paraId="271178D7" w14:textId="77777777" w:rsidR="00544649" w:rsidRDefault="00544649">
            <w:pPr>
              <w:keepNext/>
              <w:numPr>
                <w:ilvl w:val="0"/>
                <w:numId w:val="28"/>
              </w:numPr>
              <w:adjustRightInd w:val="0"/>
              <w:snapToGrid w:val="0"/>
              <w:spacing w:beforeLines="20" w:before="62" w:afterLines="20" w:after="62" w:line="240" w:lineRule="auto"/>
              <w:ind w:left="0" w:firstLineChars="0" w:firstLine="0"/>
              <w:jc w:val="center"/>
              <w:rPr>
                <w:rFonts w:cs="Times New Roman"/>
                <w:b/>
                <w:bCs/>
                <w:kern w:val="21"/>
                <w:sz w:val="21"/>
                <w:szCs w:val="21"/>
              </w:rPr>
            </w:pPr>
          </w:p>
        </w:tc>
        <w:tc>
          <w:tcPr>
            <w:tcW w:w="2944" w:type="dxa"/>
            <w:vAlign w:val="center"/>
          </w:tcPr>
          <w:p w14:paraId="6455A021" w14:textId="77777777" w:rsidR="00544649" w:rsidRDefault="00000000">
            <w:pPr>
              <w:adjustRightInd w:val="0"/>
              <w:snapToGrid w:val="0"/>
              <w:spacing w:beforeLines="20" w:before="62" w:afterLines="20" w:after="62" w:line="240" w:lineRule="auto"/>
              <w:ind w:firstLineChars="0" w:firstLine="0"/>
              <w:jc w:val="center"/>
              <w:rPr>
                <w:rFonts w:cs="Times New Roman"/>
                <w:snapToGrid w:val="0"/>
                <w:kern w:val="21"/>
                <w:sz w:val="21"/>
                <w:szCs w:val="21"/>
              </w:rPr>
            </w:pPr>
            <w:r>
              <w:rPr>
                <w:rFonts w:cs="Times New Roman"/>
                <w:snapToGrid w:val="0"/>
                <w:kern w:val="21"/>
                <w:sz w:val="21"/>
                <w:szCs w:val="21"/>
              </w:rPr>
              <w:t>2</w:t>
            </w:r>
          </w:p>
        </w:tc>
        <w:tc>
          <w:tcPr>
            <w:tcW w:w="1799" w:type="dxa"/>
            <w:gridSpan w:val="3"/>
            <w:vAlign w:val="center"/>
          </w:tcPr>
          <w:p w14:paraId="43ECEB87" w14:textId="77777777" w:rsidR="00544649" w:rsidRDefault="00000000">
            <w:pPr>
              <w:adjustRightInd w:val="0"/>
              <w:snapToGrid w:val="0"/>
              <w:spacing w:beforeLines="20" w:before="62" w:afterLines="20" w:after="62" w:line="240" w:lineRule="auto"/>
              <w:ind w:firstLineChars="0" w:firstLine="0"/>
              <w:jc w:val="center"/>
              <w:rPr>
                <w:rFonts w:cs="Times New Roman"/>
                <w:snapToGrid w:val="0"/>
                <w:kern w:val="21"/>
                <w:sz w:val="21"/>
                <w:szCs w:val="21"/>
              </w:rPr>
            </w:pPr>
            <w:r>
              <w:rPr>
                <w:rFonts w:cs="Times New Roman"/>
                <w:snapToGrid w:val="0"/>
                <w:kern w:val="21"/>
                <w:sz w:val="21"/>
                <w:szCs w:val="21"/>
              </w:rPr>
              <w:t>0.84</w:t>
            </w:r>
          </w:p>
        </w:tc>
        <w:tc>
          <w:tcPr>
            <w:tcW w:w="1775" w:type="dxa"/>
            <w:gridSpan w:val="3"/>
            <w:vAlign w:val="center"/>
          </w:tcPr>
          <w:p w14:paraId="73147634" w14:textId="77777777" w:rsidR="00544649" w:rsidRDefault="00000000">
            <w:pPr>
              <w:adjustRightInd w:val="0"/>
              <w:snapToGrid w:val="0"/>
              <w:spacing w:beforeLines="20" w:before="62" w:afterLines="20" w:after="62" w:line="240" w:lineRule="auto"/>
              <w:ind w:firstLineChars="0" w:firstLine="0"/>
              <w:jc w:val="center"/>
              <w:rPr>
                <w:rFonts w:cs="Times New Roman"/>
                <w:snapToGrid w:val="0"/>
                <w:kern w:val="21"/>
                <w:sz w:val="21"/>
                <w:szCs w:val="21"/>
              </w:rPr>
            </w:pPr>
            <w:r>
              <w:rPr>
                <w:rFonts w:cs="Times New Roman"/>
                <w:snapToGrid w:val="0"/>
                <w:kern w:val="21"/>
                <w:sz w:val="21"/>
                <w:szCs w:val="21"/>
              </w:rPr>
              <w:t>0.84</w:t>
            </w:r>
          </w:p>
        </w:tc>
        <w:tc>
          <w:tcPr>
            <w:tcW w:w="1791" w:type="dxa"/>
            <w:gridSpan w:val="3"/>
            <w:vAlign w:val="center"/>
          </w:tcPr>
          <w:p w14:paraId="730792C3" w14:textId="77777777" w:rsidR="00544649" w:rsidRDefault="00000000">
            <w:pPr>
              <w:adjustRightInd w:val="0"/>
              <w:snapToGrid w:val="0"/>
              <w:spacing w:beforeLines="20" w:before="62" w:afterLines="20" w:after="62" w:line="240" w:lineRule="auto"/>
              <w:ind w:firstLineChars="0" w:firstLine="0"/>
              <w:jc w:val="center"/>
              <w:rPr>
                <w:rFonts w:cs="Times New Roman"/>
                <w:snapToGrid w:val="0"/>
                <w:kern w:val="21"/>
                <w:sz w:val="21"/>
                <w:szCs w:val="21"/>
              </w:rPr>
            </w:pPr>
            <w:r>
              <w:rPr>
                <w:rFonts w:cs="Times New Roman"/>
                <w:snapToGrid w:val="0"/>
                <w:kern w:val="21"/>
                <w:sz w:val="21"/>
                <w:szCs w:val="21"/>
              </w:rPr>
              <w:t>0.76</w:t>
            </w:r>
          </w:p>
        </w:tc>
      </w:tr>
      <w:tr w:rsidR="00544649" w14:paraId="234D77D7" w14:textId="77777777">
        <w:trPr>
          <w:trHeight w:val="90"/>
          <w:jc w:val="center"/>
        </w:trPr>
        <w:tc>
          <w:tcPr>
            <w:tcW w:w="9060" w:type="dxa"/>
            <w:gridSpan w:val="11"/>
            <w:vAlign w:val="center"/>
          </w:tcPr>
          <w:p w14:paraId="11A2A540" w14:textId="77777777" w:rsidR="00544649" w:rsidRDefault="00000000">
            <w:pPr>
              <w:adjustRightInd w:val="0"/>
              <w:snapToGrid w:val="0"/>
              <w:spacing w:beforeLines="20" w:before="62" w:afterLines="20" w:after="62" w:line="240" w:lineRule="auto"/>
              <w:ind w:firstLineChars="0" w:firstLine="0"/>
              <w:rPr>
                <w:rFonts w:cs="Times New Roman"/>
                <w:b/>
                <w:kern w:val="21"/>
                <w:sz w:val="21"/>
                <w:szCs w:val="21"/>
              </w:rPr>
            </w:pPr>
            <w:r>
              <w:rPr>
                <w:rFonts w:cs="Times New Roman"/>
                <w:b/>
                <w:kern w:val="21"/>
                <w:sz w:val="21"/>
                <w:szCs w:val="21"/>
              </w:rPr>
              <w:t>注：</w:t>
            </w:r>
            <w:r>
              <w:rPr>
                <w:rFonts w:cs="Times New Roman"/>
                <w:b/>
                <w:iCs/>
                <w:kern w:val="21"/>
                <w:sz w:val="21"/>
                <w:szCs w:val="21"/>
              </w:rPr>
              <w:t>工业企业大气污染源构成分为三类。</w:t>
            </w:r>
          </w:p>
          <w:p w14:paraId="27AA3668" w14:textId="77777777" w:rsidR="00544649" w:rsidRDefault="00000000">
            <w:pPr>
              <w:adjustRightInd w:val="0"/>
              <w:snapToGrid w:val="0"/>
              <w:spacing w:beforeLines="20" w:before="62" w:afterLines="20" w:after="62" w:line="240" w:lineRule="auto"/>
              <w:ind w:firstLineChars="0" w:firstLine="0"/>
              <w:rPr>
                <w:rFonts w:cs="Times New Roman"/>
                <w:iCs/>
                <w:kern w:val="21"/>
                <w:sz w:val="21"/>
                <w:szCs w:val="21"/>
              </w:rPr>
            </w:pPr>
            <w:r>
              <w:rPr>
                <w:rFonts w:cs="Times New Roman"/>
                <w:b/>
                <w:bCs/>
                <w:iCs/>
                <w:kern w:val="21"/>
                <w:sz w:val="21"/>
                <w:szCs w:val="21"/>
              </w:rPr>
              <w:t>Ⅰ</w:t>
            </w:r>
            <w:r>
              <w:rPr>
                <w:rFonts w:cs="Times New Roman"/>
                <w:b/>
                <w:bCs/>
                <w:iCs/>
                <w:kern w:val="21"/>
                <w:sz w:val="21"/>
                <w:szCs w:val="21"/>
              </w:rPr>
              <w:t>类：</w:t>
            </w:r>
            <w:r>
              <w:rPr>
                <w:rFonts w:cs="Times New Roman"/>
                <w:iCs/>
                <w:kern w:val="21"/>
                <w:sz w:val="21"/>
                <w:szCs w:val="21"/>
              </w:rPr>
              <w:t>与无组织排放源共存的排放同种有害气体的排放量，大于标准规定的允许排放量的</w:t>
            </w:r>
            <w:r>
              <w:rPr>
                <w:rFonts w:cs="Times New Roman"/>
                <w:iCs/>
                <w:kern w:val="21"/>
                <w:sz w:val="21"/>
                <w:szCs w:val="21"/>
              </w:rPr>
              <w:t>1/3</w:t>
            </w:r>
            <w:r>
              <w:rPr>
                <w:rFonts w:cs="Times New Roman"/>
                <w:iCs/>
                <w:kern w:val="21"/>
                <w:sz w:val="21"/>
                <w:szCs w:val="21"/>
              </w:rPr>
              <w:t>。</w:t>
            </w:r>
          </w:p>
          <w:p w14:paraId="47F6096D" w14:textId="77777777" w:rsidR="00544649" w:rsidRDefault="00000000">
            <w:pPr>
              <w:adjustRightInd w:val="0"/>
              <w:snapToGrid w:val="0"/>
              <w:spacing w:beforeLines="20" w:before="62" w:afterLines="20" w:after="62" w:line="240" w:lineRule="auto"/>
              <w:ind w:firstLineChars="0" w:firstLine="0"/>
              <w:rPr>
                <w:rFonts w:cs="Times New Roman"/>
                <w:iCs/>
                <w:kern w:val="21"/>
                <w:sz w:val="21"/>
                <w:szCs w:val="21"/>
              </w:rPr>
            </w:pPr>
            <w:r>
              <w:rPr>
                <w:rFonts w:cs="Times New Roman"/>
                <w:b/>
                <w:bCs/>
                <w:iCs/>
                <w:kern w:val="21"/>
                <w:sz w:val="21"/>
                <w:szCs w:val="21"/>
              </w:rPr>
              <w:t>Ⅱ</w:t>
            </w:r>
            <w:r>
              <w:rPr>
                <w:rFonts w:cs="Times New Roman"/>
                <w:b/>
                <w:bCs/>
                <w:iCs/>
                <w:kern w:val="21"/>
                <w:sz w:val="21"/>
                <w:szCs w:val="21"/>
              </w:rPr>
              <w:t>类：</w:t>
            </w:r>
            <w:r>
              <w:rPr>
                <w:rFonts w:cs="Times New Roman"/>
                <w:iCs/>
                <w:kern w:val="21"/>
                <w:sz w:val="21"/>
                <w:szCs w:val="21"/>
              </w:rPr>
              <w:t>与无组织排放源共存的排放同种有害气体的排放量，小于标准规定的允许排放量的</w:t>
            </w:r>
            <w:r>
              <w:rPr>
                <w:rFonts w:cs="Times New Roman"/>
                <w:iCs/>
                <w:kern w:val="21"/>
                <w:sz w:val="21"/>
                <w:szCs w:val="21"/>
              </w:rPr>
              <w:t>1/3</w:t>
            </w:r>
            <w:r>
              <w:rPr>
                <w:rFonts w:cs="Times New Roman"/>
                <w:iCs/>
                <w:kern w:val="21"/>
                <w:sz w:val="21"/>
                <w:szCs w:val="21"/>
              </w:rPr>
              <w:t>，或虽无排放同种大气污染物之排气筒共存，但无组织排放的有害物质的容许浓度指标是按急性反应指标确定。</w:t>
            </w:r>
          </w:p>
          <w:p w14:paraId="44D465AD" w14:textId="77777777" w:rsidR="00544649" w:rsidRDefault="00000000">
            <w:pPr>
              <w:adjustRightInd w:val="0"/>
              <w:snapToGrid w:val="0"/>
              <w:spacing w:beforeLines="20" w:before="62" w:afterLines="20" w:after="62" w:line="240" w:lineRule="auto"/>
              <w:ind w:firstLineChars="0" w:firstLine="0"/>
              <w:rPr>
                <w:rFonts w:cs="Times New Roman"/>
                <w:snapToGrid w:val="0"/>
                <w:kern w:val="21"/>
                <w:sz w:val="21"/>
                <w:szCs w:val="21"/>
              </w:rPr>
            </w:pPr>
            <w:r>
              <w:rPr>
                <w:rFonts w:cs="Times New Roman"/>
                <w:b/>
                <w:bCs/>
                <w:iCs/>
                <w:kern w:val="21"/>
                <w:sz w:val="21"/>
                <w:szCs w:val="21"/>
              </w:rPr>
              <w:t>Ⅲ</w:t>
            </w:r>
            <w:r>
              <w:rPr>
                <w:rFonts w:cs="Times New Roman"/>
                <w:b/>
                <w:bCs/>
                <w:iCs/>
                <w:kern w:val="21"/>
                <w:sz w:val="21"/>
                <w:szCs w:val="21"/>
              </w:rPr>
              <w:t>类：</w:t>
            </w:r>
            <w:r>
              <w:rPr>
                <w:rFonts w:cs="Times New Roman"/>
                <w:iCs/>
                <w:kern w:val="21"/>
                <w:sz w:val="21"/>
                <w:szCs w:val="21"/>
              </w:rPr>
              <w:t>无排放同种有害物质的排气筒与无组织排放源共存，且无组织排放的有害物质的容许浓度指标是按慢性反应指标确定。</w:t>
            </w:r>
          </w:p>
        </w:tc>
      </w:tr>
    </w:tbl>
    <w:p w14:paraId="6DFB2C59"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w:t>
      </w:r>
      <w:r>
        <w:rPr>
          <w:rFonts w:cs="Times New Roman" w:hint="eastAsia"/>
          <w:b/>
          <w:bCs/>
          <w:kern w:val="21"/>
          <w:szCs w:val="24"/>
        </w:rPr>
        <w:t>3</w:t>
      </w:r>
      <w:r>
        <w:rPr>
          <w:rFonts w:cs="Times New Roman" w:hint="eastAsia"/>
          <w:b/>
          <w:bCs/>
          <w:kern w:val="21"/>
          <w:szCs w:val="24"/>
        </w:rPr>
        <w:t>）</w:t>
      </w:r>
      <w:r>
        <w:rPr>
          <w:rFonts w:cs="Times New Roman"/>
          <w:b/>
          <w:bCs/>
          <w:kern w:val="21"/>
          <w:szCs w:val="24"/>
        </w:rPr>
        <w:t>计算结果</w:t>
      </w:r>
    </w:p>
    <w:p w14:paraId="11E1A056" w14:textId="77777777" w:rsidR="00544649" w:rsidRDefault="00000000">
      <w:pPr>
        <w:adjustRightInd w:val="0"/>
        <w:snapToGrid w:val="0"/>
        <w:spacing w:after="0"/>
        <w:ind w:firstLine="480"/>
        <w:rPr>
          <w:rFonts w:cs="Times New Roman"/>
          <w:kern w:val="21"/>
        </w:rPr>
      </w:pPr>
      <w:bookmarkStart w:id="316" w:name="_Toc28562"/>
      <w:r>
        <w:rPr>
          <w:rFonts w:cs="Times New Roman" w:hint="eastAsia"/>
          <w:kern w:val="21"/>
          <w:szCs w:val="24"/>
        </w:rPr>
        <w:t>略</w:t>
      </w:r>
      <w:r>
        <w:rPr>
          <w:rFonts w:cs="Times New Roman"/>
          <w:kern w:val="21"/>
        </w:rPr>
        <w:t>。</w:t>
      </w:r>
    </w:p>
    <w:p w14:paraId="17D0B0BA" w14:textId="77777777" w:rsidR="00544649" w:rsidRDefault="00000000">
      <w:pPr>
        <w:keepNext/>
        <w:keepLines/>
        <w:numPr>
          <w:ilvl w:val="3"/>
          <w:numId w:val="9"/>
        </w:numPr>
        <w:adjustRightInd w:val="0"/>
        <w:snapToGrid w:val="0"/>
        <w:spacing w:after="0"/>
        <w:ind w:firstLineChars="0"/>
        <w:jc w:val="left"/>
        <w:outlineLvl w:val="3"/>
        <w:rPr>
          <w:rFonts w:cs="Times New Roman"/>
          <w:b/>
          <w:bCs/>
          <w:kern w:val="21"/>
        </w:rPr>
      </w:pPr>
      <w:r>
        <w:rPr>
          <w:rFonts w:cs="Times New Roman" w:hint="eastAsia"/>
          <w:b/>
          <w:bCs/>
          <w:kern w:val="21"/>
        </w:rPr>
        <w:lastRenderedPageBreak/>
        <w:t>小结</w:t>
      </w:r>
    </w:p>
    <w:p w14:paraId="3C188CDD"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本项目建成后，新增污染源正常排放</w:t>
      </w:r>
      <w:r>
        <w:rPr>
          <w:rFonts w:cs="Times New Roman" w:hint="eastAsia"/>
          <w:kern w:val="21"/>
          <w:szCs w:val="24"/>
        </w:rPr>
        <w:t>H</w:t>
      </w:r>
      <w:r>
        <w:rPr>
          <w:rFonts w:cs="Times New Roman" w:hint="eastAsia"/>
          <w:kern w:val="21"/>
          <w:szCs w:val="24"/>
          <w:vertAlign w:val="subscript"/>
        </w:rPr>
        <w:t>2</w:t>
      </w:r>
      <w:r>
        <w:rPr>
          <w:rFonts w:cs="Times New Roman" w:hint="eastAsia"/>
          <w:kern w:val="21"/>
          <w:szCs w:val="24"/>
        </w:rPr>
        <w:t>S</w:t>
      </w:r>
      <w:r>
        <w:rPr>
          <w:rFonts w:cs="Times New Roman" w:hint="eastAsia"/>
          <w:kern w:val="21"/>
          <w:szCs w:val="24"/>
        </w:rPr>
        <w:t>、</w:t>
      </w:r>
      <w:r>
        <w:rPr>
          <w:rFonts w:cs="Times New Roman" w:hint="eastAsia"/>
          <w:kern w:val="21"/>
          <w:szCs w:val="24"/>
        </w:rPr>
        <w:t>NH</w:t>
      </w:r>
      <w:r>
        <w:rPr>
          <w:rFonts w:cs="Times New Roman" w:hint="eastAsia"/>
          <w:kern w:val="21"/>
          <w:szCs w:val="24"/>
          <w:vertAlign w:val="subscript"/>
        </w:rPr>
        <w:t>3</w:t>
      </w:r>
      <w:r>
        <w:rPr>
          <w:rFonts w:cs="Times New Roman" w:hint="eastAsia"/>
          <w:kern w:val="21"/>
          <w:szCs w:val="24"/>
        </w:rPr>
        <w:t>，</w:t>
      </w:r>
      <w:r>
        <w:rPr>
          <w:rFonts w:cs="Times New Roman"/>
          <w:kern w:val="21"/>
          <w:szCs w:val="24"/>
        </w:rPr>
        <w:t>根据环境空气影响估算模式预测结果可知，</w:t>
      </w:r>
      <w:r>
        <w:rPr>
          <w:rFonts w:cs="Times New Roman" w:hint="eastAsia"/>
          <w:kern w:val="21"/>
          <w:szCs w:val="24"/>
        </w:rPr>
        <w:t>污染物浓度符合《环境影响评价技术导则大气环境》（</w:t>
      </w:r>
      <w:r>
        <w:rPr>
          <w:rFonts w:cs="Times New Roman" w:hint="eastAsia"/>
          <w:kern w:val="21"/>
          <w:szCs w:val="24"/>
        </w:rPr>
        <w:t>HJ2.2-2018</w:t>
      </w:r>
      <w:r>
        <w:rPr>
          <w:rFonts w:cs="Times New Roman" w:hint="eastAsia"/>
          <w:kern w:val="21"/>
          <w:szCs w:val="24"/>
        </w:rPr>
        <w:t>）附录</w:t>
      </w:r>
      <w:r>
        <w:rPr>
          <w:rFonts w:cs="Times New Roman" w:hint="eastAsia"/>
          <w:kern w:val="21"/>
          <w:szCs w:val="24"/>
        </w:rPr>
        <w:t>D</w:t>
      </w:r>
      <w:r>
        <w:rPr>
          <w:rFonts w:cs="Times New Roman" w:hint="eastAsia"/>
          <w:kern w:val="21"/>
          <w:szCs w:val="24"/>
        </w:rPr>
        <w:t>中的相关标准。</w:t>
      </w:r>
    </w:p>
    <w:p w14:paraId="14E0C418" w14:textId="77777777" w:rsidR="00544649" w:rsidRDefault="00000000">
      <w:pPr>
        <w:adjustRightInd w:val="0"/>
        <w:snapToGrid w:val="0"/>
        <w:spacing w:after="0"/>
        <w:ind w:firstLine="480"/>
        <w:rPr>
          <w:rFonts w:cs="Times New Roman"/>
          <w:kern w:val="21"/>
          <w:szCs w:val="24"/>
        </w:rPr>
      </w:pPr>
      <w:r>
        <w:rPr>
          <w:rFonts w:cs="Times New Roman"/>
          <w:kern w:val="21"/>
          <w:szCs w:val="24"/>
        </w:rPr>
        <w:t>根据工程污染源调查分析，本项目污染源主要为面源排放，污染源的排放强度和排放方式直接决定了对周边环境的污染程度。预测结果表明，废气污染物排放对区域的影响在可接受范围内，对各关心点影响较小，因此工程污染源的排放强度和排放方式合理。</w:t>
      </w:r>
    </w:p>
    <w:p w14:paraId="068E0D0B" w14:textId="77777777" w:rsidR="00544649" w:rsidRDefault="00000000">
      <w:pPr>
        <w:adjustRightInd w:val="0"/>
        <w:snapToGrid w:val="0"/>
        <w:spacing w:after="0"/>
        <w:ind w:firstLine="480"/>
        <w:rPr>
          <w:rFonts w:cs="Times New Roman"/>
          <w:kern w:val="21"/>
          <w:szCs w:val="24"/>
        </w:rPr>
      </w:pPr>
      <w:r>
        <w:rPr>
          <w:rFonts w:cs="Times New Roman"/>
          <w:kern w:val="21"/>
          <w:szCs w:val="24"/>
        </w:rPr>
        <w:t>项目实施后评价区域及各敏感点处各污染物最大地面</w:t>
      </w:r>
      <w:r>
        <w:rPr>
          <w:rFonts w:cs="Times New Roman" w:hint="eastAsia"/>
          <w:kern w:val="21"/>
          <w:szCs w:val="24"/>
        </w:rPr>
        <w:t>空气质量</w:t>
      </w:r>
      <w:r>
        <w:rPr>
          <w:rFonts w:cs="Times New Roman"/>
          <w:kern w:val="21"/>
          <w:szCs w:val="24"/>
        </w:rPr>
        <w:t>浓度</w:t>
      </w:r>
      <w:r>
        <w:rPr>
          <w:rFonts w:cs="Times New Roman" w:hint="eastAsia"/>
          <w:kern w:val="21"/>
          <w:szCs w:val="24"/>
        </w:rPr>
        <w:t>占标率</w:t>
      </w:r>
      <w:r>
        <w:rPr>
          <w:rFonts w:cs="Times New Roman"/>
          <w:kern w:val="21"/>
          <w:szCs w:val="24"/>
        </w:rPr>
        <w:t>均小于</w:t>
      </w:r>
      <w:r>
        <w:rPr>
          <w:rFonts w:cs="Times New Roman"/>
          <w:kern w:val="21"/>
          <w:szCs w:val="24"/>
        </w:rPr>
        <w:t>10%</w:t>
      </w:r>
      <w:r>
        <w:rPr>
          <w:rFonts w:cs="Times New Roman"/>
          <w:kern w:val="21"/>
          <w:szCs w:val="24"/>
        </w:rPr>
        <w:t>。因此预计工程投产后，在采取</w:t>
      </w:r>
      <w:r>
        <w:rPr>
          <w:rFonts w:cs="Times New Roman" w:hint="eastAsia"/>
          <w:kern w:val="21"/>
          <w:szCs w:val="24"/>
        </w:rPr>
        <w:t>废气</w:t>
      </w:r>
      <w:r>
        <w:rPr>
          <w:rFonts w:cs="Times New Roman"/>
          <w:kern w:val="21"/>
          <w:szCs w:val="24"/>
        </w:rPr>
        <w:t>污染治理措施的情况下，本项目对</w:t>
      </w:r>
      <w:proofErr w:type="gramStart"/>
      <w:r>
        <w:rPr>
          <w:rFonts w:cs="Times New Roman"/>
          <w:kern w:val="21"/>
          <w:szCs w:val="24"/>
        </w:rPr>
        <w:t>评价区</w:t>
      </w:r>
      <w:proofErr w:type="gramEnd"/>
      <w:r>
        <w:rPr>
          <w:rFonts w:cs="Times New Roman"/>
          <w:kern w:val="21"/>
          <w:szCs w:val="24"/>
        </w:rPr>
        <w:t>及关心点的环境空气质量的负面影响较轻微，所以，评价认为从环境空气角度出发，本工程的建设是可行的。</w:t>
      </w:r>
    </w:p>
    <w:p w14:paraId="2264F02F"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317" w:name="_Toc195009887"/>
      <w:r>
        <w:rPr>
          <w:rFonts w:cs="Times New Roman"/>
          <w:b/>
          <w:bCs/>
          <w:kern w:val="21"/>
          <w:sz w:val="28"/>
          <w:szCs w:val="24"/>
        </w:rPr>
        <w:t>运营期地表水环境影响分析</w:t>
      </w:r>
      <w:bookmarkEnd w:id="316"/>
      <w:bookmarkEnd w:id="317"/>
    </w:p>
    <w:p w14:paraId="155EFFF0" w14:textId="77777777" w:rsidR="00544649" w:rsidRDefault="00000000">
      <w:pPr>
        <w:adjustRightInd w:val="0"/>
        <w:snapToGrid w:val="0"/>
        <w:spacing w:after="0"/>
        <w:ind w:firstLine="480"/>
        <w:rPr>
          <w:rFonts w:cs="Times New Roman"/>
          <w:kern w:val="21"/>
        </w:rPr>
      </w:pPr>
      <w:r>
        <w:rPr>
          <w:rFonts w:cs="Times New Roman"/>
          <w:kern w:val="21"/>
        </w:rPr>
        <w:t>根据地表水环境影响评价等级可知，本项目地表水评价等级为三级</w:t>
      </w:r>
      <w:r>
        <w:rPr>
          <w:rFonts w:cs="Times New Roman"/>
          <w:kern w:val="21"/>
        </w:rPr>
        <w:t>B</w:t>
      </w:r>
      <w:r>
        <w:rPr>
          <w:rFonts w:cs="Times New Roman"/>
          <w:kern w:val="21"/>
        </w:rPr>
        <w:t>。根据《环境影响评价技术导则地表水环境》（</w:t>
      </w:r>
      <w:r>
        <w:rPr>
          <w:rFonts w:cs="Times New Roman"/>
          <w:kern w:val="21"/>
        </w:rPr>
        <w:t>HJ2.3-2018</w:t>
      </w:r>
      <w:r>
        <w:rPr>
          <w:rFonts w:cs="Times New Roman"/>
          <w:kern w:val="21"/>
        </w:rPr>
        <w:t>）中</w:t>
      </w:r>
      <w:r>
        <w:rPr>
          <w:rFonts w:cs="Times New Roman"/>
          <w:kern w:val="21"/>
        </w:rPr>
        <w:t>7.1.2</w:t>
      </w:r>
      <w:proofErr w:type="gramStart"/>
      <w:r>
        <w:rPr>
          <w:rFonts w:cs="Times New Roman"/>
          <w:kern w:val="21"/>
        </w:rPr>
        <w:t>三</w:t>
      </w:r>
      <w:proofErr w:type="gramEnd"/>
      <w:r>
        <w:rPr>
          <w:rFonts w:cs="Times New Roman"/>
          <w:kern w:val="21"/>
        </w:rPr>
        <w:t>级</w:t>
      </w:r>
      <w:r>
        <w:rPr>
          <w:rFonts w:cs="Times New Roman"/>
          <w:kern w:val="21"/>
        </w:rPr>
        <w:t>B</w:t>
      </w:r>
      <w:r>
        <w:rPr>
          <w:rFonts w:cs="Times New Roman"/>
          <w:kern w:val="21"/>
        </w:rPr>
        <w:t>评价，可不进行水环境影响预测。</w:t>
      </w:r>
    </w:p>
    <w:p w14:paraId="788D4AE3" w14:textId="77777777" w:rsidR="00544649" w:rsidRDefault="00000000">
      <w:pPr>
        <w:adjustRightInd w:val="0"/>
        <w:snapToGrid w:val="0"/>
        <w:spacing w:after="0"/>
        <w:ind w:firstLine="480"/>
        <w:rPr>
          <w:rFonts w:cs="Times New Roman"/>
          <w:kern w:val="21"/>
        </w:rPr>
      </w:pPr>
      <w:r>
        <w:rPr>
          <w:rFonts w:cs="Times New Roman"/>
          <w:kern w:val="21"/>
        </w:rPr>
        <w:t>本项目</w:t>
      </w:r>
      <w:r>
        <w:rPr>
          <w:rFonts w:cs="Times New Roman" w:hint="eastAsia"/>
          <w:kern w:val="21"/>
        </w:rPr>
        <w:t>产生的废水主要包括食堂餐厨</w:t>
      </w:r>
      <w:r>
        <w:rPr>
          <w:rFonts w:cs="Times New Roman"/>
          <w:kern w:val="21"/>
        </w:rPr>
        <w:t>废水</w:t>
      </w:r>
      <w:r>
        <w:rPr>
          <w:rFonts w:cs="Times New Roman" w:hint="eastAsia"/>
          <w:kern w:val="21"/>
        </w:rPr>
        <w:t>、员工生活污水、鸡舍清洗废水及蛋品清洗废水等，污水有机物浓度高、悬浮物多、氨氮含量大、臭味大。污水中主要污染物质为</w:t>
      </w:r>
      <w:r>
        <w:rPr>
          <w:rFonts w:cs="Times New Roman" w:hint="eastAsia"/>
          <w:kern w:val="21"/>
        </w:rPr>
        <w:t>COD</w:t>
      </w:r>
      <w:r>
        <w:rPr>
          <w:rFonts w:cs="Times New Roman" w:hint="eastAsia"/>
          <w:kern w:val="21"/>
        </w:rPr>
        <w:t>、</w:t>
      </w:r>
      <w:r>
        <w:rPr>
          <w:rFonts w:cs="Times New Roman" w:hint="eastAsia"/>
          <w:kern w:val="21"/>
        </w:rPr>
        <w:t>BOD</w:t>
      </w:r>
      <w:r>
        <w:rPr>
          <w:rFonts w:cs="Times New Roman" w:hint="eastAsia"/>
          <w:kern w:val="21"/>
          <w:vertAlign w:val="subscript"/>
        </w:rPr>
        <w:t>5</w:t>
      </w:r>
      <w:r>
        <w:rPr>
          <w:rFonts w:cs="Times New Roman" w:hint="eastAsia"/>
          <w:kern w:val="21"/>
        </w:rPr>
        <w:t>、</w:t>
      </w:r>
      <w:r>
        <w:rPr>
          <w:rFonts w:cs="Times New Roman" w:hint="eastAsia"/>
          <w:kern w:val="21"/>
        </w:rPr>
        <w:t>NH</w:t>
      </w:r>
      <w:r>
        <w:rPr>
          <w:rFonts w:cs="Times New Roman" w:hint="eastAsia"/>
          <w:kern w:val="21"/>
          <w:vertAlign w:val="subscript"/>
        </w:rPr>
        <w:t>3</w:t>
      </w:r>
      <w:r>
        <w:rPr>
          <w:rFonts w:cs="Times New Roman" w:hint="eastAsia"/>
          <w:kern w:val="21"/>
        </w:rPr>
        <w:t>-N</w:t>
      </w:r>
      <w:r>
        <w:rPr>
          <w:rFonts w:cs="Times New Roman" w:hint="eastAsia"/>
          <w:kern w:val="21"/>
        </w:rPr>
        <w:t>、</w:t>
      </w:r>
      <w:r>
        <w:rPr>
          <w:rFonts w:cs="Times New Roman" w:hint="eastAsia"/>
          <w:kern w:val="21"/>
        </w:rPr>
        <w:t>SS</w:t>
      </w:r>
      <w:r>
        <w:rPr>
          <w:rFonts w:cs="Times New Roman" w:hint="eastAsia"/>
          <w:kern w:val="21"/>
        </w:rPr>
        <w:t>等，不含有毒物质。</w:t>
      </w:r>
      <w:r>
        <w:t>养殖废水及生活污水、</w:t>
      </w:r>
      <w:r>
        <w:rPr>
          <w:rFonts w:hint="eastAsia"/>
        </w:rPr>
        <w:t>餐厨</w:t>
      </w:r>
      <w:r>
        <w:t>废水水质可生化性较高，因此养殖场拟建废水处理系统集中处理，废水经污水处理站处理后用于</w:t>
      </w:r>
      <w:r>
        <w:rPr>
          <w:rFonts w:hint="eastAsia"/>
        </w:rPr>
        <w:t>周边林地</w:t>
      </w:r>
      <w:r>
        <w:t>灌溉。处理后的废水</w:t>
      </w:r>
      <w:r>
        <w:rPr>
          <w:rFonts w:hint="eastAsia"/>
        </w:rPr>
        <w:t>用于灌溉</w:t>
      </w:r>
      <w:r>
        <w:t>农用，可以节省大量水资源，提高作物产量，还可以改善土壤的物理化学性质，提高土壤肥力，有利于农作物的生长，节约水资源，减少污染物排放量，对地表水体无明显影响。</w:t>
      </w:r>
    </w:p>
    <w:p w14:paraId="5F7EE937"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废水污染物产生及</w:t>
      </w:r>
      <w:r>
        <w:rPr>
          <w:rFonts w:cs="Times New Roman" w:hint="eastAsia"/>
          <w:b/>
          <w:bCs/>
          <w:kern w:val="21"/>
        </w:rPr>
        <w:t>处理情况</w:t>
      </w:r>
    </w:p>
    <w:p w14:paraId="22C5BB79" w14:textId="77777777" w:rsidR="00544649" w:rsidRDefault="00000000">
      <w:pPr>
        <w:adjustRightInd w:val="0"/>
        <w:snapToGrid w:val="0"/>
        <w:spacing w:after="0"/>
        <w:ind w:firstLine="480"/>
        <w:rPr>
          <w:rFonts w:cs="Times New Roman"/>
          <w:kern w:val="21"/>
        </w:rPr>
      </w:pPr>
      <w:r>
        <w:rPr>
          <w:rFonts w:cs="Times New Roman" w:hint="eastAsia"/>
          <w:kern w:val="21"/>
        </w:rPr>
        <w:t>本项目</w:t>
      </w:r>
      <w:proofErr w:type="gramStart"/>
      <w:r>
        <w:rPr>
          <w:rFonts w:cs="Times New Roman" w:hint="eastAsia"/>
          <w:kern w:val="21"/>
        </w:rPr>
        <w:t>育雏场</w:t>
      </w:r>
      <w:proofErr w:type="gramEnd"/>
      <w:r>
        <w:rPr>
          <w:rFonts w:cs="Times New Roman" w:hint="eastAsia"/>
          <w:kern w:val="21"/>
        </w:rPr>
        <w:t>餐厨废水、员工生活污水、鸡舍冲洗废水及</w:t>
      </w:r>
      <w:proofErr w:type="gramStart"/>
      <w:r>
        <w:rPr>
          <w:rFonts w:cs="Times New Roman" w:hint="eastAsia"/>
          <w:kern w:val="21"/>
        </w:rPr>
        <w:t>污水站反冲洗</w:t>
      </w:r>
      <w:proofErr w:type="gramEnd"/>
      <w:r>
        <w:rPr>
          <w:rFonts w:cs="Times New Roman" w:hint="eastAsia"/>
          <w:kern w:val="21"/>
        </w:rPr>
        <w:t>废水产生总量为</w:t>
      </w:r>
      <w:r>
        <w:rPr>
          <w:rFonts w:cs="Times New Roman"/>
          <w:kern w:val="21"/>
        </w:rPr>
        <w:t>742.9m</w:t>
      </w:r>
      <w:r>
        <w:rPr>
          <w:rFonts w:cs="Times New Roman"/>
          <w:kern w:val="21"/>
          <w:vertAlign w:val="superscript"/>
        </w:rPr>
        <w:t>3</w:t>
      </w:r>
      <w:r>
        <w:rPr>
          <w:rFonts w:cs="Times New Roman"/>
          <w:kern w:val="21"/>
        </w:rPr>
        <w:t>/a</w:t>
      </w:r>
      <w:r>
        <w:rPr>
          <w:rFonts w:cs="Times New Roman" w:hint="eastAsia"/>
          <w:kern w:val="21"/>
        </w:rPr>
        <w:t>；项目蛋鸡场餐厨废水、员工生活污水、鸡舍冲洗废水、蛋品清洗废水及</w:t>
      </w:r>
      <w:proofErr w:type="gramStart"/>
      <w:r>
        <w:rPr>
          <w:rFonts w:cs="Times New Roman" w:hint="eastAsia"/>
          <w:kern w:val="21"/>
        </w:rPr>
        <w:t>污水站反冲洗</w:t>
      </w:r>
      <w:proofErr w:type="gramEnd"/>
      <w:r>
        <w:rPr>
          <w:rFonts w:cs="Times New Roman" w:hint="eastAsia"/>
          <w:kern w:val="21"/>
        </w:rPr>
        <w:t>废水总量为</w:t>
      </w:r>
      <w:r>
        <w:rPr>
          <w:bCs/>
        </w:rPr>
        <w:t>4259.5</w:t>
      </w:r>
      <w:r>
        <w:rPr>
          <w:rFonts w:cs="Times New Roman"/>
          <w:kern w:val="21"/>
        </w:rPr>
        <w:t>m</w:t>
      </w:r>
      <w:r>
        <w:rPr>
          <w:rFonts w:cs="Times New Roman"/>
          <w:kern w:val="21"/>
          <w:vertAlign w:val="superscript"/>
        </w:rPr>
        <w:t>3</w:t>
      </w:r>
      <w:r>
        <w:rPr>
          <w:rFonts w:cs="Times New Roman"/>
          <w:kern w:val="21"/>
        </w:rPr>
        <w:t>/a</w:t>
      </w:r>
      <w:r>
        <w:rPr>
          <w:rFonts w:cs="Times New Roman" w:hint="eastAsia"/>
          <w:kern w:val="21"/>
        </w:rPr>
        <w:t>。主要污染物为</w:t>
      </w:r>
      <w:r>
        <w:rPr>
          <w:rFonts w:cs="Times New Roman" w:hint="eastAsia"/>
          <w:kern w:val="21"/>
        </w:rPr>
        <w:t>COD</w:t>
      </w:r>
      <w:r>
        <w:rPr>
          <w:rFonts w:cs="Times New Roman" w:hint="eastAsia"/>
          <w:kern w:val="21"/>
        </w:rPr>
        <w:t>、</w:t>
      </w:r>
      <w:r>
        <w:rPr>
          <w:rFonts w:cs="Times New Roman" w:hint="eastAsia"/>
          <w:kern w:val="21"/>
        </w:rPr>
        <w:t>BOD</w:t>
      </w:r>
      <w:r>
        <w:rPr>
          <w:rFonts w:cs="Times New Roman" w:hint="eastAsia"/>
          <w:kern w:val="21"/>
          <w:vertAlign w:val="subscript"/>
        </w:rPr>
        <w:t>5</w:t>
      </w:r>
      <w:r>
        <w:rPr>
          <w:rFonts w:cs="Times New Roman" w:hint="eastAsia"/>
          <w:kern w:val="21"/>
        </w:rPr>
        <w:t>、</w:t>
      </w:r>
      <w:r>
        <w:rPr>
          <w:rFonts w:cs="Times New Roman" w:hint="eastAsia"/>
          <w:kern w:val="21"/>
        </w:rPr>
        <w:t>SS</w:t>
      </w:r>
      <w:r>
        <w:rPr>
          <w:rFonts w:cs="Times New Roman" w:hint="eastAsia"/>
          <w:kern w:val="21"/>
        </w:rPr>
        <w:t>、</w:t>
      </w:r>
      <w:r>
        <w:rPr>
          <w:rFonts w:cs="Times New Roman" w:hint="eastAsia"/>
          <w:kern w:val="21"/>
        </w:rPr>
        <w:t>NH</w:t>
      </w:r>
      <w:r>
        <w:rPr>
          <w:rFonts w:cs="Times New Roman" w:hint="eastAsia"/>
          <w:kern w:val="21"/>
          <w:vertAlign w:val="subscript"/>
        </w:rPr>
        <w:t>3</w:t>
      </w:r>
      <w:r>
        <w:rPr>
          <w:rFonts w:cs="Times New Roman" w:hint="eastAsia"/>
          <w:kern w:val="21"/>
        </w:rPr>
        <w:t>-N</w:t>
      </w:r>
      <w:r>
        <w:rPr>
          <w:rFonts w:cs="Times New Roman" w:hint="eastAsia"/>
          <w:kern w:val="21"/>
        </w:rPr>
        <w:t>、</w:t>
      </w:r>
      <w:r>
        <w:rPr>
          <w:rFonts w:cs="Times New Roman" w:hint="eastAsia"/>
          <w:kern w:val="21"/>
        </w:rPr>
        <w:t>TN</w:t>
      </w:r>
      <w:r>
        <w:rPr>
          <w:rFonts w:cs="Times New Roman" w:hint="eastAsia"/>
          <w:kern w:val="21"/>
        </w:rPr>
        <w:t>、</w:t>
      </w:r>
      <w:r>
        <w:rPr>
          <w:rFonts w:cs="Times New Roman" w:hint="eastAsia"/>
          <w:kern w:val="21"/>
        </w:rPr>
        <w:t>TP</w:t>
      </w:r>
      <w:r>
        <w:rPr>
          <w:rFonts w:cs="Times New Roman" w:hint="eastAsia"/>
          <w:kern w:val="21"/>
        </w:rPr>
        <w:t>、动植物油、粪大肠菌群等。</w:t>
      </w:r>
      <w:r>
        <w:t>废水经污水处理站处理</w:t>
      </w:r>
      <w:r>
        <w:rPr>
          <w:rFonts w:hint="eastAsia"/>
        </w:rPr>
        <w:t>达《农田灌溉水质标准》（</w:t>
      </w:r>
      <w:r>
        <w:rPr>
          <w:rFonts w:hint="eastAsia"/>
        </w:rPr>
        <w:t>GB5084-2021</w:t>
      </w:r>
      <w:r>
        <w:rPr>
          <w:rFonts w:hint="eastAsia"/>
        </w:rPr>
        <w:t>）中旱地作物标准</w:t>
      </w:r>
      <w:r>
        <w:t>后</w:t>
      </w:r>
      <w:r>
        <w:rPr>
          <w:rFonts w:hint="eastAsia"/>
        </w:rPr>
        <w:t>，</w:t>
      </w:r>
      <w:r>
        <w:t>用于</w:t>
      </w:r>
      <w:r>
        <w:rPr>
          <w:rFonts w:hint="eastAsia"/>
        </w:rPr>
        <w:t>周边林地</w:t>
      </w:r>
      <w:r>
        <w:t>灌溉</w:t>
      </w:r>
      <w:r>
        <w:rPr>
          <w:rFonts w:hint="eastAsia"/>
        </w:rPr>
        <w:t>，不外排</w:t>
      </w:r>
      <w:r>
        <w:t>。</w:t>
      </w:r>
    </w:p>
    <w:p w14:paraId="16B5D84B"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根据《环境影响评价技术导则地表水环境》（</w:t>
      </w:r>
      <w:r>
        <w:rPr>
          <w:rFonts w:cs="Times New Roman" w:hint="eastAsia"/>
          <w:kern w:val="21"/>
          <w:szCs w:val="24"/>
        </w:rPr>
        <w:t>HJ2.3-2018</w:t>
      </w:r>
      <w:r>
        <w:rPr>
          <w:rFonts w:cs="Times New Roman" w:hint="eastAsia"/>
          <w:kern w:val="21"/>
          <w:szCs w:val="24"/>
        </w:rPr>
        <w:t>）相关要求，本项目地</w:t>
      </w:r>
      <w:r>
        <w:rPr>
          <w:rFonts w:cs="Times New Roman" w:hint="eastAsia"/>
          <w:kern w:val="21"/>
          <w:szCs w:val="24"/>
        </w:rPr>
        <w:lastRenderedPageBreak/>
        <w:t>表水评价等级为三级</w:t>
      </w:r>
      <w:r>
        <w:rPr>
          <w:rFonts w:cs="Times New Roman" w:hint="eastAsia"/>
          <w:kern w:val="21"/>
          <w:szCs w:val="24"/>
        </w:rPr>
        <w:t>B</w:t>
      </w:r>
      <w:r>
        <w:rPr>
          <w:rFonts w:cs="Times New Roman" w:hint="eastAsia"/>
          <w:kern w:val="21"/>
          <w:szCs w:val="24"/>
        </w:rPr>
        <w:t>。主要评价内容包括：</w:t>
      </w:r>
    </w:p>
    <w:p w14:paraId="593765B9"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w:t>
      </w:r>
      <w:r>
        <w:rPr>
          <w:rFonts w:cs="Times New Roman" w:hint="eastAsia"/>
          <w:kern w:val="21"/>
          <w:szCs w:val="24"/>
        </w:rPr>
        <w:t>1</w:t>
      </w:r>
      <w:r>
        <w:rPr>
          <w:rFonts w:cs="Times New Roman" w:hint="eastAsia"/>
          <w:kern w:val="21"/>
          <w:szCs w:val="24"/>
        </w:rPr>
        <w:t>）水污染控制和水环境影响减缓措施有效性评价；</w:t>
      </w:r>
    </w:p>
    <w:p w14:paraId="3D46580D"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w:t>
      </w:r>
      <w:r>
        <w:rPr>
          <w:rFonts w:cs="Times New Roman" w:hint="eastAsia"/>
          <w:kern w:val="21"/>
          <w:szCs w:val="24"/>
        </w:rPr>
        <w:t>2</w:t>
      </w:r>
      <w:r>
        <w:rPr>
          <w:rFonts w:cs="Times New Roman" w:hint="eastAsia"/>
          <w:kern w:val="21"/>
          <w:szCs w:val="24"/>
        </w:rPr>
        <w:t>）依托污水处理设施的环境可行性分析。</w:t>
      </w:r>
    </w:p>
    <w:p w14:paraId="4EACCF80"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由于本项目不涉及依托污水处理设施，故本次评价项目水污染控制和水环境减缓措施有效性。</w:t>
      </w:r>
    </w:p>
    <w:p w14:paraId="56A1471A" w14:textId="77777777" w:rsidR="00544649" w:rsidRDefault="00000000">
      <w:pPr>
        <w:numPr>
          <w:ilvl w:val="3"/>
          <w:numId w:val="9"/>
        </w:numPr>
        <w:adjustRightInd w:val="0"/>
        <w:snapToGrid w:val="0"/>
        <w:spacing w:after="0"/>
        <w:ind w:firstLineChars="0"/>
        <w:outlineLvl w:val="3"/>
        <w:rPr>
          <w:rFonts w:cs="Times New Roman"/>
          <w:b/>
          <w:bCs/>
          <w:kern w:val="21"/>
        </w:rPr>
      </w:pPr>
      <w:r>
        <w:rPr>
          <w:rFonts w:hint="eastAsia"/>
          <w:b/>
          <w:bCs/>
        </w:rPr>
        <w:t>项目污水收集与贮存要求</w:t>
      </w:r>
    </w:p>
    <w:p w14:paraId="043195FA" w14:textId="77777777" w:rsidR="00544649" w:rsidRDefault="00000000">
      <w:pPr>
        <w:adjustRightInd w:val="0"/>
        <w:snapToGrid w:val="0"/>
        <w:spacing w:after="0"/>
        <w:ind w:firstLine="480"/>
      </w:pPr>
      <w:r>
        <w:rPr>
          <w:rFonts w:hint="eastAsia"/>
        </w:rPr>
        <w:t>本项目采用履带式清粪工艺，鸡粪日产日清，由有机肥生产厂家每日清运用于有机肥生产。各养殖场均实施雨污分流。污水经自建污水处理站处理后用于还田利用，在畜禽粪污处理厂（站）应设置专门的贮存池。</w:t>
      </w:r>
    </w:p>
    <w:p w14:paraId="7D535003" w14:textId="77777777" w:rsidR="00544649" w:rsidRDefault="00000000">
      <w:pPr>
        <w:adjustRightInd w:val="0"/>
        <w:snapToGrid w:val="0"/>
        <w:spacing w:after="0"/>
        <w:ind w:firstLine="480"/>
      </w:pPr>
      <w:r>
        <w:rPr>
          <w:rFonts w:hint="eastAsia"/>
        </w:rPr>
        <w:t>贮存池的总有效容积应根据贮存期确定。种养结合的养殖场，贮存池的贮存期不得低于当地农作物生产用肥的最大间隔时间和冬季封冻期或雨季最长降雨期，各场区污水暂存</w:t>
      </w:r>
      <w:proofErr w:type="gramStart"/>
      <w:r>
        <w:rPr>
          <w:rFonts w:hint="eastAsia"/>
        </w:rPr>
        <w:t>池按照</w:t>
      </w:r>
      <w:proofErr w:type="gramEnd"/>
      <w:r>
        <w:rPr>
          <w:rFonts w:hint="eastAsia"/>
        </w:rPr>
        <w:t>90d</w:t>
      </w:r>
      <w:r>
        <w:rPr>
          <w:rFonts w:hint="eastAsia"/>
        </w:rPr>
        <w:t>的污水排放量进行设计，确定项目蛋鸡养殖场污水暂存池的容积为</w:t>
      </w:r>
      <w:r>
        <w:rPr>
          <w:rFonts w:hint="eastAsia"/>
        </w:rPr>
        <w:t>1200m</w:t>
      </w:r>
      <w:r>
        <w:rPr>
          <w:rFonts w:hint="eastAsia"/>
          <w:vertAlign w:val="superscript"/>
        </w:rPr>
        <w:t>3</w:t>
      </w:r>
      <w:r>
        <w:rPr>
          <w:rFonts w:hint="eastAsia"/>
        </w:rPr>
        <w:t>；项目</w:t>
      </w:r>
      <w:proofErr w:type="gramStart"/>
      <w:r>
        <w:rPr>
          <w:rFonts w:hint="eastAsia"/>
        </w:rPr>
        <w:t>育雏场</w:t>
      </w:r>
      <w:proofErr w:type="gramEnd"/>
      <w:r>
        <w:rPr>
          <w:rFonts w:hint="eastAsia"/>
        </w:rPr>
        <w:t>污水暂存池的容积为</w:t>
      </w:r>
      <w:r>
        <w:rPr>
          <w:rFonts w:hint="eastAsia"/>
        </w:rPr>
        <w:t>200m</w:t>
      </w:r>
      <w:r>
        <w:rPr>
          <w:rFonts w:hint="eastAsia"/>
          <w:vertAlign w:val="superscript"/>
        </w:rPr>
        <w:t>3</w:t>
      </w:r>
      <w:r>
        <w:rPr>
          <w:rFonts w:hint="eastAsia"/>
        </w:rPr>
        <w:t>。贮存池的结构应符合《给水排水工程构筑物结构设计规范》（</w:t>
      </w:r>
      <w:r>
        <w:rPr>
          <w:rFonts w:hint="eastAsia"/>
        </w:rPr>
        <w:t>GB 50069</w:t>
      </w:r>
      <w:r>
        <w:rPr>
          <w:rFonts w:hint="eastAsia"/>
        </w:rPr>
        <w:t>—</w:t>
      </w:r>
      <w:r>
        <w:rPr>
          <w:rFonts w:hint="eastAsia"/>
        </w:rPr>
        <w:t>2002</w:t>
      </w:r>
      <w:r>
        <w:rPr>
          <w:rFonts w:hint="eastAsia"/>
        </w:rPr>
        <w:t>）的有关规定，具有防渗漏功能，不得污染地下水。同时为防止项目鸡舍冲洗废水等冲击性排水对污水处理</w:t>
      </w:r>
      <w:proofErr w:type="gramStart"/>
      <w:r>
        <w:rPr>
          <w:rFonts w:hint="eastAsia"/>
        </w:rPr>
        <w:t>站造成</w:t>
      </w:r>
      <w:proofErr w:type="gramEnd"/>
      <w:r>
        <w:rPr>
          <w:rFonts w:hint="eastAsia"/>
        </w:rPr>
        <w:t>负荷冲击，蛋鸡场污水处理站调节池容积不低于</w:t>
      </w:r>
      <w:r>
        <w:rPr>
          <w:rFonts w:hint="eastAsia"/>
        </w:rPr>
        <w:t>200m</w:t>
      </w:r>
      <w:r>
        <w:rPr>
          <w:rFonts w:hint="eastAsia"/>
          <w:vertAlign w:val="superscript"/>
        </w:rPr>
        <w:t>3</w:t>
      </w:r>
      <w:r>
        <w:rPr>
          <w:rFonts w:hint="eastAsia"/>
        </w:rPr>
        <w:t>，</w:t>
      </w:r>
      <w:proofErr w:type="gramStart"/>
      <w:r>
        <w:rPr>
          <w:rFonts w:hint="eastAsia"/>
        </w:rPr>
        <w:t>育雏场</w:t>
      </w:r>
      <w:proofErr w:type="gramEnd"/>
      <w:r>
        <w:rPr>
          <w:rFonts w:hint="eastAsia"/>
        </w:rPr>
        <w:t>污水处理站调节池容积为</w:t>
      </w:r>
      <w:r>
        <w:rPr>
          <w:rFonts w:hint="eastAsia"/>
        </w:rPr>
        <w:t>50m</w:t>
      </w:r>
      <w:r>
        <w:rPr>
          <w:rFonts w:hint="eastAsia"/>
          <w:vertAlign w:val="superscript"/>
        </w:rPr>
        <w:t>3</w:t>
      </w:r>
      <w:r>
        <w:rPr>
          <w:rFonts w:hint="eastAsia"/>
        </w:rPr>
        <w:t>较为合理，确保污水能完全收集进入污水处理站。废水贮存池应配备防止降雨（水）进入的措施；对易侵蚀的部位，应按照《给水排水工程构筑物结构设计规范》（</w:t>
      </w:r>
      <w:r>
        <w:rPr>
          <w:rFonts w:hint="eastAsia"/>
        </w:rPr>
        <w:t>GB 50069</w:t>
      </w:r>
      <w:r>
        <w:rPr>
          <w:rFonts w:hint="eastAsia"/>
        </w:rPr>
        <w:t>—</w:t>
      </w:r>
      <w:r>
        <w:rPr>
          <w:rFonts w:hint="eastAsia"/>
        </w:rPr>
        <w:t>2002</w:t>
      </w:r>
      <w:r>
        <w:rPr>
          <w:rFonts w:hint="eastAsia"/>
        </w:rPr>
        <w:t>）的规定采取相应的防腐蚀措施，</w:t>
      </w:r>
      <w:proofErr w:type="gramStart"/>
      <w:r>
        <w:rPr>
          <w:rFonts w:hint="eastAsia"/>
        </w:rPr>
        <w:t>贮存池宜配置</w:t>
      </w:r>
      <w:proofErr w:type="gramEnd"/>
      <w:r>
        <w:rPr>
          <w:rFonts w:hint="eastAsia"/>
        </w:rPr>
        <w:t>排污泵。</w:t>
      </w:r>
    </w:p>
    <w:p w14:paraId="00318C23"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hint="eastAsia"/>
          <w:b/>
          <w:kern w:val="21"/>
        </w:rPr>
        <w:t>废水处理工艺可行性分析</w:t>
      </w:r>
    </w:p>
    <w:p w14:paraId="07D9D6BC" w14:textId="77777777" w:rsidR="00544649" w:rsidRDefault="00000000">
      <w:pPr>
        <w:adjustRightInd w:val="0"/>
        <w:snapToGrid w:val="0"/>
        <w:spacing w:after="0"/>
        <w:ind w:firstLine="482"/>
        <w:rPr>
          <w:rFonts w:cs="Times New Roman"/>
          <w:b/>
          <w:kern w:val="21"/>
        </w:rPr>
      </w:pPr>
      <w:r>
        <w:rPr>
          <w:rFonts w:cs="Times New Roman" w:hint="eastAsia"/>
          <w:b/>
          <w:kern w:val="21"/>
        </w:rPr>
        <w:t>（</w:t>
      </w:r>
      <w:r>
        <w:rPr>
          <w:rFonts w:cs="Times New Roman" w:hint="eastAsia"/>
          <w:b/>
          <w:kern w:val="21"/>
        </w:rPr>
        <w:t>1</w:t>
      </w:r>
      <w:r>
        <w:rPr>
          <w:rFonts w:cs="Times New Roman" w:hint="eastAsia"/>
          <w:b/>
          <w:kern w:val="21"/>
        </w:rPr>
        <w:t>）废水处理工艺</w:t>
      </w:r>
    </w:p>
    <w:p w14:paraId="4B0FB0BB" w14:textId="77777777" w:rsidR="00544649" w:rsidRDefault="00000000">
      <w:pPr>
        <w:adjustRightInd w:val="0"/>
        <w:snapToGrid w:val="0"/>
        <w:spacing w:after="0"/>
        <w:ind w:firstLine="480"/>
        <w:rPr>
          <w:rFonts w:cs="Times New Roman"/>
          <w:bCs/>
          <w:kern w:val="21"/>
        </w:rPr>
      </w:pPr>
      <w:r>
        <w:rPr>
          <w:rFonts w:cs="Times New Roman" w:hint="eastAsia"/>
          <w:bCs/>
          <w:kern w:val="21"/>
        </w:rPr>
        <w:t>根据《畜禽养殖业污染治理工程技术规范》（</w:t>
      </w:r>
      <w:r>
        <w:rPr>
          <w:rFonts w:cs="Times New Roman" w:hint="eastAsia"/>
          <w:bCs/>
          <w:kern w:val="21"/>
        </w:rPr>
        <w:t>HJ497-2009</w:t>
      </w:r>
      <w:r>
        <w:rPr>
          <w:rFonts w:cs="Times New Roman" w:hint="eastAsia"/>
          <w:bCs/>
          <w:kern w:val="21"/>
        </w:rPr>
        <w:t>）中</w:t>
      </w:r>
      <w:r>
        <w:rPr>
          <w:rFonts w:cs="Times New Roman" w:hint="eastAsia"/>
          <w:bCs/>
          <w:kern w:val="21"/>
        </w:rPr>
        <w:t>6.2.1.2</w:t>
      </w:r>
      <w:r>
        <w:rPr>
          <w:rFonts w:cs="Times New Roman" w:hint="eastAsia"/>
          <w:bCs/>
          <w:kern w:val="21"/>
        </w:rPr>
        <w:t>条：养殖规模在存栏（以猪计）</w:t>
      </w:r>
      <w:r>
        <w:rPr>
          <w:rFonts w:cs="Times New Roman" w:hint="eastAsia"/>
          <w:bCs/>
          <w:kern w:val="21"/>
        </w:rPr>
        <w:t>2000</w:t>
      </w:r>
      <w:r>
        <w:rPr>
          <w:rFonts w:cs="Times New Roman" w:hint="eastAsia"/>
          <w:bCs/>
          <w:kern w:val="21"/>
        </w:rPr>
        <w:t>头及以下的应尽可</w:t>
      </w:r>
      <w:r>
        <w:rPr>
          <w:rFonts w:cs="Times New Roman"/>
          <w:bCs/>
          <w:kern w:val="21"/>
        </w:rPr>
        <w:t>能采用</w:t>
      </w:r>
      <w:r>
        <w:rPr>
          <w:rFonts w:cs="Times New Roman"/>
          <w:bCs/>
          <w:kern w:val="21"/>
        </w:rPr>
        <w:t>6.2.2</w:t>
      </w:r>
      <w:r>
        <w:rPr>
          <w:rFonts w:cs="Times New Roman"/>
          <w:bCs/>
          <w:kern w:val="21"/>
        </w:rPr>
        <w:t>模式</w:t>
      </w:r>
      <w:r>
        <w:rPr>
          <w:rFonts w:cs="Times New Roman"/>
          <w:bCs/>
          <w:kern w:val="21"/>
        </w:rPr>
        <w:t>Ⅰ</w:t>
      </w:r>
      <w:r>
        <w:rPr>
          <w:rFonts w:cs="Times New Roman"/>
          <w:bCs/>
          <w:kern w:val="21"/>
        </w:rPr>
        <w:t>或</w:t>
      </w:r>
      <w:r>
        <w:rPr>
          <w:rFonts w:cs="Times New Roman"/>
          <w:bCs/>
          <w:kern w:val="21"/>
        </w:rPr>
        <w:t>6.2.3</w:t>
      </w:r>
      <w:r>
        <w:rPr>
          <w:rFonts w:cs="Times New Roman"/>
          <w:bCs/>
          <w:kern w:val="21"/>
        </w:rPr>
        <w:t>模式</w:t>
      </w:r>
      <w:r>
        <w:rPr>
          <w:rFonts w:cs="Times New Roman"/>
          <w:bCs/>
          <w:kern w:val="21"/>
        </w:rPr>
        <w:t>Ⅱ</w:t>
      </w:r>
      <w:r>
        <w:rPr>
          <w:rFonts w:cs="Times New Roman"/>
          <w:bCs/>
          <w:kern w:val="21"/>
        </w:rPr>
        <w:t>处理工艺；存栏（以猪</w:t>
      </w:r>
      <w:r>
        <w:rPr>
          <w:rFonts w:cs="Times New Roman" w:hint="eastAsia"/>
          <w:bCs/>
          <w:kern w:val="21"/>
        </w:rPr>
        <w:t>计）</w:t>
      </w:r>
      <w:r>
        <w:rPr>
          <w:rFonts w:cs="Times New Roman" w:hint="eastAsia"/>
          <w:bCs/>
          <w:kern w:val="21"/>
        </w:rPr>
        <w:t>10000</w:t>
      </w:r>
      <w:r>
        <w:rPr>
          <w:rFonts w:cs="Times New Roman" w:hint="eastAsia"/>
          <w:bCs/>
          <w:kern w:val="21"/>
        </w:rPr>
        <w:t>头及以上的，宜采用</w:t>
      </w:r>
      <w:r>
        <w:rPr>
          <w:rFonts w:cs="Times New Roman" w:hint="eastAsia"/>
          <w:bCs/>
          <w:kern w:val="21"/>
        </w:rPr>
        <w:t>6.2.4</w:t>
      </w:r>
      <w:r>
        <w:rPr>
          <w:rFonts w:cs="Times New Roman"/>
          <w:bCs/>
          <w:kern w:val="21"/>
        </w:rPr>
        <w:t>模式</w:t>
      </w:r>
      <w:r>
        <w:rPr>
          <w:rFonts w:cs="Times New Roman"/>
          <w:bCs/>
          <w:kern w:val="21"/>
        </w:rPr>
        <w:t>Ⅲ</w:t>
      </w:r>
      <w:r>
        <w:rPr>
          <w:rFonts w:cs="Times New Roman"/>
          <w:bCs/>
          <w:kern w:val="21"/>
        </w:rPr>
        <w:t>处</w:t>
      </w:r>
      <w:r>
        <w:rPr>
          <w:rFonts w:cs="Times New Roman" w:hint="eastAsia"/>
          <w:bCs/>
          <w:kern w:val="21"/>
        </w:rPr>
        <w:t>理工艺。项目养殖场存栏规模折合大于</w:t>
      </w:r>
      <w:r>
        <w:rPr>
          <w:rFonts w:cs="Times New Roman" w:hint="eastAsia"/>
          <w:bCs/>
          <w:kern w:val="21"/>
        </w:rPr>
        <w:t>10000</w:t>
      </w:r>
      <w:r>
        <w:rPr>
          <w:rFonts w:cs="Times New Roman" w:hint="eastAsia"/>
          <w:bCs/>
          <w:kern w:val="21"/>
        </w:rPr>
        <w:t>头猪，因</w:t>
      </w:r>
      <w:r>
        <w:rPr>
          <w:rFonts w:cs="Times New Roman"/>
          <w:bCs/>
          <w:kern w:val="21"/>
        </w:rPr>
        <w:t>此本项目采用该标准</w:t>
      </w:r>
      <w:proofErr w:type="gramStart"/>
      <w:r>
        <w:rPr>
          <w:rFonts w:cs="Times New Roman"/>
          <w:bCs/>
          <w:kern w:val="21"/>
        </w:rPr>
        <w:t>中模式</w:t>
      </w:r>
      <w:r>
        <w:rPr>
          <w:rFonts w:cs="Times New Roman"/>
          <w:bCs/>
          <w:kern w:val="21"/>
        </w:rPr>
        <w:t>Ⅲ</w:t>
      </w:r>
      <w:proofErr w:type="gramEnd"/>
      <w:r>
        <w:rPr>
          <w:rFonts w:cs="Times New Roman"/>
          <w:bCs/>
          <w:kern w:val="21"/>
        </w:rPr>
        <w:t>处理工艺（人工</w:t>
      </w:r>
      <w:r>
        <w:rPr>
          <w:rFonts w:cs="Times New Roman" w:hint="eastAsia"/>
          <w:bCs/>
          <w:kern w:val="21"/>
        </w:rPr>
        <w:t>格栅</w:t>
      </w:r>
      <w:r>
        <w:rPr>
          <w:rFonts w:cs="Times New Roman" w:hint="eastAsia"/>
          <w:bCs/>
          <w:kern w:val="21"/>
        </w:rPr>
        <w:t>+</w:t>
      </w:r>
      <w:r>
        <w:rPr>
          <w:rFonts w:cs="Times New Roman" w:hint="eastAsia"/>
          <w:bCs/>
          <w:kern w:val="21"/>
        </w:rPr>
        <w:t>调节池</w:t>
      </w:r>
      <w:r>
        <w:rPr>
          <w:rFonts w:cs="Times New Roman" w:hint="eastAsia"/>
          <w:bCs/>
          <w:kern w:val="21"/>
        </w:rPr>
        <w:t>+</w:t>
      </w:r>
      <w:r>
        <w:rPr>
          <w:rFonts w:cs="Times New Roman" w:hint="eastAsia"/>
          <w:bCs/>
          <w:kern w:val="21"/>
        </w:rPr>
        <w:t>气浮一体化装置</w:t>
      </w:r>
      <w:r>
        <w:rPr>
          <w:rFonts w:cs="Times New Roman" w:hint="eastAsia"/>
          <w:bCs/>
          <w:kern w:val="21"/>
        </w:rPr>
        <w:t>+</w:t>
      </w:r>
      <w:r>
        <w:rPr>
          <w:rFonts w:cs="Times New Roman" w:hint="eastAsia"/>
          <w:bCs/>
          <w:kern w:val="21"/>
        </w:rPr>
        <w:t>水解酸化池</w:t>
      </w:r>
      <w:r>
        <w:rPr>
          <w:rFonts w:cs="Times New Roman" w:hint="eastAsia"/>
          <w:bCs/>
          <w:kern w:val="21"/>
        </w:rPr>
        <w:t>+</w:t>
      </w:r>
      <w:proofErr w:type="spellStart"/>
      <w:r>
        <w:rPr>
          <w:rFonts w:cs="Times New Roman" w:hint="eastAsia"/>
          <w:bCs/>
          <w:kern w:val="21"/>
        </w:rPr>
        <w:t>Bardenpho</w:t>
      </w:r>
      <w:proofErr w:type="spellEnd"/>
      <w:r>
        <w:rPr>
          <w:rFonts w:cs="Times New Roman" w:hint="eastAsia"/>
          <w:bCs/>
          <w:kern w:val="21"/>
        </w:rPr>
        <w:t>工艺</w:t>
      </w:r>
      <w:r>
        <w:rPr>
          <w:rFonts w:cs="Times New Roman" w:hint="eastAsia"/>
          <w:bCs/>
          <w:kern w:val="21"/>
        </w:rPr>
        <w:t>+</w:t>
      </w:r>
      <w:proofErr w:type="gramStart"/>
      <w:r>
        <w:rPr>
          <w:rFonts w:cs="Times New Roman" w:hint="eastAsia"/>
          <w:bCs/>
          <w:kern w:val="21"/>
        </w:rPr>
        <w:t>二沉池</w:t>
      </w:r>
      <w:proofErr w:type="gramEnd"/>
      <w:r>
        <w:rPr>
          <w:rFonts w:cs="Times New Roman" w:hint="eastAsia"/>
          <w:bCs/>
          <w:kern w:val="21"/>
        </w:rPr>
        <w:t>+</w:t>
      </w:r>
      <w:r>
        <w:rPr>
          <w:rFonts w:cs="Times New Roman" w:hint="eastAsia"/>
          <w:bCs/>
          <w:kern w:val="21"/>
        </w:rPr>
        <w:t>过滤池</w:t>
      </w:r>
      <w:r>
        <w:rPr>
          <w:rFonts w:cs="Times New Roman" w:hint="eastAsia"/>
          <w:bCs/>
          <w:kern w:val="21"/>
        </w:rPr>
        <w:t>+</w:t>
      </w:r>
      <w:r>
        <w:rPr>
          <w:rFonts w:cs="Times New Roman" w:hint="eastAsia"/>
          <w:bCs/>
          <w:kern w:val="21"/>
        </w:rPr>
        <w:t>消毒池）进行处理项目废水。根据《排污许可证申请与核发技术规范</w:t>
      </w:r>
      <w:r>
        <w:rPr>
          <w:rFonts w:cs="Times New Roman" w:hint="eastAsia"/>
          <w:bCs/>
          <w:kern w:val="21"/>
        </w:rPr>
        <w:t xml:space="preserve"> </w:t>
      </w:r>
      <w:r>
        <w:rPr>
          <w:rFonts w:cs="Times New Roman" w:hint="eastAsia"/>
          <w:bCs/>
          <w:kern w:val="21"/>
        </w:rPr>
        <w:t>畜禽养殖行业》（</w:t>
      </w:r>
      <w:r>
        <w:rPr>
          <w:rFonts w:cs="Times New Roman" w:hint="eastAsia"/>
          <w:bCs/>
          <w:kern w:val="21"/>
        </w:rPr>
        <w:t>HJ1029-2019</w:t>
      </w:r>
      <w:r>
        <w:rPr>
          <w:rFonts w:cs="Times New Roman" w:hint="eastAsia"/>
          <w:bCs/>
          <w:kern w:val="21"/>
        </w:rPr>
        <w:t>）畜禽养殖行业排污单位废水污染防治可行技术参考表，大型养殖规模废水间接排放可行技术为“干清粪</w:t>
      </w:r>
      <w:r>
        <w:rPr>
          <w:rFonts w:cs="Times New Roman" w:hint="eastAsia"/>
          <w:bCs/>
          <w:kern w:val="21"/>
        </w:rPr>
        <w:t>+</w:t>
      </w:r>
      <w:r>
        <w:rPr>
          <w:rFonts w:cs="Times New Roman" w:hint="eastAsia"/>
          <w:bCs/>
          <w:kern w:val="21"/>
        </w:rPr>
        <w:t>固液分离</w:t>
      </w:r>
      <w:r>
        <w:rPr>
          <w:rFonts w:cs="Times New Roman" w:hint="eastAsia"/>
          <w:bCs/>
          <w:kern w:val="21"/>
        </w:rPr>
        <w:t>+</w:t>
      </w:r>
      <w:r>
        <w:rPr>
          <w:rFonts w:cs="Times New Roman" w:hint="eastAsia"/>
          <w:bCs/>
          <w:kern w:val="21"/>
        </w:rPr>
        <w:t>厌氧（</w:t>
      </w:r>
      <w:r>
        <w:rPr>
          <w:rFonts w:cs="Times New Roman" w:hint="eastAsia"/>
          <w:bCs/>
          <w:kern w:val="21"/>
        </w:rPr>
        <w:t>UASB</w:t>
      </w:r>
      <w:r>
        <w:rPr>
          <w:rFonts w:cs="Times New Roman" w:hint="eastAsia"/>
          <w:bCs/>
          <w:kern w:val="21"/>
        </w:rPr>
        <w:t>、</w:t>
      </w:r>
      <w:r>
        <w:rPr>
          <w:rFonts w:cs="Times New Roman" w:hint="eastAsia"/>
          <w:bCs/>
          <w:kern w:val="21"/>
        </w:rPr>
        <w:t>CSTR</w:t>
      </w:r>
      <w:r>
        <w:rPr>
          <w:rFonts w:cs="Times New Roman" w:hint="eastAsia"/>
          <w:bCs/>
          <w:kern w:val="21"/>
        </w:rPr>
        <w:t>）</w:t>
      </w:r>
      <w:r>
        <w:rPr>
          <w:rFonts w:cs="Times New Roman" w:hint="eastAsia"/>
          <w:bCs/>
          <w:kern w:val="21"/>
        </w:rPr>
        <w:t>+</w:t>
      </w:r>
      <w:r>
        <w:rPr>
          <w:rFonts w:cs="Times New Roman" w:hint="eastAsia"/>
          <w:bCs/>
          <w:kern w:val="21"/>
        </w:rPr>
        <w:t>好氧（</w:t>
      </w:r>
      <w:r>
        <w:rPr>
          <w:rFonts w:cs="Times New Roman" w:hint="eastAsia"/>
          <w:bCs/>
          <w:kern w:val="21"/>
        </w:rPr>
        <w:t>SBR</w:t>
      </w:r>
      <w:r>
        <w:rPr>
          <w:rFonts w:cs="Times New Roman" w:hint="eastAsia"/>
          <w:bCs/>
          <w:kern w:val="21"/>
        </w:rPr>
        <w:t>、接触氧化、</w:t>
      </w:r>
      <w:r>
        <w:rPr>
          <w:rFonts w:cs="Times New Roman" w:hint="eastAsia"/>
          <w:bCs/>
          <w:kern w:val="21"/>
        </w:rPr>
        <w:t>MBR</w:t>
      </w:r>
      <w:r>
        <w:rPr>
          <w:rFonts w:cs="Times New Roman" w:hint="eastAsia"/>
          <w:bCs/>
          <w:kern w:val="21"/>
        </w:rPr>
        <w:t>）”，本项目污水处理工艺为《排污许可证申请与核发技术规范</w:t>
      </w:r>
      <w:r>
        <w:rPr>
          <w:rFonts w:cs="Times New Roman" w:hint="eastAsia"/>
          <w:bCs/>
          <w:kern w:val="21"/>
        </w:rPr>
        <w:t xml:space="preserve"> </w:t>
      </w:r>
      <w:r>
        <w:rPr>
          <w:rFonts w:cs="Times New Roman" w:hint="eastAsia"/>
          <w:bCs/>
          <w:kern w:val="21"/>
        </w:rPr>
        <w:t>畜禽养殖行业》（</w:t>
      </w:r>
      <w:r>
        <w:rPr>
          <w:rFonts w:cs="Times New Roman" w:hint="eastAsia"/>
          <w:bCs/>
          <w:kern w:val="21"/>
        </w:rPr>
        <w:t>HJ1029-2019</w:t>
      </w:r>
      <w:r>
        <w:rPr>
          <w:rFonts w:cs="Times New Roman" w:hint="eastAsia"/>
          <w:bCs/>
          <w:kern w:val="21"/>
        </w:rPr>
        <w:t>）推荐工艺。</w:t>
      </w:r>
    </w:p>
    <w:p w14:paraId="33FBD443" w14:textId="77777777" w:rsidR="00544649" w:rsidRDefault="00000000">
      <w:pPr>
        <w:adjustRightInd w:val="0"/>
        <w:snapToGrid w:val="0"/>
        <w:spacing w:after="0"/>
        <w:ind w:firstLine="480"/>
        <w:rPr>
          <w:rFonts w:cs="Times New Roman"/>
          <w:bCs/>
          <w:kern w:val="21"/>
        </w:rPr>
      </w:pPr>
      <w:r>
        <w:rPr>
          <w:rFonts w:cs="Times New Roman" w:hint="eastAsia"/>
          <w:bCs/>
          <w:kern w:val="21"/>
        </w:rPr>
        <w:lastRenderedPageBreak/>
        <w:t>食堂餐厨废水先经隔油池预处理后，与员工生活污水、鸡舍冲洗废水、蛋品清洗废水一并通过污水管道进入污水处理站进一步处理，达到《畜禽养殖业污染物排放标准》（</w:t>
      </w:r>
      <w:r>
        <w:rPr>
          <w:rFonts w:cs="Times New Roman" w:hint="eastAsia"/>
          <w:bCs/>
          <w:kern w:val="21"/>
        </w:rPr>
        <w:t>GB18596-2001</w:t>
      </w:r>
      <w:r>
        <w:rPr>
          <w:rFonts w:cs="Times New Roman" w:hint="eastAsia"/>
          <w:bCs/>
          <w:kern w:val="21"/>
        </w:rPr>
        <w:t>）中的表</w:t>
      </w:r>
      <w:r>
        <w:rPr>
          <w:rFonts w:cs="Times New Roman" w:hint="eastAsia"/>
          <w:bCs/>
          <w:kern w:val="21"/>
        </w:rPr>
        <w:t>5</w:t>
      </w:r>
      <w:r>
        <w:rPr>
          <w:rFonts w:cs="Times New Roman" w:hint="eastAsia"/>
          <w:bCs/>
          <w:kern w:val="21"/>
        </w:rPr>
        <w:t>标准，同时满足《农田灌溉水质标准》（</w:t>
      </w:r>
      <w:r>
        <w:rPr>
          <w:rFonts w:cs="Times New Roman" w:hint="eastAsia"/>
          <w:bCs/>
          <w:kern w:val="21"/>
        </w:rPr>
        <w:t>GB5084-2021</w:t>
      </w:r>
      <w:r>
        <w:rPr>
          <w:rFonts w:cs="Times New Roman" w:hint="eastAsia"/>
          <w:bCs/>
          <w:kern w:val="21"/>
        </w:rPr>
        <w:t>）旱地作物标准后用于场区周边林地灌溉，不外排。</w:t>
      </w:r>
    </w:p>
    <w:p w14:paraId="5F0ACCD4" w14:textId="77777777" w:rsidR="00544649" w:rsidRDefault="00000000">
      <w:pPr>
        <w:adjustRightInd w:val="0"/>
        <w:snapToGrid w:val="0"/>
        <w:spacing w:after="0"/>
        <w:ind w:firstLine="482"/>
        <w:rPr>
          <w:b/>
        </w:rPr>
      </w:pPr>
      <w:r>
        <w:rPr>
          <w:rFonts w:cs="Times New Roman" w:hint="eastAsia"/>
          <w:b/>
          <w:kern w:val="21"/>
        </w:rPr>
        <w:t>（</w:t>
      </w:r>
      <w:r>
        <w:rPr>
          <w:rFonts w:cs="Times New Roman" w:hint="eastAsia"/>
          <w:b/>
          <w:kern w:val="21"/>
        </w:rPr>
        <w:t>2</w:t>
      </w:r>
      <w:r>
        <w:rPr>
          <w:rFonts w:cs="Times New Roman" w:hint="eastAsia"/>
          <w:b/>
          <w:kern w:val="21"/>
        </w:rPr>
        <w:t>）</w:t>
      </w:r>
      <w:r>
        <w:rPr>
          <w:b/>
        </w:rPr>
        <w:t>污水处理工艺</w:t>
      </w:r>
      <w:r>
        <w:rPr>
          <w:rFonts w:hint="eastAsia"/>
          <w:b/>
        </w:rPr>
        <w:t>流程</w:t>
      </w:r>
    </w:p>
    <w:p w14:paraId="08E35A7E" w14:textId="7D228D87" w:rsidR="00544649" w:rsidRDefault="00000000" w:rsidP="007D51AC">
      <w:pPr>
        <w:adjustRightInd w:val="0"/>
        <w:snapToGrid w:val="0"/>
        <w:spacing w:after="0"/>
        <w:ind w:firstLine="480"/>
      </w:pPr>
      <w:r>
        <w:t>本项目采用的模式</w:t>
      </w:r>
      <w:r>
        <w:t>Ⅲ</w:t>
      </w:r>
      <w:r>
        <w:t>处理工艺是国内成熟的，应用作为广泛的处理工艺，处理效果好，处理之后水质能够达到《畜禽养殖业污染物排放标准》（</w:t>
      </w:r>
      <w:r>
        <w:t>GB18596-2001</w:t>
      </w:r>
      <w:r>
        <w:t>）中的表</w:t>
      </w:r>
      <w:r>
        <w:t>5</w:t>
      </w:r>
      <w:r>
        <w:t>标准，同时能够满足《农田灌溉水质标准》（</w:t>
      </w:r>
      <w:r>
        <w:rPr>
          <w:rFonts w:hint="eastAsia"/>
        </w:rPr>
        <w:t>GB5084-2021</w:t>
      </w:r>
      <w:r>
        <w:t>）</w:t>
      </w:r>
      <w:r>
        <w:rPr>
          <w:rFonts w:hint="eastAsia"/>
        </w:rPr>
        <w:t>旱地作物</w:t>
      </w:r>
      <w:r>
        <w:t>标准要求。废水处理工艺流程见</w:t>
      </w:r>
      <w:r>
        <w:rPr>
          <w:rFonts w:hint="eastAsia"/>
        </w:rPr>
        <w:t>下</w:t>
      </w:r>
      <w:r>
        <w:t>图</w:t>
      </w:r>
      <w:r>
        <w:rPr>
          <w:rFonts w:hint="eastAsia"/>
        </w:rPr>
        <w:t>。</w:t>
      </w:r>
    </w:p>
    <w:p w14:paraId="57C02241" w14:textId="028FE68A" w:rsidR="007D51AC" w:rsidRDefault="007D51AC" w:rsidP="007D51AC">
      <w:pPr>
        <w:adjustRightInd w:val="0"/>
        <w:snapToGrid w:val="0"/>
        <w:spacing w:after="0"/>
        <w:ind w:firstLine="480"/>
        <w:rPr>
          <w:rFonts w:cs="Times New Roman"/>
          <w:b/>
          <w:kern w:val="21"/>
          <w:sz w:val="21"/>
          <w:szCs w:val="21"/>
        </w:rPr>
      </w:pPr>
      <w:r>
        <w:rPr>
          <w:rFonts w:hint="eastAsia"/>
        </w:rPr>
        <w:t>略。</w:t>
      </w:r>
    </w:p>
    <w:p w14:paraId="73AAC297" w14:textId="77777777" w:rsidR="00544649" w:rsidRDefault="00000000">
      <w:pPr>
        <w:adjustRightInd w:val="0"/>
        <w:snapToGrid w:val="0"/>
        <w:spacing w:after="0"/>
        <w:ind w:firstLine="482"/>
        <w:rPr>
          <w:rFonts w:cs="Times New Roman"/>
          <w:b/>
          <w:bCs/>
          <w:kern w:val="21"/>
        </w:rPr>
      </w:pPr>
      <w:bookmarkStart w:id="318" w:name="_Hlk187338010"/>
      <w:r>
        <w:rPr>
          <w:rFonts w:cs="Times New Roman" w:hint="eastAsia"/>
          <w:b/>
          <w:bCs/>
          <w:kern w:val="21"/>
        </w:rPr>
        <w:t>（</w:t>
      </w:r>
      <w:r>
        <w:rPr>
          <w:rFonts w:cs="Times New Roman" w:hint="eastAsia"/>
          <w:b/>
          <w:bCs/>
          <w:kern w:val="21"/>
        </w:rPr>
        <w:t>3</w:t>
      </w:r>
      <w:r>
        <w:rPr>
          <w:rFonts w:cs="Times New Roman" w:hint="eastAsia"/>
          <w:b/>
          <w:bCs/>
          <w:kern w:val="21"/>
        </w:rPr>
        <w:t>）废水污染防治措施可行性分析</w:t>
      </w:r>
    </w:p>
    <w:p w14:paraId="78F809E5" w14:textId="77777777" w:rsidR="00544649" w:rsidRDefault="00000000">
      <w:pPr>
        <w:adjustRightInd w:val="0"/>
        <w:snapToGrid w:val="0"/>
        <w:spacing w:after="0"/>
        <w:ind w:firstLine="480"/>
        <w:rPr>
          <w:rFonts w:cs="Times New Roman"/>
          <w:kern w:val="21"/>
        </w:rPr>
      </w:pPr>
      <w:r>
        <w:rPr>
          <w:rFonts w:cs="Times New Roman" w:hint="eastAsia"/>
          <w:kern w:val="21"/>
        </w:rPr>
        <w:t>养殖场污水处理站其设计规模应满足废水测算的基础上留有设计余量，其污水在处理设施内停留时间长、处理水质好，亦保证风险性事故的废水收集处理。同时本项目养殖废水处理站规模设计按照</w:t>
      </w:r>
      <w:r>
        <w:rPr>
          <w:rFonts w:cs="Times New Roman" w:hint="eastAsia"/>
          <w:kern w:val="21"/>
        </w:rPr>
        <w:t>1.37~1.40</w:t>
      </w:r>
      <w:r>
        <w:rPr>
          <w:rFonts w:cs="Times New Roman" w:hint="eastAsia"/>
          <w:kern w:val="21"/>
        </w:rPr>
        <w:t>的污水变化系数考虑，可满足本项目养殖过程中排放废水的处理要求。项目污水处理站调节池容量按照鸡舍冲洗期间高峰期污水量进行考虑。</w:t>
      </w:r>
    </w:p>
    <w:p w14:paraId="5EA09DE3" w14:textId="77777777" w:rsidR="00544649" w:rsidRDefault="00000000">
      <w:pPr>
        <w:adjustRightInd w:val="0"/>
        <w:snapToGrid w:val="0"/>
        <w:spacing w:after="0"/>
        <w:ind w:firstLine="480"/>
        <w:rPr>
          <w:rFonts w:cs="Times New Roman"/>
          <w:b/>
          <w:bCs/>
          <w:kern w:val="21"/>
          <w:sz w:val="21"/>
          <w:szCs w:val="21"/>
        </w:rPr>
      </w:pPr>
      <w:r>
        <w:rPr>
          <w:rFonts w:cs="Times New Roman" w:hint="eastAsia"/>
          <w:kern w:val="21"/>
        </w:rPr>
        <w:t>项目</w:t>
      </w:r>
      <w:r>
        <w:rPr>
          <w:rFonts w:cs="Times New Roman" w:hint="eastAsia"/>
          <w:kern w:val="21"/>
        </w:rPr>
        <w:t>7.5</w:t>
      </w:r>
      <w:r>
        <w:rPr>
          <w:rFonts w:cs="Times New Roman" w:hint="eastAsia"/>
          <w:kern w:val="21"/>
        </w:rPr>
        <w:t>万羽育雏鸡场鸡舍为</w:t>
      </w:r>
      <w:r>
        <w:rPr>
          <w:rFonts w:cs="Times New Roman" w:hint="eastAsia"/>
          <w:kern w:val="21"/>
        </w:rPr>
        <w:t>2</w:t>
      </w:r>
      <w:r>
        <w:rPr>
          <w:rFonts w:cs="Times New Roman" w:hint="eastAsia"/>
          <w:kern w:val="21"/>
        </w:rPr>
        <w:t>栋，青年鸡养殖周期</w:t>
      </w:r>
      <w:r>
        <w:rPr>
          <w:rFonts w:cs="Times New Roman" w:hint="eastAsia"/>
          <w:kern w:val="21"/>
        </w:rPr>
        <w:t>105</w:t>
      </w:r>
      <w:r>
        <w:rPr>
          <w:rFonts w:cs="Times New Roman" w:hint="eastAsia"/>
          <w:kern w:val="21"/>
        </w:rPr>
        <w:t>天</w:t>
      </w:r>
      <w:r>
        <w:rPr>
          <w:rFonts w:cs="Times New Roman" w:hint="eastAsia"/>
          <w:kern w:val="21"/>
        </w:rPr>
        <w:t>/</w:t>
      </w:r>
      <w:r>
        <w:rPr>
          <w:rFonts w:cs="Times New Roman" w:hint="eastAsia"/>
          <w:kern w:val="21"/>
        </w:rPr>
        <w:t>批次，另有</w:t>
      </w:r>
      <w:r>
        <w:rPr>
          <w:rFonts w:cs="Times New Roman" w:hint="eastAsia"/>
          <w:kern w:val="21"/>
        </w:rPr>
        <w:t>30</w:t>
      </w:r>
      <w:r>
        <w:rPr>
          <w:rFonts w:cs="Times New Roman" w:hint="eastAsia"/>
          <w:kern w:val="21"/>
        </w:rPr>
        <w:t>天防疫期，每</w:t>
      </w:r>
      <w:r>
        <w:rPr>
          <w:rFonts w:cs="Times New Roman" w:hint="eastAsia"/>
          <w:kern w:val="21"/>
        </w:rPr>
        <w:t>2</w:t>
      </w:r>
      <w:r>
        <w:rPr>
          <w:rFonts w:cs="Times New Roman" w:hint="eastAsia"/>
          <w:kern w:val="21"/>
        </w:rPr>
        <w:t>年出栏</w:t>
      </w:r>
      <w:r>
        <w:rPr>
          <w:rFonts w:cs="Times New Roman" w:hint="eastAsia"/>
          <w:kern w:val="21"/>
        </w:rPr>
        <w:t>5</w:t>
      </w:r>
      <w:r>
        <w:rPr>
          <w:rFonts w:cs="Times New Roman" w:hint="eastAsia"/>
          <w:kern w:val="21"/>
        </w:rPr>
        <w:t>批次，</w:t>
      </w:r>
      <w:r>
        <w:rPr>
          <w:rFonts w:hint="eastAsia"/>
        </w:rPr>
        <w:t>则一年内最大出栏批次为</w:t>
      </w:r>
      <w:r>
        <w:rPr>
          <w:rFonts w:hint="eastAsia"/>
        </w:rPr>
        <w:t>3</w:t>
      </w:r>
      <w:r>
        <w:rPr>
          <w:rFonts w:hint="eastAsia"/>
        </w:rPr>
        <w:t>批次，本次评价以最不利情况，取一年出栏</w:t>
      </w:r>
      <w:r>
        <w:rPr>
          <w:rFonts w:hint="eastAsia"/>
        </w:rPr>
        <w:t>3</w:t>
      </w:r>
      <w:r>
        <w:rPr>
          <w:rFonts w:hint="eastAsia"/>
        </w:rPr>
        <w:t>批次核算鸡舍冲洗用水量。</w:t>
      </w:r>
      <w:r>
        <w:rPr>
          <w:rFonts w:cs="Times New Roman" w:hint="eastAsia"/>
          <w:kern w:val="21"/>
        </w:rPr>
        <w:t>项目鸡舍在一个养殖周期结束后冲洗一次，单个鸡舍单次最大冲洗废水水量为</w:t>
      </w:r>
      <w:r>
        <w:rPr>
          <w:rFonts w:hint="eastAsia"/>
          <w:bCs/>
          <w:szCs w:val="24"/>
        </w:rPr>
        <w:t>17.918</w:t>
      </w:r>
      <w:r>
        <w:rPr>
          <w:bCs/>
        </w:rPr>
        <w:t>m</w:t>
      </w:r>
      <w:r>
        <w:rPr>
          <w:bCs/>
          <w:vertAlign w:val="superscript"/>
        </w:rPr>
        <w:t>3</w:t>
      </w:r>
      <w:r>
        <w:rPr>
          <w:bCs/>
        </w:rPr>
        <w:t>/</w:t>
      </w:r>
      <w:r>
        <w:rPr>
          <w:bCs/>
        </w:rPr>
        <w:t>栋</w:t>
      </w:r>
      <w:r>
        <w:rPr>
          <w:bCs/>
        </w:rPr>
        <w:t>•</w:t>
      </w:r>
      <w:r>
        <w:rPr>
          <w:bCs/>
        </w:rPr>
        <w:t>次</w:t>
      </w:r>
      <w:r>
        <w:rPr>
          <w:rFonts w:cs="Times New Roman" w:hint="eastAsia"/>
          <w:kern w:val="21"/>
        </w:rPr>
        <w:t>，本次评价考虑最不利情况下，养殖区内所有鸡舍均出栏时清洗一次鸡舍（即考虑全进全出进行鸡舍冲洗）来进行调节池的设置，全进全出进行鸡舍冲洗废水产生量为</w:t>
      </w:r>
      <w:r>
        <w:rPr>
          <w:rFonts w:cs="Times New Roman" w:hint="eastAsia"/>
          <w:kern w:val="21"/>
        </w:rPr>
        <w:t>35.836m</w:t>
      </w:r>
      <w:r>
        <w:rPr>
          <w:rFonts w:cs="Times New Roman" w:hint="eastAsia"/>
          <w:kern w:val="21"/>
          <w:vertAlign w:val="superscript"/>
        </w:rPr>
        <w:t>3</w:t>
      </w:r>
      <w:r>
        <w:rPr>
          <w:rFonts w:cs="Times New Roman" w:hint="eastAsia"/>
          <w:kern w:val="21"/>
        </w:rPr>
        <w:t>/</w:t>
      </w:r>
      <w:r>
        <w:rPr>
          <w:rFonts w:cs="Times New Roman" w:hint="eastAsia"/>
          <w:kern w:val="21"/>
        </w:rPr>
        <w:t>次，冲洗水进入调节池，再进入污水处理站处理。鉴于有</w:t>
      </w:r>
      <w:r>
        <w:rPr>
          <w:rFonts w:cs="Times New Roman" w:hint="eastAsia"/>
          <w:kern w:val="21"/>
        </w:rPr>
        <w:t>30</w:t>
      </w:r>
      <w:r>
        <w:rPr>
          <w:rFonts w:cs="Times New Roman" w:hint="eastAsia"/>
          <w:kern w:val="21"/>
        </w:rPr>
        <w:t>天防疫期，鸡舍可在保证污水站在</w:t>
      </w:r>
      <w:proofErr w:type="gramStart"/>
      <w:r>
        <w:rPr>
          <w:rFonts w:cs="Times New Roman" w:hint="eastAsia"/>
          <w:kern w:val="21"/>
        </w:rPr>
        <w:t>不</w:t>
      </w:r>
      <w:proofErr w:type="gramEnd"/>
      <w:r>
        <w:rPr>
          <w:rFonts w:cs="Times New Roman" w:hint="eastAsia"/>
          <w:kern w:val="21"/>
        </w:rPr>
        <w:t>超负荷运行的情况下错峰冲洗，</w:t>
      </w:r>
      <w:r>
        <w:rPr>
          <w:rFonts w:cs="Times New Roman" w:hint="eastAsia"/>
          <w:szCs w:val="24"/>
        </w:rPr>
        <w:t>育雏鸡舍每批次冲洗间隔时间至少为</w:t>
      </w:r>
      <w:r>
        <w:rPr>
          <w:rFonts w:cs="Times New Roman" w:hint="eastAsia"/>
          <w:szCs w:val="24"/>
        </w:rPr>
        <w:t>105</w:t>
      </w:r>
      <w:r>
        <w:rPr>
          <w:rFonts w:cs="Times New Roman" w:hint="eastAsia"/>
          <w:szCs w:val="24"/>
        </w:rPr>
        <w:t>天，</w:t>
      </w:r>
      <w:r>
        <w:rPr>
          <w:rFonts w:cs="Times New Roman" w:hint="eastAsia"/>
          <w:kern w:val="21"/>
        </w:rPr>
        <w:t>即出栏后</w:t>
      </w:r>
      <w:r>
        <w:rPr>
          <w:rFonts w:cs="Times New Roman" w:hint="eastAsia"/>
          <w:kern w:val="21"/>
        </w:rPr>
        <w:t>105</w:t>
      </w:r>
      <w:r>
        <w:rPr>
          <w:rFonts w:cs="Times New Roman" w:hint="eastAsia"/>
          <w:kern w:val="21"/>
        </w:rPr>
        <w:t>天内能处理或暂存</w:t>
      </w:r>
      <w:r>
        <w:rPr>
          <w:rFonts w:cs="Times New Roman" w:hint="eastAsia"/>
          <w:kern w:val="21"/>
        </w:rPr>
        <w:t>35.836m</w:t>
      </w:r>
      <w:r>
        <w:rPr>
          <w:rFonts w:cs="Times New Roman" w:hint="eastAsia"/>
          <w:kern w:val="21"/>
          <w:vertAlign w:val="superscript"/>
        </w:rPr>
        <w:t>3</w:t>
      </w:r>
      <w:r>
        <w:rPr>
          <w:rFonts w:cs="Times New Roman" w:hint="eastAsia"/>
          <w:kern w:val="21"/>
        </w:rPr>
        <w:t>的鸡舍冲洗废水</w:t>
      </w:r>
      <w:proofErr w:type="gramStart"/>
      <w:r>
        <w:rPr>
          <w:rFonts w:cs="Times New Roman" w:hint="eastAsia"/>
          <w:kern w:val="21"/>
        </w:rPr>
        <w:t>及期间</w:t>
      </w:r>
      <w:proofErr w:type="gramEnd"/>
      <w:r>
        <w:rPr>
          <w:rFonts w:cs="Times New Roman" w:hint="eastAsia"/>
          <w:kern w:val="21"/>
        </w:rPr>
        <w:t>产生的其他污水。因此</w:t>
      </w:r>
      <w:proofErr w:type="gramStart"/>
      <w:r>
        <w:rPr>
          <w:rFonts w:cs="Times New Roman" w:hint="eastAsia"/>
          <w:kern w:val="21"/>
        </w:rPr>
        <w:t>育雏场</w:t>
      </w:r>
      <w:proofErr w:type="gramEnd"/>
      <w:r>
        <w:rPr>
          <w:rFonts w:cs="Times New Roman" w:hint="eastAsia"/>
          <w:kern w:val="21"/>
        </w:rPr>
        <w:t>污水处理站设计处理能力为</w:t>
      </w:r>
      <w:r>
        <w:rPr>
          <w:rFonts w:cs="Times New Roman" w:hint="eastAsia"/>
          <w:kern w:val="21"/>
        </w:rPr>
        <w:t>5m</w:t>
      </w:r>
      <w:r>
        <w:rPr>
          <w:rFonts w:cs="Times New Roman" w:hint="eastAsia"/>
          <w:kern w:val="21"/>
          <w:vertAlign w:val="superscript"/>
        </w:rPr>
        <w:t>3</w:t>
      </w:r>
      <w:r>
        <w:rPr>
          <w:rFonts w:cs="Times New Roman" w:hint="eastAsia"/>
          <w:kern w:val="21"/>
        </w:rPr>
        <w:t>/d</w:t>
      </w:r>
      <w:r>
        <w:rPr>
          <w:rFonts w:cs="Times New Roman" w:hint="eastAsia"/>
          <w:kern w:val="21"/>
        </w:rPr>
        <w:t>，污水处理站调节</w:t>
      </w:r>
      <w:proofErr w:type="gramStart"/>
      <w:r>
        <w:rPr>
          <w:rFonts w:cs="Times New Roman" w:hint="eastAsia"/>
          <w:kern w:val="21"/>
        </w:rPr>
        <w:t>池规模</w:t>
      </w:r>
      <w:proofErr w:type="gramEnd"/>
      <w:r>
        <w:rPr>
          <w:rFonts w:cs="Times New Roman" w:hint="eastAsia"/>
          <w:kern w:val="21"/>
        </w:rPr>
        <w:t>为</w:t>
      </w:r>
      <w:r>
        <w:rPr>
          <w:rFonts w:cs="Times New Roman" w:hint="eastAsia"/>
          <w:kern w:val="21"/>
        </w:rPr>
        <w:t>50m</w:t>
      </w:r>
      <w:r>
        <w:rPr>
          <w:rFonts w:cs="Times New Roman" w:hint="eastAsia"/>
          <w:kern w:val="21"/>
          <w:vertAlign w:val="superscript"/>
        </w:rPr>
        <w:t>3</w:t>
      </w:r>
      <w:r>
        <w:rPr>
          <w:rFonts w:cs="Times New Roman" w:hint="eastAsia"/>
          <w:kern w:val="21"/>
        </w:rPr>
        <w:t>较为合理，可以有效缓冲鸡舍冲洗时产生的冲击性废水。同时可确保污水处理站连续运营。</w:t>
      </w:r>
    </w:p>
    <w:p w14:paraId="52D5E581" w14:textId="77777777" w:rsidR="00544649" w:rsidRDefault="00000000">
      <w:pPr>
        <w:adjustRightInd w:val="0"/>
        <w:snapToGrid w:val="0"/>
        <w:spacing w:after="0"/>
        <w:ind w:firstLine="480"/>
        <w:rPr>
          <w:rFonts w:cs="Times New Roman"/>
          <w:kern w:val="21"/>
        </w:rPr>
      </w:pPr>
      <w:r>
        <w:rPr>
          <w:rFonts w:cs="Times New Roman" w:hint="eastAsia"/>
          <w:kern w:val="21"/>
        </w:rPr>
        <w:t>本项目蛋鸡场采用“分批次”出栏方式，每两栋鸡舍为一个更换批次，项目</w:t>
      </w:r>
      <w:r>
        <w:rPr>
          <w:rFonts w:cs="Times New Roman" w:hint="eastAsia"/>
          <w:kern w:val="21"/>
        </w:rPr>
        <w:t>22.5</w:t>
      </w:r>
      <w:r>
        <w:rPr>
          <w:rFonts w:cs="Times New Roman" w:hint="eastAsia"/>
          <w:kern w:val="21"/>
        </w:rPr>
        <w:t>万羽蛋鸡标准化养殖鸡舍共</w:t>
      </w:r>
      <w:r>
        <w:rPr>
          <w:rFonts w:cs="Times New Roman" w:hint="eastAsia"/>
          <w:kern w:val="21"/>
        </w:rPr>
        <w:t>6</w:t>
      </w:r>
      <w:r>
        <w:rPr>
          <w:rFonts w:cs="Times New Roman" w:hint="eastAsia"/>
          <w:kern w:val="21"/>
        </w:rPr>
        <w:t>栋，养殖周期为</w:t>
      </w:r>
      <w:r>
        <w:rPr>
          <w:rFonts w:cs="Times New Roman" w:hint="eastAsia"/>
          <w:kern w:val="21"/>
        </w:rPr>
        <w:t>390</w:t>
      </w:r>
      <w:r>
        <w:rPr>
          <w:rFonts w:cs="Times New Roman" w:hint="eastAsia"/>
          <w:kern w:val="21"/>
        </w:rPr>
        <w:t>天</w:t>
      </w:r>
      <w:r>
        <w:rPr>
          <w:rFonts w:cs="Times New Roman" w:hint="eastAsia"/>
          <w:kern w:val="21"/>
        </w:rPr>
        <w:t>/</w:t>
      </w:r>
      <w:r>
        <w:rPr>
          <w:rFonts w:cs="Times New Roman" w:hint="eastAsia"/>
          <w:kern w:val="21"/>
        </w:rPr>
        <w:t>批次，</w:t>
      </w:r>
      <w:r>
        <w:rPr>
          <w:rFonts w:hint="eastAsia"/>
          <w:bCs/>
        </w:rPr>
        <w:t>蛋鸡场一年最大可淘汰</w:t>
      </w:r>
      <w:r>
        <w:rPr>
          <w:rFonts w:hint="eastAsia"/>
          <w:bCs/>
        </w:rPr>
        <w:t>3</w:t>
      </w:r>
      <w:r>
        <w:rPr>
          <w:rFonts w:hint="eastAsia"/>
          <w:bCs/>
        </w:rPr>
        <w:t>个批次共</w:t>
      </w:r>
      <w:r>
        <w:rPr>
          <w:rFonts w:hint="eastAsia"/>
          <w:bCs/>
        </w:rPr>
        <w:t>6</w:t>
      </w:r>
      <w:r>
        <w:rPr>
          <w:rFonts w:hint="eastAsia"/>
          <w:bCs/>
        </w:rPr>
        <w:t>栋鸡舍，</w:t>
      </w:r>
      <w:r>
        <w:rPr>
          <w:rFonts w:cs="Times New Roman" w:hint="eastAsia"/>
          <w:kern w:val="21"/>
        </w:rPr>
        <w:t>项目鸡舍在一个养殖周期结束后冲洗一次，单个鸡舍单次最大冲洗废水量为</w:t>
      </w:r>
      <w:r>
        <w:rPr>
          <w:rFonts w:cs="Times New Roman"/>
          <w:kern w:val="21"/>
        </w:rPr>
        <w:t>81.192</w:t>
      </w:r>
      <w:r>
        <w:rPr>
          <w:rFonts w:cs="Times New Roman" w:hint="eastAsia"/>
          <w:kern w:val="21"/>
        </w:rPr>
        <w:t>m</w:t>
      </w:r>
      <w:r>
        <w:rPr>
          <w:rFonts w:cs="Times New Roman" w:hint="eastAsia"/>
          <w:kern w:val="21"/>
          <w:vertAlign w:val="superscript"/>
        </w:rPr>
        <w:t>3</w:t>
      </w:r>
      <w:r>
        <w:rPr>
          <w:bCs/>
        </w:rPr>
        <w:t>/</w:t>
      </w:r>
      <w:r>
        <w:rPr>
          <w:bCs/>
        </w:rPr>
        <w:t>栋</w:t>
      </w:r>
      <w:r>
        <w:rPr>
          <w:bCs/>
        </w:rPr>
        <w:t>•</w:t>
      </w:r>
      <w:r>
        <w:rPr>
          <w:bCs/>
        </w:rPr>
        <w:t>次</w:t>
      </w:r>
      <w:r>
        <w:rPr>
          <w:rFonts w:cs="Times New Roman" w:hint="eastAsia"/>
          <w:kern w:val="21"/>
        </w:rPr>
        <w:t>，冲洗水进入调节池，再进入污水处理站处理。本次评价</w:t>
      </w:r>
      <w:r>
        <w:rPr>
          <w:rFonts w:cs="Times New Roman" w:hint="eastAsia"/>
          <w:kern w:val="21"/>
        </w:rPr>
        <w:lastRenderedPageBreak/>
        <w:t>考虑可能存在</w:t>
      </w:r>
      <w:r>
        <w:rPr>
          <w:rFonts w:cs="Times New Roman" w:hint="eastAsia"/>
          <w:kern w:val="21"/>
        </w:rPr>
        <w:t>2</w:t>
      </w:r>
      <w:r>
        <w:rPr>
          <w:rFonts w:cs="Times New Roman" w:hint="eastAsia"/>
          <w:kern w:val="21"/>
        </w:rPr>
        <w:t>个鸡舍同时冲洗的情况，鉴于蛋鸡出栏后有</w:t>
      </w:r>
      <w:r>
        <w:rPr>
          <w:rFonts w:cs="Times New Roman" w:hint="eastAsia"/>
          <w:kern w:val="21"/>
        </w:rPr>
        <w:t>15</w:t>
      </w:r>
      <w:r>
        <w:rPr>
          <w:rFonts w:cs="Times New Roman" w:hint="eastAsia"/>
          <w:kern w:val="21"/>
        </w:rPr>
        <w:t>天清洗消毒期，鸡舍可在保证污水站在</w:t>
      </w:r>
      <w:proofErr w:type="gramStart"/>
      <w:r>
        <w:rPr>
          <w:rFonts w:cs="Times New Roman" w:hint="eastAsia"/>
          <w:kern w:val="21"/>
        </w:rPr>
        <w:t>不</w:t>
      </w:r>
      <w:proofErr w:type="gramEnd"/>
      <w:r>
        <w:rPr>
          <w:rFonts w:cs="Times New Roman" w:hint="eastAsia"/>
          <w:kern w:val="21"/>
        </w:rPr>
        <w:t>超负荷运行的情况下错峰冲洗，</w:t>
      </w:r>
      <w:r>
        <w:rPr>
          <w:rFonts w:cs="Times New Roman" w:hint="eastAsia"/>
          <w:szCs w:val="24"/>
        </w:rPr>
        <w:t>蛋鸡鸡舍每批次冲洗间隔时间至少为</w:t>
      </w:r>
      <w:r>
        <w:rPr>
          <w:rFonts w:cs="Times New Roman" w:hint="eastAsia"/>
          <w:szCs w:val="24"/>
        </w:rPr>
        <w:t>105</w:t>
      </w:r>
      <w:r>
        <w:rPr>
          <w:rFonts w:cs="Times New Roman" w:hint="eastAsia"/>
          <w:szCs w:val="24"/>
        </w:rPr>
        <w:t>天，</w:t>
      </w:r>
      <w:r>
        <w:rPr>
          <w:rFonts w:cs="Times New Roman" w:hint="eastAsia"/>
          <w:kern w:val="21"/>
        </w:rPr>
        <w:t>即出栏后</w:t>
      </w:r>
      <w:r>
        <w:rPr>
          <w:rFonts w:cs="Times New Roman" w:hint="eastAsia"/>
          <w:kern w:val="21"/>
        </w:rPr>
        <w:t>105</w:t>
      </w:r>
      <w:r>
        <w:rPr>
          <w:rFonts w:cs="Times New Roman" w:hint="eastAsia"/>
          <w:kern w:val="21"/>
        </w:rPr>
        <w:t>天内能处理或暂存</w:t>
      </w:r>
      <w:r>
        <w:rPr>
          <w:rFonts w:hint="eastAsia"/>
          <w:bCs/>
        </w:rPr>
        <w:t>162.384</w:t>
      </w:r>
      <w:r>
        <w:rPr>
          <w:rFonts w:cs="Times New Roman" w:hint="eastAsia"/>
          <w:kern w:val="21"/>
        </w:rPr>
        <w:t>m</w:t>
      </w:r>
      <w:r>
        <w:rPr>
          <w:rFonts w:cs="Times New Roman" w:hint="eastAsia"/>
          <w:kern w:val="21"/>
          <w:vertAlign w:val="superscript"/>
        </w:rPr>
        <w:t>3</w:t>
      </w:r>
      <w:r>
        <w:rPr>
          <w:rFonts w:cs="Times New Roman" w:hint="eastAsia"/>
          <w:kern w:val="21"/>
        </w:rPr>
        <w:t>的鸡舍冲洗废水</w:t>
      </w:r>
      <w:proofErr w:type="gramStart"/>
      <w:r>
        <w:rPr>
          <w:rFonts w:cs="Times New Roman" w:hint="eastAsia"/>
          <w:kern w:val="21"/>
        </w:rPr>
        <w:t>及期间</w:t>
      </w:r>
      <w:proofErr w:type="gramEnd"/>
      <w:r>
        <w:rPr>
          <w:rFonts w:cs="Times New Roman" w:hint="eastAsia"/>
          <w:kern w:val="21"/>
        </w:rPr>
        <w:t>产生的其他污水。因此蛋鸡养殖场污水处理站设计处理能力为</w:t>
      </w:r>
      <w:r>
        <w:rPr>
          <w:rFonts w:cs="Times New Roman" w:hint="eastAsia"/>
          <w:kern w:val="21"/>
        </w:rPr>
        <w:t>15m</w:t>
      </w:r>
      <w:r>
        <w:rPr>
          <w:rFonts w:cs="Times New Roman" w:hint="eastAsia"/>
          <w:kern w:val="21"/>
          <w:vertAlign w:val="superscript"/>
        </w:rPr>
        <w:t>3</w:t>
      </w:r>
      <w:r>
        <w:rPr>
          <w:rFonts w:cs="Times New Roman" w:hint="eastAsia"/>
          <w:kern w:val="21"/>
        </w:rPr>
        <w:t>/d</w:t>
      </w:r>
      <w:r>
        <w:rPr>
          <w:rFonts w:cs="Times New Roman" w:hint="eastAsia"/>
          <w:kern w:val="21"/>
        </w:rPr>
        <w:t>，污水处理站调节</w:t>
      </w:r>
      <w:proofErr w:type="gramStart"/>
      <w:r>
        <w:rPr>
          <w:rFonts w:cs="Times New Roman" w:hint="eastAsia"/>
          <w:kern w:val="21"/>
        </w:rPr>
        <w:t>池规模</w:t>
      </w:r>
      <w:proofErr w:type="gramEnd"/>
      <w:r>
        <w:rPr>
          <w:rFonts w:cs="Times New Roman" w:hint="eastAsia"/>
          <w:kern w:val="21"/>
        </w:rPr>
        <w:t>为</w:t>
      </w:r>
      <w:r>
        <w:rPr>
          <w:rFonts w:cs="Times New Roman" w:hint="eastAsia"/>
          <w:kern w:val="21"/>
        </w:rPr>
        <w:t>200m</w:t>
      </w:r>
      <w:r>
        <w:rPr>
          <w:rFonts w:cs="Times New Roman" w:hint="eastAsia"/>
          <w:kern w:val="21"/>
          <w:vertAlign w:val="superscript"/>
        </w:rPr>
        <w:t>3</w:t>
      </w:r>
      <w:r>
        <w:rPr>
          <w:rFonts w:cs="Times New Roman" w:hint="eastAsia"/>
          <w:kern w:val="21"/>
        </w:rPr>
        <w:t>较为合理，可以有效缓冲鸡舍冲洗、蛋品清洗时产生的冲击性废水。同时可确保污水处理站连续运营。</w:t>
      </w:r>
    </w:p>
    <w:p w14:paraId="72D2701C" w14:textId="77777777" w:rsidR="00544649" w:rsidRDefault="00000000">
      <w:pPr>
        <w:adjustRightInd w:val="0"/>
        <w:snapToGrid w:val="0"/>
        <w:spacing w:after="0"/>
        <w:ind w:firstLine="480"/>
        <w:rPr>
          <w:rFonts w:cs="Times New Roman"/>
          <w:kern w:val="21"/>
        </w:rPr>
      </w:pPr>
      <w:bookmarkStart w:id="319" w:name="_Hlk187337692"/>
      <w:bookmarkEnd w:id="318"/>
      <w:r>
        <w:rPr>
          <w:rFonts w:cs="Times New Roman" w:hint="eastAsia"/>
          <w:kern w:val="21"/>
        </w:rPr>
        <w:t>项目采取的处理工艺较为成熟，项目污水处理站处理后的废水水质能够达到《畜禽养殖业污染物排放标准》（</w:t>
      </w:r>
      <w:r>
        <w:rPr>
          <w:rFonts w:cs="Times New Roman" w:hint="eastAsia"/>
          <w:kern w:val="21"/>
        </w:rPr>
        <w:t>GB18596-2001</w:t>
      </w:r>
      <w:r>
        <w:rPr>
          <w:rFonts w:cs="Times New Roman" w:hint="eastAsia"/>
          <w:kern w:val="21"/>
        </w:rPr>
        <w:t>）中的表</w:t>
      </w:r>
      <w:r>
        <w:rPr>
          <w:rFonts w:cs="Times New Roman" w:hint="eastAsia"/>
          <w:kern w:val="21"/>
        </w:rPr>
        <w:t>5</w:t>
      </w:r>
      <w:r>
        <w:rPr>
          <w:rFonts w:cs="Times New Roman" w:hint="eastAsia"/>
          <w:kern w:val="21"/>
        </w:rPr>
        <w:t>标准，同时也能够满足《农田灌溉水质标准》（</w:t>
      </w:r>
      <w:r>
        <w:rPr>
          <w:rFonts w:cs="Times New Roman" w:hint="eastAsia"/>
          <w:kern w:val="21"/>
        </w:rPr>
        <w:t>GB5084-2021</w:t>
      </w:r>
      <w:r>
        <w:rPr>
          <w:rFonts w:cs="Times New Roman" w:hint="eastAsia"/>
          <w:kern w:val="21"/>
        </w:rPr>
        <w:t>）旱地作物标准要求，废水经处理达标后全部用于周边林地灌溉，不外排。根据《排污许可证申请与核发技术规范</w:t>
      </w:r>
      <w:r>
        <w:rPr>
          <w:rFonts w:cs="Times New Roman" w:hint="eastAsia"/>
          <w:kern w:val="21"/>
        </w:rPr>
        <w:t xml:space="preserve"> </w:t>
      </w:r>
      <w:r>
        <w:rPr>
          <w:rFonts w:cs="Times New Roman" w:hint="eastAsia"/>
          <w:kern w:val="21"/>
        </w:rPr>
        <w:t>畜禽养殖行业》（</w:t>
      </w:r>
      <w:r>
        <w:rPr>
          <w:rFonts w:cs="Times New Roman" w:hint="eastAsia"/>
          <w:kern w:val="21"/>
        </w:rPr>
        <w:t>HJ1029-2019</w:t>
      </w:r>
      <w:r>
        <w:rPr>
          <w:rFonts w:cs="Times New Roman" w:hint="eastAsia"/>
          <w:kern w:val="21"/>
        </w:rPr>
        <w:t>）畜禽养殖行业排污单位废水污染防治可行技术参考表，大型养殖规模废水间接排放可行技术为“干清粪</w:t>
      </w:r>
      <w:r>
        <w:rPr>
          <w:rFonts w:cs="Times New Roman" w:hint="eastAsia"/>
          <w:kern w:val="21"/>
        </w:rPr>
        <w:t>+</w:t>
      </w:r>
      <w:r>
        <w:rPr>
          <w:rFonts w:cs="Times New Roman" w:hint="eastAsia"/>
          <w:kern w:val="21"/>
        </w:rPr>
        <w:t>固液分离</w:t>
      </w:r>
      <w:r>
        <w:rPr>
          <w:rFonts w:cs="Times New Roman" w:hint="eastAsia"/>
          <w:kern w:val="21"/>
        </w:rPr>
        <w:t>+</w:t>
      </w:r>
      <w:r>
        <w:rPr>
          <w:rFonts w:cs="Times New Roman" w:hint="eastAsia"/>
          <w:kern w:val="21"/>
        </w:rPr>
        <w:t>厌氧（</w:t>
      </w:r>
      <w:r>
        <w:rPr>
          <w:rFonts w:cs="Times New Roman" w:hint="eastAsia"/>
          <w:kern w:val="21"/>
        </w:rPr>
        <w:t>UASB</w:t>
      </w:r>
      <w:r>
        <w:rPr>
          <w:rFonts w:cs="Times New Roman" w:hint="eastAsia"/>
          <w:kern w:val="21"/>
        </w:rPr>
        <w:t>、</w:t>
      </w:r>
      <w:r>
        <w:rPr>
          <w:rFonts w:cs="Times New Roman" w:hint="eastAsia"/>
          <w:kern w:val="21"/>
        </w:rPr>
        <w:t>CSTR</w:t>
      </w:r>
      <w:r>
        <w:rPr>
          <w:rFonts w:cs="Times New Roman" w:hint="eastAsia"/>
          <w:kern w:val="21"/>
        </w:rPr>
        <w:t>）</w:t>
      </w:r>
      <w:r>
        <w:rPr>
          <w:rFonts w:cs="Times New Roman" w:hint="eastAsia"/>
          <w:kern w:val="21"/>
        </w:rPr>
        <w:t>+</w:t>
      </w:r>
      <w:r>
        <w:rPr>
          <w:rFonts w:cs="Times New Roman" w:hint="eastAsia"/>
          <w:kern w:val="21"/>
        </w:rPr>
        <w:t>好氧（</w:t>
      </w:r>
      <w:r>
        <w:rPr>
          <w:rFonts w:cs="Times New Roman" w:hint="eastAsia"/>
          <w:kern w:val="21"/>
        </w:rPr>
        <w:t>SBR</w:t>
      </w:r>
      <w:r>
        <w:rPr>
          <w:rFonts w:cs="Times New Roman" w:hint="eastAsia"/>
          <w:kern w:val="21"/>
        </w:rPr>
        <w:t>、接触氧化、</w:t>
      </w:r>
      <w:r>
        <w:rPr>
          <w:rFonts w:cs="Times New Roman" w:hint="eastAsia"/>
          <w:kern w:val="21"/>
        </w:rPr>
        <w:t>MBR</w:t>
      </w:r>
      <w:r>
        <w:rPr>
          <w:rFonts w:cs="Times New Roman" w:hint="eastAsia"/>
          <w:kern w:val="21"/>
        </w:rPr>
        <w:t>）”，本项目污水处理方式及工艺为《排污许可证申请与核发技术规范</w:t>
      </w:r>
      <w:r>
        <w:rPr>
          <w:rFonts w:cs="Times New Roman" w:hint="eastAsia"/>
          <w:kern w:val="21"/>
        </w:rPr>
        <w:t xml:space="preserve"> </w:t>
      </w:r>
      <w:r>
        <w:rPr>
          <w:rFonts w:cs="Times New Roman" w:hint="eastAsia"/>
          <w:kern w:val="21"/>
        </w:rPr>
        <w:t>畜禽养殖行业》（</w:t>
      </w:r>
      <w:r>
        <w:rPr>
          <w:rFonts w:cs="Times New Roman" w:hint="eastAsia"/>
          <w:kern w:val="21"/>
        </w:rPr>
        <w:t>HJ1029-2019</w:t>
      </w:r>
      <w:r>
        <w:rPr>
          <w:rFonts w:cs="Times New Roman" w:hint="eastAsia"/>
          <w:kern w:val="21"/>
        </w:rPr>
        <w:t>）推荐方式和工艺。</w:t>
      </w:r>
    </w:p>
    <w:p w14:paraId="0E23D1BE" w14:textId="77777777" w:rsidR="00544649" w:rsidRDefault="00000000">
      <w:pPr>
        <w:adjustRightInd w:val="0"/>
        <w:snapToGrid w:val="0"/>
        <w:spacing w:after="0"/>
        <w:ind w:firstLine="480"/>
        <w:rPr>
          <w:rFonts w:cs="Times New Roman"/>
          <w:kern w:val="21"/>
        </w:rPr>
      </w:pPr>
      <w:r>
        <w:rPr>
          <w:rFonts w:cs="Times New Roman" w:hint="eastAsia"/>
          <w:kern w:val="21"/>
        </w:rPr>
        <w:t>综上所述，本项目污水处理设施规模及处理工艺可行。</w:t>
      </w:r>
    </w:p>
    <w:p w14:paraId="0F322B56"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4</w:t>
      </w:r>
      <w:r>
        <w:rPr>
          <w:rFonts w:cs="Times New Roman" w:hint="eastAsia"/>
          <w:b/>
          <w:bCs/>
          <w:kern w:val="21"/>
        </w:rPr>
        <w:t>）</w:t>
      </w:r>
      <w:proofErr w:type="gramStart"/>
      <w:r>
        <w:rPr>
          <w:rFonts w:cs="Times New Roman" w:hint="eastAsia"/>
          <w:b/>
          <w:bCs/>
          <w:kern w:val="21"/>
        </w:rPr>
        <w:t>消纳地土壤</w:t>
      </w:r>
      <w:proofErr w:type="gramEnd"/>
      <w:r>
        <w:rPr>
          <w:rFonts w:cs="Times New Roman" w:hint="eastAsia"/>
          <w:b/>
          <w:bCs/>
          <w:kern w:val="21"/>
        </w:rPr>
        <w:t>承载能力可行性分析</w:t>
      </w:r>
    </w:p>
    <w:bookmarkEnd w:id="319"/>
    <w:p w14:paraId="13C0C407" w14:textId="77777777" w:rsidR="00544649" w:rsidRDefault="00000000">
      <w:pPr>
        <w:adjustRightInd w:val="0"/>
        <w:snapToGrid w:val="0"/>
        <w:spacing w:after="0"/>
        <w:ind w:firstLine="480"/>
      </w:pPr>
      <w:r>
        <w:rPr>
          <w:rFonts w:hint="eastAsia"/>
        </w:rPr>
        <w:t>本项目消纳区主要位于养殖场四周林地，项目区域消纳林地地势低于场内暂存池，高差约</w:t>
      </w:r>
      <w:r>
        <w:rPr>
          <w:rFonts w:hint="eastAsia"/>
        </w:rPr>
        <w:t>0~60m</w:t>
      </w:r>
      <w:r>
        <w:rPr>
          <w:rFonts w:hint="eastAsia"/>
        </w:rPr>
        <w:t>，因此废水多可以直接通过重力输送至周边林地，废水暂存池内设置水泵，可辅助水泵进行输送，不单独设置提升泵站。项目在育雏场内设置废水暂存池</w:t>
      </w:r>
      <w:r>
        <w:rPr>
          <w:rFonts w:hint="eastAsia"/>
        </w:rPr>
        <w:t>1</w:t>
      </w:r>
      <w:r>
        <w:rPr>
          <w:rFonts w:hint="eastAsia"/>
        </w:rPr>
        <w:t>个，容量可满足</w:t>
      </w:r>
      <w:r>
        <w:rPr>
          <w:rFonts w:cs="Times New Roman" w:hint="eastAsia"/>
          <w:szCs w:val="24"/>
        </w:rPr>
        <w:t>非灌溉期的</w:t>
      </w:r>
      <w:r>
        <w:rPr>
          <w:rFonts w:hint="eastAsia"/>
        </w:rPr>
        <w:t>需求；蛋鸡场内设置</w:t>
      </w:r>
      <w:r>
        <w:rPr>
          <w:rFonts w:hint="eastAsia"/>
        </w:rPr>
        <w:t>2</w:t>
      </w:r>
      <w:r>
        <w:rPr>
          <w:rFonts w:hint="eastAsia"/>
        </w:rPr>
        <w:t>个废水暂存池，容量可满足</w:t>
      </w:r>
      <w:r>
        <w:rPr>
          <w:rFonts w:cs="Times New Roman" w:hint="eastAsia"/>
          <w:szCs w:val="24"/>
        </w:rPr>
        <w:t>非灌溉期的</w:t>
      </w:r>
      <w:r>
        <w:rPr>
          <w:rFonts w:hint="eastAsia"/>
        </w:rPr>
        <w:t>需求。因此，本项目不在场外设置林间暂存池。处理达标后废水直接有场内暂存池引至周边林地进行灌溉。</w:t>
      </w:r>
    </w:p>
    <w:p w14:paraId="652D0985" w14:textId="77777777" w:rsidR="00544649" w:rsidRDefault="00000000">
      <w:pPr>
        <w:adjustRightInd w:val="0"/>
        <w:snapToGrid w:val="0"/>
        <w:spacing w:after="0"/>
        <w:ind w:firstLine="480"/>
      </w:pPr>
      <w:r>
        <w:rPr>
          <w:rFonts w:hint="eastAsia"/>
        </w:rPr>
        <w:t>评价要求</w:t>
      </w:r>
      <w:proofErr w:type="gramStart"/>
      <w:r>
        <w:rPr>
          <w:rFonts w:hint="eastAsia"/>
        </w:rPr>
        <w:t>暂存池需做好</w:t>
      </w:r>
      <w:proofErr w:type="gramEnd"/>
      <w:r>
        <w:rPr>
          <w:rFonts w:hint="eastAsia"/>
        </w:rPr>
        <w:t>防渗、防雨措施，确保废水不下渗、</w:t>
      </w:r>
      <w:proofErr w:type="gramStart"/>
      <w:r>
        <w:rPr>
          <w:rFonts w:hint="eastAsia"/>
        </w:rPr>
        <w:t>不</w:t>
      </w:r>
      <w:proofErr w:type="gramEnd"/>
      <w:r>
        <w:rPr>
          <w:rFonts w:hint="eastAsia"/>
        </w:rPr>
        <w:t>外溢，合理灌溉。</w:t>
      </w:r>
      <w:r>
        <w:t>当</w:t>
      </w:r>
      <w:r>
        <w:rPr>
          <w:rFonts w:hint="eastAsia"/>
        </w:rPr>
        <w:t>林地灌溉</w:t>
      </w:r>
      <w:r>
        <w:t>的最大间隔时间和冬季冰封冻期或雨季最长降雨期，土地不能接纳</w:t>
      </w:r>
      <w:r>
        <w:rPr>
          <w:rFonts w:hint="eastAsia"/>
        </w:rPr>
        <w:t>废水</w:t>
      </w:r>
      <w:r>
        <w:t>时，</w:t>
      </w:r>
      <w:r>
        <w:rPr>
          <w:rFonts w:hint="eastAsia"/>
        </w:rPr>
        <w:t>废水</w:t>
      </w:r>
      <w:proofErr w:type="gramStart"/>
      <w:r>
        <w:t>储存池能有效</w:t>
      </w:r>
      <w:proofErr w:type="gramEnd"/>
      <w:r>
        <w:t>防止</w:t>
      </w:r>
      <w:r>
        <w:rPr>
          <w:rFonts w:hint="eastAsia"/>
        </w:rPr>
        <w:t>废水</w:t>
      </w:r>
      <w:r>
        <w:t>在当地生产用肥的最大间隔时间、冬季、雨季最长降雨期排放可能造成的土壤污染。</w:t>
      </w:r>
    </w:p>
    <w:p w14:paraId="0BD33060" w14:textId="77777777" w:rsidR="00544649" w:rsidRDefault="00000000">
      <w:pPr>
        <w:numPr>
          <w:ilvl w:val="3"/>
          <w:numId w:val="9"/>
        </w:numPr>
        <w:adjustRightInd w:val="0"/>
        <w:snapToGrid w:val="0"/>
        <w:spacing w:after="0"/>
        <w:ind w:firstLineChars="0"/>
        <w:outlineLvl w:val="3"/>
        <w:rPr>
          <w:rFonts w:cs="Times New Roman"/>
          <w:b/>
          <w:bCs/>
          <w:kern w:val="21"/>
        </w:rPr>
      </w:pPr>
      <w:r>
        <w:rPr>
          <w:b/>
          <w:bCs/>
          <w:kern w:val="21"/>
          <w:szCs w:val="24"/>
        </w:rPr>
        <w:t>地表水环境影响分析结论</w:t>
      </w:r>
    </w:p>
    <w:p w14:paraId="3FF38C6C" w14:textId="77777777" w:rsidR="00544649" w:rsidRDefault="00000000">
      <w:pPr>
        <w:adjustRightInd w:val="0"/>
        <w:snapToGrid w:val="0"/>
        <w:spacing w:after="0"/>
        <w:ind w:firstLine="480"/>
        <w:rPr>
          <w:rFonts w:cs="Times New Roman"/>
          <w:kern w:val="21"/>
        </w:rPr>
      </w:pPr>
      <w:r>
        <w:rPr>
          <w:rFonts w:cs="Times New Roman" w:hint="eastAsia"/>
          <w:kern w:val="21"/>
        </w:rPr>
        <w:t>本项目污水处理设施能够满足《农田灌溉水质标准》（</w:t>
      </w:r>
      <w:r>
        <w:rPr>
          <w:rFonts w:cs="Times New Roman" w:hint="eastAsia"/>
          <w:kern w:val="21"/>
        </w:rPr>
        <w:t>GB5084-2021</w:t>
      </w:r>
      <w:r>
        <w:rPr>
          <w:rFonts w:cs="Times New Roman" w:hint="eastAsia"/>
          <w:kern w:val="21"/>
        </w:rPr>
        <w:t>）旱地作物标准要求，周边有足够的土地用于本项目处理后的废水消纳，废水消</w:t>
      </w:r>
      <w:proofErr w:type="gramStart"/>
      <w:r>
        <w:rPr>
          <w:rFonts w:cs="Times New Roman" w:hint="eastAsia"/>
          <w:kern w:val="21"/>
        </w:rPr>
        <w:t>纳配套</w:t>
      </w:r>
      <w:proofErr w:type="gramEnd"/>
      <w:r>
        <w:rPr>
          <w:rFonts w:cs="Times New Roman" w:hint="eastAsia"/>
          <w:kern w:val="21"/>
        </w:rPr>
        <w:t>管网设施能够满足本项目养殖规模需求，故本项目废水用于林地灌溉可行，项目无外排废水，不会对当地地表水造成明显不利影响。因此本项目对地表水环境影响是可接受的。</w:t>
      </w:r>
    </w:p>
    <w:p w14:paraId="7D5ED1E3"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320" w:name="_Toc19193"/>
      <w:bookmarkStart w:id="321" w:name="_Toc195009888"/>
      <w:r>
        <w:rPr>
          <w:rFonts w:cs="Times New Roman"/>
          <w:b/>
          <w:bCs/>
          <w:kern w:val="21"/>
          <w:sz w:val="28"/>
          <w:szCs w:val="24"/>
        </w:rPr>
        <w:lastRenderedPageBreak/>
        <w:t>运营期地下水环境影响分析</w:t>
      </w:r>
      <w:bookmarkEnd w:id="320"/>
      <w:bookmarkEnd w:id="321"/>
    </w:p>
    <w:p w14:paraId="39A6FCAF" w14:textId="77777777" w:rsidR="00544649" w:rsidRDefault="00000000">
      <w:pPr>
        <w:numPr>
          <w:ilvl w:val="3"/>
          <w:numId w:val="9"/>
        </w:numPr>
        <w:adjustRightInd w:val="0"/>
        <w:snapToGrid w:val="0"/>
        <w:spacing w:after="0"/>
        <w:ind w:firstLineChars="0"/>
        <w:outlineLvl w:val="3"/>
        <w:rPr>
          <w:b/>
          <w:bCs/>
          <w:kern w:val="21"/>
        </w:rPr>
      </w:pPr>
      <w:bookmarkStart w:id="322" w:name="_Toc22969"/>
      <w:r>
        <w:rPr>
          <w:rFonts w:hint="eastAsia"/>
          <w:b/>
          <w:bCs/>
          <w:kern w:val="21"/>
        </w:rPr>
        <w:t>地下水评价等级及评价范围</w:t>
      </w:r>
    </w:p>
    <w:p w14:paraId="63714498" w14:textId="77777777" w:rsidR="00544649" w:rsidRDefault="00000000">
      <w:pPr>
        <w:adjustRightInd w:val="0"/>
        <w:snapToGrid w:val="0"/>
        <w:spacing w:after="0"/>
        <w:ind w:firstLine="480"/>
        <w:rPr>
          <w:kern w:val="21"/>
        </w:rPr>
      </w:pPr>
      <w:r>
        <w:rPr>
          <w:kern w:val="21"/>
        </w:rPr>
        <w:t>按照《环境影响评价技术导则地下水环境》（</w:t>
      </w:r>
      <w:r>
        <w:rPr>
          <w:kern w:val="21"/>
        </w:rPr>
        <w:t>HJ610-2016</w:t>
      </w:r>
      <w:r>
        <w:rPr>
          <w:kern w:val="21"/>
        </w:rPr>
        <w:t>），并结合《建设项目环境影响评价分类管理名录》，本项目地下水环境影响评价项目类别属</w:t>
      </w:r>
      <w:r>
        <w:rPr>
          <w:kern w:val="21"/>
        </w:rPr>
        <w:t>Ⅲ</w:t>
      </w:r>
      <w:r>
        <w:rPr>
          <w:kern w:val="21"/>
        </w:rPr>
        <w:t>类，通过建设项目的地下水环境影响评价工作等级划分，项目地下水评价等级为三级，评价范围确定为建设项目所在地及周边</w:t>
      </w:r>
      <w:r>
        <w:rPr>
          <w:rFonts w:cs="Times New Roman" w:hint="eastAsia"/>
          <w:kern w:val="21"/>
        </w:rPr>
        <w:t>6</w:t>
      </w:r>
      <w:r>
        <w:rPr>
          <w:rFonts w:cs="Times New Roman"/>
          <w:kern w:val="21"/>
        </w:rPr>
        <w:t>km</w:t>
      </w:r>
      <w:r>
        <w:rPr>
          <w:rFonts w:cs="Times New Roman"/>
          <w:kern w:val="21"/>
          <w:vertAlign w:val="superscript"/>
        </w:rPr>
        <w:t>2</w:t>
      </w:r>
      <w:r>
        <w:rPr>
          <w:kern w:val="21"/>
        </w:rPr>
        <w:t>的范围。</w:t>
      </w:r>
    </w:p>
    <w:p w14:paraId="0B616519" w14:textId="77777777" w:rsidR="00544649" w:rsidRDefault="00000000">
      <w:pPr>
        <w:numPr>
          <w:ilvl w:val="3"/>
          <w:numId w:val="9"/>
        </w:numPr>
        <w:adjustRightInd w:val="0"/>
        <w:snapToGrid w:val="0"/>
        <w:spacing w:after="0"/>
        <w:ind w:firstLineChars="0"/>
        <w:outlineLvl w:val="3"/>
        <w:rPr>
          <w:b/>
          <w:bCs/>
          <w:kern w:val="21"/>
        </w:rPr>
      </w:pPr>
      <w:r>
        <w:rPr>
          <w:b/>
          <w:bCs/>
          <w:kern w:val="21"/>
        </w:rPr>
        <w:t>地下水</w:t>
      </w:r>
      <w:r>
        <w:rPr>
          <w:rFonts w:hint="eastAsia"/>
          <w:b/>
          <w:bCs/>
          <w:kern w:val="21"/>
        </w:rPr>
        <w:t>环境影响预测</w:t>
      </w:r>
    </w:p>
    <w:p w14:paraId="3113CDA9" w14:textId="77777777" w:rsidR="00544649" w:rsidRDefault="00000000">
      <w:pPr>
        <w:adjustRightInd w:val="0"/>
        <w:snapToGrid w:val="0"/>
        <w:spacing w:after="0"/>
        <w:ind w:firstLine="482"/>
        <w:rPr>
          <w:kern w:val="21"/>
        </w:rPr>
      </w:pPr>
      <w:r>
        <w:rPr>
          <w:rFonts w:hint="eastAsia"/>
          <w:b/>
          <w:bCs/>
          <w:kern w:val="21"/>
        </w:rPr>
        <w:t>略</w:t>
      </w:r>
      <w:r>
        <w:rPr>
          <w:rFonts w:hint="eastAsia"/>
          <w:kern w:val="21"/>
        </w:rPr>
        <w:t>。</w:t>
      </w:r>
    </w:p>
    <w:p w14:paraId="5FC5A808" w14:textId="77777777" w:rsidR="00544649" w:rsidRDefault="00000000">
      <w:pPr>
        <w:numPr>
          <w:ilvl w:val="3"/>
          <w:numId w:val="9"/>
        </w:numPr>
        <w:adjustRightInd w:val="0"/>
        <w:snapToGrid w:val="0"/>
        <w:spacing w:after="0"/>
        <w:ind w:firstLineChars="0"/>
        <w:outlineLvl w:val="3"/>
        <w:rPr>
          <w:b/>
          <w:bCs/>
          <w:kern w:val="21"/>
        </w:rPr>
      </w:pPr>
      <w:r>
        <w:rPr>
          <w:rFonts w:hint="eastAsia"/>
          <w:b/>
          <w:kern w:val="21"/>
          <w:szCs w:val="24"/>
        </w:rPr>
        <w:t>地下水环境</w:t>
      </w:r>
      <w:r>
        <w:rPr>
          <w:b/>
          <w:kern w:val="21"/>
        </w:rPr>
        <w:t>保护措施及对策</w:t>
      </w:r>
    </w:p>
    <w:p w14:paraId="3CCC1A5E"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针对厂区可能发生的地下水污染，地下水污染防治措施应按照“源头控制、末端防治、污染监控、应急响应”相结合的原则，从污染物的产生、入渗、扩散、应急</w:t>
      </w:r>
      <w:proofErr w:type="gramStart"/>
      <w:r>
        <w:rPr>
          <w:rFonts w:cs="Times New Roman" w:hint="eastAsia"/>
          <w:kern w:val="21"/>
          <w:szCs w:val="24"/>
        </w:rPr>
        <w:t>响应全阶段</w:t>
      </w:r>
      <w:proofErr w:type="gramEnd"/>
      <w:r>
        <w:rPr>
          <w:rFonts w:cs="Times New Roman" w:hint="eastAsia"/>
          <w:kern w:val="21"/>
          <w:szCs w:val="24"/>
        </w:rPr>
        <w:t>进行控制。本厂区应以主动防渗漏措施为主，被动防渗漏措施为辅，人工防渗措施和自然防渗条件保护相结合，防止地下水受到污染。</w:t>
      </w:r>
    </w:p>
    <w:p w14:paraId="7D1C4B5B" w14:textId="77777777" w:rsidR="00544649" w:rsidRDefault="00000000">
      <w:pPr>
        <w:widowControl/>
        <w:adjustRightInd w:val="0"/>
        <w:snapToGrid w:val="0"/>
        <w:spacing w:after="0"/>
        <w:ind w:firstLine="482"/>
        <w:rPr>
          <w:rFonts w:cs="Times New Roman"/>
          <w:b/>
          <w:kern w:val="21"/>
          <w:szCs w:val="28"/>
        </w:rPr>
      </w:pPr>
      <w:r>
        <w:rPr>
          <w:rFonts w:cs="Times New Roman" w:hint="eastAsia"/>
          <w:b/>
          <w:kern w:val="21"/>
          <w:szCs w:val="28"/>
        </w:rPr>
        <w:t>一、</w:t>
      </w:r>
      <w:r>
        <w:rPr>
          <w:rFonts w:cs="Times New Roman"/>
          <w:b/>
          <w:kern w:val="21"/>
          <w:szCs w:val="28"/>
        </w:rPr>
        <w:t>地下水污染防治原则</w:t>
      </w:r>
    </w:p>
    <w:p w14:paraId="4183DFA3"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防止地下水污染应遵循下列原则：</w:t>
      </w:r>
    </w:p>
    <w:p w14:paraId="7B275A89" w14:textId="77777777" w:rsidR="00544649" w:rsidRDefault="00000000">
      <w:pPr>
        <w:adjustRightInd w:val="0"/>
        <w:snapToGrid w:val="0"/>
        <w:spacing w:after="0"/>
        <w:ind w:firstLine="482"/>
        <w:rPr>
          <w:rFonts w:cs="Times New Roman"/>
          <w:kern w:val="21"/>
          <w:szCs w:val="24"/>
        </w:rPr>
      </w:pPr>
      <w:r>
        <w:rPr>
          <w:rFonts w:cs="Times New Roman" w:hint="eastAsia"/>
          <w:b/>
          <w:bCs/>
          <w:kern w:val="21"/>
          <w:szCs w:val="24"/>
        </w:rPr>
        <w:t>（</w:t>
      </w:r>
      <w:r>
        <w:rPr>
          <w:rFonts w:cs="Times New Roman" w:hint="eastAsia"/>
          <w:b/>
          <w:bCs/>
          <w:kern w:val="21"/>
          <w:szCs w:val="24"/>
        </w:rPr>
        <w:t>1</w:t>
      </w:r>
      <w:r>
        <w:rPr>
          <w:rFonts w:cs="Times New Roman" w:hint="eastAsia"/>
          <w:b/>
          <w:bCs/>
          <w:kern w:val="21"/>
          <w:szCs w:val="24"/>
        </w:rPr>
        <w:t>）源头控制措施：</w:t>
      </w:r>
      <w:r>
        <w:rPr>
          <w:rFonts w:cs="Times New Roman" w:hint="eastAsia"/>
          <w:kern w:val="21"/>
          <w:szCs w:val="24"/>
        </w:rPr>
        <w:t>主要包括在工艺、管道、设备、污水储存及处理构筑物采取相应的措施，以防止和降低可能污染物地跑、冒、滴、漏，将污染物泄漏的环境风险事故降低到最低程度；优化排水系统设计；管线铺设尽量采用“可视化”原则，即管道尽可能地上铺设，做到污染物“早发现、早处理”，以减少由于埋地管道泄漏而可能造成的地下水污染。</w:t>
      </w:r>
    </w:p>
    <w:p w14:paraId="2FC9304F" w14:textId="77777777" w:rsidR="00544649" w:rsidRDefault="00000000">
      <w:pPr>
        <w:adjustRightInd w:val="0"/>
        <w:snapToGrid w:val="0"/>
        <w:spacing w:after="0"/>
        <w:ind w:firstLine="482"/>
        <w:rPr>
          <w:rFonts w:cs="Times New Roman"/>
          <w:kern w:val="21"/>
          <w:szCs w:val="24"/>
        </w:rPr>
      </w:pPr>
      <w:r>
        <w:rPr>
          <w:rFonts w:cs="Times New Roman" w:hint="eastAsia"/>
          <w:b/>
          <w:bCs/>
          <w:kern w:val="21"/>
          <w:szCs w:val="24"/>
        </w:rPr>
        <w:t>（</w:t>
      </w:r>
      <w:r>
        <w:rPr>
          <w:rFonts w:cs="Times New Roman" w:hint="eastAsia"/>
          <w:b/>
          <w:bCs/>
          <w:kern w:val="21"/>
          <w:szCs w:val="24"/>
        </w:rPr>
        <w:t>2</w:t>
      </w:r>
      <w:r>
        <w:rPr>
          <w:rFonts w:cs="Times New Roman" w:hint="eastAsia"/>
          <w:b/>
          <w:bCs/>
          <w:kern w:val="21"/>
          <w:szCs w:val="24"/>
        </w:rPr>
        <w:t>）分区防治措施：</w:t>
      </w:r>
      <w:r>
        <w:rPr>
          <w:rFonts w:cs="Times New Roman" w:hint="eastAsia"/>
          <w:kern w:val="21"/>
          <w:szCs w:val="24"/>
        </w:rPr>
        <w:t>结合厂区建设项目各设备、管廊或管线、贮存与运输装置、污染物贮存与处理装置、事故应急装置等的布局，根据可能进入地下水环境的各种有毒有害物质的泄漏（含跑、冒、滴、漏）量及其他各类污染物的性质、产生量和排放量，划分污染防治区，提出不同区域的地面防渗方案，给出具体的防渗材料及防渗标准要求，建立防渗设施的检漏系统；防渗分区一般分为重点防渗区、一般防渗区和简单防渗区。</w:t>
      </w:r>
    </w:p>
    <w:p w14:paraId="544F07F6" w14:textId="77777777" w:rsidR="00544649" w:rsidRDefault="00000000">
      <w:pPr>
        <w:adjustRightInd w:val="0"/>
        <w:snapToGrid w:val="0"/>
        <w:spacing w:after="0"/>
        <w:ind w:firstLine="482"/>
        <w:rPr>
          <w:rFonts w:cs="Times New Roman"/>
          <w:kern w:val="21"/>
          <w:szCs w:val="24"/>
        </w:rPr>
      </w:pPr>
      <w:r>
        <w:rPr>
          <w:rFonts w:cs="Times New Roman" w:hint="eastAsia"/>
          <w:b/>
          <w:bCs/>
          <w:kern w:val="21"/>
          <w:szCs w:val="24"/>
        </w:rPr>
        <w:t>（</w:t>
      </w:r>
      <w:r>
        <w:rPr>
          <w:rFonts w:cs="Times New Roman" w:hint="eastAsia"/>
          <w:b/>
          <w:bCs/>
          <w:kern w:val="21"/>
          <w:szCs w:val="24"/>
        </w:rPr>
        <w:t>3</w:t>
      </w:r>
      <w:r>
        <w:rPr>
          <w:rFonts w:cs="Times New Roman" w:hint="eastAsia"/>
          <w:b/>
          <w:bCs/>
          <w:kern w:val="21"/>
          <w:szCs w:val="24"/>
        </w:rPr>
        <w:t>）污染监控体系：</w:t>
      </w:r>
      <w:r>
        <w:rPr>
          <w:rFonts w:cs="Times New Roman" w:hint="eastAsia"/>
          <w:kern w:val="21"/>
          <w:szCs w:val="24"/>
        </w:rPr>
        <w:t>建立厂区地下水污染监控系统，包括建立完善的监测制度、配备先进的检测仪器和设备、科学、合理设置地下水污染监控井，及时发现污染、及时控制；</w:t>
      </w:r>
    </w:p>
    <w:p w14:paraId="76F14A38" w14:textId="77777777" w:rsidR="00544649" w:rsidRDefault="00000000">
      <w:pPr>
        <w:adjustRightInd w:val="0"/>
        <w:snapToGrid w:val="0"/>
        <w:spacing w:after="0"/>
        <w:ind w:firstLine="482"/>
        <w:rPr>
          <w:kern w:val="21"/>
        </w:rPr>
      </w:pPr>
      <w:r>
        <w:rPr>
          <w:rFonts w:cs="Times New Roman" w:hint="eastAsia"/>
          <w:b/>
          <w:bCs/>
          <w:kern w:val="21"/>
          <w:szCs w:val="24"/>
        </w:rPr>
        <w:t>（</w:t>
      </w:r>
      <w:r>
        <w:rPr>
          <w:rFonts w:cs="Times New Roman" w:hint="eastAsia"/>
          <w:b/>
          <w:bCs/>
          <w:kern w:val="21"/>
          <w:szCs w:val="24"/>
        </w:rPr>
        <w:t>4</w:t>
      </w:r>
      <w:r>
        <w:rPr>
          <w:rFonts w:cs="Times New Roman" w:hint="eastAsia"/>
          <w:b/>
          <w:bCs/>
          <w:kern w:val="21"/>
          <w:szCs w:val="24"/>
        </w:rPr>
        <w:t>）应急响应措施：</w:t>
      </w:r>
      <w:r>
        <w:rPr>
          <w:rFonts w:cs="Times New Roman" w:hint="eastAsia"/>
          <w:kern w:val="21"/>
          <w:szCs w:val="24"/>
        </w:rPr>
        <w:t>制定地下水风险事故应急响应预案，明确风险事故状态下应</w:t>
      </w:r>
      <w:r>
        <w:rPr>
          <w:rFonts w:cs="Times New Roman" w:hint="eastAsia"/>
          <w:kern w:val="21"/>
          <w:szCs w:val="24"/>
        </w:rPr>
        <w:lastRenderedPageBreak/>
        <w:t>采取的封闭、截流等措施，提出防止受污染的地下水扩散和对受污染的地下水进行治理的具体方案。</w:t>
      </w:r>
    </w:p>
    <w:p w14:paraId="21B94F17" w14:textId="77777777" w:rsidR="00544649" w:rsidRDefault="00000000">
      <w:pPr>
        <w:widowControl/>
        <w:adjustRightInd w:val="0"/>
        <w:snapToGrid w:val="0"/>
        <w:spacing w:after="0"/>
        <w:ind w:firstLine="482"/>
        <w:rPr>
          <w:rFonts w:cs="Times New Roman"/>
          <w:kern w:val="21"/>
          <w:szCs w:val="28"/>
        </w:rPr>
      </w:pPr>
      <w:r>
        <w:rPr>
          <w:rFonts w:cs="Times New Roman" w:hint="eastAsia"/>
          <w:b/>
          <w:bCs/>
          <w:kern w:val="21"/>
          <w:szCs w:val="28"/>
        </w:rPr>
        <w:t>二、</w:t>
      </w:r>
      <w:r>
        <w:rPr>
          <w:rFonts w:cs="Times New Roman"/>
          <w:b/>
          <w:kern w:val="21"/>
          <w:szCs w:val="28"/>
        </w:rPr>
        <w:t>源头控制措施</w:t>
      </w:r>
    </w:p>
    <w:p w14:paraId="5D1BEBDD" w14:textId="77777777" w:rsidR="00544649" w:rsidRDefault="00000000">
      <w:pPr>
        <w:widowControl/>
        <w:adjustRightInd w:val="0"/>
        <w:snapToGrid w:val="0"/>
        <w:spacing w:after="0"/>
        <w:ind w:firstLine="480"/>
        <w:rPr>
          <w:rFonts w:cs="Times New Roman"/>
          <w:kern w:val="21"/>
          <w:szCs w:val="28"/>
        </w:rPr>
      </w:pPr>
      <w:r>
        <w:rPr>
          <w:rFonts w:cs="Times New Roman" w:hint="eastAsia"/>
          <w:kern w:val="21"/>
          <w:szCs w:val="28"/>
        </w:rPr>
        <w:t>（</w:t>
      </w:r>
      <w:r>
        <w:rPr>
          <w:rFonts w:cs="Times New Roman" w:hint="eastAsia"/>
          <w:kern w:val="21"/>
          <w:szCs w:val="28"/>
        </w:rPr>
        <w:t>1</w:t>
      </w:r>
      <w:r>
        <w:rPr>
          <w:rFonts w:cs="Times New Roman" w:hint="eastAsia"/>
          <w:kern w:val="21"/>
          <w:szCs w:val="28"/>
        </w:rPr>
        <w:t>）</w:t>
      </w:r>
      <w:r>
        <w:rPr>
          <w:rFonts w:ascii="宋体" w:hAnsi="宋体" w:cs="Times New Roman" w:hint="eastAsia"/>
          <w:kern w:val="21"/>
        </w:rPr>
        <w:t>企业应选择先进、成熟、可靠的工艺技术，采用清洁生产审核等手段对生产全过程进行控制，并对产生的各类废物进行合理的回用和治理，尽可能从源头上减少污染物的产生和排放，降低生产过程和末端治理的成本。</w:t>
      </w:r>
    </w:p>
    <w:p w14:paraId="13345434" w14:textId="77777777" w:rsidR="00544649" w:rsidRDefault="00000000">
      <w:pPr>
        <w:widowControl/>
        <w:adjustRightInd w:val="0"/>
        <w:snapToGrid w:val="0"/>
        <w:spacing w:after="0"/>
        <w:ind w:firstLine="480"/>
        <w:rPr>
          <w:rFonts w:cs="Times New Roman"/>
          <w:kern w:val="21"/>
          <w:szCs w:val="28"/>
        </w:rPr>
      </w:pPr>
      <w:r>
        <w:rPr>
          <w:rFonts w:cs="Times New Roman" w:hint="eastAsia"/>
          <w:kern w:val="21"/>
          <w:szCs w:val="28"/>
        </w:rPr>
        <w:t>（</w:t>
      </w:r>
      <w:r>
        <w:rPr>
          <w:rFonts w:cs="Times New Roman" w:hint="eastAsia"/>
          <w:kern w:val="21"/>
          <w:szCs w:val="28"/>
        </w:rPr>
        <w:t>2</w:t>
      </w:r>
      <w:r>
        <w:rPr>
          <w:rFonts w:cs="Times New Roman" w:hint="eastAsia"/>
          <w:kern w:val="21"/>
          <w:szCs w:val="28"/>
        </w:rPr>
        <w:t>）</w:t>
      </w:r>
      <w:r>
        <w:rPr>
          <w:rFonts w:cs="Times New Roman" w:hint="eastAsia"/>
          <w:kern w:val="21"/>
        </w:rPr>
        <w:t>对有害物质可能泄漏的区域均应采取防渗措施，地面与裙</w:t>
      </w:r>
      <w:proofErr w:type="gramStart"/>
      <w:r>
        <w:rPr>
          <w:rFonts w:cs="Times New Roman" w:hint="eastAsia"/>
          <w:kern w:val="21"/>
        </w:rPr>
        <w:t>脚采用</w:t>
      </w:r>
      <w:proofErr w:type="gramEnd"/>
      <w:r>
        <w:rPr>
          <w:rFonts w:cs="Times New Roman" w:hint="eastAsia"/>
          <w:kern w:val="21"/>
        </w:rPr>
        <w:t>坚固、防渗、耐腐蚀的材料建造，且表面应有涂高密度聚乙烯防渗层，无裂隙</w:t>
      </w:r>
      <w:r>
        <w:rPr>
          <w:rFonts w:cs="Times New Roman" w:hint="eastAsia"/>
          <w:kern w:val="21"/>
          <w:szCs w:val="28"/>
        </w:rPr>
        <w:t>；</w:t>
      </w:r>
    </w:p>
    <w:p w14:paraId="598F1D57" w14:textId="77777777" w:rsidR="00544649" w:rsidRDefault="00000000">
      <w:pPr>
        <w:widowControl/>
        <w:adjustRightInd w:val="0"/>
        <w:snapToGrid w:val="0"/>
        <w:spacing w:after="0"/>
        <w:ind w:firstLine="480"/>
        <w:rPr>
          <w:rFonts w:cs="Times New Roman"/>
          <w:kern w:val="21"/>
          <w:szCs w:val="28"/>
        </w:rPr>
      </w:pPr>
      <w:r>
        <w:rPr>
          <w:rFonts w:cs="Times New Roman" w:hint="eastAsia"/>
          <w:kern w:val="21"/>
          <w:szCs w:val="28"/>
        </w:rPr>
        <w:t>（</w:t>
      </w:r>
      <w:r>
        <w:rPr>
          <w:rFonts w:cs="Times New Roman" w:hint="eastAsia"/>
          <w:kern w:val="21"/>
          <w:szCs w:val="28"/>
        </w:rPr>
        <w:t>3</w:t>
      </w:r>
      <w:r>
        <w:rPr>
          <w:rFonts w:cs="Times New Roman" w:hint="eastAsia"/>
          <w:kern w:val="21"/>
          <w:szCs w:val="28"/>
        </w:rPr>
        <w:t>）</w:t>
      </w:r>
      <w:r>
        <w:rPr>
          <w:rFonts w:ascii="宋体" w:hAnsi="宋体" w:cs="Times New Roman" w:hint="eastAsia"/>
          <w:kern w:val="21"/>
        </w:rPr>
        <w:t>对排污管线，全部采用管道内部防腐设计，尽量减少管道接口，并且加强日常的巡查和维护，避免“跑、冒、滴、漏”</w:t>
      </w:r>
      <w:r>
        <w:rPr>
          <w:rFonts w:cs="Times New Roman" w:hint="eastAsia"/>
          <w:kern w:val="21"/>
          <w:szCs w:val="28"/>
        </w:rPr>
        <w:t>；</w:t>
      </w:r>
    </w:p>
    <w:p w14:paraId="62657343" w14:textId="77777777" w:rsidR="00544649" w:rsidRDefault="00000000">
      <w:pPr>
        <w:adjustRightInd w:val="0"/>
        <w:snapToGrid w:val="0"/>
        <w:spacing w:after="0"/>
        <w:ind w:firstLine="480"/>
        <w:rPr>
          <w:rFonts w:ascii="宋体" w:hAnsi="宋体" w:cs="Times New Roman" w:hint="eastAsia"/>
          <w:kern w:val="21"/>
        </w:rPr>
      </w:pPr>
      <w:r>
        <w:rPr>
          <w:rFonts w:cs="Times New Roman" w:hint="eastAsia"/>
          <w:kern w:val="21"/>
          <w:szCs w:val="24"/>
        </w:rPr>
        <w:t>（</w:t>
      </w:r>
      <w:r>
        <w:rPr>
          <w:rFonts w:cs="Times New Roman" w:hint="eastAsia"/>
          <w:kern w:val="21"/>
          <w:szCs w:val="24"/>
        </w:rPr>
        <w:t>4</w:t>
      </w:r>
      <w:r>
        <w:rPr>
          <w:rFonts w:cs="Times New Roman" w:hint="eastAsia"/>
          <w:kern w:val="21"/>
          <w:szCs w:val="24"/>
        </w:rPr>
        <w:t>）</w:t>
      </w:r>
      <w:r>
        <w:rPr>
          <w:rFonts w:ascii="宋体" w:hAnsi="宋体" w:cs="Times New Roman" w:hint="eastAsia"/>
          <w:kern w:val="21"/>
        </w:rPr>
        <w:t>防渗工程的设计使用年限不应低于设备、管线及建、构筑物的设计使用年限；</w:t>
      </w:r>
    </w:p>
    <w:p w14:paraId="6903B751" w14:textId="77777777" w:rsidR="00544649" w:rsidRDefault="00000000">
      <w:pPr>
        <w:adjustRightInd w:val="0"/>
        <w:snapToGrid w:val="0"/>
        <w:spacing w:after="0"/>
        <w:ind w:firstLine="480"/>
        <w:rPr>
          <w:kern w:val="21"/>
        </w:rPr>
      </w:pPr>
      <w:r>
        <w:rPr>
          <w:rFonts w:hint="eastAsia"/>
          <w:kern w:val="21"/>
        </w:rPr>
        <w:t>（</w:t>
      </w:r>
      <w:r>
        <w:rPr>
          <w:rFonts w:hint="eastAsia"/>
          <w:kern w:val="21"/>
        </w:rPr>
        <w:t>5</w:t>
      </w:r>
      <w:r>
        <w:rPr>
          <w:rFonts w:hint="eastAsia"/>
          <w:kern w:val="21"/>
        </w:rPr>
        <w:t>）严格按照国家相关规范要求，防止和降低污染物的“跑、冒、滴、漏”，将污染物泄漏的环境风险事故降到最低程度。</w:t>
      </w:r>
    </w:p>
    <w:p w14:paraId="4E9C806E" w14:textId="77777777" w:rsidR="00544649" w:rsidRDefault="00000000">
      <w:pPr>
        <w:adjustRightInd w:val="0"/>
        <w:snapToGrid w:val="0"/>
        <w:spacing w:after="0"/>
        <w:ind w:firstLine="482"/>
        <w:rPr>
          <w:rFonts w:cs="Times New Roman"/>
          <w:kern w:val="21"/>
          <w:szCs w:val="24"/>
        </w:rPr>
      </w:pPr>
      <w:r>
        <w:rPr>
          <w:rFonts w:cs="Times New Roman" w:hint="eastAsia"/>
          <w:b/>
          <w:bCs/>
          <w:kern w:val="21"/>
          <w:szCs w:val="28"/>
        </w:rPr>
        <w:t>三、</w:t>
      </w:r>
      <w:r>
        <w:rPr>
          <w:rFonts w:cs="Times New Roman" w:hint="eastAsia"/>
          <w:b/>
          <w:kern w:val="21"/>
          <w:szCs w:val="24"/>
        </w:rPr>
        <w:t>分区</w:t>
      </w:r>
      <w:r>
        <w:rPr>
          <w:rFonts w:cs="Times New Roman"/>
          <w:b/>
          <w:kern w:val="21"/>
          <w:szCs w:val="24"/>
        </w:rPr>
        <w:t>防渗措施</w:t>
      </w:r>
    </w:p>
    <w:p w14:paraId="64F7EC47"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w:t>
      </w:r>
      <w:r>
        <w:rPr>
          <w:rFonts w:cs="Times New Roman" w:hint="eastAsia"/>
          <w:b/>
          <w:bCs/>
          <w:kern w:val="21"/>
          <w:szCs w:val="24"/>
        </w:rPr>
        <w:t>1</w:t>
      </w:r>
      <w:r>
        <w:rPr>
          <w:rFonts w:cs="Times New Roman" w:hint="eastAsia"/>
          <w:b/>
          <w:bCs/>
          <w:kern w:val="21"/>
          <w:szCs w:val="24"/>
        </w:rPr>
        <w:t>）</w:t>
      </w:r>
      <w:r>
        <w:rPr>
          <w:rFonts w:cs="Times New Roman"/>
          <w:b/>
          <w:bCs/>
          <w:kern w:val="21"/>
          <w:szCs w:val="24"/>
        </w:rPr>
        <w:t>防渗基础条件</w:t>
      </w:r>
    </w:p>
    <w:p w14:paraId="1630445A" w14:textId="77777777" w:rsidR="00544649" w:rsidRDefault="00000000">
      <w:pPr>
        <w:adjustRightInd w:val="0"/>
        <w:snapToGrid w:val="0"/>
        <w:spacing w:after="0"/>
        <w:ind w:firstLine="480"/>
        <w:rPr>
          <w:rFonts w:cs="Times New Roman"/>
          <w:kern w:val="21"/>
          <w:szCs w:val="24"/>
        </w:rPr>
      </w:pPr>
      <w:r>
        <w:rPr>
          <w:rFonts w:cs="Times New Roman"/>
          <w:kern w:val="21"/>
          <w:szCs w:val="24"/>
        </w:rPr>
        <w:t>由于调查区包气带主要岩性为人工填土、粉质粘土，防污能力弱且厂区废水污染物种类较多，因此在制订防渗措施时须从严要求。</w:t>
      </w:r>
    </w:p>
    <w:p w14:paraId="54BADB07" w14:textId="77777777" w:rsidR="00544649" w:rsidRDefault="00000000">
      <w:pPr>
        <w:adjustRightInd w:val="0"/>
        <w:snapToGrid w:val="0"/>
        <w:spacing w:after="0"/>
        <w:ind w:firstLine="480"/>
        <w:rPr>
          <w:rFonts w:cs="Times New Roman"/>
          <w:kern w:val="21"/>
          <w:szCs w:val="24"/>
        </w:rPr>
      </w:pPr>
      <w:r>
        <w:rPr>
          <w:rFonts w:cs="Times New Roman"/>
          <w:kern w:val="21"/>
          <w:szCs w:val="24"/>
        </w:rPr>
        <w:t>地面防渗措施，即末端控制措施，主要包括厂区污染区地面的防渗措施和泄漏、渗漏污染物收集措施。通过在污染区地面进行防渗处理，防止洒落地面的污染物渗入地下，并把滞留在地面的污染物收集起来，集中进行处理。</w:t>
      </w:r>
    </w:p>
    <w:p w14:paraId="1F718D70"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w:t>
      </w:r>
      <w:r>
        <w:rPr>
          <w:rFonts w:cs="Times New Roman" w:hint="eastAsia"/>
          <w:b/>
          <w:bCs/>
          <w:kern w:val="21"/>
          <w:szCs w:val="24"/>
        </w:rPr>
        <w:t>2</w:t>
      </w:r>
      <w:r>
        <w:rPr>
          <w:rFonts w:cs="Times New Roman" w:hint="eastAsia"/>
          <w:b/>
          <w:bCs/>
          <w:kern w:val="21"/>
          <w:szCs w:val="24"/>
        </w:rPr>
        <w:t>）</w:t>
      </w:r>
      <w:r>
        <w:rPr>
          <w:rFonts w:cs="Times New Roman"/>
          <w:b/>
          <w:bCs/>
          <w:kern w:val="21"/>
          <w:szCs w:val="24"/>
        </w:rPr>
        <w:t>地面防渗工程设计原则</w:t>
      </w:r>
    </w:p>
    <w:p w14:paraId="624BB8C2" w14:textId="77777777" w:rsidR="00544649" w:rsidRDefault="00000000">
      <w:pPr>
        <w:adjustRightInd w:val="0"/>
        <w:snapToGrid w:val="0"/>
        <w:spacing w:after="0"/>
        <w:ind w:firstLine="480"/>
        <w:rPr>
          <w:rFonts w:cs="Times New Roman"/>
          <w:kern w:val="21"/>
          <w:szCs w:val="24"/>
        </w:rPr>
      </w:pPr>
      <w:r>
        <w:rPr>
          <w:rFonts w:cs="Times New Roman"/>
          <w:kern w:val="21"/>
          <w:szCs w:val="24"/>
        </w:rPr>
        <w:fldChar w:fldCharType="begin"/>
      </w:r>
      <w:r>
        <w:rPr>
          <w:rFonts w:cs="Times New Roman"/>
          <w:kern w:val="21"/>
          <w:szCs w:val="24"/>
        </w:rPr>
        <w:instrText xml:space="preserve"> = 1 \* GB3 \* MERGEFORMAT </w:instrText>
      </w:r>
      <w:r>
        <w:rPr>
          <w:rFonts w:cs="Times New Roman"/>
          <w:kern w:val="21"/>
          <w:szCs w:val="24"/>
        </w:rPr>
        <w:fldChar w:fldCharType="separate"/>
      </w:r>
      <w:r>
        <w:rPr>
          <w:rFonts w:cs="Times New Roman"/>
          <w:kern w:val="21"/>
          <w:szCs w:val="24"/>
        </w:rPr>
        <w:t>①</w:t>
      </w:r>
      <w:r>
        <w:rPr>
          <w:rFonts w:cs="Times New Roman"/>
          <w:kern w:val="21"/>
          <w:szCs w:val="24"/>
        </w:rPr>
        <w:fldChar w:fldCharType="end"/>
      </w:r>
      <w:r>
        <w:rPr>
          <w:rFonts w:cs="Times New Roman"/>
          <w:kern w:val="21"/>
          <w:szCs w:val="24"/>
        </w:rPr>
        <w:t>采用国际国内先进的防渗材料、技术和实施手段，确保工程建设对区域内地下水影响较小，地下水现有水体功能不发生明显改变。</w:t>
      </w:r>
    </w:p>
    <w:p w14:paraId="0DFBD7BA" w14:textId="77777777" w:rsidR="00544649" w:rsidRDefault="00000000">
      <w:pPr>
        <w:adjustRightInd w:val="0"/>
        <w:snapToGrid w:val="0"/>
        <w:spacing w:after="0"/>
        <w:ind w:firstLine="480"/>
        <w:rPr>
          <w:rFonts w:cs="Times New Roman"/>
          <w:kern w:val="21"/>
          <w:szCs w:val="24"/>
        </w:rPr>
      </w:pPr>
      <w:r>
        <w:rPr>
          <w:rFonts w:cs="Times New Roman"/>
          <w:kern w:val="21"/>
          <w:szCs w:val="24"/>
        </w:rPr>
        <w:fldChar w:fldCharType="begin"/>
      </w:r>
      <w:r>
        <w:rPr>
          <w:rFonts w:cs="Times New Roman"/>
          <w:kern w:val="21"/>
          <w:szCs w:val="24"/>
        </w:rPr>
        <w:instrText xml:space="preserve"> = 2 \* GB3 \* MERGEFORMAT </w:instrText>
      </w:r>
      <w:r>
        <w:rPr>
          <w:rFonts w:cs="Times New Roman"/>
          <w:kern w:val="21"/>
          <w:szCs w:val="24"/>
        </w:rPr>
        <w:fldChar w:fldCharType="separate"/>
      </w:r>
      <w:r>
        <w:rPr>
          <w:rFonts w:cs="Times New Roman"/>
          <w:kern w:val="21"/>
          <w:szCs w:val="24"/>
        </w:rPr>
        <w:t>②</w:t>
      </w:r>
      <w:r>
        <w:rPr>
          <w:rFonts w:cs="Times New Roman"/>
          <w:kern w:val="21"/>
          <w:szCs w:val="24"/>
        </w:rPr>
        <w:fldChar w:fldCharType="end"/>
      </w:r>
      <w:r>
        <w:rPr>
          <w:rFonts w:cs="Times New Roman"/>
          <w:kern w:val="21"/>
          <w:szCs w:val="24"/>
        </w:rPr>
        <w:t>坚持分区管理和控制原则，根据企业所在地的工程地质、水文地质条件和厂区可能发生泄漏的物料性质、排放量，参照相应标准要求有针对性的分区，并分别设计地面防渗层结构。</w:t>
      </w:r>
    </w:p>
    <w:p w14:paraId="118FA79B" w14:textId="77777777" w:rsidR="00544649" w:rsidRDefault="00000000">
      <w:pPr>
        <w:adjustRightInd w:val="0"/>
        <w:snapToGrid w:val="0"/>
        <w:spacing w:after="0"/>
        <w:ind w:firstLine="480"/>
        <w:rPr>
          <w:rFonts w:cs="Times New Roman"/>
          <w:kern w:val="21"/>
          <w:szCs w:val="24"/>
        </w:rPr>
      </w:pPr>
      <w:r>
        <w:rPr>
          <w:rFonts w:cs="Times New Roman"/>
          <w:kern w:val="21"/>
          <w:szCs w:val="24"/>
        </w:rPr>
        <w:fldChar w:fldCharType="begin"/>
      </w:r>
      <w:r>
        <w:rPr>
          <w:rFonts w:cs="Times New Roman"/>
          <w:kern w:val="21"/>
          <w:szCs w:val="24"/>
        </w:rPr>
        <w:instrText xml:space="preserve"> = 3 \* GB3 \* MERGEFORMAT </w:instrText>
      </w:r>
      <w:r>
        <w:rPr>
          <w:rFonts w:cs="Times New Roman"/>
          <w:kern w:val="21"/>
          <w:szCs w:val="24"/>
        </w:rPr>
        <w:fldChar w:fldCharType="separate"/>
      </w:r>
      <w:r>
        <w:rPr>
          <w:rFonts w:cs="Times New Roman"/>
          <w:kern w:val="21"/>
          <w:szCs w:val="24"/>
        </w:rPr>
        <w:t>③</w:t>
      </w:r>
      <w:r>
        <w:rPr>
          <w:rFonts w:cs="Times New Roman"/>
          <w:kern w:val="21"/>
          <w:szCs w:val="24"/>
        </w:rPr>
        <w:fldChar w:fldCharType="end"/>
      </w:r>
      <w:r>
        <w:rPr>
          <w:rFonts w:cs="Times New Roman"/>
          <w:kern w:val="21"/>
          <w:szCs w:val="24"/>
        </w:rPr>
        <w:t>坚持</w:t>
      </w:r>
      <w:r>
        <w:rPr>
          <w:rFonts w:cs="Times New Roman" w:hint="eastAsia"/>
          <w:kern w:val="21"/>
          <w:szCs w:val="24"/>
        </w:rPr>
        <w:t>“</w:t>
      </w:r>
      <w:r>
        <w:rPr>
          <w:rFonts w:cs="Times New Roman"/>
          <w:kern w:val="21"/>
          <w:szCs w:val="24"/>
        </w:rPr>
        <w:t>可视化</w:t>
      </w:r>
      <w:r>
        <w:rPr>
          <w:rFonts w:cs="Times New Roman" w:hint="eastAsia"/>
          <w:kern w:val="21"/>
          <w:szCs w:val="24"/>
        </w:rPr>
        <w:t>”</w:t>
      </w:r>
      <w:r>
        <w:rPr>
          <w:rFonts w:cs="Times New Roman"/>
          <w:kern w:val="21"/>
          <w:szCs w:val="24"/>
        </w:rPr>
        <w:t>原则，在满足工程和防渗层结构标准要求的前提下，尽量在地表面实施防渗措施，便于泄漏物质收集和及时发现破损防渗层。</w:t>
      </w:r>
    </w:p>
    <w:p w14:paraId="4F1D9F27" w14:textId="77777777" w:rsidR="00544649" w:rsidRDefault="00000000">
      <w:pPr>
        <w:adjustRightInd w:val="0"/>
        <w:snapToGrid w:val="0"/>
        <w:spacing w:after="0"/>
        <w:ind w:firstLine="480"/>
        <w:rPr>
          <w:rFonts w:cs="Times New Roman"/>
          <w:kern w:val="21"/>
          <w:szCs w:val="24"/>
        </w:rPr>
      </w:pPr>
      <w:r>
        <w:rPr>
          <w:rFonts w:cs="Times New Roman"/>
          <w:kern w:val="21"/>
          <w:szCs w:val="24"/>
        </w:rPr>
        <w:fldChar w:fldCharType="begin"/>
      </w:r>
      <w:r>
        <w:rPr>
          <w:rFonts w:cs="Times New Roman"/>
          <w:kern w:val="21"/>
          <w:szCs w:val="24"/>
        </w:rPr>
        <w:instrText xml:space="preserve"> = 4 \* GB3 \* MERGEFORMAT </w:instrText>
      </w:r>
      <w:r>
        <w:rPr>
          <w:rFonts w:cs="Times New Roman"/>
          <w:kern w:val="21"/>
          <w:szCs w:val="24"/>
        </w:rPr>
        <w:fldChar w:fldCharType="separate"/>
      </w:r>
      <w:r>
        <w:rPr>
          <w:rFonts w:cs="Times New Roman"/>
          <w:kern w:val="21"/>
          <w:szCs w:val="24"/>
        </w:rPr>
        <w:t>④</w:t>
      </w:r>
      <w:r>
        <w:rPr>
          <w:rFonts w:cs="Times New Roman"/>
          <w:kern w:val="21"/>
          <w:szCs w:val="24"/>
        </w:rPr>
        <w:fldChar w:fldCharType="end"/>
      </w:r>
      <w:r>
        <w:rPr>
          <w:rFonts w:cs="Times New Roman"/>
          <w:kern w:val="21"/>
          <w:szCs w:val="24"/>
        </w:rPr>
        <w:t>实施防渗的区域均设置检漏装置，其中可能泄漏危险废物的重点污染防治区防渗设置自动检漏装置。</w:t>
      </w:r>
    </w:p>
    <w:p w14:paraId="49D9CCC1" w14:textId="77777777" w:rsidR="00544649" w:rsidRDefault="00000000">
      <w:pPr>
        <w:adjustRightInd w:val="0"/>
        <w:snapToGrid w:val="0"/>
        <w:spacing w:after="0"/>
        <w:ind w:firstLine="480"/>
        <w:rPr>
          <w:b/>
          <w:bCs/>
          <w:kern w:val="21"/>
        </w:rPr>
      </w:pPr>
      <w:r>
        <w:rPr>
          <w:rFonts w:cs="Times New Roman"/>
          <w:kern w:val="21"/>
          <w:szCs w:val="24"/>
        </w:rPr>
        <w:lastRenderedPageBreak/>
        <w:fldChar w:fldCharType="begin"/>
      </w:r>
      <w:r>
        <w:rPr>
          <w:rFonts w:cs="Times New Roman"/>
          <w:kern w:val="21"/>
          <w:szCs w:val="24"/>
        </w:rPr>
        <w:instrText xml:space="preserve"> = 5 \* GB3 \* MERGEFORMAT </w:instrText>
      </w:r>
      <w:r>
        <w:rPr>
          <w:rFonts w:cs="Times New Roman"/>
          <w:kern w:val="21"/>
          <w:szCs w:val="24"/>
        </w:rPr>
        <w:fldChar w:fldCharType="separate"/>
      </w:r>
      <w:r>
        <w:rPr>
          <w:rFonts w:ascii="Cambria Math" w:hAnsi="Cambria Math" w:cs="Cambria Math"/>
          <w:kern w:val="21"/>
          <w:szCs w:val="24"/>
        </w:rPr>
        <w:t>⑤</w:t>
      </w:r>
      <w:r>
        <w:rPr>
          <w:rFonts w:cs="Times New Roman"/>
          <w:kern w:val="21"/>
          <w:szCs w:val="24"/>
        </w:rPr>
        <w:fldChar w:fldCharType="end"/>
      </w:r>
      <w:r>
        <w:rPr>
          <w:rFonts w:cs="Times New Roman"/>
          <w:kern w:val="21"/>
          <w:szCs w:val="24"/>
        </w:rPr>
        <w:t>防渗层上渗漏污染物和防渗层内渗漏污染物收集系统与全厂</w:t>
      </w:r>
      <w:r>
        <w:rPr>
          <w:rFonts w:cs="Times New Roman" w:hint="eastAsia"/>
          <w:kern w:val="21"/>
          <w:szCs w:val="24"/>
        </w:rPr>
        <w:t>“</w:t>
      </w:r>
      <w:r>
        <w:rPr>
          <w:rFonts w:cs="Times New Roman"/>
          <w:kern w:val="21"/>
          <w:szCs w:val="24"/>
        </w:rPr>
        <w:t>三废</w:t>
      </w:r>
      <w:r>
        <w:rPr>
          <w:rFonts w:cs="Times New Roman" w:hint="eastAsia"/>
          <w:kern w:val="21"/>
          <w:szCs w:val="24"/>
        </w:rPr>
        <w:t>”</w:t>
      </w:r>
      <w:r>
        <w:rPr>
          <w:rFonts w:cs="Times New Roman"/>
          <w:kern w:val="21"/>
          <w:szCs w:val="24"/>
        </w:rPr>
        <w:t>处理措施统筹考虑，统一处理。</w:t>
      </w:r>
    </w:p>
    <w:p w14:paraId="4390F403" w14:textId="77777777" w:rsidR="00544649" w:rsidRDefault="00000000">
      <w:pPr>
        <w:numPr>
          <w:ilvl w:val="3"/>
          <w:numId w:val="9"/>
        </w:numPr>
        <w:adjustRightInd w:val="0"/>
        <w:snapToGrid w:val="0"/>
        <w:spacing w:after="0"/>
        <w:ind w:firstLineChars="0"/>
        <w:outlineLvl w:val="3"/>
        <w:rPr>
          <w:b/>
          <w:bCs/>
          <w:kern w:val="21"/>
        </w:rPr>
      </w:pPr>
      <w:r>
        <w:rPr>
          <w:b/>
          <w:bCs/>
          <w:kern w:val="21"/>
        </w:rPr>
        <w:t>地下水环境影响</w:t>
      </w:r>
      <w:r>
        <w:rPr>
          <w:rFonts w:hint="eastAsia"/>
          <w:b/>
          <w:bCs/>
          <w:kern w:val="21"/>
        </w:rPr>
        <w:t>评价结论</w:t>
      </w:r>
    </w:p>
    <w:p w14:paraId="2AEDE026" w14:textId="77777777" w:rsidR="00544649" w:rsidRDefault="00000000">
      <w:pPr>
        <w:adjustRightInd w:val="0"/>
        <w:snapToGrid w:val="0"/>
        <w:spacing w:after="0"/>
        <w:ind w:firstLine="480"/>
        <w:rPr>
          <w:kern w:val="21"/>
        </w:rPr>
      </w:pPr>
      <w:r>
        <w:rPr>
          <w:kern w:val="21"/>
        </w:rPr>
        <w:t>在正常状况下，建设项目的工艺设备和地下水保护措施均达到《环境影响评价技术导则</w:t>
      </w:r>
      <w:r>
        <w:rPr>
          <w:rFonts w:hint="eastAsia"/>
          <w:kern w:val="21"/>
        </w:rPr>
        <w:t xml:space="preserve"> </w:t>
      </w:r>
      <w:r>
        <w:rPr>
          <w:kern w:val="21"/>
        </w:rPr>
        <w:t>地下水环境》（</w:t>
      </w:r>
      <w:r>
        <w:rPr>
          <w:kern w:val="21"/>
        </w:rPr>
        <w:t>HJ610-2016</w:t>
      </w:r>
      <w:r>
        <w:rPr>
          <w:kern w:val="21"/>
        </w:rPr>
        <w:t>）相关要求，污染物从源头到末端均得到有效控制，污染物难以对地下水环境产生影响。因此，正常状况</w:t>
      </w:r>
      <w:proofErr w:type="gramStart"/>
      <w:r>
        <w:rPr>
          <w:kern w:val="21"/>
        </w:rPr>
        <w:t>下项目</w:t>
      </w:r>
      <w:proofErr w:type="gramEnd"/>
      <w:r>
        <w:rPr>
          <w:kern w:val="21"/>
        </w:rPr>
        <w:t>对地下水环境的影响可接受。</w:t>
      </w:r>
    </w:p>
    <w:p w14:paraId="02BCC91B" w14:textId="77777777" w:rsidR="00544649" w:rsidRDefault="00000000">
      <w:pPr>
        <w:adjustRightInd w:val="0"/>
        <w:snapToGrid w:val="0"/>
        <w:spacing w:after="0"/>
        <w:ind w:firstLine="480"/>
        <w:rPr>
          <w:kern w:val="21"/>
        </w:rPr>
      </w:pPr>
      <w:r>
        <w:rPr>
          <w:kern w:val="21"/>
        </w:rPr>
        <w:t>本项目场界外分布有农户水井，正常情况下，项目废水处理设施采取有效的防渗措施的前提下，项目运营期废水不会对周围敏感点地下水环境造成二次污染影响。项目评价区域范围内所在地表层土壤属砂泥混合层，地下水类型主要为裂隙水，根据现场调查走访，周边农户均采用</w:t>
      </w:r>
      <w:r>
        <w:rPr>
          <w:rFonts w:hint="eastAsia"/>
          <w:kern w:val="21"/>
        </w:rPr>
        <w:t>自来水</w:t>
      </w:r>
      <w:r>
        <w:rPr>
          <w:kern w:val="21"/>
        </w:rPr>
        <w:t>作为生活用水，废水经收集处理后，经农作物吸收、土壤净化等，严格按照还田区域</w:t>
      </w:r>
      <w:r>
        <w:rPr>
          <w:rFonts w:hint="eastAsia"/>
          <w:kern w:val="21"/>
        </w:rPr>
        <w:t>林地</w:t>
      </w:r>
      <w:r>
        <w:rPr>
          <w:kern w:val="21"/>
        </w:rPr>
        <w:t>农作物的生长特性，合理、定量还田利用的前提下基本不会对附近</w:t>
      </w:r>
      <w:r>
        <w:rPr>
          <w:rFonts w:hint="eastAsia"/>
          <w:kern w:val="21"/>
        </w:rPr>
        <w:t>地下</w:t>
      </w:r>
      <w:r>
        <w:rPr>
          <w:kern w:val="21"/>
        </w:rPr>
        <w:t>水质造成影响。若建设项目的防渗设施破裂，发生废水泄漏，外泄废水往低洼处漫流，可能会对区域低洼地区产生一定的影响。结合前文非正常工况下污染物的最远超标距离和超标浓度计算结果来看，项目运营</w:t>
      </w:r>
      <w:r>
        <w:rPr>
          <w:kern w:val="21"/>
        </w:rPr>
        <w:t>10</w:t>
      </w:r>
      <w:r>
        <w:rPr>
          <w:kern w:val="21"/>
        </w:rPr>
        <w:t>年内，非正常工况下，各污染物的最远超标扩散距离在</w:t>
      </w:r>
      <w:r>
        <w:rPr>
          <w:rFonts w:hint="eastAsia"/>
          <w:kern w:val="21"/>
        </w:rPr>
        <w:t>200</w:t>
      </w:r>
      <w:r>
        <w:rPr>
          <w:kern w:val="21"/>
        </w:rPr>
        <w:t>m</w:t>
      </w:r>
      <w:r>
        <w:rPr>
          <w:kern w:val="21"/>
        </w:rPr>
        <w:t>范围内，在本项目对污水处理设施的防渗措施做好的情况下，本项目对周边</w:t>
      </w:r>
      <w:r>
        <w:rPr>
          <w:rFonts w:hint="eastAsia"/>
          <w:kern w:val="21"/>
        </w:rPr>
        <w:t>地下水</w:t>
      </w:r>
      <w:r>
        <w:rPr>
          <w:kern w:val="21"/>
        </w:rPr>
        <w:t>影响能够接受。</w:t>
      </w:r>
    </w:p>
    <w:p w14:paraId="1F7BC63C" w14:textId="77777777" w:rsidR="00544649" w:rsidRDefault="00000000">
      <w:pPr>
        <w:adjustRightInd w:val="0"/>
        <w:snapToGrid w:val="0"/>
        <w:spacing w:after="0"/>
        <w:ind w:firstLine="480"/>
        <w:rPr>
          <w:kern w:val="21"/>
        </w:rPr>
      </w:pPr>
      <w:r>
        <w:rPr>
          <w:rFonts w:cs="Times New Roman"/>
          <w:snapToGrid w:val="0"/>
          <w:kern w:val="21"/>
          <w:szCs w:val="24"/>
        </w:rPr>
        <w:t>根据本项目建设特点，采用源头控制、分区防渗、地下水长期监测等措施，防止地下水发生污染。当地下水发生污染后，采取积极有效的应急措施。在采取相应措施后，建设项目对地下水环境的影响较小，本项目对地下水环境的影响可以接受。</w:t>
      </w:r>
    </w:p>
    <w:p w14:paraId="6A70B2D4"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323" w:name="_Toc195009889"/>
      <w:proofErr w:type="gramStart"/>
      <w:r>
        <w:rPr>
          <w:rFonts w:cs="Times New Roman"/>
          <w:b/>
          <w:bCs/>
          <w:kern w:val="21"/>
          <w:sz w:val="28"/>
          <w:szCs w:val="24"/>
        </w:rPr>
        <w:t>运营期声环境影响</w:t>
      </w:r>
      <w:proofErr w:type="gramEnd"/>
      <w:r>
        <w:rPr>
          <w:rFonts w:cs="Times New Roman"/>
          <w:b/>
          <w:bCs/>
          <w:kern w:val="21"/>
          <w:sz w:val="28"/>
          <w:szCs w:val="24"/>
        </w:rPr>
        <w:t>分析</w:t>
      </w:r>
      <w:bookmarkEnd w:id="322"/>
      <w:bookmarkEnd w:id="323"/>
    </w:p>
    <w:p w14:paraId="0089675B"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主要噪声源情况</w:t>
      </w:r>
    </w:p>
    <w:p w14:paraId="324EB699" w14:textId="77777777" w:rsidR="00544649" w:rsidRDefault="00000000">
      <w:pPr>
        <w:adjustRightInd w:val="0"/>
        <w:snapToGrid w:val="0"/>
        <w:spacing w:after="0"/>
        <w:ind w:firstLine="480"/>
        <w:rPr>
          <w:rFonts w:cs="Times New Roman"/>
          <w:kern w:val="21"/>
        </w:rPr>
      </w:pPr>
      <w:r>
        <w:rPr>
          <w:rFonts w:cs="Times New Roman"/>
          <w:kern w:val="21"/>
        </w:rPr>
        <w:t>项目运营期噪声主要为设备噪声、鸡叫声等。鸡叫声经业主加强饲养方法、避免饥饿和惊吓等措施后对周边环境的影响较小；</w:t>
      </w:r>
      <w:r>
        <w:rPr>
          <w:rFonts w:cs="Times New Roman" w:hint="eastAsia"/>
          <w:kern w:val="21"/>
        </w:rPr>
        <w:t>水泵、清粪设备、</w:t>
      </w:r>
      <w:r>
        <w:rPr>
          <w:rFonts w:cs="Times New Roman"/>
          <w:kern w:val="21"/>
        </w:rPr>
        <w:t>喂料系统和</w:t>
      </w:r>
      <w:proofErr w:type="gramStart"/>
      <w:r>
        <w:rPr>
          <w:rFonts w:cs="Times New Roman"/>
          <w:kern w:val="21"/>
        </w:rPr>
        <w:t>集蛋系统</w:t>
      </w:r>
      <w:proofErr w:type="gramEnd"/>
      <w:r>
        <w:rPr>
          <w:rFonts w:cs="Times New Roman"/>
          <w:kern w:val="21"/>
        </w:rPr>
        <w:t>选用设备均为低噪声设备，经业主合理养护后，对周围环境影响较小。结合项目</w:t>
      </w:r>
      <w:proofErr w:type="gramStart"/>
      <w:r>
        <w:rPr>
          <w:rFonts w:cs="Times New Roman"/>
          <w:kern w:val="21"/>
        </w:rPr>
        <w:t>实际产噪</w:t>
      </w:r>
      <w:proofErr w:type="gramEnd"/>
      <w:r>
        <w:rPr>
          <w:rFonts w:cs="Times New Roman"/>
          <w:kern w:val="21"/>
        </w:rPr>
        <w:t>情况，将对蛋鸡养殖生产过程中的</w:t>
      </w:r>
      <w:proofErr w:type="gramStart"/>
      <w:r>
        <w:rPr>
          <w:rFonts w:cs="Times New Roman"/>
          <w:kern w:val="21"/>
        </w:rPr>
        <w:t>产噪设备</w:t>
      </w:r>
      <w:proofErr w:type="gramEnd"/>
      <w:r>
        <w:rPr>
          <w:rFonts w:cs="Times New Roman"/>
          <w:kern w:val="21"/>
        </w:rPr>
        <w:t>产生的噪声进行预测。</w:t>
      </w:r>
    </w:p>
    <w:p w14:paraId="39B11A53" w14:textId="77777777" w:rsidR="00544649" w:rsidRDefault="00000000">
      <w:pPr>
        <w:pStyle w:val="aff2"/>
        <w:adjustRightInd w:val="0"/>
        <w:snapToGrid w:val="0"/>
        <w:spacing w:after="0"/>
        <w:rPr>
          <w:rFonts w:ascii="Times New Roman" w:hAnsi="Times New Roman" w:cs="Times New Roman"/>
          <w:kern w:val="21"/>
        </w:rPr>
      </w:pPr>
      <w:r>
        <w:rPr>
          <w:rFonts w:ascii="Times New Roman" w:hAnsi="Times New Roman" w:cs="Times New Roman"/>
          <w:kern w:val="21"/>
        </w:rPr>
        <w:t>根据工程分析，本工程运营期主要噪声源及源强情况见下表。</w:t>
      </w:r>
    </w:p>
    <w:p w14:paraId="10BFC954" w14:textId="77777777" w:rsidR="00544649" w:rsidRDefault="00000000">
      <w:pPr>
        <w:pStyle w:val="aff2"/>
        <w:adjustRightInd w:val="0"/>
        <w:snapToGrid w:val="0"/>
        <w:spacing w:after="0"/>
        <w:rPr>
          <w:kern w:val="21"/>
        </w:rPr>
        <w:sectPr w:rsidR="00544649">
          <w:pgSz w:w="11906" w:h="16838"/>
          <w:pgMar w:top="1134" w:right="1531" w:bottom="1134" w:left="1531" w:header="851" w:footer="794" w:gutter="0"/>
          <w:cols w:space="425"/>
          <w:docGrid w:type="lines" w:linePitch="312"/>
        </w:sectPr>
      </w:pPr>
      <w:r>
        <w:rPr>
          <w:rFonts w:ascii="Times New Roman" w:hAnsi="Times New Roman" w:cs="Times New Roman" w:hint="eastAsia"/>
          <w:kern w:val="21"/>
        </w:rPr>
        <w:t>略。</w:t>
      </w:r>
    </w:p>
    <w:p w14:paraId="6804C4C7"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lastRenderedPageBreak/>
        <w:t>评价方法和预测模式</w:t>
      </w:r>
    </w:p>
    <w:p w14:paraId="19FDEA06" w14:textId="77777777" w:rsidR="00544649" w:rsidRDefault="00000000">
      <w:pPr>
        <w:adjustRightInd w:val="0"/>
        <w:snapToGrid w:val="0"/>
        <w:spacing w:after="0"/>
        <w:ind w:firstLine="480"/>
        <w:rPr>
          <w:rFonts w:cs="Times New Roman"/>
          <w:kern w:val="21"/>
          <w:szCs w:val="20"/>
        </w:rPr>
      </w:pPr>
      <w:r>
        <w:rPr>
          <w:rFonts w:cs="Times New Roman"/>
          <w:kern w:val="21"/>
          <w:szCs w:val="20"/>
        </w:rPr>
        <w:t>本项目为</w:t>
      </w:r>
      <w:r>
        <w:rPr>
          <w:rFonts w:cs="Times New Roman" w:hint="eastAsia"/>
          <w:kern w:val="21"/>
          <w:szCs w:val="20"/>
        </w:rPr>
        <w:t>工业噪声源</w:t>
      </w:r>
      <w:r>
        <w:rPr>
          <w:rFonts w:cs="Times New Roman"/>
          <w:kern w:val="21"/>
          <w:szCs w:val="20"/>
        </w:rPr>
        <w:t>，</w:t>
      </w:r>
      <w:r>
        <w:rPr>
          <w:rFonts w:cs="Times New Roman" w:hint="eastAsia"/>
          <w:kern w:val="21"/>
          <w:szCs w:val="20"/>
        </w:rPr>
        <w:t>根据《环境影响评价技术导则声环境》（</w:t>
      </w:r>
      <w:r>
        <w:rPr>
          <w:rFonts w:cs="Times New Roman" w:hint="eastAsia"/>
          <w:kern w:val="21"/>
          <w:szCs w:val="20"/>
        </w:rPr>
        <w:t>HJ2.4-2021</w:t>
      </w:r>
      <w:r>
        <w:rPr>
          <w:rFonts w:cs="Times New Roman" w:hint="eastAsia"/>
          <w:kern w:val="21"/>
          <w:szCs w:val="20"/>
        </w:rPr>
        <w:t>）要求，预测计算模式如下：</w:t>
      </w:r>
    </w:p>
    <w:p w14:paraId="3D07B8F4" w14:textId="77777777" w:rsidR="00544649" w:rsidRDefault="00000000">
      <w:pPr>
        <w:adjustRightInd w:val="0"/>
        <w:snapToGrid w:val="0"/>
        <w:spacing w:after="0"/>
        <w:ind w:firstLine="482"/>
        <w:rPr>
          <w:rFonts w:cs="Times New Roman"/>
          <w:b/>
          <w:bCs/>
          <w:kern w:val="21"/>
          <w:szCs w:val="20"/>
        </w:rPr>
      </w:pPr>
      <w:r>
        <w:rPr>
          <w:rFonts w:cs="Times New Roman" w:hint="eastAsia"/>
          <w:b/>
          <w:bCs/>
          <w:kern w:val="21"/>
          <w:szCs w:val="20"/>
        </w:rPr>
        <w:t>（</w:t>
      </w:r>
      <w:r>
        <w:rPr>
          <w:rFonts w:cs="Times New Roman" w:hint="eastAsia"/>
          <w:b/>
          <w:bCs/>
          <w:kern w:val="21"/>
          <w:szCs w:val="20"/>
        </w:rPr>
        <w:t>1</w:t>
      </w:r>
      <w:r>
        <w:rPr>
          <w:rFonts w:cs="Times New Roman" w:hint="eastAsia"/>
          <w:b/>
          <w:bCs/>
          <w:kern w:val="21"/>
          <w:szCs w:val="20"/>
        </w:rPr>
        <w:t>）单个室外的点声源在预测点产生的声级计算基本公式</w:t>
      </w:r>
    </w:p>
    <w:p w14:paraId="20ED2410"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某个声源在预测点的倍频带声压级的计算公式如下：</w:t>
      </w:r>
    </w:p>
    <w:p w14:paraId="448D45DD" w14:textId="77777777" w:rsidR="00544649" w:rsidRDefault="00000000">
      <w:pPr>
        <w:adjustRightInd w:val="0"/>
        <w:snapToGrid w:val="0"/>
        <w:spacing w:after="0"/>
        <w:ind w:firstLine="480"/>
        <w:jc w:val="center"/>
        <w:rPr>
          <w:rFonts w:cs="Times New Roman"/>
          <w:kern w:val="21"/>
          <w:szCs w:val="20"/>
        </w:rPr>
      </w:pPr>
      <m:oMath>
        <m:sSub>
          <m:sSubPr>
            <m:ctrlPr>
              <w:rPr>
                <w:rFonts w:ascii="Cambria Math" w:hAnsi="Cambria Math"/>
                <w:kern w:val="21"/>
                <w:szCs w:val="20"/>
              </w:rPr>
            </m:ctrlPr>
          </m:sSubPr>
          <m:e>
            <m:r>
              <w:rPr>
                <w:rFonts w:ascii="Cambria Math" w:hAnsi="Cambria Math"/>
                <w:kern w:val="21"/>
                <w:szCs w:val="20"/>
              </w:rPr>
              <m:t>L</m:t>
            </m:r>
          </m:e>
          <m:sub>
            <m:r>
              <w:rPr>
                <w:rFonts w:ascii="Cambria Math" w:hAnsi="Cambria Math"/>
                <w:kern w:val="21"/>
                <w:szCs w:val="20"/>
              </w:rPr>
              <m:t>p</m:t>
            </m:r>
            <m:r>
              <w:rPr>
                <w:rFonts w:ascii="Cambria Math" w:hAnsi="Cambria Math" w:hint="eastAsia"/>
                <w:kern w:val="21"/>
                <w:szCs w:val="20"/>
              </w:rPr>
              <m:t>（</m:t>
            </m:r>
            <m:r>
              <w:rPr>
                <w:rFonts w:ascii="Cambria Math" w:hAnsi="Cambria Math"/>
                <w:kern w:val="21"/>
                <w:szCs w:val="20"/>
              </w:rPr>
              <m:t>r</m:t>
            </m:r>
            <m:r>
              <w:rPr>
                <w:rFonts w:ascii="Cambria Math" w:hAnsi="Cambria Math" w:hint="eastAsia"/>
                <w:kern w:val="21"/>
                <w:szCs w:val="20"/>
              </w:rPr>
              <m:t>）</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L</m:t>
            </m:r>
          </m:e>
          <m:sub>
            <m:r>
              <w:rPr>
                <w:rFonts w:ascii="Cambria Math" w:hAnsi="Cambria Math"/>
                <w:kern w:val="21"/>
                <w:szCs w:val="20"/>
              </w:rPr>
              <m:t>w</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D</m:t>
            </m:r>
          </m:e>
          <m:sub>
            <m:r>
              <w:rPr>
                <w:rFonts w:ascii="Cambria Math" w:hAnsi="Cambria Math"/>
                <w:kern w:val="21"/>
                <w:szCs w:val="20"/>
              </w:rPr>
              <m:t>c</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A</m:t>
            </m:r>
          </m:e>
          <m:sub>
            <m:r>
              <w:rPr>
                <w:rFonts w:ascii="Cambria Math" w:hAnsi="Cambria Math"/>
                <w:kern w:val="21"/>
                <w:szCs w:val="20"/>
              </w:rPr>
              <m:t>div</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A</m:t>
            </m:r>
          </m:e>
          <m:sub>
            <m:r>
              <w:rPr>
                <w:rFonts w:ascii="Cambria Math" w:hAnsi="Cambria Math"/>
                <w:kern w:val="21"/>
                <w:szCs w:val="20"/>
              </w:rPr>
              <m:t>atm</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A</m:t>
            </m:r>
          </m:e>
          <m:sub>
            <m:r>
              <w:rPr>
                <w:rFonts w:ascii="Cambria Math" w:hAnsi="Cambria Math"/>
                <w:kern w:val="21"/>
                <w:szCs w:val="20"/>
              </w:rPr>
              <m:t>gr</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A</m:t>
            </m:r>
          </m:e>
          <m:sub>
            <m:r>
              <w:rPr>
                <w:rFonts w:ascii="Cambria Math" w:hAnsi="Cambria Math"/>
                <w:kern w:val="21"/>
                <w:szCs w:val="20"/>
              </w:rPr>
              <m:t>bar</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A</m:t>
            </m:r>
          </m:e>
          <m:sub>
            <m:r>
              <w:rPr>
                <w:rFonts w:ascii="Cambria Math" w:hAnsi="Cambria Math"/>
                <w:kern w:val="21"/>
                <w:szCs w:val="20"/>
              </w:rPr>
              <m:t>misc</m:t>
            </m:r>
          </m:sub>
        </m:sSub>
      </m:oMath>
      <w:r>
        <w:rPr>
          <w:rFonts w:hAnsi="Cambria Math" w:cs="Times New Roman" w:hint="eastAsia"/>
          <w:kern w:val="21"/>
          <w:szCs w:val="20"/>
        </w:rPr>
        <w:t>)</w:t>
      </w:r>
    </w:p>
    <w:p w14:paraId="2DF5052A"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式中：</w:t>
      </w:r>
    </w:p>
    <w:p w14:paraId="2BD3EC22" w14:textId="77777777" w:rsidR="00544649" w:rsidRDefault="00000000">
      <w:pPr>
        <w:adjustRightInd w:val="0"/>
        <w:snapToGrid w:val="0"/>
        <w:spacing w:after="0"/>
        <w:ind w:firstLine="480"/>
        <w:rPr>
          <w:rFonts w:cs="Times New Roman"/>
          <w:kern w:val="21"/>
          <w:szCs w:val="20"/>
        </w:rPr>
      </w:pPr>
      <w:proofErr w:type="spellStart"/>
      <w:r>
        <w:rPr>
          <w:rFonts w:cs="Times New Roman" w:hint="eastAsia"/>
          <w:kern w:val="21"/>
          <w:szCs w:val="20"/>
        </w:rPr>
        <w:t>L</w:t>
      </w:r>
      <w:r>
        <w:rPr>
          <w:rFonts w:cs="Times New Roman" w:hint="eastAsia"/>
          <w:kern w:val="21"/>
          <w:szCs w:val="20"/>
          <w:vertAlign w:val="subscript"/>
        </w:rPr>
        <w:t>p</w:t>
      </w:r>
      <w:proofErr w:type="spellEnd"/>
      <w:r>
        <w:rPr>
          <w:rFonts w:cs="Times New Roman" w:hint="eastAsia"/>
          <w:kern w:val="21"/>
          <w:szCs w:val="20"/>
          <w:vertAlign w:val="subscript"/>
        </w:rPr>
        <w:t>（</w:t>
      </w:r>
      <w:r>
        <w:rPr>
          <w:rFonts w:cs="Times New Roman" w:hint="eastAsia"/>
          <w:kern w:val="21"/>
          <w:szCs w:val="20"/>
          <w:vertAlign w:val="subscript"/>
        </w:rPr>
        <w:t>r</w:t>
      </w:r>
      <w:r>
        <w:rPr>
          <w:rFonts w:cs="Times New Roman" w:hint="eastAsia"/>
          <w:kern w:val="21"/>
          <w:szCs w:val="20"/>
          <w:vertAlign w:val="subscript"/>
        </w:rPr>
        <w:t>）</w:t>
      </w:r>
      <w:r>
        <w:rPr>
          <w:rFonts w:cs="Times New Roman"/>
          <w:kern w:val="21"/>
          <w:szCs w:val="20"/>
        </w:rPr>
        <w:t>——</w:t>
      </w:r>
      <w:r>
        <w:rPr>
          <w:rFonts w:cs="Times New Roman" w:hint="eastAsia"/>
          <w:kern w:val="21"/>
          <w:szCs w:val="20"/>
        </w:rPr>
        <w:t>预测点处声压级，</w:t>
      </w:r>
      <w:r>
        <w:rPr>
          <w:rFonts w:cs="Times New Roman" w:hint="eastAsia"/>
          <w:kern w:val="21"/>
          <w:szCs w:val="20"/>
        </w:rPr>
        <w:t>dB</w:t>
      </w:r>
      <w:r>
        <w:rPr>
          <w:rFonts w:cs="Times New Roman" w:hint="eastAsia"/>
          <w:kern w:val="21"/>
          <w:szCs w:val="20"/>
        </w:rPr>
        <w:t>；</w:t>
      </w:r>
    </w:p>
    <w:p w14:paraId="7C169FF3"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L</w:t>
      </w:r>
      <w:r>
        <w:rPr>
          <w:rFonts w:cs="Times New Roman" w:hint="eastAsia"/>
          <w:kern w:val="21"/>
          <w:szCs w:val="20"/>
          <w:vertAlign w:val="subscript"/>
        </w:rPr>
        <w:t>w</w:t>
      </w:r>
      <w:r>
        <w:rPr>
          <w:rFonts w:cs="Times New Roman"/>
          <w:kern w:val="21"/>
          <w:szCs w:val="20"/>
        </w:rPr>
        <w:t>——</w:t>
      </w:r>
      <w:r>
        <w:rPr>
          <w:rFonts w:cs="Times New Roman" w:hint="eastAsia"/>
          <w:kern w:val="21"/>
          <w:szCs w:val="20"/>
        </w:rPr>
        <w:t>由点声源产生的声功率级（</w:t>
      </w:r>
      <w:r>
        <w:rPr>
          <w:rFonts w:cs="Times New Roman" w:hint="eastAsia"/>
          <w:kern w:val="21"/>
          <w:szCs w:val="20"/>
        </w:rPr>
        <w:t>A</w:t>
      </w:r>
      <w:r>
        <w:rPr>
          <w:rFonts w:cs="Times New Roman" w:hint="eastAsia"/>
          <w:kern w:val="21"/>
          <w:szCs w:val="20"/>
        </w:rPr>
        <w:t>计权或倍频带），</w:t>
      </w:r>
      <w:r>
        <w:rPr>
          <w:rFonts w:cs="Times New Roman" w:hint="eastAsia"/>
          <w:kern w:val="21"/>
          <w:szCs w:val="20"/>
        </w:rPr>
        <w:t>dB</w:t>
      </w:r>
      <w:r>
        <w:rPr>
          <w:rFonts w:cs="Times New Roman" w:hint="eastAsia"/>
          <w:kern w:val="21"/>
          <w:szCs w:val="20"/>
        </w:rPr>
        <w:t>；</w:t>
      </w:r>
    </w:p>
    <w:p w14:paraId="0B03380C"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D</w:t>
      </w:r>
      <w:r>
        <w:rPr>
          <w:rFonts w:cs="Times New Roman" w:hint="eastAsia"/>
          <w:kern w:val="21"/>
          <w:szCs w:val="20"/>
          <w:vertAlign w:val="subscript"/>
        </w:rPr>
        <w:t>C</w:t>
      </w:r>
      <w:r>
        <w:rPr>
          <w:rFonts w:cs="Times New Roman"/>
          <w:kern w:val="21"/>
          <w:szCs w:val="20"/>
        </w:rPr>
        <w:t>——</w:t>
      </w:r>
      <w:r>
        <w:rPr>
          <w:rFonts w:cs="Times New Roman" w:hint="eastAsia"/>
          <w:kern w:val="21"/>
          <w:szCs w:val="20"/>
        </w:rPr>
        <w:t>指向性校正，它描述点声源的等效连续声压级与产生声功率级</w:t>
      </w:r>
      <w:r>
        <w:rPr>
          <w:rFonts w:cs="Times New Roman" w:hint="eastAsia"/>
          <w:kern w:val="21"/>
          <w:szCs w:val="20"/>
        </w:rPr>
        <w:t>L</w:t>
      </w:r>
      <w:r>
        <w:rPr>
          <w:rFonts w:cs="Times New Roman" w:hint="eastAsia"/>
          <w:kern w:val="21"/>
          <w:szCs w:val="20"/>
          <w:vertAlign w:val="subscript"/>
        </w:rPr>
        <w:t>w</w:t>
      </w:r>
      <w:r>
        <w:rPr>
          <w:rFonts w:cs="Times New Roman" w:hint="eastAsia"/>
          <w:kern w:val="21"/>
          <w:szCs w:val="20"/>
        </w:rPr>
        <w:t>的全向点声源在规划方向的声级的偏差程度，</w:t>
      </w:r>
      <w:r>
        <w:rPr>
          <w:rFonts w:cs="Times New Roman" w:hint="eastAsia"/>
          <w:kern w:val="21"/>
          <w:szCs w:val="20"/>
        </w:rPr>
        <w:t>dB</w:t>
      </w:r>
      <w:r>
        <w:rPr>
          <w:rFonts w:cs="Times New Roman" w:hint="eastAsia"/>
          <w:kern w:val="21"/>
          <w:szCs w:val="20"/>
        </w:rPr>
        <w:t>；</w:t>
      </w:r>
    </w:p>
    <w:p w14:paraId="1589E720"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A</w:t>
      </w:r>
      <w:r>
        <w:rPr>
          <w:rFonts w:cs="Times New Roman" w:hint="eastAsia"/>
          <w:kern w:val="21"/>
          <w:szCs w:val="20"/>
          <w:vertAlign w:val="subscript"/>
        </w:rPr>
        <w:t>div</w:t>
      </w:r>
      <w:r>
        <w:rPr>
          <w:rFonts w:cs="Times New Roman"/>
          <w:kern w:val="21"/>
          <w:szCs w:val="20"/>
        </w:rPr>
        <w:t>——</w:t>
      </w:r>
      <w:r>
        <w:rPr>
          <w:rFonts w:cs="Times New Roman" w:hint="eastAsia"/>
          <w:kern w:val="21"/>
          <w:szCs w:val="20"/>
        </w:rPr>
        <w:t>几何发散引起的衰减，</w:t>
      </w:r>
      <w:r>
        <w:rPr>
          <w:rFonts w:cs="Times New Roman" w:hint="eastAsia"/>
          <w:kern w:val="21"/>
          <w:szCs w:val="20"/>
        </w:rPr>
        <w:t>dB</w:t>
      </w:r>
      <w:r>
        <w:rPr>
          <w:rFonts w:cs="Times New Roman" w:hint="eastAsia"/>
          <w:kern w:val="21"/>
          <w:szCs w:val="20"/>
        </w:rPr>
        <w:t>；</w:t>
      </w:r>
    </w:p>
    <w:p w14:paraId="66746408" w14:textId="77777777" w:rsidR="00544649" w:rsidRDefault="00000000">
      <w:pPr>
        <w:adjustRightInd w:val="0"/>
        <w:snapToGrid w:val="0"/>
        <w:spacing w:after="0"/>
        <w:ind w:firstLine="480"/>
        <w:rPr>
          <w:rFonts w:cs="Times New Roman"/>
          <w:kern w:val="21"/>
          <w:szCs w:val="20"/>
        </w:rPr>
      </w:pPr>
      <w:proofErr w:type="spellStart"/>
      <w:r>
        <w:rPr>
          <w:rFonts w:cs="Times New Roman" w:hint="eastAsia"/>
          <w:kern w:val="21"/>
          <w:szCs w:val="20"/>
        </w:rPr>
        <w:t>A</w:t>
      </w:r>
      <w:r>
        <w:rPr>
          <w:rFonts w:cs="Times New Roman" w:hint="eastAsia"/>
          <w:kern w:val="21"/>
          <w:szCs w:val="20"/>
          <w:vertAlign w:val="subscript"/>
        </w:rPr>
        <w:t>atm</w:t>
      </w:r>
      <w:proofErr w:type="spellEnd"/>
      <w:r>
        <w:rPr>
          <w:rFonts w:cs="Times New Roman"/>
          <w:kern w:val="21"/>
          <w:szCs w:val="20"/>
        </w:rPr>
        <w:t>——</w:t>
      </w:r>
      <w:r>
        <w:rPr>
          <w:rFonts w:cs="Times New Roman" w:hint="eastAsia"/>
          <w:kern w:val="21"/>
          <w:szCs w:val="20"/>
        </w:rPr>
        <w:t>大气吸收引起的衰减，</w:t>
      </w:r>
      <w:r>
        <w:rPr>
          <w:rFonts w:cs="Times New Roman" w:hint="eastAsia"/>
          <w:kern w:val="21"/>
          <w:szCs w:val="20"/>
        </w:rPr>
        <w:t>dB</w:t>
      </w:r>
      <w:r>
        <w:rPr>
          <w:rFonts w:cs="Times New Roman" w:hint="eastAsia"/>
          <w:kern w:val="21"/>
          <w:szCs w:val="20"/>
        </w:rPr>
        <w:t>；</w:t>
      </w:r>
    </w:p>
    <w:p w14:paraId="1A2E6398" w14:textId="77777777" w:rsidR="00544649" w:rsidRDefault="00000000">
      <w:pPr>
        <w:adjustRightInd w:val="0"/>
        <w:snapToGrid w:val="0"/>
        <w:spacing w:after="0"/>
        <w:ind w:firstLine="480"/>
        <w:rPr>
          <w:rFonts w:cs="Times New Roman"/>
          <w:kern w:val="21"/>
          <w:szCs w:val="20"/>
        </w:rPr>
      </w:pPr>
      <w:proofErr w:type="spellStart"/>
      <w:r>
        <w:rPr>
          <w:rFonts w:cs="Times New Roman" w:hint="eastAsia"/>
          <w:kern w:val="21"/>
          <w:szCs w:val="20"/>
        </w:rPr>
        <w:t>A</w:t>
      </w:r>
      <w:r>
        <w:rPr>
          <w:rFonts w:cs="Times New Roman" w:hint="eastAsia"/>
          <w:kern w:val="21"/>
          <w:szCs w:val="20"/>
          <w:vertAlign w:val="subscript"/>
        </w:rPr>
        <w:t>gr</w:t>
      </w:r>
      <w:proofErr w:type="spellEnd"/>
      <w:r>
        <w:rPr>
          <w:rFonts w:cs="Times New Roman"/>
          <w:kern w:val="21"/>
          <w:szCs w:val="20"/>
        </w:rPr>
        <w:t>——</w:t>
      </w:r>
      <w:r>
        <w:rPr>
          <w:rFonts w:cs="Times New Roman" w:hint="eastAsia"/>
          <w:kern w:val="21"/>
          <w:szCs w:val="20"/>
        </w:rPr>
        <w:t>地面效应引起的衰减，</w:t>
      </w:r>
      <w:r>
        <w:rPr>
          <w:rFonts w:cs="Times New Roman" w:hint="eastAsia"/>
          <w:kern w:val="21"/>
          <w:szCs w:val="20"/>
        </w:rPr>
        <w:t>dB</w:t>
      </w:r>
      <w:r>
        <w:rPr>
          <w:rFonts w:cs="Times New Roman" w:hint="eastAsia"/>
          <w:kern w:val="21"/>
          <w:szCs w:val="20"/>
        </w:rPr>
        <w:t>；</w:t>
      </w:r>
    </w:p>
    <w:p w14:paraId="00AF8C26"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A</w:t>
      </w:r>
      <w:r>
        <w:rPr>
          <w:rFonts w:cs="Times New Roman" w:hint="eastAsia"/>
          <w:kern w:val="21"/>
          <w:szCs w:val="20"/>
          <w:vertAlign w:val="subscript"/>
        </w:rPr>
        <w:t>bar</w:t>
      </w:r>
      <w:r>
        <w:rPr>
          <w:rFonts w:cs="Times New Roman"/>
          <w:kern w:val="21"/>
          <w:szCs w:val="20"/>
        </w:rPr>
        <w:t>——</w:t>
      </w:r>
      <w:r>
        <w:rPr>
          <w:rFonts w:cs="Times New Roman" w:hint="eastAsia"/>
          <w:kern w:val="21"/>
          <w:szCs w:val="20"/>
        </w:rPr>
        <w:t>障碍物引起的衰减，</w:t>
      </w:r>
      <w:r>
        <w:rPr>
          <w:rFonts w:cs="Times New Roman" w:hint="eastAsia"/>
          <w:kern w:val="21"/>
          <w:szCs w:val="20"/>
        </w:rPr>
        <w:t>dB</w:t>
      </w:r>
      <w:r>
        <w:rPr>
          <w:rFonts w:cs="Times New Roman" w:hint="eastAsia"/>
          <w:kern w:val="21"/>
          <w:szCs w:val="20"/>
        </w:rPr>
        <w:t>；</w:t>
      </w:r>
    </w:p>
    <w:p w14:paraId="69A03DAF" w14:textId="77777777" w:rsidR="00544649" w:rsidRDefault="00000000">
      <w:pPr>
        <w:adjustRightInd w:val="0"/>
        <w:snapToGrid w:val="0"/>
        <w:spacing w:after="0"/>
        <w:ind w:firstLine="480"/>
        <w:rPr>
          <w:rFonts w:cs="Times New Roman"/>
          <w:kern w:val="21"/>
          <w:szCs w:val="20"/>
        </w:rPr>
      </w:pPr>
      <w:proofErr w:type="spellStart"/>
      <w:r>
        <w:rPr>
          <w:rFonts w:cs="Times New Roman" w:hint="eastAsia"/>
          <w:kern w:val="21"/>
          <w:szCs w:val="20"/>
        </w:rPr>
        <w:t>A</w:t>
      </w:r>
      <w:r>
        <w:rPr>
          <w:rFonts w:cs="Times New Roman" w:hint="eastAsia"/>
          <w:kern w:val="21"/>
          <w:szCs w:val="20"/>
          <w:vertAlign w:val="subscript"/>
        </w:rPr>
        <w:t>misc</w:t>
      </w:r>
      <w:proofErr w:type="spellEnd"/>
      <w:r>
        <w:rPr>
          <w:rFonts w:cs="Times New Roman"/>
          <w:kern w:val="21"/>
          <w:szCs w:val="20"/>
        </w:rPr>
        <w:t>——</w:t>
      </w:r>
      <w:r>
        <w:rPr>
          <w:rFonts w:cs="Times New Roman" w:hint="eastAsia"/>
          <w:kern w:val="21"/>
          <w:szCs w:val="20"/>
        </w:rPr>
        <w:t>其他多方面效应引起的衰减，</w:t>
      </w:r>
      <w:r>
        <w:rPr>
          <w:rFonts w:cs="Times New Roman" w:hint="eastAsia"/>
          <w:kern w:val="21"/>
          <w:szCs w:val="20"/>
        </w:rPr>
        <w:t>dB</w:t>
      </w:r>
      <w:r>
        <w:rPr>
          <w:rFonts w:cs="Times New Roman" w:hint="eastAsia"/>
          <w:kern w:val="21"/>
          <w:szCs w:val="20"/>
        </w:rPr>
        <w:t>。</w:t>
      </w:r>
    </w:p>
    <w:p w14:paraId="57D1889C"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预测点的</w:t>
      </w:r>
      <w:r>
        <w:rPr>
          <w:rFonts w:cs="Times New Roman" w:hint="eastAsia"/>
          <w:kern w:val="21"/>
          <w:szCs w:val="20"/>
        </w:rPr>
        <w:t>A</w:t>
      </w:r>
      <w:r>
        <w:rPr>
          <w:rFonts w:cs="Times New Roman" w:hint="eastAsia"/>
          <w:kern w:val="21"/>
          <w:szCs w:val="20"/>
        </w:rPr>
        <w:t>声级</w:t>
      </w:r>
      <w:r>
        <w:rPr>
          <w:rFonts w:cs="Times New Roman" w:hint="eastAsia"/>
          <w:kern w:val="21"/>
          <w:szCs w:val="20"/>
        </w:rPr>
        <w:t>L</w:t>
      </w:r>
      <w:r>
        <w:rPr>
          <w:rFonts w:cs="Times New Roman" w:hint="eastAsia"/>
          <w:kern w:val="21"/>
          <w:szCs w:val="20"/>
          <w:vertAlign w:val="subscript"/>
        </w:rPr>
        <w:t>A</w:t>
      </w:r>
      <w:r>
        <w:rPr>
          <w:rFonts w:cs="Times New Roman" w:hint="eastAsia"/>
          <w:kern w:val="21"/>
          <w:szCs w:val="20"/>
          <w:vertAlign w:val="subscript"/>
        </w:rPr>
        <w:t>（</w:t>
      </w:r>
      <w:r>
        <w:rPr>
          <w:rFonts w:cs="Times New Roman" w:hint="eastAsia"/>
          <w:kern w:val="21"/>
          <w:szCs w:val="20"/>
          <w:vertAlign w:val="subscript"/>
        </w:rPr>
        <w:t>r</w:t>
      </w:r>
      <w:r>
        <w:rPr>
          <w:rFonts w:cs="Times New Roman" w:hint="eastAsia"/>
          <w:kern w:val="21"/>
          <w:szCs w:val="20"/>
          <w:vertAlign w:val="subscript"/>
        </w:rPr>
        <w:t>）</w:t>
      </w:r>
      <w:r>
        <w:rPr>
          <w:rFonts w:cs="Times New Roman" w:hint="eastAsia"/>
          <w:kern w:val="21"/>
          <w:szCs w:val="20"/>
        </w:rPr>
        <w:t>，可利用</w:t>
      </w:r>
      <w:r>
        <w:rPr>
          <w:rFonts w:cs="Times New Roman" w:hint="eastAsia"/>
          <w:kern w:val="21"/>
          <w:szCs w:val="20"/>
        </w:rPr>
        <w:t>8</w:t>
      </w:r>
      <w:r>
        <w:rPr>
          <w:rFonts w:cs="Times New Roman" w:hint="eastAsia"/>
          <w:kern w:val="21"/>
          <w:szCs w:val="20"/>
        </w:rPr>
        <w:t>个倍频带的声压级按下式计算：</w:t>
      </w:r>
    </w:p>
    <w:p w14:paraId="1C72AC67" w14:textId="77777777" w:rsidR="00544649" w:rsidRDefault="00000000">
      <w:pPr>
        <w:adjustRightInd w:val="0"/>
        <w:snapToGrid w:val="0"/>
        <w:spacing w:after="0"/>
        <w:ind w:firstLine="480"/>
        <w:rPr>
          <w:rFonts w:hAnsi="Cambria Math" w:cs="Times New Roman"/>
          <w:kern w:val="21"/>
          <w:szCs w:val="20"/>
        </w:rPr>
      </w:pPr>
      <m:oMathPara>
        <m:oMath>
          <m:sSub>
            <m:sSubPr>
              <m:ctrlPr>
                <w:rPr>
                  <w:rFonts w:ascii="Cambria Math" w:hAnsi="Cambria Math"/>
                  <w:kern w:val="21"/>
                  <w:szCs w:val="20"/>
                </w:rPr>
              </m:ctrlPr>
            </m:sSubPr>
            <m:e>
              <m:r>
                <w:rPr>
                  <w:rFonts w:ascii="Cambria Math" w:hAnsi="Cambria Math"/>
                  <w:kern w:val="21"/>
                  <w:szCs w:val="20"/>
                </w:rPr>
                <m:t>L</m:t>
              </m:r>
            </m:e>
            <m:sub>
              <m:r>
                <w:rPr>
                  <w:rFonts w:ascii="Cambria Math" w:hAnsi="Cambria Math"/>
                  <w:kern w:val="21"/>
                  <w:szCs w:val="20"/>
                </w:rPr>
                <m:t>A</m:t>
              </m:r>
              <m:r>
                <w:rPr>
                  <w:rFonts w:ascii="Cambria Math" w:hAnsi="Cambria Math" w:hint="eastAsia"/>
                  <w:kern w:val="21"/>
                  <w:szCs w:val="20"/>
                </w:rPr>
                <m:t>（</m:t>
              </m:r>
              <m:r>
                <w:rPr>
                  <w:rFonts w:ascii="Cambria Math" w:hAnsi="Cambria Math"/>
                  <w:kern w:val="21"/>
                  <w:szCs w:val="20"/>
                </w:rPr>
                <m:t>r</m:t>
              </m:r>
              <m:r>
                <w:rPr>
                  <w:rFonts w:ascii="Cambria Math" w:hAnsi="Cambria Math" w:hint="eastAsia"/>
                  <w:kern w:val="21"/>
                  <w:szCs w:val="20"/>
                </w:rPr>
                <m:t>）</m:t>
              </m:r>
            </m:sub>
          </m:sSub>
          <m:r>
            <w:rPr>
              <w:rFonts w:ascii="Cambria Math" w:hAnsi="Cambria Math"/>
              <w:kern w:val="21"/>
              <w:szCs w:val="20"/>
            </w:rPr>
            <m:t>=10lg</m:t>
          </m:r>
          <m:d>
            <m:dPr>
              <m:begChr m:val="{"/>
              <m:endChr m:val="}"/>
              <m:ctrlPr>
                <w:rPr>
                  <w:rFonts w:ascii="Cambria Math" w:hAnsi="Cambria Math"/>
                  <w:i/>
                  <w:kern w:val="21"/>
                  <w:szCs w:val="20"/>
                </w:rPr>
              </m:ctrlPr>
            </m:dPr>
            <m:e>
              <m:nary>
                <m:naryPr>
                  <m:chr m:val="∑"/>
                  <m:limLoc m:val="undOvr"/>
                  <m:ctrlPr>
                    <w:rPr>
                      <w:rFonts w:ascii="Cambria Math" w:hAnsi="Cambria Math"/>
                      <w:i/>
                      <w:kern w:val="21"/>
                      <w:szCs w:val="20"/>
                    </w:rPr>
                  </m:ctrlPr>
                </m:naryPr>
                <m:sub>
                  <m:r>
                    <w:rPr>
                      <w:rFonts w:ascii="Cambria Math" w:hAnsi="Cambria Math"/>
                      <w:kern w:val="21"/>
                      <w:szCs w:val="20"/>
                    </w:rPr>
                    <m:t>i=1</m:t>
                  </m:r>
                </m:sub>
                <m:sup>
                  <m:r>
                    <w:rPr>
                      <w:rFonts w:ascii="Cambria Math" w:hAnsi="Cambria Math"/>
                      <w:kern w:val="21"/>
                      <w:szCs w:val="20"/>
                    </w:rPr>
                    <m:t>8</m:t>
                  </m:r>
                </m:sup>
                <m:e>
                  <m:sSup>
                    <m:sSupPr>
                      <m:ctrlPr>
                        <w:rPr>
                          <w:rFonts w:ascii="Cambria Math" w:hAnsi="Cambria Math"/>
                          <w:i/>
                          <w:kern w:val="21"/>
                          <w:szCs w:val="20"/>
                        </w:rPr>
                      </m:ctrlPr>
                    </m:sSupPr>
                    <m:e>
                      <m:r>
                        <w:rPr>
                          <w:rFonts w:ascii="Cambria Math" w:hAnsi="Cambria Math"/>
                          <w:kern w:val="21"/>
                          <w:szCs w:val="20"/>
                        </w:rPr>
                        <m:t>10</m:t>
                      </m:r>
                    </m:e>
                    <m:sup>
                      <m:r>
                        <w:rPr>
                          <w:rFonts w:ascii="Cambria Math" w:hAnsi="Cambria Math"/>
                          <w:kern w:val="21"/>
                          <w:szCs w:val="20"/>
                        </w:rPr>
                        <m:t>0.1</m:t>
                      </m:r>
                      <m:d>
                        <m:dPr>
                          <m:begChr m:val="["/>
                          <m:endChr m:val="]"/>
                          <m:ctrlPr>
                            <w:rPr>
                              <w:rFonts w:ascii="Cambria Math" w:hAnsi="Cambria Math"/>
                              <w:i/>
                              <w:kern w:val="21"/>
                              <w:szCs w:val="20"/>
                            </w:rPr>
                          </m:ctrlPr>
                        </m:dPr>
                        <m:e>
                          <m:sSub>
                            <m:sSubPr>
                              <m:ctrlPr>
                                <w:rPr>
                                  <w:rFonts w:ascii="Cambria Math" w:hAnsi="Cambria Math"/>
                                  <w:i/>
                                  <w:kern w:val="21"/>
                                  <w:szCs w:val="20"/>
                                </w:rPr>
                              </m:ctrlPr>
                            </m:sSubPr>
                            <m:e>
                              <m:r>
                                <w:rPr>
                                  <w:rFonts w:ascii="Cambria Math" w:hAnsi="Cambria Math"/>
                                  <w:kern w:val="21"/>
                                  <w:szCs w:val="20"/>
                                </w:rPr>
                                <m:t>L</m:t>
                              </m:r>
                            </m:e>
                            <m:sub>
                              <m:r>
                                <w:rPr>
                                  <w:rFonts w:ascii="Cambria Math" w:hAnsi="Cambria Math"/>
                                  <w:kern w:val="21"/>
                                  <w:szCs w:val="20"/>
                                </w:rPr>
                                <m:t>pi</m:t>
                              </m:r>
                              <m:r>
                                <w:rPr>
                                  <w:rFonts w:ascii="Cambria Math" w:hAnsi="Cambria Math" w:hint="eastAsia"/>
                                  <w:kern w:val="21"/>
                                  <w:szCs w:val="20"/>
                                </w:rPr>
                                <m:t>（</m:t>
                              </m:r>
                              <m:r>
                                <w:rPr>
                                  <w:rFonts w:ascii="Cambria Math" w:hAnsi="Cambria Math"/>
                                  <w:kern w:val="21"/>
                                  <w:szCs w:val="20"/>
                                </w:rPr>
                                <m:t>r</m:t>
                              </m:r>
                              <m:r>
                                <w:rPr>
                                  <w:rFonts w:ascii="Cambria Math" w:hAnsi="Cambria Math" w:hint="eastAsia"/>
                                  <w:kern w:val="21"/>
                                  <w:szCs w:val="20"/>
                                </w:rPr>
                                <m:t>）</m:t>
                              </m:r>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L</m:t>
                                  </m:r>
                                </m:e>
                                <m:sub>
                                  <m:r>
                                    <w:rPr>
                                      <w:rFonts w:ascii="Cambria Math" w:hAnsi="Cambria Math"/>
                                      <w:kern w:val="21"/>
                                      <w:szCs w:val="20"/>
                                    </w:rPr>
                                    <m:t>i</m:t>
                                  </m:r>
                                </m:sub>
                              </m:sSub>
                            </m:sub>
                          </m:sSub>
                        </m:e>
                      </m:d>
                    </m:sup>
                  </m:sSup>
                </m:e>
              </m:nary>
            </m:e>
          </m:d>
        </m:oMath>
      </m:oMathPara>
    </w:p>
    <w:p w14:paraId="2B0F847D"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式中：</w:t>
      </w:r>
    </w:p>
    <w:p w14:paraId="0D5A7A0B"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L</w:t>
      </w:r>
      <w:r>
        <w:rPr>
          <w:rFonts w:cs="Times New Roman" w:hint="eastAsia"/>
          <w:kern w:val="21"/>
          <w:szCs w:val="20"/>
          <w:vertAlign w:val="subscript"/>
        </w:rPr>
        <w:t>A</w:t>
      </w:r>
      <w:r>
        <w:rPr>
          <w:rFonts w:cs="Times New Roman" w:hint="eastAsia"/>
          <w:kern w:val="21"/>
          <w:szCs w:val="20"/>
          <w:vertAlign w:val="subscript"/>
        </w:rPr>
        <w:t>（</w:t>
      </w:r>
      <w:r>
        <w:rPr>
          <w:rFonts w:cs="Times New Roman" w:hint="eastAsia"/>
          <w:kern w:val="21"/>
          <w:szCs w:val="20"/>
          <w:vertAlign w:val="subscript"/>
        </w:rPr>
        <w:t>r</w:t>
      </w:r>
      <w:r>
        <w:rPr>
          <w:rFonts w:cs="Times New Roman" w:hint="eastAsia"/>
          <w:kern w:val="21"/>
          <w:szCs w:val="20"/>
          <w:vertAlign w:val="subscript"/>
        </w:rPr>
        <w:t>）</w:t>
      </w:r>
      <w:r>
        <w:rPr>
          <w:rFonts w:cs="Times New Roman"/>
          <w:kern w:val="21"/>
          <w:szCs w:val="20"/>
        </w:rPr>
        <w:t>——</w:t>
      </w:r>
      <w:r>
        <w:rPr>
          <w:rFonts w:cs="Times New Roman" w:hint="eastAsia"/>
          <w:kern w:val="21"/>
          <w:szCs w:val="20"/>
        </w:rPr>
        <w:t>距声源</w:t>
      </w:r>
      <w:r>
        <w:rPr>
          <w:rFonts w:cs="Times New Roman" w:hint="eastAsia"/>
          <w:kern w:val="21"/>
          <w:szCs w:val="20"/>
        </w:rPr>
        <w:t>r</w:t>
      </w:r>
      <w:r>
        <w:rPr>
          <w:rFonts w:cs="Times New Roman" w:hint="eastAsia"/>
          <w:kern w:val="21"/>
          <w:szCs w:val="20"/>
        </w:rPr>
        <w:t>处的</w:t>
      </w:r>
      <w:r>
        <w:rPr>
          <w:rFonts w:cs="Times New Roman" w:hint="eastAsia"/>
          <w:kern w:val="21"/>
          <w:szCs w:val="20"/>
        </w:rPr>
        <w:t>A</w:t>
      </w:r>
      <w:r>
        <w:rPr>
          <w:rFonts w:cs="Times New Roman" w:hint="eastAsia"/>
          <w:kern w:val="21"/>
          <w:szCs w:val="20"/>
        </w:rPr>
        <w:t>声级，</w:t>
      </w:r>
      <w:r>
        <w:rPr>
          <w:rFonts w:cs="Times New Roman" w:hint="eastAsia"/>
          <w:kern w:val="21"/>
          <w:szCs w:val="20"/>
        </w:rPr>
        <w:t>dB</w:t>
      </w:r>
      <w:r>
        <w:rPr>
          <w:rFonts w:cs="Times New Roman" w:hint="eastAsia"/>
          <w:kern w:val="21"/>
          <w:szCs w:val="20"/>
        </w:rPr>
        <w:t>（</w:t>
      </w:r>
      <w:r>
        <w:rPr>
          <w:rFonts w:cs="Times New Roman" w:hint="eastAsia"/>
          <w:kern w:val="21"/>
          <w:szCs w:val="20"/>
        </w:rPr>
        <w:t>A</w:t>
      </w:r>
      <w:r>
        <w:rPr>
          <w:rFonts w:cs="Times New Roman" w:hint="eastAsia"/>
          <w:kern w:val="21"/>
          <w:szCs w:val="20"/>
        </w:rPr>
        <w:t>）；</w:t>
      </w:r>
    </w:p>
    <w:p w14:paraId="6308A82C" w14:textId="77777777" w:rsidR="00544649" w:rsidRDefault="00000000">
      <w:pPr>
        <w:adjustRightInd w:val="0"/>
        <w:snapToGrid w:val="0"/>
        <w:spacing w:after="0"/>
        <w:ind w:firstLine="480"/>
        <w:rPr>
          <w:rFonts w:cs="Times New Roman"/>
          <w:kern w:val="21"/>
          <w:szCs w:val="20"/>
        </w:rPr>
      </w:pPr>
      <w:proofErr w:type="spellStart"/>
      <w:r>
        <w:rPr>
          <w:rFonts w:cs="Times New Roman" w:hint="eastAsia"/>
          <w:kern w:val="21"/>
          <w:szCs w:val="20"/>
        </w:rPr>
        <w:t>L</w:t>
      </w:r>
      <w:r>
        <w:rPr>
          <w:rFonts w:cs="Times New Roman" w:hint="eastAsia"/>
          <w:kern w:val="21"/>
          <w:szCs w:val="20"/>
          <w:vertAlign w:val="subscript"/>
        </w:rPr>
        <w:t>Pi</w:t>
      </w:r>
      <w:proofErr w:type="spellEnd"/>
      <w:r>
        <w:rPr>
          <w:rFonts w:cs="Times New Roman" w:hint="eastAsia"/>
          <w:kern w:val="21"/>
          <w:szCs w:val="20"/>
          <w:vertAlign w:val="subscript"/>
        </w:rPr>
        <w:t>（</w:t>
      </w:r>
      <w:r>
        <w:rPr>
          <w:rFonts w:cs="Times New Roman" w:hint="eastAsia"/>
          <w:kern w:val="21"/>
          <w:szCs w:val="20"/>
          <w:vertAlign w:val="subscript"/>
        </w:rPr>
        <w:t>r</w:t>
      </w:r>
      <w:r>
        <w:rPr>
          <w:rFonts w:cs="Times New Roman" w:hint="eastAsia"/>
          <w:kern w:val="21"/>
          <w:szCs w:val="20"/>
          <w:vertAlign w:val="subscript"/>
        </w:rPr>
        <w:t>）</w:t>
      </w:r>
      <w:r>
        <w:rPr>
          <w:rFonts w:cs="Times New Roman"/>
          <w:kern w:val="21"/>
          <w:szCs w:val="20"/>
        </w:rPr>
        <w:t>——</w:t>
      </w:r>
      <w:r>
        <w:rPr>
          <w:rFonts w:cs="Times New Roman" w:hint="eastAsia"/>
          <w:kern w:val="21"/>
          <w:szCs w:val="20"/>
        </w:rPr>
        <w:t>预测点（</w:t>
      </w:r>
      <w:r>
        <w:rPr>
          <w:rFonts w:cs="Times New Roman" w:hint="eastAsia"/>
          <w:kern w:val="21"/>
          <w:szCs w:val="20"/>
        </w:rPr>
        <w:t>r</w:t>
      </w:r>
      <w:r>
        <w:rPr>
          <w:rFonts w:cs="Times New Roman" w:hint="eastAsia"/>
          <w:kern w:val="21"/>
          <w:szCs w:val="20"/>
        </w:rPr>
        <w:t>）处，第</w:t>
      </w:r>
      <w:proofErr w:type="spellStart"/>
      <w:r>
        <w:rPr>
          <w:rFonts w:cs="Times New Roman" w:hint="eastAsia"/>
          <w:kern w:val="21"/>
          <w:szCs w:val="20"/>
        </w:rPr>
        <w:t>i</w:t>
      </w:r>
      <w:proofErr w:type="spellEnd"/>
      <w:r>
        <w:rPr>
          <w:rFonts w:cs="Times New Roman" w:hint="eastAsia"/>
          <w:kern w:val="21"/>
          <w:szCs w:val="20"/>
        </w:rPr>
        <w:t>倍频带声压级，</w:t>
      </w:r>
      <w:r>
        <w:rPr>
          <w:rFonts w:cs="Times New Roman" w:hint="eastAsia"/>
          <w:kern w:val="21"/>
          <w:szCs w:val="20"/>
        </w:rPr>
        <w:t>dB</w:t>
      </w:r>
      <w:r>
        <w:rPr>
          <w:rFonts w:cs="Times New Roman" w:hint="eastAsia"/>
          <w:kern w:val="21"/>
          <w:szCs w:val="20"/>
        </w:rPr>
        <w:t>；</w:t>
      </w:r>
    </w:p>
    <w:p w14:paraId="5E289851"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w:t>
      </w:r>
      <w:r>
        <w:rPr>
          <w:rFonts w:cs="Times New Roman" w:hint="eastAsia"/>
          <w:kern w:val="21"/>
          <w:szCs w:val="20"/>
        </w:rPr>
        <w:t>L</w:t>
      </w:r>
      <w:r>
        <w:rPr>
          <w:rFonts w:cs="Times New Roman" w:hint="eastAsia"/>
          <w:kern w:val="21"/>
          <w:szCs w:val="20"/>
          <w:vertAlign w:val="subscript"/>
        </w:rPr>
        <w:t>i</w:t>
      </w:r>
      <w:r>
        <w:rPr>
          <w:rFonts w:cs="Times New Roman"/>
          <w:kern w:val="21"/>
          <w:szCs w:val="20"/>
        </w:rPr>
        <w:t>——</w:t>
      </w:r>
      <w:r>
        <w:rPr>
          <w:rFonts w:cs="Times New Roman" w:hint="eastAsia"/>
          <w:kern w:val="21"/>
          <w:szCs w:val="20"/>
        </w:rPr>
        <w:t>第</w:t>
      </w:r>
      <w:proofErr w:type="spellStart"/>
      <w:r>
        <w:rPr>
          <w:rFonts w:cs="Times New Roman" w:hint="eastAsia"/>
          <w:kern w:val="21"/>
          <w:szCs w:val="20"/>
        </w:rPr>
        <w:t>i</w:t>
      </w:r>
      <w:proofErr w:type="spellEnd"/>
      <w:r>
        <w:rPr>
          <w:rFonts w:cs="Times New Roman" w:hint="eastAsia"/>
          <w:kern w:val="21"/>
          <w:szCs w:val="20"/>
        </w:rPr>
        <w:t>倍频带的</w:t>
      </w:r>
      <w:r>
        <w:rPr>
          <w:rFonts w:cs="Times New Roman" w:hint="eastAsia"/>
          <w:kern w:val="21"/>
          <w:szCs w:val="20"/>
        </w:rPr>
        <w:t>A</w:t>
      </w:r>
      <w:r>
        <w:rPr>
          <w:rFonts w:cs="Times New Roman" w:hint="eastAsia"/>
          <w:kern w:val="21"/>
          <w:szCs w:val="20"/>
        </w:rPr>
        <w:t>计权网络修正值，</w:t>
      </w:r>
      <w:r>
        <w:rPr>
          <w:rFonts w:cs="Times New Roman" w:hint="eastAsia"/>
          <w:kern w:val="21"/>
          <w:szCs w:val="20"/>
        </w:rPr>
        <w:t>dB</w:t>
      </w:r>
      <w:r>
        <w:rPr>
          <w:rFonts w:cs="Times New Roman" w:hint="eastAsia"/>
          <w:kern w:val="21"/>
          <w:szCs w:val="20"/>
        </w:rPr>
        <w:t>。</w:t>
      </w:r>
    </w:p>
    <w:p w14:paraId="566850B0" w14:textId="77777777" w:rsidR="00544649" w:rsidRDefault="00000000">
      <w:pPr>
        <w:adjustRightInd w:val="0"/>
        <w:snapToGrid w:val="0"/>
        <w:spacing w:after="0"/>
        <w:ind w:firstLine="482"/>
        <w:rPr>
          <w:rFonts w:cs="Times New Roman"/>
          <w:b/>
          <w:bCs/>
          <w:kern w:val="21"/>
          <w:szCs w:val="20"/>
        </w:rPr>
      </w:pPr>
      <w:r>
        <w:rPr>
          <w:rFonts w:cs="Times New Roman" w:hint="eastAsia"/>
          <w:b/>
          <w:bCs/>
          <w:kern w:val="21"/>
          <w:szCs w:val="20"/>
        </w:rPr>
        <w:t>（</w:t>
      </w:r>
      <w:r>
        <w:rPr>
          <w:rFonts w:cs="Times New Roman" w:hint="eastAsia"/>
          <w:b/>
          <w:bCs/>
          <w:kern w:val="21"/>
          <w:szCs w:val="20"/>
        </w:rPr>
        <w:t>2</w:t>
      </w:r>
      <w:r>
        <w:rPr>
          <w:rFonts w:cs="Times New Roman" w:hint="eastAsia"/>
          <w:b/>
          <w:bCs/>
          <w:kern w:val="21"/>
          <w:szCs w:val="20"/>
        </w:rPr>
        <w:t>）室内声源等效室外声源声功率计算</w:t>
      </w:r>
    </w:p>
    <w:p w14:paraId="1D10388D"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本项目声源位于室内，本项目室内声源采用等效室外声源声功率级法进行计算。设靠近开口处（或窗户）室内、室外某倍频带的声压级分别为</w:t>
      </w:r>
      <w:r>
        <w:rPr>
          <w:rFonts w:cs="Times New Roman" w:hint="eastAsia"/>
          <w:kern w:val="21"/>
          <w:szCs w:val="20"/>
        </w:rPr>
        <w:t>L</w:t>
      </w:r>
      <w:r>
        <w:rPr>
          <w:rFonts w:cs="Times New Roman" w:hint="eastAsia"/>
          <w:kern w:val="21"/>
          <w:szCs w:val="20"/>
          <w:vertAlign w:val="subscript"/>
        </w:rPr>
        <w:t>p1</w:t>
      </w:r>
      <w:r>
        <w:rPr>
          <w:rFonts w:cs="Times New Roman" w:hint="eastAsia"/>
          <w:kern w:val="21"/>
          <w:szCs w:val="20"/>
        </w:rPr>
        <w:t>和</w:t>
      </w:r>
      <w:r>
        <w:rPr>
          <w:rFonts w:cs="Times New Roman" w:hint="eastAsia"/>
          <w:kern w:val="21"/>
          <w:szCs w:val="20"/>
        </w:rPr>
        <w:t>L</w:t>
      </w:r>
      <w:r>
        <w:rPr>
          <w:rFonts w:cs="Times New Roman" w:hint="eastAsia"/>
          <w:kern w:val="21"/>
          <w:szCs w:val="20"/>
          <w:vertAlign w:val="subscript"/>
        </w:rPr>
        <w:t>p2</w:t>
      </w:r>
      <w:r>
        <w:rPr>
          <w:rFonts w:cs="Times New Roman" w:hint="eastAsia"/>
          <w:kern w:val="21"/>
          <w:szCs w:val="20"/>
        </w:rPr>
        <w:t>。若声源所在室内声场为近似扩散声场，则室外的倍频带声压级可按以下公式近似求出：</w:t>
      </w:r>
    </w:p>
    <w:p w14:paraId="12562AD4" w14:textId="77777777" w:rsidR="00544649" w:rsidRDefault="00000000">
      <w:pPr>
        <w:adjustRightInd w:val="0"/>
        <w:snapToGrid w:val="0"/>
        <w:spacing w:after="0"/>
        <w:ind w:firstLine="480"/>
        <w:rPr>
          <w:rFonts w:hAnsi="Cambria Math" w:cs="Times New Roman"/>
          <w:kern w:val="21"/>
          <w:szCs w:val="20"/>
        </w:rPr>
      </w:pPr>
      <m:oMathPara>
        <m:oMath>
          <m:sSub>
            <m:sSubPr>
              <m:ctrlPr>
                <w:rPr>
                  <w:rFonts w:ascii="Cambria Math" w:hAnsi="Cambria Math"/>
                  <w:kern w:val="21"/>
                  <w:szCs w:val="20"/>
                </w:rPr>
              </m:ctrlPr>
            </m:sSubPr>
            <m:e>
              <m:r>
                <w:rPr>
                  <w:rFonts w:ascii="Cambria Math" w:hAnsi="Cambria Math"/>
                  <w:kern w:val="21"/>
                  <w:szCs w:val="20"/>
                </w:rPr>
                <m:t>L</m:t>
              </m:r>
            </m:e>
            <m:sub>
              <m:r>
                <w:rPr>
                  <w:rFonts w:ascii="Cambria Math" w:hAnsi="Cambria Math"/>
                  <w:kern w:val="21"/>
                  <w:szCs w:val="20"/>
                </w:rPr>
                <m:t>p2</m:t>
              </m:r>
            </m:sub>
          </m:sSub>
          <m:r>
            <w:rPr>
              <w:rFonts w:ascii="Cambria Math" w:hAnsi="Cambria Math"/>
              <w:kern w:val="21"/>
              <w:szCs w:val="20"/>
            </w:rPr>
            <m:t>=</m:t>
          </m:r>
          <m:sSub>
            <m:sSubPr>
              <m:ctrlPr>
                <w:rPr>
                  <w:rFonts w:ascii="Cambria Math" w:hAnsi="Cambria Math"/>
                  <w:i/>
                  <w:kern w:val="21"/>
                  <w:szCs w:val="20"/>
                </w:rPr>
              </m:ctrlPr>
            </m:sSubPr>
            <m:e>
              <m:r>
                <w:rPr>
                  <w:rFonts w:ascii="Cambria Math" w:hAnsi="Cambria Math"/>
                  <w:kern w:val="21"/>
                  <w:szCs w:val="20"/>
                </w:rPr>
                <m:t>L</m:t>
              </m:r>
            </m:e>
            <m:sub>
              <m:r>
                <w:rPr>
                  <w:rFonts w:ascii="Cambria Math" w:hAnsi="Cambria Math"/>
                  <w:kern w:val="21"/>
                  <w:szCs w:val="20"/>
                </w:rPr>
                <m:t>p1</m:t>
              </m:r>
            </m:sub>
          </m:sSub>
          <m:r>
            <w:rPr>
              <w:rFonts w:ascii="Cambria Math" w:hAnsi="Cambria Math"/>
              <w:kern w:val="21"/>
              <w:szCs w:val="20"/>
            </w:rPr>
            <m:t>-(TL+6)</m:t>
          </m:r>
        </m:oMath>
      </m:oMathPara>
    </w:p>
    <w:p w14:paraId="3DFA1037"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式中：</w:t>
      </w:r>
    </w:p>
    <w:p w14:paraId="3D4CF023" w14:textId="77777777" w:rsidR="00544649" w:rsidRDefault="00000000">
      <w:pPr>
        <w:adjustRightInd w:val="0"/>
        <w:snapToGrid w:val="0"/>
        <w:spacing w:after="0"/>
        <w:ind w:firstLine="480"/>
        <w:rPr>
          <w:rFonts w:cs="Times New Roman"/>
          <w:kern w:val="21"/>
          <w:szCs w:val="20"/>
        </w:rPr>
      </w:pPr>
      <w:proofErr w:type="spellStart"/>
      <w:r>
        <w:rPr>
          <w:rFonts w:cs="Times New Roman" w:hint="eastAsia"/>
          <w:kern w:val="21"/>
          <w:szCs w:val="20"/>
        </w:rPr>
        <w:t>L</w:t>
      </w:r>
      <w:r>
        <w:rPr>
          <w:rFonts w:cs="Times New Roman" w:hint="eastAsia"/>
          <w:kern w:val="21"/>
          <w:szCs w:val="20"/>
          <w:vertAlign w:val="subscript"/>
        </w:rPr>
        <w:t>pl</w:t>
      </w:r>
      <w:proofErr w:type="spellEnd"/>
      <w:r>
        <w:rPr>
          <w:rFonts w:cs="Times New Roman"/>
          <w:kern w:val="21"/>
          <w:szCs w:val="20"/>
        </w:rPr>
        <w:t>——</w:t>
      </w:r>
      <w:r>
        <w:rPr>
          <w:rFonts w:cs="Times New Roman" w:hint="eastAsia"/>
          <w:kern w:val="21"/>
          <w:szCs w:val="20"/>
        </w:rPr>
        <w:t>靠近开口处（或窗户）室内某倍频带的声压级或</w:t>
      </w:r>
      <w:r>
        <w:rPr>
          <w:rFonts w:cs="Times New Roman" w:hint="eastAsia"/>
          <w:kern w:val="21"/>
          <w:szCs w:val="20"/>
        </w:rPr>
        <w:t>A</w:t>
      </w:r>
      <w:r>
        <w:rPr>
          <w:rFonts w:cs="Times New Roman" w:hint="eastAsia"/>
          <w:kern w:val="21"/>
          <w:szCs w:val="20"/>
        </w:rPr>
        <w:t>声级，</w:t>
      </w:r>
      <w:r>
        <w:rPr>
          <w:rFonts w:cs="Times New Roman" w:hint="eastAsia"/>
          <w:kern w:val="21"/>
          <w:szCs w:val="20"/>
        </w:rPr>
        <w:t>dB</w:t>
      </w:r>
      <w:r>
        <w:rPr>
          <w:rFonts w:cs="Times New Roman" w:hint="eastAsia"/>
          <w:kern w:val="21"/>
          <w:szCs w:val="20"/>
        </w:rPr>
        <w:t>；</w:t>
      </w:r>
    </w:p>
    <w:p w14:paraId="4BA5469B"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L</w:t>
      </w:r>
      <w:r>
        <w:rPr>
          <w:rFonts w:cs="Times New Roman" w:hint="eastAsia"/>
          <w:kern w:val="21"/>
          <w:szCs w:val="20"/>
          <w:vertAlign w:val="subscript"/>
        </w:rPr>
        <w:t>p2</w:t>
      </w:r>
      <w:r>
        <w:rPr>
          <w:rFonts w:cs="Times New Roman"/>
          <w:kern w:val="21"/>
          <w:szCs w:val="20"/>
        </w:rPr>
        <w:t>——</w:t>
      </w:r>
      <w:r>
        <w:rPr>
          <w:rFonts w:cs="Times New Roman" w:hint="eastAsia"/>
          <w:kern w:val="21"/>
          <w:szCs w:val="20"/>
        </w:rPr>
        <w:t>靠近开口处（或窗户）室外某倍频带的声压级或</w:t>
      </w:r>
      <w:r>
        <w:rPr>
          <w:rFonts w:cs="Times New Roman" w:hint="eastAsia"/>
          <w:kern w:val="21"/>
          <w:szCs w:val="20"/>
        </w:rPr>
        <w:t>A</w:t>
      </w:r>
      <w:r>
        <w:rPr>
          <w:rFonts w:cs="Times New Roman" w:hint="eastAsia"/>
          <w:kern w:val="21"/>
          <w:szCs w:val="20"/>
        </w:rPr>
        <w:t>声级，</w:t>
      </w:r>
      <w:r>
        <w:rPr>
          <w:rFonts w:cs="Times New Roman" w:hint="eastAsia"/>
          <w:kern w:val="21"/>
          <w:szCs w:val="20"/>
        </w:rPr>
        <w:t>dB</w:t>
      </w:r>
      <w:r>
        <w:rPr>
          <w:rFonts w:cs="Times New Roman" w:hint="eastAsia"/>
          <w:kern w:val="21"/>
          <w:szCs w:val="20"/>
        </w:rPr>
        <w:t>；</w:t>
      </w:r>
    </w:p>
    <w:p w14:paraId="1E92849F"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lastRenderedPageBreak/>
        <w:t>TL</w:t>
      </w:r>
      <w:r>
        <w:rPr>
          <w:rFonts w:cs="Times New Roman"/>
          <w:kern w:val="21"/>
          <w:szCs w:val="20"/>
        </w:rPr>
        <w:t>——</w:t>
      </w:r>
      <w:r>
        <w:rPr>
          <w:rFonts w:cs="Times New Roman" w:hint="eastAsia"/>
          <w:kern w:val="21"/>
          <w:szCs w:val="20"/>
        </w:rPr>
        <w:t>隔墙（或窗户）倍频带或</w:t>
      </w:r>
      <w:r>
        <w:rPr>
          <w:rFonts w:cs="Times New Roman" w:hint="eastAsia"/>
          <w:kern w:val="21"/>
          <w:szCs w:val="20"/>
        </w:rPr>
        <w:t>A</w:t>
      </w:r>
      <w:r>
        <w:rPr>
          <w:rFonts w:cs="Times New Roman" w:hint="eastAsia"/>
          <w:kern w:val="21"/>
          <w:szCs w:val="20"/>
        </w:rPr>
        <w:t>声级的隔声量。</w:t>
      </w:r>
    </w:p>
    <w:p w14:paraId="75F69935" w14:textId="77777777" w:rsidR="00544649" w:rsidRDefault="00000000">
      <w:pPr>
        <w:adjustRightInd w:val="0"/>
        <w:snapToGrid w:val="0"/>
        <w:spacing w:after="0"/>
        <w:ind w:firstLine="482"/>
        <w:rPr>
          <w:rFonts w:cs="Times New Roman"/>
          <w:b/>
          <w:bCs/>
          <w:kern w:val="21"/>
          <w:szCs w:val="20"/>
        </w:rPr>
      </w:pPr>
      <w:r>
        <w:rPr>
          <w:rFonts w:cs="Times New Roman" w:hint="eastAsia"/>
          <w:b/>
          <w:bCs/>
          <w:kern w:val="21"/>
          <w:szCs w:val="20"/>
        </w:rPr>
        <w:t>（</w:t>
      </w:r>
      <w:r>
        <w:rPr>
          <w:rFonts w:cs="Times New Roman" w:hint="eastAsia"/>
          <w:b/>
          <w:bCs/>
          <w:kern w:val="21"/>
          <w:szCs w:val="20"/>
        </w:rPr>
        <w:t>3</w:t>
      </w:r>
      <w:r>
        <w:rPr>
          <w:rFonts w:cs="Times New Roman" w:hint="eastAsia"/>
          <w:b/>
          <w:bCs/>
          <w:kern w:val="21"/>
          <w:szCs w:val="20"/>
        </w:rPr>
        <w:t>）噪声贡献值计算</w:t>
      </w:r>
    </w:p>
    <w:p w14:paraId="06B8A4BC"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设第</w:t>
      </w:r>
      <w:proofErr w:type="spellStart"/>
      <w:r>
        <w:rPr>
          <w:rFonts w:cs="Times New Roman" w:hint="eastAsia"/>
          <w:kern w:val="21"/>
          <w:szCs w:val="20"/>
        </w:rPr>
        <w:t>i</w:t>
      </w:r>
      <w:proofErr w:type="spellEnd"/>
      <w:proofErr w:type="gramStart"/>
      <w:r>
        <w:rPr>
          <w:rFonts w:cs="Times New Roman" w:hint="eastAsia"/>
          <w:kern w:val="21"/>
          <w:szCs w:val="20"/>
        </w:rPr>
        <w:t>个</w:t>
      </w:r>
      <w:proofErr w:type="gramEnd"/>
      <w:r>
        <w:rPr>
          <w:rFonts w:cs="Times New Roman" w:hint="eastAsia"/>
          <w:kern w:val="21"/>
          <w:szCs w:val="20"/>
        </w:rPr>
        <w:t>室外声源在预测点产生的</w:t>
      </w:r>
      <w:r>
        <w:rPr>
          <w:rFonts w:cs="Times New Roman" w:hint="eastAsia"/>
          <w:kern w:val="21"/>
          <w:szCs w:val="20"/>
        </w:rPr>
        <w:t>A</w:t>
      </w:r>
      <w:r>
        <w:rPr>
          <w:rFonts w:cs="Times New Roman" w:hint="eastAsia"/>
          <w:kern w:val="21"/>
          <w:szCs w:val="20"/>
        </w:rPr>
        <w:t>声级为</w:t>
      </w:r>
      <w:proofErr w:type="spellStart"/>
      <w:r>
        <w:rPr>
          <w:rFonts w:cs="Times New Roman" w:hint="eastAsia"/>
          <w:kern w:val="21"/>
          <w:szCs w:val="20"/>
        </w:rPr>
        <w:t>L</w:t>
      </w:r>
      <w:r>
        <w:rPr>
          <w:rFonts w:cs="Times New Roman" w:hint="eastAsia"/>
          <w:kern w:val="21"/>
          <w:szCs w:val="20"/>
          <w:vertAlign w:val="subscript"/>
        </w:rPr>
        <w:t>Ai</w:t>
      </w:r>
      <w:proofErr w:type="spellEnd"/>
      <w:r>
        <w:rPr>
          <w:rFonts w:cs="Times New Roman" w:hint="eastAsia"/>
          <w:kern w:val="21"/>
          <w:szCs w:val="20"/>
        </w:rPr>
        <w:t>，在</w:t>
      </w:r>
      <w:r>
        <w:rPr>
          <w:rFonts w:cs="Times New Roman" w:hint="eastAsia"/>
          <w:kern w:val="21"/>
          <w:szCs w:val="20"/>
        </w:rPr>
        <w:t>T</w:t>
      </w:r>
      <w:r>
        <w:rPr>
          <w:rFonts w:cs="Times New Roman" w:hint="eastAsia"/>
          <w:kern w:val="21"/>
          <w:szCs w:val="20"/>
        </w:rPr>
        <w:t>时间内该声源工作时间为</w:t>
      </w:r>
      <w:proofErr w:type="spellStart"/>
      <w:r>
        <w:rPr>
          <w:rFonts w:cs="Times New Roman" w:hint="eastAsia"/>
          <w:kern w:val="21"/>
          <w:szCs w:val="20"/>
        </w:rPr>
        <w:t>t</w:t>
      </w:r>
      <w:r>
        <w:rPr>
          <w:rFonts w:cs="Times New Roman" w:hint="eastAsia"/>
          <w:kern w:val="21"/>
          <w:szCs w:val="20"/>
          <w:vertAlign w:val="subscript"/>
        </w:rPr>
        <w:t>i</w:t>
      </w:r>
      <w:proofErr w:type="spellEnd"/>
      <w:r>
        <w:rPr>
          <w:rFonts w:cs="Times New Roman" w:hint="eastAsia"/>
          <w:kern w:val="21"/>
          <w:szCs w:val="20"/>
        </w:rPr>
        <w:t>；第</w:t>
      </w:r>
      <w:r>
        <w:rPr>
          <w:rFonts w:cs="Times New Roman" w:hint="eastAsia"/>
          <w:kern w:val="21"/>
          <w:szCs w:val="20"/>
        </w:rPr>
        <w:t>j</w:t>
      </w:r>
      <w:proofErr w:type="gramStart"/>
      <w:r>
        <w:rPr>
          <w:rFonts w:cs="Times New Roman" w:hint="eastAsia"/>
          <w:kern w:val="21"/>
          <w:szCs w:val="20"/>
        </w:rPr>
        <w:t>个</w:t>
      </w:r>
      <w:proofErr w:type="gramEnd"/>
      <w:r>
        <w:rPr>
          <w:rFonts w:cs="Times New Roman" w:hint="eastAsia"/>
          <w:kern w:val="21"/>
          <w:szCs w:val="20"/>
        </w:rPr>
        <w:t>等效室外声源在预测点产生的</w:t>
      </w:r>
      <w:r>
        <w:rPr>
          <w:rFonts w:cs="Times New Roman" w:hint="eastAsia"/>
          <w:kern w:val="21"/>
          <w:szCs w:val="20"/>
        </w:rPr>
        <w:t>A</w:t>
      </w:r>
      <w:r>
        <w:rPr>
          <w:rFonts w:cs="Times New Roman" w:hint="eastAsia"/>
          <w:kern w:val="21"/>
          <w:szCs w:val="20"/>
        </w:rPr>
        <w:t>声级为</w:t>
      </w:r>
      <w:r>
        <w:rPr>
          <w:rFonts w:cs="Times New Roman" w:hint="eastAsia"/>
          <w:kern w:val="21"/>
          <w:szCs w:val="20"/>
        </w:rPr>
        <w:t>L</w:t>
      </w:r>
      <w:r>
        <w:rPr>
          <w:rFonts w:cs="Times New Roman" w:hint="eastAsia"/>
          <w:kern w:val="21"/>
          <w:szCs w:val="20"/>
          <w:vertAlign w:val="subscript"/>
        </w:rPr>
        <w:t>Aj</w:t>
      </w:r>
      <w:r>
        <w:rPr>
          <w:rFonts w:cs="Times New Roman" w:hint="eastAsia"/>
          <w:kern w:val="21"/>
          <w:szCs w:val="20"/>
        </w:rPr>
        <w:t>，在</w:t>
      </w:r>
      <w:r>
        <w:rPr>
          <w:rFonts w:cs="Times New Roman" w:hint="eastAsia"/>
          <w:kern w:val="21"/>
          <w:szCs w:val="20"/>
        </w:rPr>
        <w:t>T</w:t>
      </w:r>
      <w:r>
        <w:rPr>
          <w:rFonts w:cs="Times New Roman" w:hint="eastAsia"/>
          <w:kern w:val="21"/>
          <w:szCs w:val="20"/>
        </w:rPr>
        <w:t>时间内该声源工作时间为</w:t>
      </w:r>
      <w:r>
        <w:rPr>
          <w:rFonts w:cs="Times New Roman" w:hint="eastAsia"/>
          <w:kern w:val="21"/>
          <w:szCs w:val="20"/>
        </w:rPr>
        <w:t>t</w:t>
      </w:r>
      <w:r>
        <w:rPr>
          <w:rFonts w:cs="Times New Roman" w:hint="eastAsia"/>
          <w:kern w:val="21"/>
          <w:szCs w:val="20"/>
        </w:rPr>
        <w:t>，在拟建工程声源对预测点产生的贡献值（</w:t>
      </w:r>
      <w:proofErr w:type="spellStart"/>
      <w:r>
        <w:rPr>
          <w:rFonts w:cs="Times New Roman" w:hint="eastAsia"/>
          <w:kern w:val="21"/>
          <w:szCs w:val="20"/>
        </w:rPr>
        <w:t>L</w:t>
      </w:r>
      <w:r>
        <w:rPr>
          <w:rFonts w:cs="Times New Roman" w:hint="eastAsia"/>
          <w:kern w:val="21"/>
          <w:szCs w:val="20"/>
          <w:vertAlign w:val="subscript"/>
        </w:rPr>
        <w:t>eqg</w:t>
      </w:r>
      <w:proofErr w:type="spellEnd"/>
      <w:r>
        <w:rPr>
          <w:rFonts w:cs="Times New Roman" w:hint="eastAsia"/>
          <w:kern w:val="21"/>
          <w:szCs w:val="20"/>
        </w:rPr>
        <w:t>）为：</w:t>
      </w:r>
    </w:p>
    <w:p w14:paraId="749486E0" w14:textId="77777777" w:rsidR="00544649" w:rsidRDefault="00000000">
      <w:pPr>
        <w:adjustRightInd w:val="0"/>
        <w:snapToGrid w:val="0"/>
        <w:spacing w:after="0"/>
        <w:ind w:firstLine="480"/>
        <w:rPr>
          <w:rFonts w:hAnsi="Cambria Math" w:cs="Times New Roman"/>
          <w:kern w:val="21"/>
          <w:szCs w:val="20"/>
        </w:rPr>
      </w:pPr>
      <m:oMathPara>
        <m:oMath>
          <m:sSub>
            <m:sSubPr>
              <m:ctrlPr>
                <w:rPr>
                  <w:rFonts w:ascii="Cambria Math" w:hAnsi="Cambria Math"/>
                  <w:kern w:val="21"/>
                  <w:szCs w:val="20"/>
                </w:rPr>
              </m:ctrlPr>
            </m:sSubPr>
            <m:e>
              <m:r>
                <w:rPr>
                  <w:rFonts w:ascii="Cambria Math" w:hAnsi="Cambria Math"/>
                  <w:kern w:val="21"/>
                  <w:szCs w:val="20"/>
                </w:rPr>
                <m:t>L</m:t>
              </m:r>
            </m:e>
            <m:sub>
              <m:r>
                <w:rPr>
                  <w:rFonts w:ascii="Cambria Math" w:hAnsi="Cambria Math" w:hint="eastAsia"/>
                  <w:kern w:val="21"/>
                  <w:szCs w:val="20"/>
                </w:rPr>
                <m:t>（</m:t>
              </m:r>
              <m:r>
                <w:rPr>
                  <w:rFonts w:ascii="Cambria Math" w:hAnsi="Cambria Math" w:hint="eastAsia"/>
                  <w:kern w:val="21"/>
                  <w:szCs w:val="20"/>
                </w:rPr>
                <m:t>eq</m:t>
              </m:r>
              <m:r>
                <w:rPr>
                  <w:rFonts w:ascii="Cambria Math" w:hAnsi="Cambria Math"/>
                  <w:kern w:val="21"/>
                  <w:szCs w:val="20"/>
                </w:rPr>
                <m:t>g</m:t>
              </m:r>
              <m:r>
                <w:rPr>
                  <w:rFonts w:ascii="Cambria Math" w:hAnsi="Cambria Math" w:hint="eastAsia"/>
                  <w:kern w:val="21"/>
                  <w:szCs w:val="20"/>
                </w:rPr>
                <m:t>）</m:t>
              </m:r>
            </m:sub>
          </m:sSub>
          <m:r>
            <w:rPr>
              <w:rFonts w:ascii="Cambria Math" w:hAnsi="Cambria Math"/>
              <w:kern w:val="21"/>
              <w:szCs w:val="20"/>
            </w:rPr>
            <m:t>=10lg</m:t>
          </m:r>
          <m:d>
            <m:dPr>
              <m:begChr m:val="["/>
              <m:endChr m:val="]"/>
              <m:ctrlPr>
                <w:rPr>
                  <w:rFonts w:ascii="Cambria Math" w:hAnsi="Cambria Math"/>
                  <w:i/>
                  <w:kern w:val="21"/>
                  <w:szCs w:val="20"/>
                </w:rPr>
              </m:ctrlPr>
            </m:dPr>
            <m:e>
              <m:f>
                <m:fPr>
                  <m:ctrlPr>
                    <w:rPr>
                      <w:rFonts w:ascii="Cambria Math" w:hAnsi="Cambria Math"/>
                      <w:i/>
                      <w:kern w:val="21"/>
                      <w:szCs w:val="20"/>
                    </w:rPr>
                  </m:ctrlPr>
                </m:fPr>
                <m:num>
                  <m:r>
                    <w:rPr>
                      <w:rFonts w:ascii="Cambria Math" w:hAnsi="Cambria Math"/>
                      <w:kern w:val="21"/>
                      <w:szCs w:val="20"/>
                    </w:rPr>
                    <m:t>1</m:t>
                  </m:r>
                </m:num>
                <m:den>
                  <m:r>
                    <w:rPr>
                      <w:rFonts w:ascii="Cambria Math" w:hAnsi="Cambria Math"/>
                      <w:kern w:val="21"/>
                      <w:szCs w:val="20"/>
                    </w:rPr>
                    <m:t>T</m:t>
                  </m:r>
                </m:den>
              </m:f>
              <m:d>
                <m:dPr>
                  <m:ctrlPr>
                    <w:rPr>
                      <w:rFonts w:ascii="Cambria Math" w:hAnsi="Cambria Math"/>
                      <w:i/>
                      <w:kern w:val="21"/>
                      <w:szCs w:val="20"/>
                    </w:rPr>
                  </m:ctrlPr>
                </m:dPr>
                <m:e>
                  <m:nary>
                    <m:naryPr>
                      <m:chr m:val="∑"/>
                      <m:limLoc m:val="undOvr"/>
                      <m:ctrlPr>
                        <w:rPr>
                          <w:rFonts w:ascii="Cambria Math" w:hAnsi="Cambria Math"/>
                          <w:i/>
                          <w:kern w:val="21"/>
                          <w:szCs w:val="20"/>
                        </w:rPr>
                      </m:ctrlPr>
                    </m:naryPr>
                    <m:sub>
                      <m:r>
                        <w:rPr>
                          <w:rFonts w:ascii="Cambria Math" w:hAnsi="Cambria Math"/>
                          <w:kern w:val="21"/>
                          <w:szCs w:val="20"/>
                        </w:rPr>
                        <m:t>i=1</m:t>
                      </m:r>
                    </m:sub>
                    <m:sup>
                      <m:r>
                        <w:rPr>
                          <w:rFonts w:ascii="Cambria Math" w:hAnsi="Cambria Math"/>
                          <w:kern w:val="21"/>
                          <w:szCs w:val="20"/>
                        </w:rPr>
                        <m:t>N</m:t>
                      </m:r>
                    </m:sup>
                    <m:e>
                      <m:sSub>
                        <m:sSubPr>
                          <m:ctrlPr>
                            <w:rPr>
                              <w:rFonts w:ascii="Cambria Math" w:hAnsi="Cambria Math"/>
                              <w:i/>
                              <w:kern w:val="21"/>
                              <w:szCs w:val="20"/>
                            </w:rPr>
                          </m:ctrlPr>
                        </m:sSubPr>
                        <m:e>
                          <m:r>
                            <w:rPr>
                              <w:rFonts w:ascii="Cambria Math" w:hAnsi="Cambria Math"/>
                              <w:kern w:val="21"/>
                              <w:szCs w:val="20"/>
                            </w:rPr>
                            <m:t>t</m:t>
                          </m:r>
                        </m:e>
                        <m:sub>
                          <m:r>
                            <w:rPr>
                              <w:rFonts w:ascii="Cambria Math" w:hAnsi="Cambria Math"/>
                              <w:kern w:val="21"/>
                              <w:szCs w:val="20"/>
                            </w:rPr>
                            <m:t>i</m:t>
                          </m:r>
                        </m:sub>
                      </m:sSub>
                      <m:sSup>
                        <m:sSupPr>
                          <m:ctrlPr>
                            <w:rPr>
                              <w:rFonts w:ascii="Cambria Math" w:hAnsi="Cambria Math"/>
                              <w:i/>
                              <w:kern w:val="21"/>
                              <w:szCs w:val="20"/>
                            </w:rPr>
                          </m:ctrlPr>
                        </m:sSupPr>
                        <m:e>
                          <m:r>
                            <w:rPr>
                              <w:rFonts w:ascii="Cambria Math" w:hAnsi="Cambria Math"/>
                              <w:kern w:val="21"/>
                              <w:szCs w:val="20"/>
                            </w:rPr>
                            <m:t>10</m:t>
                          </m:r>
                        </m:e>
                        <m:sup>
                          <m:r>
                            <w:rPr>
                              <w:rFonts w:ascii="Cambria Math" w:hAnsi="Cambria Math"/>
                              <w:kern w:val="21"/>
                              <w:szCs w:val="20"/>
                            </w:rPr>
                            <m:t>0.1</m:t>
                          </m:r>
                          <m:sSub>
                            <m:sSubPr>
                              <m:ctrlPr>
                                <w:rPr>
                                  <w:rFonts w:ascii="Cambria Math" w:hAnsi="Cambria Math"/>
                                  <w:i/>
                                  <w:kern w:val="21"/>
                                  <w:szCs w:val="20"/>
                                </w:rPr>
                              </m:ctrlPr>
                            </m:sSubPr>
                            <m:e>
                              <m:r>
                                <w:rPr>
                                  <w:rFonts w:ascii="Cambria Math" w:hAnsi="Cambria Math"/>
                                  <w:kern w:val="21"/>
                                  <w:szCs w:val="20"/>
                                </w:rPr>
                                <m:t>L</m:t>
                              </m:r>
                            </m:e>
                            <m:sub>
                              <m:r>
                                <w:rPr>
                                  <w:rFonts w:ascii="Cambria Math" w:hAnsi="Cambria Math"/>
                                  <w:kern w:val="21"/>
                                  <w:szCs w:val="20"/>
                                </w:rPr>
                                <m:t>Ai</m:t>
                              </m:r>
                            </m:sub>
                          </m:sSub>
                        </m:sup>
                      </m:sSup>
                    </m:e>
                  </m:nary>
                  <m:r>
                    <w:rPr>
                      <w:rFonts w:ascii="Cambria Math" w:hAnsi="Cambria Math"/>
                      <w:kern w:val="21"/>
                      <w:szCs w:val="20"/>
                    </w:rPr>
                    <m:t>+</m:t>
                  </m:r>
                  <m:nary>
                    <m:naryPr>
                      <m:chr m:val="∑"/>
                      <m:limLoc m:val="undOvr"/>
                      <m:ctrlPr>
                        <w:rPr>
                          <w:rFonts w:ascii="Cambria Math" w:hAnsi="Cambria Math"/>
                          <w:i/>
                          <w:kern w:val="21"/>
                          <w:szCs w:val="20"/>
                        </w:rPr>
                      </m:ctrlPr>
                    </m:naryPr>
                    <m:sub>
                      <m:r>
                        <w:rPr>
                          <w:rFonts w:ascii="Cambria Math" w:hAnsi="Cambria Math"/>
                          <w:kern w:val="21"/>
                          <w:szCs w:val="20"/>
                        </w:rPr>
                        <m:t>i=1</m:t>
                      </m:r>
                    </m:sub>
                    <m:sup>
                      <m:r>
                        <w:rPr>
                          <w:rFonts w:ascii="Cambria Math" w:hAnsi="Cambria Math"/>
                          <w:kern w:val="21"/>
                          <w:szCs w:val="20"/>
                        </w:rPr>
                        <m:t>M</m:t>
                      </m:r>
                    </m:sup>
                    <m:e>
                      <m:sSub>
                        <m:sSubPr>
                          <m:ctrlPr>
                            <w:rPr>
                              <w:rFonts w:ascii="Cambria Math" w:hAnsi="Cambria Math"/>
                              <w:i/>
                              <w:kern w:val="21"/>
                              <w:szCs w:val="20"/>
                            </w:rPr>
                          </m:ctrlPr>
                        </m:sSubPr>
                        <m:e>
                          <m:r>
                            <w:rPr>
                              <w:rFonts w:ascii="Cambria Math" w:hAnsi="Cambria Math"/>
                              <w:kern w:val="21"/>
                              <w:szCs w:val="20"/>
                            </w:rPr>
                            <m:t>t</m:t>
                          </m:r>
                        </m:e>
                        <m:sub>
                          <m:r>
                            <w:rPr>
                              <w:rFonts w:ascii="Cambria Math" w:hAnsi="Cambria Math"/>
                              <w:kern w:val="21"/>
                              <w:szCs w:val="20"/>
                            </w:rPr>
                            <m:t>j</m:t>
                          </m:r>
                        </m:sub>
                      </m:sSub>
                      <m:sSup>
                        <m:sSupPr>
                          <m:ctrlPr>
                            <w:rPr>
                              <w:rFonts w:ascii="Cambria Math" w:hAnsi="Cambria Math"/>
                              <w:i/>
                              <w:kern w:val="21"/>
                              <w:szCs w:val="20"/>
                            </w:rPr>
                          </m:ctrlPr>
                        </m:sSupPr>
                        <m:e>
                          <m:r>
                            <w:rPr>
                              <w:rFonts w:ascii="Cambria Math" w:hAnsi="Cambria Math"/>
                              <w:kern w:val="21"/>
                              <w:szCs w:val="20"/>
                            </w:rPr>
                            <m:t>10</m:t>
                          </m:r>
                        </m:e>
                        <m:sup>
                          <m:r>
                            <w:rPr>
                              <w:rFonts w:ascii="Cambria Math" w:hAnsi="Cambria Math"/>
                              <w:kern w:val="21"/>
                              <w:szCs w:val="20"/>
                            </w:rPr>
                            <m:t>0.1</m:t>
                          </m:r>
                          <m:sSub>
                            <m:sSubPr>
                              <m:ctrlPr>
                                <w:rPr>
                                  <w:rFonts w:ascii="Cambria Math" w:hAnsi="Cambria Math"/>
                                  <w:i/>
                                  <w:kern w:val="21"/>
                                  <w:szCs w:val="20"/>
                                </w:rPr>
                              </m:ctrlPr>
                            </m:sSubPr>
                            <m:e>
                              <m:r>
                                <w:rPr>
                                  <w:rFonts w:ascii="Cambria Math" w:hAnsi="Cambria Math"/>
                                  <w:kern w:val="21"/>
                                  <w:szCs w:val="20"/>
                                </w:rPr>
                                <m:t>L</m:t>
                              </m:r>
                            </m:e>
                            <m:sub>
                              <m:r>
                                <w:rPr>
                                  <w:rFonts w:ascii="Cambria Math" w:hAnsi="Cambria Math"/>
                                  <w:kern w:val="21"/>
                                  <w:szCs w:val="20"/>
                                </w:rPr>
                                <m:t>Aj</m:t>
                              </m:r>
                            </m:sub>
                          </m:sSub>
                        </m:sup>
                      </m:sSup>
                    </m:e>
                  </m:nary>
                </m:e>
              </m:d>
            </m:e>
          </m:d>
        </m:oMath>
      </m:oMathPara>
    </w:p>
    <w:p w14:paraId="4ACF5CA4"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式中：</w:t>
      </w:r>
    </w:p>
    <w:p w14:paraId="1021CDE2" w14:textId="77777777" w:rsidR="00544649" w:rsidRDefault="00000000">
      <w:pPr>
        <w:adjustRightInd w:val="0"/>
        <w:snapToGrid w:val="0"/>
        <w:spacing w:after="0"/>
        <w:ind w:firstLine="480"/>
        <w:rPr>
          <w:rFonts w:cs="Times New Roman"/>
          <w:kern w:val="21"/>
          <w:szCs w:val="20"/>
        </w:rPr>
      </w:pPr>
      <w:proofErr w:type="spellStart"/>
      <w:r>
        <w:rPr>
          <w:rFonts w:cs="Times New Roman" w:hint="eastAsia"/>
          <w:kern w:val="21"/>
          <w:szCs w:val="20"/>
        </w:rPr>
        <w:t>L</w:t>
      </w:r>
      <w:r>
        <w:rPr>
          <w:rFonts w:cs="Times New Roman" w:hint="eastAsia"/>
          <w:kern w:val="21"/>
          <w:szCs w:val="20"/>
          <w:vertAlign w:val="subscript"/>
        </w:rPr>
        <w:t>eqg</w:t>
      </w:r>
      <w:proofErr w:type="spellEnd"/>
      <w:r>
        <w:rPr>
          <w:rFonts w:cs="Times New Roman"/>
          <w:kern w:val="21"/>
          <w:szCs w:val="20"/>
        </w:rPr>
        <w:t>——</w:t>
      </w:r>
      <w:r>
        <w:rPr>
          <w:rFonts w:cs="Times New Roman" w:hint="eastAsia"/>
          <w:kern w:val="21"/>
          <w:szCs w:val="20"/>
        </w:rPr>
        <w:t>建设项目声源在预测点产生的噪声贡献值，</w:t>
      </w:r>
      <w:r>
        <w:rPr>
          <w:rFonts w:cs="Times New Roman" w:hint="eastAsia"/>
          <w:kern w:val="21"/>
          <w:szCs w:val="20"/>
        </w:rPr>
        <w:t>dB</w:t>
      </w:r>
      <w:r>
        <w:rPr>
          <w:rFonts w:cs="Times New Roman" w:hint="eastAsia"/>
          <w:kern w:val="21"/>
          <w:szCs w:val="20"/>
        </w:rPr>
        <w:t>；</w:t>
      </w:r>
    </w:p>
    <w:p w14:paraId="7BE40375"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T</w:t>
      </w:r>
      <w:r>
        <w:rPr>
          <w:rFonts w:cs="Times New Roman"/>
          <w:kern w:val="21"/>
          <w:szCs w:val="20"/>
        </w:rPr>
        <w:t>——</w:t>
      </w:r>
      <w:r>
        <w:rPr>
          <w:rFonts w:cs="Times New Roman" w:hint="eastAsia"/>
          <w:kern w:val="21"/>
          <w:szCs w:val="20"/>
        </w:rPr>
        <w:t>用于计算等效声级的时间，</w:t>
      </w:r>
      <w:r>
        <w:rPr>
          <w:rFonts w:cs="Times New Roman" w:hint="eastAsia"/>
          <w:kern w:val="21"/>
          <w:szCs w:val="20"/>
        </w:rPr>
        <w:t>s</w:t>
      </w:r>
      <w:r>
        <w:rPr>
          <w:rFonts w:cs="Times New Roman" w:hint="eastAsia"/>
          <w:kern w:val="21"/>
          <w:szCs w:val="20"/>
        </w:rPr>
        <w:t>；</w:t>
      </w:r>
    </w:p>
    <w:p w14:paraId="75658DB8"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N</w:t>
      </w:r>
      <w:r>
        <w:rPr>
          <w:rFonts w:cs="Times New Roman"/>
          <w:kern w:val="21"/>
          <w:szCs w:val="20"/>
        </w:rPr>
        <w:t>——</w:t>
      </w:r>
      <w:r>
        <w:rPr>
          <w:rFonts w:cs="Times New Roman" w:hint="eastAsia"/>
          <w:kern w:val="21"/>
          <w:szCs w:val="20"/>
        </w:rPr>
        <w:t>室外声源个数；</w:t>
      </w:r>
    </w:p>
    <w:p w14:paraId="53FAD38A" w14:textId="77777777" w:rsidR="00544649" w:rsidRDefault="00000000">
      <w:pPr>
        <w:adjustRightInd w:val="0"/>
        <w:snapToGrid w:val="0"/>
        <w:spacing w:after="0"/>
        <w:ind w:firstLine="480"/>
        <w:rPr>
          <w:rFonts w:cs="Times New Roman"/>
          <w:kern w:val="21"/>
          <w:szCs w:val="20"/>
        </w:rPr>
      </w:pPr>
      <w:proofErr w:type="spellStart"/>
      <w:r>
        <w:rPr>
          <w:rFonts w:cs="Times New Roman" w:hint="eastAsia"/>
          <w:kern w:val="21"/>
          <w:szCs w:val="20"/>
        </w:rPr>
        <w:t>t</w:t>
      </w:r>
      <w:r>
        <w:rPr>
          <w:rFonts w:cs="Times New Roman" w:hint="eastAsia"/>
          <w:kern w:val="21"/>
          <w:szCs w:val="20"/>
          <w:vertAlign w:val="subscript"/>
        </w:rPr>
        <w:t>i</w:t>
      </w:r>
      <w:proofErr w:type="spellEnd"/>
      <w:r>
        <w:rPr>
          <w:rFonts w:cs="Times New Roman"/>
          <w:kern w:val="21"/>
          <w:szCs w:val="20"/>
        </w:rPr>
        <w:t>——</w:t>
      </w:r>
      <w:r>
        <w:rPr>
          <w:rFonts w:cs="Times New Roman" w:hint="eastAsia"/>
          <w:kern w:val="21"/>
          <w:szCs w:val="20"/>
        </w:rPr>
        <w:t>在</w:t>
      </w:r>
      <w:r>
        <w:rPr>
          <w:rFonts w:cs="Times New Roman" w:hint="eastAsia"/>
          <w:kern w:val="21"/>
          <w:szCs w:val="20"/>
        </w:rPr>
        <w:t>T</w:t>
      </w:r>
      <w:r>
        <w:rPr>
          <w:rFonts w:cs="Times New Roman" w:hint="eastAsia"/>
          <w:kern w:val="21"/>
          <w:szCs w:val="20"/>
        </w:rPr>
        <w:t>时间内</w:t>
      </w:r>
      <w:proofErr w:type="spellStart"/>
      <w:r>
        <w:rPr>
          <w:rFonts w:cs="Times New Roman" w:hint="eastAsia"/>
          <w:kern w:val="21"/>
          <w:szCs w:val="20"/>
        </w:rPr>
        <w:t>i</w:t>
      </w:r>
      <w:proofErr w:type="spellEnd"/>
      <w:r>
        <w:rPr>
          <w:rFonts w:cs="Times New Roman" w:hint="eastAsia"/>
          <w:kern w:val="21"/>
          <w:szCs w:val="20"/>
        </w:rPr>
        <w:t>声源工作时间，</w:t>
      </w:r>
      <w:r>
        <w:rPr>
          <w:rFonts w:cs="Times New Roman" w:hint="eastAsia"/>
          <w:kern w:val="21"/>
          <w:szCs w:val="20"/>
        </w:rPr>
        <w:t>s</w:t>
      </w:r>
      <w:r>
        <w:rPr>
          <w:rFonts w:cs="Times New Roman" w:hint="eastAsia"/>
          <w:kern w:val="21"/>
          <w:szCs w:val="20"/>
        </w:rPr>
        <w:t>；</w:t>
      </w:r>
    </w:p>
    <w:p w14:paraId="58922D2C" w14:textId="77777777" w:rsidR="00544649" w:rsidRDefault="00000000">
      <w:pPr>
        <w:adjustRightInd w:val="0"/>
        <w:snapToGrid w:val="0"/>
        <w:spacing w:after="0"/>
        <w:ind w:firstLine="480"/>
        <w:rPr>
          <w:rFonts w:cs="Times New Roman"/>
          <w:kern w:val="21"/>
          <w:szCs w:val="20"/>
        </w:rPr>
      </w:pPr>
      <w:proofErr w:type="spellStart"/>
      <w:r>
        <w:rPr>
          <w:rFonts w:cs="Times New Roman" w:hint="eastAsia"/>
          <w:kern w:val="21"/>
          <w:szCs w:val="20"/>
        </w:rPr>
        <w:t>t</w:t>
      </w:r>
      <w:r>
        <w:rPr>
          <w:rFonts w:cs="Times New Roman" w:hint="eastAsia"/>
          <w:kern w:val="21"/>
          <w:szCs w:val="20"/>
          <w:vertAlign w:val="subscript"/>
        </w:rPr>
        <w:t>j</w:t>
      </w:r>
      <w:proofErr w:type="spellEnd"/>
      <w:r>
        <w:rPr>
          <w:rFonts w:cs="Times New Roman"/>
          <w:kern w:val="21"/>
          <w:szCs w:val="20"/>
        </w:rPr>
        <w:t>——</w:t>
      </w:r>
      <w:r>
        <w:rPr>
          <w:rFonts w:cs="Times New Roman" w:hint="eastAsia"/>
          <w:kern w:val="21"/>
          <w:szCs w:val="20"/>
        </w:rPr>
        <w:t>在</w:t>
      </w:r>
      <w:r>
        <w:rPr>
          <w:rFonts w:cs="Times New Roman" w:hint="eastAsia"/>
          <w:kern w:val="21"/>
          <w:szCs w:val="20"/>
        </w:rPr>
        <w:t>T</w:t>
      </w:r>
      <w:r>
        <w:rPr>
          <w:rFonts w:cs="Times New Roman" w:hint="eastAsia"/>
          <w:kern w:val="21"/>
          <w:szCs w:val="20"/>
        </w:rPr>
        <w:t>时间内</w:t>
      </w:r>
      <w:r>
        <w:rPr>
          <w:rFonts w:cs="Times New Roman" w:hint="eastAsia"/>
          <w:kern w:val="21"/>
          <w:szCs w:val="20"/>
        </w:rPr>
        <w:t>j</w:t>
      </w:r>
      <w:r>
        <w:rPr>
          <w:rFonts w:cs="Times New Roman" w:hint="eastAsia"/>
          <w:kern w:val="21"/>
          <w:szCs w:val="20"/>
        </w:rPr>
        <w:t>声源工作时间，</w:t>
      </w:r>
      <w:r>
        <w:rPr>
          <w:rFonts w:cs="Times New Roman" w:hint="eastAsia"/>
          <w:kern w:val="21"/>
          <w:szCs w:val="20"/>
        </w:rPr>
        <w:t>s</w:t>
      </w:r>
      <w:r>
        <w:rPr>
          <w:rFonts w:cs="Times New Roman" w:hint="eastAsia"/>
          <w:kern w:val="21"/>
          <w:szCs w:val="20"/>
        </w:rPr>
        <w:t>；</w:t>
      </w:r>
    </w:p>
    <w:p w14:paraId="7ADBDB3B"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M</w:t>
      </w:r>
      <w:r>
        <w:rPr>
          <w:rFonts w:cs="Times New Roman"/>
          <w:kern w:val="21"/>
          <w:szCs w:val="20"/>
        </w:rPr>
        <w:t>——</w:t>
      </w:r>
      <w:r>
        <w:rPr>
          <w:rFonts w:cs="Times New Roman" w:hint="eastAsia"/>
          <w:kern w:val="21"/>
          <w:szCs w:val="20"/>
        </w:rPr>
        <w:t>等效室外声源个数。</w:t>
      </w:r>
    </w:p>
    <w:p w14:paraId="5F765600" w14:textId="77777777" w:rsidR="00544649" w:rsidRDefault="00000000">
      <w:pPr>
        <w:adjustRightInd w:val="0"/>
        <w:snapToGrid w:val="0"/>
        <w:spacing w:after="0"/>
        <w:ind w:firstLine="482"/>
        <w:rPr>
          <w:rFonts w:cs="Times New Roman"/>
          <w:b/>
          <w:bCs/>
          <w:kern w:val="21"/>
          <w:szCs w:val="20"/>
        </w:rPr>
      </w:pPr>
      <w:r>
        <w:rPr>
          <w:rFonts w:cs="Times New Roman" w:hint="eastAsia"/>
          <w:b/>
          <w:bCs/>
          <w:kern w:val="21"/>
          <w:szCs w:val="20"/>
        </w:rPr>
        <w:t>（</w:t>
      </w:r>
      <w:r>
        <w:rPr>
          <w:rFonts w:cs="Times New Roman" w:hint="eastAsia"/>
          <w:b/>
          <w:bCs/>
          <w:kern w:val="21"/>
          <w:szCs w:val="20"/>
        </w:rPr>
        <w:t>4</w:t>
      </w:r>
      <w:r>
        <w:rPr>
          <w:rFonts w:cs="Times New Roman" w:hint="eastAsia"/>
          <w:b/>
          <w:bCs/>
          <w:kern w:val="21"/>
          <w:szCs w:val="20"/>
        </w:rPr>
        <w:t>）预测值计算</w:t>
      </w:r>
    </w:p>
    <w:p w14:paraId="66E3F08D"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预测点的预测等效声级（</w:t>
      </w:r>
      <w:proofErr w:type="spellStart"/>
      <w:r>
        <w:rPr>
          <w:rFonts w:cs="Times New Roman" w:hint="eastAsia"/>
          <w:kern w:val="21"/>
          <w:szCs w:val="20"/>
        </w:rPr>
        <w:t>L</w:t>
      </w:r>
      <w:r>
        <w:rPr>
          <w:rFonts w:cs="Times New Roman" w:hint="eastAsia"/>
          <w:kern w:val="21"/>
          <w:szCs w:val="20"/>
          <w:vertAlign w:val="subscript"/>
        </w:rPr>
        <w:t>eq</w:t>
      </w:r>
      <w:proofErr w:type="spellEnd"/>
      <w:r>
        <w:rPr>
          <w:rFonts w:cs="Times New Roman" w:hint="eastAsia"/>
          <w:kern w:val="21"/>
          <w:szCs w:val="20"/>
        </w:rPr>
        <w:t>）计算公式为：</w:t>
      </w:r>
    </w:p>
    <w:p w14:paraId="51902FC8" w14:textId="77777777" w:rsidR="00544649" w:rsidRDefault="00000000">
      <w:pPr>
        <w:adjustRightInd w:val="0"/>
        <w:snapToGrid w:val="0"/>
        <w:spacing w:after="0"/>
        <w:ind w:firstLine="480"/>
        <w:rPr>
          <w:rFonts w:cs="Times New Roman"/>
          <w:kern w:val="21"/>
          <w:szCs w:val="20"/>
        </w:rPr>
      </w:pPr>
      <m:oMathPara>
        <m:oMath>
          <m:sSub>
            <m:sSubPr>
              <m:ctrlPr>
                <w:rPr>
                  <w:rFonts w:ascii="Cambria Math" w:hAnsi="Cambria Math" w:cs="Times New Roman"/>
                  <w:kern w:val="21"/>
                  <w:szCs w:val="20"/>
                </w:rPr>
              </m:ctrlPr>
            </m:sSubPr>
            <m:e>
              <m:r>
                <w:rPr>
                  <w:rFonts w:ascii="Cambria Math" w:hAnsi="Cambria Math" w:cs="Times New Roman"/>
                  <w:kern w:val="21"/>
                  <w:szCs w:val="20"/>
                </w:rPr>
                <m:t>L</m:t>
              </m:r>
            </m:e>
            <m:sub>
              <m:r>
                <m:rPr>
                  <m:sty m:val="p"/>
                </m:rPr>
                <w:rPr>
                  <w:rFonts w:ascii="Cambria Math" w:hAnsi="Cambria Math" w:cs="Times New Roman"/>
                  <w:kern w:val="21"/>
                  <w:szCs w:val="20"/>
                </w:rPr>
                <m:t>eq</m:t>
              </m:r>
            </m:sub>
          </m:sSub>
          <m:r>
            <w:rPr>
              <w:rFonts w:ascii="Cambria Math" w:hAnsi="Cambria Math" w:cs="Times New Roman"/>
              <w:kern w:val="21"/>
              <w:szCs w:val="20"/>
            </w:rPr>
            <m:t>=10lg(</m:t>
          </m:r>
          <m:sSup>
            <m:sSupPr>
              <m:ctrlPr>
                <w:rPr>
                  <w:rFonts w:ascii="Cambria Math" w:hAnsi="Cambria Math" w:cs="Times New Roman"/>
                  <w:i/>
                  <w:kern w:val="21"/>
                  <w:szCs w:val="20"/>
                </w:rPr>
              </m:ctrlPr>
            </m:sSupPr>
            <m:e>
              <m:r>
                <w:rPr>
                  <w:rFonts w:ascii="Cambria Math" w:hAnsi="Cambria Math" w:cs="Times New Roman"/>
                  <w:kern w:val="21"/>
                  <w:szCs w:val="20"/>
                </w:rPr>
                <m:t>10</m:t>
              </m:r>
            </m:e>
            <m:sup>
              <m:r>
                <w:rPr>
                  <w:rFonts w:ascii="Cambria Math" w:hAnsi="Cambria Math" w:cs="Times New Roman"/>
                  <w:kern w:val="21"/>
                  <w:szCs w:val="20"/>
                </w:rPr>
                <m:t>0.1</m:t>
              </m:r>
              <m:sSub>
                <m:sSubPr>
                  <m:ctrlPr>
                    <w:rPr>
                      <w:rFonts w:ascii="Cambria Math" w:hAnsi="Cambria Math" w:cs="Times New Roman"/>
                      <w:i/>
                      <w:kern w:val="21"/>
                      <w:szCs w:val="20"/>
                    </w:rPr>
                  </m:ctrlPr>
                </m:sSubPr>
                <m:e>
                  <m:r>
                    <w:rPr>
                      <w:rFonts w:ascii="Cambria Math" w:hAnsi="Cambria Math" w:cs="Times New Roman"/>
                      <w:kern w:val="21"/>
                      <w:szCs w:val="20"/>
                    </w:rPr>
                    <m:t>L</m:t>
                  </m:r>
                </m:e>
                <m:sub>
                  <m:r>
                    <w:rPr>
                      <w:rFonts w:ascii="Cambria Math" w:hAnsi="Cambria Math" w:cs="Times New Roman"/>
                      <w:kern w:val="21"/>
                      <w:szCs w:val="20"/>
                    </w:rPr>
                    <m:t>eqg</m:t>
                  </m:r>
                </m:sub>
              </m:sSub>
            </m:sup>
          </m:sSup>
          <m:r>
            <w:rPr>
              <w:rFonts w:ascii="Cambria Math" w:hAnsi="Cambria Math" w:cs="Times New Roman"/>
              <w:kern w:val="21"/>
              <w:szCs w:val="20"/>
            </w:rPr>
            <m:t>+</m:t>
          </m:r>
          <m:sSup>
            <m:sSupPr>
              <m:ctrlPr>
                <w:rPr>
                  <w:rFonts w:ascii="Cambria Math" w:hAnsi="Cambria Math" w:cs="Times New Roman"/>
                  <w:i/>
                  <w:kern w:val="21"/>
                  <w:szCs w:val="20"/>
                </w:rPr>
              </m:ctrlPr>
            </m:sSupPr>
            <m:e>
              <m:r>
                <w:rPr>
                  <w:rFonts w:ascii="Cambria Math" w:hAnsi="Cambria Math" w:cs="Times New Roman"/>
                  <w:kern w:val="21"/>
                  <w:szCs w:val="20"/>
                </w:rPr>
                <m:t>10</m:t>
              </m:r>
            </m:e>
            <m:sup>
              <m:r>
                <w:rPr>
                  <w:rFonts w:ascii="Cambria Math" w:hAnsi="Cambria Math" w:cs="Times New Roman"/>
                  <w:kern w:val="21"/>
                  <w:szCs w:val="20"/>
                </w:rPr>
                <m:t>0.1</m:t>
              </m:r>
              <m:sSub>
                <m:sSubPr>
                  <m:ctrlPr>
                    <w:rPr>
                      <w:rFonts w:ascii="Cambria Math" w:hAnsi="Cambria Math" w:cs="Times New Roman"/>
                      <w:i/>
                      <w:kern w:val="21"/>
                      <w:szCs w:val="20"/>
                    </w:rPr>
                  </m:ctrlPr>
                </m:sSubPr>
                <m:e>
                  <m:r>
                    <w:rPr>
                      <w:rFonts w:ascii="Cambria Math" w:hAnsi="Cambria Math" w:cs="Times New Roman"/>
                      <w:kern w:val="21"/>
                      <w:szCs w:val="20"/>
                    </w:rPr>
                    <m:t>L</m:t>
                  </m:r>
                </m:e>
                <m:sub>
                  <m:r>
                    <w:rPr>
                      <w:rFonts w:ascii="Cambria Math" w:hAnsi="Cambria Math" w:cs="Times New Roman"/>
                      <w:kern w:val="21"/>
                      <w:szCs w:val="20"/>
                    </w:rPr>
                    <m:t>eqb</m:t>
                  </m:r>
                </m:sub>
              </m:sSub>
            </m:sup>
          </m:sSup>
          <m:r>
            <w:rPr>
              <w:rFonts w:ascii="Cambria Math" w:hAnsi="Cambria Math" w:cs="Times New Roman"/>
              <w:kern w:val="21"/>
              <w:szCs w:val="20"/>
            </w:rPr>
            <m:t>)</m:t>
          </m:r>
        </m:oMath>
      </m:oMathPara>
    </w:p>
    <w:p w14:paraId="021E71AA" w14:textId="77777777" w:rsidR="00544649" w:rsidRDefault="00000000">
      <w:pPr>
        <w:adjustRightInd w:val="0"/>
        <w:snapToGrid w:val="0"/>
        <w:spacing w:after="0"/>
        <w:ind w:firstLine="480"/>
        <w:rPr>
          <w:rFonts w:cs="Times New Roman"/>
          <w:kern w:val="21"/>
          <w:szCs w:val="20"/>
        </w:rPr>
      </w:pPr>
      <w:r>
        <w:rPr>
          <w:rFonts w:cs="Times New Roman" w:hint="eastAsia"/>
          <w:kern w:val="21"/>
          <w:szCs w:val="20"/>
        </w:rPr>
        <w:t>式中：</w:t>
      </w:r>
    </w:p>
    <w:p w14:paraId="64FB3B0E" w14:textId="77777777" w:rsidR="00544649" w:rsidRDefault="00000000">
      <w:pPr>
        <w:adjustRightInd w:val="0"/>
        <w:snapToGrid w:val="0"/>
        <w:spacing w:after="0"/>
        <w:ind w:firstLine="480"/>
        <w:rPr>
          <w:rFonts w:cs="Times New Roman"/>
          <w:kern w:val="21"/>
          <w:szCs w:val="20"/>
        </w:rPr>
      </w:pPr>
      <w:proofErr w:type="spellStart"/>
      <w:r>
        <w:rPr>
          <w:rFonts w:cs="Times New Roman" w:hint="eastAsia"/>
          <w:kern w:val="21"/>
          <w:szCs w:val="20"/>
        </w:rPr>
        <w:t>L</w:t>
      </w:r>
      <w:r>
        <w:rPr>
          <w:rFonts w:cs="Times New Roman" w:hint="eastAsia"/>
          <w:kern w:val="21"/>
          <w:szCs w:val="20"/>
          <w:vertAlign w:val="subscript"/>
        </w:rPr>
        <w:t>eq</w:t>
      </w:r>
      <w:proofErr w:type="spellEnd"/>
      <w:r>
        <w:rPr>
          <w:rFonts w:cs="Times New Roman"/>
          <w:kern w:val="21"/>
          <w:szCs w:val="20"/>
        </w:rPr>
        <w:t>——</w:t>
      </w:r>
      <w:r>
        <w:rPr>
          <w:rFonts w:cs="Times New Roman" w:hint="eastAsia"/>
          <w:kern w:val="21"/>
          <w:szCs w:val="20"/>
        </w:rPr>
        <w:t>预测点的噪声预测值，</w:t>
      </w:r>
      <w:r>
        <w:rPr>
          <w:rFonts w:cs="Times New Roman" w:hint="eastAsia"/>
          <w:kern w:val="21"/>
          <w:szCs w:val="20"/>
        </w:rPr>
        <w:t>dB</w:t>
      </w:r>
      <w:r>
        <w:rPr>
          <w:rFonts w:cs="Times New Roman" w:hint="eastAsia"/>
          <w:kern w:val="21"/>
          <w:szCs w:val="20"/>
        </w:rPr>
        <w:t>；</w:t>
      </w:r>
    </w:p>
    <w:p w14:paraId="1515800D" w14:textId="77777777" w:rsidR="00544649" w:rsidRDefault="00000000">
      <w:pPr>
        <w:adjustRightInd w:val="0"/>
        <w:snapToGrid w:val="0"/>
        <w:spacing w:after="0"/>
        <w:ind w:firstLine="480"/>
        <w:rPr>
          <w:rFonts w:cs="Times New Roman"/>
          <w:kern w:val="21"/>
          <w:szCs w:val="20"/>
        </w:rPr>
      </w:pPr>
      <w:proofErr w:type="spellStart"/>
      <w:r>
        <w:rPr>
          <w:rFonts w:cs="Times New Roman" w:hint="eastAsia"/>
          <w:kern w:val="21"/>
          <w:szCs w:val="20"/>
        </w:rPr>
        <w:t>L</w:t>
      </w:r>
      <w:r>
        <w:rPr>
          <w:rFonts w:cs="Times New Roman" w:hint="eastAsia"/>
          <w:kern w:val="21"/>
          <w:szCs w:val="20"/>
          <w:vertAlign w:val="subscript"/>
        </w:rPr>
        <w:t>eqg</w:t>
      </w:r>
      <w:proofErr w:type="spellEnd"/>
      <w:r>
        <w:rPr>
          <w:rFonts w:cs="Times New Roman"/>
          <w:kern w:val="21"/>
          <w:szCs w:val="20"/>
        </w:rPr>
        <w:t>——</w:t>
      </w:r>
      <w:r>
        <w:rPr>
          <w:rFonts w:cs="Times New Roman" w:hint="eastAsia"/>
          <w:kern w:val="21"/>
          <w:szCs w:val="20"/>
        </w:rPr>
        <w:t>建设项目声源在预测点产生的噪声贡献值，</w:t>
      </w:r>
      <w:r>
        <w:rPr>
          <w:rFonts w:cs="Times New Roman" w:hint="eastAsia"/>
          <w:kern w:val="21"/>
          <w:szCs w:val="20"/>
        </w:rPr>
        <w:t>dB</w:t>
      </w:r>
      <w:r>
        <w:rPr>
          <w:rFonts w:cs="Times New Roman" w:hint="eastAsia"/>
          <w:kern w:val="21"/>
          <w:szCs w:val="20"/>
        </w:rPr>
        <w:t>；</w:t>
      </w:r>
    </w:p>
    <w:p w14:paraId="74DE35C8" w14:textId="77777777" w:rsidR="00544649" w:rsidRDefault="00000000">
      <w:pPr>
        <w:adjustRightInd w:val="0"/>
        <w:snapToGrid w:val="0"/>
        <w:spacing w:after="0"/>
        <w:ind w:firstLine="480"/>
        <w:rPr>
          <w:rFonts w:cs="Times New Roman"/>
          <w:kern w:val="21"/>
        </w:rPr>
      </w:pPr>
      <w:proofErr w:type="spellStart"/>
      <w:r>
        <w:rPr>
          <w:rFonts w:cs="Times New Roman" w:hint="eastAsia"/>
          <w:kern w:val="21"/>
          <w:szCs w:val="20"/>
        </w:rPr>
        <w:t>L</w:t>
      </w:r>
      <w:r>
        <w:rPr>
          <w:rFonts w:cs="Times New Roman" w:hint="eastAsia"/>
          <w:kern w:val="21"/>
          <w:szCs w:val="20"/>
          <w:vertAlign w:val="subscript"/>
        </w:rPr>
        <w:t>eqb</w:t>
      </w:r>
      <w:proofErr w:type="spellEnd"/>
      <w:r>
        <w:rPr>
          <w:rFonts w:cs="Times New Roman"/>
          <w:kern w:val="21"/>
          <w:szCs w:val="20"/>
        </w:rPr>
        <w:t>——</w:t>
      </w:r>
      <w:r>
        <w:rPr>
          <w:rFonts w:cs="Times New Roman" w:hint="eastAsia"/>
          <w:kern w:val="21"/>
          <w:szCs w:val="20"/>
        </w:rPr>
        <w:t>预测点的背景噪声值，</w:t>
      </w:r>
      <w:r>
        <w:rPr>
          <w:rFonts w:cs="Times New Roman" w:hint="eastAsia"/>
          <w:kern w:val="21"/>
          <w:szCs w:val="20"/>
        </w:rPr>
        <w:t>dB</w:t>
      </w:r>
      <w:r>
        <w:rPr>
          <w:rFonts w:cs="Times New Roman" w:hint="eastAsia"/>
          <w:kern w:val="21"/>
          <w:szCs w:val="20"/>
        </w:rPr>
        <w:t>。</w:t>
      </w:r>
    </w:p>
    <w:p w14:paraId="0BC2294E"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hint="eastAsia"/>
          <w:b/>
          <w:bCs/>
          <w:kern w:val="21"/>
        </w:rPr>
        <w:t>预测结果</w:t>
      </w:r>
    </w:p>
    <w:p w14:paraId="6905CA0C"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本项目厂界声环境影响预测结果见下表。</w:t>
      </w:r>
    </w:p>
    <w:p w14:paraId="39011E5F" w14:textId="77777777" w:rsidR="00544649" w:rsidRDefault="00000000">
      <w:pPr>
        <w:adjustRightInd w:val="0"/>
        <w:snapToGrid w:val="0"/>
        <w:spacing w:after="0"/>
        <w:ind w:firstLine="422"/>
        <w:rPr>
          <w:rFonts w:cs="Times New Roman"/>
          <w:kern w:val="21"/>
        </w:rPr>
      </w:pPr>
      <w:r>
        <w:rPr>
          <w:rFonts w:cs="Times New Roman" w:hint="eastAsia"/>
          <w:b/>
          <w:bCs/>
          <w:kern w:val="21"/>
          <w:sz w:val="21"/>
          <w:szCs w:val="21"/>
        </w:rPr>
        <w:t>略</w:t>
      </w:r>
      <w:r>
        <w:rPr>
          <w:rFonts w:hint="eastAsia"/>
          <w:kern w:val="21"/>
        </w:rPr>
        <w:t>。</w:t>
      </w:r>
    </w:p>
    <w:p w14:paraId="7AF6FAD9"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324" w:name="_Toc24586"/>
      <w:bookmarkStart w:id="325" w:name="_Toc195009890"/>
      <w:r>
        <w:rPr>
          <w:rFonts w:cs="Times New Roman"/>
          <w:b/>
          <w:bCs/>
          <w:kern w:val="21"/>
          <w:sz w:val="28"/>
          <w:szCs w:val="24"/>
        </w:rPr>
        <w:t>运营期固体废物环境影响分析</w:t>
      </w:r>
      <w:bookmarkEnd w:id="324"/>
      <w:bookmarkEnd w:id="325"/>
    </w:p>
    <w:p w14:paraId="70025CF3" w14:textId="77777777" w:rsidR="00544649" w:rsidRDefault="00000000">
      <w:pPr>
        <w:adjustRightInd w:val="0"/>
        <w:snapToGrid w:val="0"/>
        <w:spacing w:after="0"/>
        <w:ind w:firstLine="480"/>
        <w:rPr>
          <w:rFonts w:cs="Times New Roman"/>
          <w:kern w:val="21"/>
          <w:szCs w:val="24"/>
        </w:rPr>
      </w:pPr>
      <w:r>
        <w:rPr>
          <w:rFonts w:cs="Times New Roman"/>
          <w:kern w:val="21"/>
          <w:szCs w:val="24"/>
        </w:rPr>
        <w:t>防止固体废物污染环境，保障人体健康，对固体废物的处置首先考虑合理使用资源，充分回收，尽可能减少固体废物产生量，其次考虑对其安全、合理、卫生的处置，力图以</w:t>
      </w:r>
      <w:proofErr w:type="gramStart"/>
      <w:r>
        <w:rPr>
          <w:rFonts w:cs="Times New Roman"/>
          <w:kern w:val="21"/>
          <w:szCs w:val="24"/>
        </w:rPr>
        <w:t>最</w:t>
      </w:r>
      <w:proofErr w:type="gramEnd"/>
      <w:r>
        <w:rPr>
          <w:rFonts w:cs="Times New Roman"/>
          <w:kern w:val="21"/>
          <w:szCs w:val="24"/>
        </w:rPr>
        <w:t>经济和可靠的方式将</w:t>
      </w:r>
      <w:r>
        <w:rPr>
          <w:rFonts w:cs="Times New Roman"/>
          <w:kern w:val="21"/>
        </w:rPr>
        <w:t>废物</w:t>
      </w:r>
      <w:r>
        <w:rPr>
          <w:rFonts w:cs="Times New Roman"/>
          <w:kern w:val="21"/>
          <w:szCs w:val="24"/>
        </w:rPr>
        <w:t>量最小化、无害化和资源化，最大限度降低对环境的不利影响。</w:t>
      </w:r>
    </w:p>
    <w:p w14:paraId="25B4DBE0" w14:textId="77777777" w:rsidR="00544649" w:rsidRDefault="00000000">
      <w:pPr>
        <w:adjustRightInd w:val="0"/>
        <w:snapToGrid w:val="0"/>
        <w:spacing w:after="0"/>
        <w:ind w:firstLine="480"/>
        <w:rPr>
          <w:rFonts w:cs="Times New Roman"/>
          <w:kern w:val="21"/>
          <w:szCs w:val="24"/>
        </w:rPr>
      </w:pPr>
      <w:r>
        <w:rPr>
          <w:rFonts w:cs="Times New Roman"/>
          <w:kern w:val="21"/>
          <w:szCs w:val="24"/>
        </w:rPr>
        <w:t>各类固体废物按照性质不同暂存于不同的区域，并对相关区域采取对应的防腐、</w:t>
      </w:r>
      <w:r>
        <w:rPr>
          <w:rFonts w:cs="Times New Roman"/>
          <w:kern w:val="21"/>
          <w:szCs w:val="24"/>
        </w:rPr>
        <w:lastRenderedPageBreak/>
        <w:t>防渗措施，并配置专人做好日常的巡查工作。</w:t>
      </w:r>
    </w:p>
    <w:p w14:paraId="2663F51F"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固体废物产生及处置情况</w:t>
      </w:r>
    </w:p>
    <w:p w14:paraId="20ABC8E3" w14:textId="77777777" w:rsidR="00544649" w:rsidRDefault="00000000">
      <w:pPr>
        <w:adjustRightInd w:val="0"/>
        <w:snapToGrid w:val="0"/>
        <w:spacing w:after="0"/>
        <w:ind w:firstLine="480"/>
        <w:rPr>
          <w:rFonts w:cs="Times New Roman"/>
          <w:kern w:val="21"/>
          <w:szCs w:val="24"/>
        </w:rPr>
      </w:pPr>
      <w:r>
        <w:rPr>
          <w:rFonts w:cs="Times New Roman"/>
          <w:kern w:val="21"/>
          <w:szCs w:val="24"/>
        </w:rPr>
        <w:t>本项目运行过程中产生的固体废物</w:t>
      </w:r>
      <w:r>
        <w:rPr>
          <w:rFonts w:cs="Times New Roman"/>
          <w:kern w:val="21"/>
        </w:rPr>
        <w:t>分为</w:t>
      </w:r>
      <w:r>
        <w:rPr>
          <w:rFonts w:cs="Times New Roman"/>
          <w:kern w:val="21"/>
          <w:szCs w:val="24"/>
        </w:rPr>
        <w:t>危险废物、一般固废两类，</w:t>
      </w:r>
      <w:r>
        <w:rPr>
          <w:rFonts w:cs="Times New Roman" w:hint="eastAsia"/>
          <w:kern w:val="21"/>
          <w:szCs w:val="24"/>
        </w:rPr>
        <w:t>一般固</w:t>
      </w:r>
      <w:proofErr w:type="gramStart"/>
      <w:r>
        <w:rPr>
          <w:rFonts w:cs="Times New Roman" w:hint="eastAsia"/>
          <w:kern w:val="21"/>
          <w:szCs w:val="24"/>
        </w:rPr>
        <w:t>废包括</w:t>
      </w:r>
      <w:proofErr w:type="gramEnd"/>
      <w:r>
        <w:rPr>
          <w:rFonts w:cs="Times New Roman"/>
          <w:kern w:val="21"/>
        </w:rPr>
        <w:t>鸡粪、饲料残渣及散落羽毛、</w:t>
      </w:r>
      <w:r>
        <w:rPr>
          <w:rFonts w:cs="Times New Roman" w:hint="eastAsia"/>
          <w:kern w:val="21"/>
        </w:rPr>
        <w:t>废垫料、不合格鸡蛋</w:t>
      </w:r>
      <w:r>
        <w:rPr>
          <w:rFonts w:cs="Times New Roman"/>
          <w:kern w:val="21"/>
        </w:rPr>
        <w:t>、病死鸡、</w:t>
      </w:r>
      <w:r>
        <w:rPr>
          <w:rFonts w:cs="Times New Roman" w:hint="eastAsia"/>
          <w:kern w:val="21"/>
        </w:rPr>
        <w:t>畜禽医疗废物</w:t>
      </w:r>
      <w:r>
        <w:rPr>
          <w:rFonts w:cs="Times New Roman"/>
          <w:kern w:val="21"/>
        </w:rPr>
        <w:t>、</w:t>
      </w:r>
      <w:r>
        <w:rPr>
          <w:rFonts w:cs="Times New Roman" w:hint="eastAsia"/>
          <w:kern w:val="21"/>
        </w:rPr>
        <w:t>废包装材料、生活垃圾及餐厨垃圾、垫料；危险废物包括废润滑油、废润滑油桶、废含油抹布及手套、废紫外线灯管。</w:t>
      </w:r>
      <w:r>
        <w:rPr>
          <w:rFonts w:cs="Times New Roman"/>
          <w:kern w:val="21"/>
          <w:szCs w:val="24"/>
        </w:rPr>
        <w:t>本项目固</w:t>
      </w:r>
      <w:proofErr w:type="gramStart"/>
      <w:r>
        <w:rPr>
          <w:rFonts w:cs="Times New Roman"/>
          <w:kern w:val="21"/>
          <w:szCs w:val="24"/>
        </w:rPr>
        <w:t>废产生</w:t>
      </w:r>
      <w:proofErr w:type="gramEnd"/>
      <w:r>
        <w:rPr>
          <w:rFonts w:cs="Times New Roman"/>
          <w:kern w:val="21"/>
          <w:szCs w:val="24"/>
        </w:rPr>
        <w:t>及处置情况</w:t>
      </w:r>
      <w:r>
        <w:rPr>
          <w:rFonts w:cs="Times New Roman" w:hint="eastAsia"/>
          <w:kern w:val="21"/>
          <w:szCs w:val="24"/>
        </w:rPr>
        <w:t>见下表</w:t>
      </w:r>
      <w:r>
        <w:rPr>
          <w:rFonts w:cs="Times New Roman"/>
          <w:kern w:val="21"/>
          <w:szCs w:val="24"/>
        </w:rPr>
        <w:t>。</w:t>
      </w:r>
    </w:p>
    <w:p w14:paraId="36B6D112" w14:textId="77777777" w:rsidR="00544649" w:rsidRDefault="00000000">
      <w:pPr>
        <w:adjustRightInd w:val="0"/>
        <w:snapToGrid w:val="0"/>
        <w:spacing w:after="0"/>
        <w:ind w:firstLine="480"/>
        <w:rPr>
          <w:rFonts w:cs="Times New Roman"/>
          <w:b/>
          <w:bCs/>
          <w:kern w:val="21"/>
          <w:sz w:val="21"/>
          <w:szCs w:val="21"/>
        </w:rPr>
      </w:pPr>
      <w:r>
        <w:rPr>
          <w:rFonts w:cs="Times New Roman" w:hint="eastAsia"/>
          <w:kern w:val="21"/>
          <w:szCs w:val="24"/>
        </w:rPr>
        <w:t>略。</w:t>
      </w:r>
    </w:p>
    <w:p w14:paraId="0399241B"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固体废物暂存环节影响分析</w:t>
      </w:r>
    </w:p>
    <w:p w14:paraId="250AD04A" w14:textId="77777777" w:rsidR="00544649" w:rsidRDefault="00000000">
      <w:pPr>
        <w:adjustRightInd w:val="0"/>
        <w:snapToGrid w:val="0"/>
        <w:spacing w:after="0"/>
        <w:ind w:firstLine="480"/>
        <w:rPr>
          <w:rFonts w:cs="Times New Roman"/>
          <w:kern w:val="21"/>
          <w:szCs w:val="24"/>
        </w:rPr>
      </w:pPr>
      <w:r>
        <w:rPr>
          <w:rFonts w:cs="Times New Roman"/>
          <w:kern w:val="21"/>
          <w:szCs w:val="24"/>
        </w:rPr>
        <w:t>场内针对产生固</w:t>
      </w:r>
      <w:proofErr w:type="gramStart"/>
      <w:r>
        <w:rPr>
          <w:rFonts w:cs="Times New Roman"/>
          <w:kern w:val="21"/>
          <w:szCs w:val="24"/>
        </w:rPr>
        <w:t>废必须</w:t>
      </w:r>
      <w:proofErr w:type="gramEnd"/>
      <w:r>
        <w:rPr>
          <w:rFonts w:cs="Times New Roman"/>
          <w:kern w:val="21"/>
          <w:szCs w:val="24"/>
        </w:rPr>
        <w:t>分类堆放，危险废物</w:t>
      </w:r>
      <w:proofErr w:type="gramStart"/>
      <w:r>
        <w:rPr>
          <w:rFonts w:cs="Times New Roman"/>
          <w:kern w:val="21"/>
          <w:szCs w:val="24"/>
        </w:rPr>
        <w:t>设危废</w:t>
      </w:r>
      <w:proofErr w:type="gramEnd"/>
      <w:r>
        <w:rPr>
          <w:rFonts w:cs="Times New Roman"/>
          <w:kern w:val="21"/>
          <w:szCs w:val="24"/>
        </w:rPr>
        <w:t>暂存</w:t>
      </w:r>
      <w:r>
        <w:rPr>
          <w:rFonts w:cs="Times New Roman" w:hint="eastAsia"/>
          <w:kern w:val="21"/>
          <w:szCs w:val="24"/>
        </w:rPr>
        <w:t>间</w:t>
      </w:r>
      <w:r>
        <w:rPr>
          <w:rFonts w:cs="Times New Roman"/>
          <w:kern w:val="21"/>
          <w:szCs w:val="24"/>
        </w:rPr>
        <w:t>专门存放。针对具体危险废物严格按照国家相关要求进行分类回收和存放，禁止将危险废物混入非危险废物中贮存；</w:t>
      </w:r>
      <w:proofErr w:type="gramStart"/>
      <w:r>
        <w:rPr>
          <w:rFonts w:cs="Times New Roman"/>
          <w:kern w:val="21"/>
          <w:szCs w:val="24"/>
        </w:rPr>
        <w:t>危废暂存</w:t>
      </w:r>
      <w:proofErr w:type="gramEnd"/>
      <w:r>
        <w:rPr>
          <w:rFonts w:cs="Times New Roman" w:hint="eastAsia"/>
          <w:kern w:val="21"/>
          <w:szCs w:val="24"/>
        </w:rPr>
        <w:t>间</w:t>
      </w:r>
      <w:r>
        <w:rPr>
          <w:rFonts w:cs="Times New Roman"/>
          <w:kern w:val="21"/>
          <w:szCs w:val="24"/>
        </w:rPr>
        <w:t>必须按规范设计，采取人工防渗措施、废液收集措施，并进行防风、防雨、防晒处理，并悬挂相应警示标志。项目危险废物在出厂前分类收集</w:t>
      </w:r>
      <w:proofErr w:type="gramStart"/>
      <w:r>
        <w:rPr>
          <w:rFonts w:cs="Times New Roman"/>
          <w:kern w:val="21"/>
          <w:szCs w:val="24"/>
        </w:rPr>
        <w:t>到危废桶</w:t>
      </w:r>
      <w:proofErr w:type="gramEnd"/>
      <w:r>
        <w:rPr>
          <w:rFonts w:cs="Times New Roman"/>
          <w:kern w:val="21"/>
          <w:szCs w:val="24"/>
        </w:rPr>
        <w:t>或料斗，由专业运输单位负责运输。</w:t>
      </w:r>
    </w:p>
    <w:p w14:paraId="2AE56E5E" w14:textId="77777777" w:rsidR="00544649" w:rsidRDefault="00000000">
      <w:pPr>
        <w:adjustRightInd w:val="0"/>
        <w:snapToGrid w:val="0"/>
        <w:spacing w:after="0"/>
        <w:ind w:firstLine="480"/>
        <w:rPr>
          <w:rFonts w:cs="Times New Roman"/>
          <w:kern w:val="21"/>
          <w:szCs w:val="24"/>
        </w:rPr>
      </w:pPr>
      <w:r>
        <w:rPr>
          <w:rFonts w:cs="Times New Roman"/>
          <w:kern w:val="21"/>
        </w:rPr>
        <w:t>环评要求，本项目</w:t>
      </w:r>
      <w:proofErr w:type="gramStart"/>
      <w:r>
        <w:rPr>
          <w:rFonts w:cs="Times New Roman" w:hint="eastAsia"/>
          <w:kern w:val="21"/>
        </w:rPr>
        <w:t>育雏场</w:t>
      </w:r>
      <w:proofErr w:type="gramEnd"/>
      <w:r>
        <w:rPr>
          <w:rFonts w:cs="Times New Roman" w:hint="eastAsia"/>
          <w:kern w:val="21"/>
        </w:rPr>
        <w:t>及蛋鸡场分别</w:t>
      </w:r>
      <w:r>
        <w:rPr>
          <w:rFonts w:cs="Times New Roman"/>
          <w:kern w:val="21"/>
        </w:rPr>
        <w:t>设置</w:t>
      </w:r>
      <w:r>
        <w:rPr>
          <w:rFonts w:cs="Times New Roman" w:hint="eastAsia"/>
          <w:kern w:val="21"/>
        </w:rPr>
        <w:t>一间</w:t>
      </w:r>
      <w:r>
        <w:rPr>
          <w:rFonts w:cs="Times New Roman"/>
          <w:kern w:val="21"/>
        </w:rPr>
        <w:t>危险废物暂存间，建筑面积</w:t>
      </w:r>
      <w:r>
        <w:rPr>
          <w:rFonts w:cs="Times New Roman" w:hint="eastAsia"/>
          <w:kern w:val="21"/>
        </w:rPr>
        <w:t>均</w:t>
      </w:r>
      <w:r>
        <w:rPr>
          <w:rFonts w:cs="Times New Roman"/>
          <w:kern w:val="21"/>
        </w:rPr>
        <w:t>为</w:t>
      </w:r>
      <w:r>
        <w:rPr>
          <w:rFonts w:cs="Times New Roman"/>
          <w:kern w:val="21"/>
        </w:rPr>
        <w:t>10m</w:t>
      </w:r>
      <w:r>
        <w:rPr>
          <w:rFonts w:cs="Times New Roman"/>
          <w:kern w:val="21"/>
          <w:vertAlign w:val="superscript"/>
        </w:rPr>
        <w:t>2</w:t>
      </w:r>
      <w:r>
        <w:rPr>
          <w:rFonts w:cs="Times New Roman" w:hint="eastAsia"/>
          <w:kern w:val="21"/>
        </w:rPr>
        <w:t>，</w:t>
      </w:r>
      <w:r>
        <w:rPr>
          <w:rFonts w:cs="Times New Roman" w:hint="eastAsia"/>
          <w:kern w:val="21"/>
          <w:szCs w:val="24"/>
        </w:rPr>
        <w:t>危险废物的处置按照《建设项目危险废物环境影响评价指南》、《危险废物收集、贮存、运输技术规范》（</w:t>
      </w:r>
      <w:r>
        <w:rPr>
          <w:rFonts w:cs="Times New Roman" w:hint="eastAsia"/>
          <w:kern w:val="21"/>
          <w:szCs w:val="24"/>
        </w:rPr>
        <w:t>HJ2025-2012</w:t>
      </w:r>
      <w:r>
        <w:rPr>
          <w:rFonts w:cs="Times New Roman" w:hint="eastAsia"/>
          <w:kern w:val="21"/>
          <w:szCs w:val="24"/>
        </w:rPr>
        <w:t>）、《危险废物贮存污染控制标准》（</w:t>
      </w:r>
      <w:r>
        <w:rPr>
          <w:rFonts w:cs="Times New Roman" w:hint="eastAsia"/>
          <w:kern w:val="21"/>
          <w:szCs w:val="24"/>
        </w:rPr>
        <w:t>GB18597-2023</w:t>
      </w:r>
      <w:r>
        <w:rPr>
          <w:rFonts w:cs="Times New Roman" w:hint="eastAsia"/>
          <w:kern w:val="21"/>
          <w:szCs w:val="24"/>
        </w:rPr>
        <w:t>）相关规定要求对危险废物进行收集、贮存，建立危险</w:t>
      </w:r>
      <w:proofErr w:type="gramStart"/>
      <w:r>
        <w:rPr>
          <w:rFonts w:cs="Times New Roman" w:hint="eastAsia"/>
          <w:kern w:val="21"/>
          <w:szCs w:val="24"/>
        </w:rPr>
        <w:t>废物台账对</w:t>
      </w:r>
      <w:proofErr w:type="gramEnd"/>
      <w:r>
        <w:rPr>
          <w:rFonts w:cs="Times New Roman" w:hint="eastAsia"/>
          <w:kern w:val="21"/>
          <w:szCs w:val="24"/>
        </w:rPr>
        <w:t>危险固废进行管理，地面参照《危险废物贮存污染控制标准》（</w:t>
      </w:r>
      <w:r>
        <w:rPr>
          <w:rFonts w:cs="Times New Roman" w:hint="eastAsia"/>
          <w:kern w:val="21"/>
          <w:szCs w:val="24"/>
        </w:rPr>
        <w:t>GB18597-2023</w:t>
      </w:r>
      <w:r>
        <w:rPr>
          <w:rFonts w:cs="Times New Roman" w:hint="eastAsia"/>
          <w:kern w:val="21"/>
          <w:szCs w:val="24"/>
        </w:rPr>
        <w:t>）要求，采用</w:t>
      </w:r>
      <w:r>
        <w:rPr>
          <w:rFonts w:cs="Times New Roman" w:hint="eastAsia"/>
          <w:kern w:val="21"/>
          <w:szCs w:val="24"/>
        </w:rPr>
        <w:t>2mm</w:t>
      </w:r>
      <w:r>
        <w:rPr>
          <w:rFonts w:cs="Times New Roman" w:hint="eastAsia"/>
          <w:kern w:val="21"/>
          <w:szCs w:val="24"/>
        </w:rPr>
        <w:t>厚</w:t>
      </w:r>
      <w:r>
        <w:rPr>
          <w:rFonts w:cs="Times New Roman" w:hint="eastAsia"/>
          <w:kern w:val="21"/>
          <w:szCs w:val="24"/>
        </w:rPr>
        <w:t>HDPE</w:t>
      </w:r>
      <w:r>
        <w:rPr>
          <w:rFonts w:cs="Times New Roman" w:hint="eastAsia"/>
          <w:kern w:val="21"/>
          <w:szCs w:val="24"/>
        </w:rPr>
        <w:t>膜进行防渗，并设置托盘。</w:t>
      </w:r>
    </w:p>
    <w:p w14:paraId="0224C945" w14:textId="77777777" w:rsidR="00544649" w:rsidRDefault="00000000">
      <w:pPr>
        <w:adjustRightInd w:val="0"/>
        <w:snapToGrid w:val="0"/>
        <w:spacing w:after="0"/>
        <w:ind w:firstLine="480"/>
        <w:rPr>
          <w:rFonts w:cs="Times New Roman"/>
          <w:kern w:val="21"/>
        </w:rPr>
      </w:pPr>
      <w:r>
        <w:rPr>
          <w:rFonts w:cs="Times New Roman"/>
          <w:kern w:val="21"/>
        </w:rPr>
        <w:t>在采取上述预防措施和办法后，本项目所产生的</w:t>
      </w:r>
      <w:proofErr w:type="gramStart"/>
      <w:r>
        <w:rPr>
          <w:rFonts w:cs="Times New Roman"/>
          <w:kern w:val="21"/>
        </w:rPr>
        <w:t>各固废均</w:t>
      </w:r>
      <w:proofErr w:type="gramEnd"/>
      <w:r>
        <w:rPr>
          <w:rFonts w:cs="Times New Roman"/>
          <w:kern w:val="21"/>
        </w:rPr>
        <w:t>可合理有效的处理和处置，其产生的固体废弃物不会对周围环境造成二次污染。</w:t>
      </w:r>
    </w:p>
    <w:p w14:paraId="584A05F3"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326" w:name="_Toc195009891"/>
      <w:r>
        <w:rPr>
          <w:rFonts w:cs="Times New Roman"/>
          <w:b/>
          <w:bCs/>
          <w:kern w:val="21"/>
          <w:sz w:val="28"/>
          <w:szCs w:val="24"/>
        </w:rPr>
        <w:t>生态环境影响分析</w:t>
      </w:r>
      <w:bookmarkEnd w:id="326"/>
    </w:p>
    <w:p w14:paraId="2AD329BA"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hint="eastAsia"/>
          <w:b/>
          <w:bCs/>
          <w:kern w:val="21"/>
        </w:rPr>
        <w:t>项目所在区域</w:t>
      </w:r>
      <w:r>
        <w:rPr>
          <w:rFonts w:cs="Times New Roman"/>
          <w:b/>
          <w:bCs/>
          <w:kern w:val="21"/>
        </w:rPr>
        <w:t>生态环境影响分析</w:t>
      </w:r>
    </w:p>
    <w:p w14:paraId="01F48503"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项目各厂区废水经厂内污水处理站处理达标后用于周边林地灌溉，不外排。</w:t>
      </w:r>
      <w:r>
        <w:rPr>
          <w:rFonts w:cs="Times New Roman"/>
          <w:kern w:val="21"/>
          <w:szCs w:val="24"/>
        </w:rPr>
        <w:t>建设单位在严格按照操作规程进行的情况下，不会对区域的水生生态环境造成明显影响。项目固</w:t>
      </w:r>
      <w:proofErr w:type="gramStart"/>
      <w:r>
        <w:rPr>
          <w:rFonts w:cs="Times New Roman"/>
          <w:kern w:val="21"/>
          <w:szCs w:val="24"/>
        </w:rPr>
        <w:t>废处理</w:t>
      </w:r>
      <w:proofErr w:type="gramEnd"/>
      <w:r>
        <w:rPr>
          <w:rFonts w:cs="Times New Roman"/>
          <w:kern w:val="21"/>
          <w:szCs w:val="24"/>
        </w:rPr>
        <w:t>处置率达</w:t>
      </w:r>
      <w:r>
        <w:rPr>
          <w:rFonts w:cs="Times New Roman"/>
          <w:kern w:val="21"/>
          <w:szCs w:val="24"/>
        </w:rPr>
        <w:t>100%</w:t>
      </w:r>
      <w:r>
        <w:rPr>
          <w:rFonts w:cs="Times New Roman"/>
          <w:kern w:val="21"/>
          <w:szCs w:val="24"/>
        </w:rPr>
        <w:t>，不会积压或占用大部分土地，不对区域的景观生态环境造成严重影响。</w:t>
      </w:r>
    </w:p>
    <w:p w14:paraId="1C9F7FA9" w14:textId="77777777" w:rsidR="00544649" w:rsidRDefault="00000000">
      <w:pPr>
        <w:widowControl/>
        <w:adjustRightInd w:val="0"/>
        <w:snapToGrid w:val="0"/>
        <w:spacing w:after="0"/>
        <w:ind w:firstLine="482"/>
        <w:jc w:val="left"/>
        <w:rPr>
          <w:rFonts w:cs="Times New Roman"/>
          <w:b/>
          <w:bCs/>
          <w:kern w:val="21"/>
        </w:rPr>
      </w:pPr>
      <w:r>
        <w:rPr>
          <w:rFonts w:cs="Times New Roman" w:hint="eastAsia"/>
          <w:b/>
          <w:bCs/>
          <w:kern w:val="21"/>
        </w:rPr>
        <w:t>1</w:t>
      </w:r>
      <w:r>
        <w:rPr>
          <w:rFonts w:cs="Times New Roman" w:hint="eastAsia"/>
          <w:b/>
          <w:bCs/>
          <w:kern w:val="21"/>
        </w:rPr>
        <w:t>、</w:t>
      </w:r>
      <w:r>
        <w:rPr>
          <w:rFonts w:ascii="宋体" w:hAnsi="宋体" w:cs="宋体" w:hint="eastAsia"/>
          <w:b/>
          <w:bCs/>
          <w:kern w:val="21"/>
          <w:szCs w:val="24"/>
          <w:lang w:bidi="ar"/>
        </w:rPr>
        <w:t>土壤生产力影响分析</w:t>
      </w:r>
    </w:p>
    <w:p w14:paraId="2DF13962" w14:textId="77777777" w:rsidR="00544649" w:rsidRDefault="00000000">
      <w:pPr>
        <w:adjustRightInd w:val="0"/>
        <w:snapToGrid w:val="0"/>
        <w:spacing w:after="0"/>
        <w:ind w:firstLine="480"/>
        <w:rPr>
          <w:rFonts w:cs="Times New Roman"/>
          <w:kern w:val="21"/>
        </w:rPr>
      </w:pPr>
      <w:r>
        <w:rPr>
          <w:rFonts w:hint="eastAsia"/>
          <w:kern w:val="21"/>
        </w:rPr>
        <w:t>经处理后的废水含有</w:t>
      </w:r>
      <w:r>
        <w:rPr>
          <w:kern w:val="21"/>
        </w:rPr>
        <w:t>COD</w:t>
      </w:r>
      <w:r>
        <w:rPr>
          <w:rFonts w:hint="eastAsia"/>
          <w:kern w:val="21"/>
        </w:rPr>
        <w:t>、</w:t>
      </w:r>
      <w:r>
        <w:rPr>
          <w:kern w:val="21"/>
        </w:rPr>
        <w:t>BOD</w:t>
      </w:r>
      <w:r>
        <w:rPr>
          <w:kern w:val="21"/>
          <w:vertAlign w:val="subscript"/>
        </w:rPr>
        <w:t>5</w:t>
      </w:r>
      <w:r>
        <w:rPr>
          <w:rFonts w:hint="eastAsia"/>
          <w:kern w:val="21"/>
        </w:rPr>
        <w:t>和较丰富的氮、磷、钾等营养元素以及钙、镁、锰等多种微量元素，不含有毒有害物质，极易做根外施肥，对种植林木有增产作用。</w:t>
      </w:r>
      <w:r>
        <w:rPr>
          <w:rFonts w:hint="eastAsia"/>
          <w:kern w:val="21"/>
        </w:rPr>
        <w:lastRenderedPageBreak/>
        <w:t>可以节省大量化肥，提高作物产量，改善土壤理化性质，提高土壤肥力，有利于农作物的生长。但在用于林地灌溉利用时，如果施用过量或不当，也会造成土壤污染；粪便未经无害化处理作为有机肥进入土壤，粪便中的蛋白质、脂肪、糖等有机质可能会出现降解不完全和厌氧腐解，产生恶臭物质和亚硝酸盐等有害物质，引起土壤的组成和性状发生改变；导致土壤孔隙堵塞，造成土壤透气、透水性下降及板结，严重影响土壤质量。随着养殖废料废水的日积月累，现有土地的降解消</w:t>
      </w:r>
      <w:proofErr w:type="gramStart"/>
      <w:r>
        <w:rPr>
          <w:rFonts w:hint="eastAsia"/>
          <w:kern w:val="21"/>
        </w:rPr>
        <w:t>纳能力</w:t>
      </w:r>
      <w:proofErr w:type="gramEnd"/>
      <w:r>
        <w:rPr>
          <w:rFonts w:hint="eastAsia"/>
          <w:kern w:val="21"/>
        </w:rPr>
        <w:t>将自然减退，其污染对周围环境的破坏与影响将逐步显现，本项目消</w:t>
      </w:r>
      <w:proofErr w:type="gramStart"/>
      <w:r>
        <w:rPr>
          <w:rFonts w:hint="eastAsia"/>
          <w:kern w:val="21"/>
        </w:rPr>
        <w:t>纳土地</w:t>
      </w:r>
      <w:proofErr w:type="gramEnd"/>
      <w:r>
        <w:rPr>
          <w:rFonts w:hint="eastAsia"/>
          <w:kern w:val="21"/>
        </w:rPr>
        <w:t>主要种植人工林（如杨树、柏木等），在林木种植过程中使用养殖场产生的生活污水及鸡舍清洗废水等进行施用，可以有效改善区域土地肥力，且做到科学施肥。</w:t>
      </w:r>
    </w:p>
    <w:p w14:paraId="1A333DEB" w14:textId="77777777" w:rsidR="00544649" w:rsidRDefault="00000000">
      <w:pPr>
        <w:widowControl/>
        <w:adjustRightInd w:val="0"/>
        <w:snapToGrid w:val="0"/>
        <w:spacing w:after="0"/>
        <w:ind w:firstLine="482"/>
        <w:jc w:val="left"/>
        <w:rPr>
          <w:b/>
          <w:bCs/>
          <w:kern w:val="21"/>
        </w:rPr>
      </w:pPr>
      <w:r>
        <w:rPr>
          <w:rFonts w:hint="eastAsia"/>
          <w:b/>
          <w:bCs/>
          <w:kern w:val="21"/>
        </w:rPr>
        <w:t>2</w:t>
      </w:r>
      <w:r>
        <w:rPr>
          <w:rFonts w:hint="eastAsia"/>
          <w:b/>
          <w:bCs/>
          <w:kern w:val="21"/>
        </w:rPr>
        <w:t>、</w:t>
      </w:r>
      <w:r>
        <w:rPr>
          <w:rFonts w:ascii="宋体" w:hAnsi="宋体" w:cs="宋体" w:hint="eastAsia"/>
          <w:b/>
          <w:bCs/>
          <w:kern w:val="21"/>
          <w:szCs w:val="24"/>
          <w:lang w:bidi="ar"/>
        </w:rPr>
        <w:t>对区域植被生物量的影响</w:t>
      </w:r>
    </w:p>
    <w:p w14:paraId="3ADB27A1" w14:textId="77777777" w:rsidR="00544649" w:rsidRDefault="00000000">
      <w:pPr>
        <w:adjustRightInd w:val="0"/>
        <w:snapToGrid w:val="0"/>
        <w:spacing w:after="0"/>
        <w:ind w:firstLine="480"/>
        <w:rPr>
          <w:kern w:val="21"/>
        </w:rPr>
      </w:pPr>
      <w:r>
        <w:rPr>
          <w:rFonts w:hint="eastAsia"/>
          <w:kern w:val="21"/>
        </w:rPr>
        <w:t>本项目工程建设主要在原有地貌的基础上，建设鸡舍，项目占地面积较小，且不占用区域保留原有植被，不会对区域植被造成较大不良影响。</w:t>
      </w:r>
    </w:p>
    <w:p w14:paraId="048C1B5E" w14:textId="77777777" w:rsidR="00544649" w:rsidRDefault="00000000">
      <w:pPr>
        <w:adjustRightInd w:val="0"/>
        <w:snapToGrid w:val="0"/>
        <w:spacing w:after="0"/>
        <w:ind w:firstLine="480"/>
        <w:rPr>
          <w:kern w:val="21"/>
        </w:rPr>
      </w:pPr>
      <w:r>
        <w:rPr>
          <w:rFonts w:hint="eastAsia"/>
          <w:kern w:val="21"/>
        </w:rPr>
        <w:t>结合项目目前实际情况来看，项目所在地植被覆盖率较高，没有存在明显的水土流失现象，因此，项目的建设不会对当地生态环境带来明显不利影响。由于</w:t>
      </w:r>
      <w:proofErr w:type="gramStart"/>
      <w:r>
        <w:rPr>
          <w:rFonts w:hint="eastAsia"/>
          <w:kern w:val="21"/>
        </w:rPr>
        <w:t>评价区</w:t>
      </w:r>
      <w:proofErr w:type="gramEnd"/>
      <w:r>
        <w:rPr>
          <w:rFonts w:hint="eastAsia"/>
          <w:kern w:val="21"/>
        </w:rPr>
        <w:t>以林地、耕地为主，林地生态系统的连通性、阻抗稳定性和整体生态稳定性好，</w:t>
      </w:r>
      <w:proofErr w:type="gramStart"/>
      <w:r>
        <w:rPr>
          <w:rFonts w:hint="eastAsia"/>
          <w:kern w:val="21"/>
        </w:rPr>
        <w:t>评价区整体</w:t>
      </w:r>
      <w:proofErr w:type="gramEnd"/>
      <w:r>
        <w:rPr>
          <w:rFonts w:hint="eastAsia"/>
          <w:kern w:val="21"/>
        </w:rPr>
        <w:t>生态系统环境良好。项目运营期对生态环境的影响不大。</w:t>
      </w:r>
    </w:p>
    <w:p w14:paraId="0E028A64" w14:textId="77777777" w:rsidR="00544649" w:rsidRDefault="00000000">
      <w:pPr>
        <w:pStyle w:val="a9"/>
        <w:adjustRightInd w:val="0"/>
        <w:snapToGrid w:val="0"/>
        <w:spacing w:after="0"/>
        <w:ind w:firstLine="480"/>
        <w:rPr>
          <w:rFonts w:cs="Times New Roman"/>
          <w:kern w:val="21"/>
        </w:rPr>
      </w:pPr>
      <w:r>
        <w:rPr>
          <w:rFonts w:cs="Times New Roman"/>
          <w:kern w:val="21"/>
        </w:rPr>
        <w:t>本项目废水主要为</w:t>
      </w:r>
      <w:r>
        <w:rPr>
          <w:rFonts w:cs="Times New Roman" w:hint="eastAsia"/>
          <w:kern w:val="21"/>
        </w:rPr>
        <w:t>餐厨废水、员工</w:t>
      </w:r>
      <w:r>
        <w:rPr>
          <w:rFonts w:cs="Times New Roman"/>
          <w:kern w:val="21"/>
        </w:rPr>
        <w:t>生活污水</w:t>
      </w:r>
      <w:r>
        <w:rPr>
          <w:rFonts w:cs="Times New Roman" w:hint="eastAsia"/>
          <w:kern w:val="21"/>
        </w:rPr>
        <w:t>、鸡舍清洗废水及蛋品清洗废水等</w:t>
      </w:r>
      <w:r>
        <w:rPr>
          <w:rFonts w:cs="Times New Roman"/>
          <w:kern w:val="21"/>
        </w:rPr>
        <w:t>，</w:t>
      </w:r>
      <w:r>
        <w:rPr>
          <w:rFonts w:cs="Times New Roman" w:hint="eastAsia"/>
          <w:kern w:val="21"/>
        </w:rPr>
        <w:t>经场内污水处理站处理达标后</w:t>
      </w:r>
      <w:r>
        <w:rPr>
          <w:rFonts w:cs="Times New Roman"/>
          <w:kern w:val="21"/>
        </w:rPr>
        <w:t>，</w:t>
      </w:r>
      <w:r>
        <w:rPr>
          <w:rFonts w:cs="Times New Roman" w:hint="eastAsia"/>
          <w:kern w:val="21"/>
        </w:rPr>
        <w:t>用于周边林地灌溉，</w:t>
      </w:r>
      <w:r>
        <w:rPr>
          <w:rFonts w:cs="Times New Roman"/>
          <w:kern w:val="21"/>
        </w:rPr>
        <w:t>项目无废水外排，企业在严格按照操作规程进行的情况下，不会对区域的生态环境造成影响。</w:t>
      </w:r>
    </w:p>
    <w:p w14:paraId="1283DC5F" w14:textId="77777777" w:rsidR="00544649" w:rsidRDefault="00000000">
      <w:pPr>
        <w:pStyle w:val="a9"/>
        <w:adjustRightInd w:val="0"/>
        <w:snapToGrid w:val="0"/>
        <w:spacing w:after="0"/>
        <w:ind w:firstLine="482"/>
        <w:rPr>
          <w:rFonts w:cs="Times New Roman"/>
          <w:b/>
          <w:bCs/>
          <w:kern w:val="21"/>
        </w:rPr>
      </w:pPr>
      <w:r>
        <w:rPr>
          <w:rFonts w:cs="Times New Roman" w:hint="eastAsia"/>
          <w:b/>
          <w:bCs/>
          <w:kern w:val="21"/>
        </w:rPr>
        <w:t>3</w:t>
      </w:r>
      <w:r>
        <w:rPr>
          <w:rFonts w:cs="Times New Roman" w:hint="eastAsia"/>
          <w:b/>
          <w:bCs/>
          <w:kern w:val="21"/>
        </w:rPr>
        <w:t>、</w:t>
      </w:r>
      <w:r>
        <w:rPr>
          <w:rFonts w:cs="Times New Roman"/>
          <w:b/>
          <w:bCs/>
          <w:kern w:val="21"/>
        </w:rPr>
        <w:t>对陆生动、植物的影响分析</w:t>
      </w:r>
    </w:p>
    <w:p w14:paraId="67A9EB45" w14:textId="77777777" w:rsidR="00544649" w:rsidRDefault="00000000">
      <w:pPr>
        <w:pStyle w:val="a9"/>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1</w:t>
      </w:r>
      <w:r>
        <w:rPr>
          <w:rFonts w:cs="Times New Roman" w:hint="eastAsia"/>
          <w:b/>
          <w:bCs/>
          <w:kern w:val="21"/>
        </w:rPr>
        <w:t>）</w:t>
      </w:r>
      <w:r>
        <w:rPr>
          <w:rFonts w:cs="Times New Roman"/>
          <w:b/>
          <w:bCs/>
          <w:kern w:val="21"/>
        </w:rPr>
        <w:t>对陆生植物的影响</w:t>
      </w:r>
    </w:p>
    <w:p w14:paraId="7CB3B032" w14:textId="77777777" w:rsidR="00544649" w:rsidRDefault="00000000">
      <w:pPr>
        <w:adjustRightInd w:val="0"/>
        <w:snapToGrid w:val="0"/>
        <w:spacing w:after="0"/>
        <w:ind w:firstLine="480"/>
        <w:rPr>
          <w:kern w:val="21"/>
        </w:rPr>
      </w:pPr>
      <w:r>
        <w:rPr>
          <w:rFonts w:cs="Times New Roman"/>
          <w:kern w:val="21"/>
        </w:rPr>
        <w:t>本项目所用土地主要为林地，周围用地情况主要为林地，本项目将对场区及周围采取多种形式的绿化，保持该地的覆绿面积，</w:t>
      </w:r>
      <w:r>
        <w:rPr>
          <w:rFonts w:ascii="宋体" w:hAnsi="宋体" w:cs="宋体" w:hint="eastAsia"/>
          <w:kern w:val="21"/>
          <w:szCs w:val="24"/>
          <w:lang w:bidi="ar"/>
        </w:rPr>
        <w:t>项目建成后在周边空地种植树林，最大程度减少项目所在区域陆生植物</w:t>
      </w:r>
      <w:r>
        <w:rPr>
          <w:rFonts w:hint="eastAsia"/>
          <w:kern w:val="21"/>
        </w:rPr>
        <w:t>影响，同时由于本项目占地面积较小，因此项目建设区域植物的影响甚微。</w:t>
      </w:r>
    </w:p>
    <w:p w14:paraId="147B7137" w14:textId="77777777" w:rsidR="00544649" w:rsidRDefault="00000000">
      <w:pPr>
        <w:pStyle w:val="a9"/>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2</w:t>
      </w:r>
      <w:r>
        <w:rPr>
          <w:rFonts w:cs="Times New Roman" w:hint="eastAsia"/>
          <w:b/>
          <w:bCs/>
          <w:kern w:val="21"/>
        </w:rPr>
        <w:t>）</w:t>
      </w:r>
      <w:r>
        <w:rPr>
          <w:rFonts w:cs="Times New Roman"/>
          <w:b/>
          <w:bCs/>
          <w:kern w:val="21"/>
        </w:rPr>
        <w:t>对陆生动物的影响</w:t>
      </w:r>
    </w:p>
    <w:p w14:paraId="5EB318FB" w14:textId="77777777" w:rsidR="00544649" w:rsidRDefault="00000000">
      <w:pPr>
        <w:adjustRightInd w:val="0"/>
        <w:snapToGrid w:val="0"/>
        <w:spacing w:after="0"/>
        <w:ind w:firstLine="480"/>
        <w:rPr>
          <w:kern w:val="21"/>
        </w:rPr>
      </w:pPr>
      <w:r>
        <w:rPr>
          <w:rFonts w:cs="Times New Roman"/>
          <w:kern w:val="21"/>
        </w:rPr>
        <w:t>受本项目的建设及施工期扰动的影响，一些动物的栖息地可能会受到一定的影响，项目所在地主要分布的是小型动物，这些动物的迁移能力较强，同类生境在附近易于寻</w:t>
      </w:r>
      <w:r>
        <w:rPr>
          <w:kern w:val="21"/>
        </w:rPr>
        <w:t>找，因此，本项目的建设不会对动物的种群及数量带来明显的影响。</w:t>
      </w:r>
    </w:p>
    <w:p w14:paraId="62B3F72D" w14:textId="77777777" w:rsidR="00544649" w:rsidRDefault="00000000">
      <w:pPr>
        <w:adjustRightInd w:val="0"/>
        <w:snapToGrid w:val="0"/>
        <w:spacing w:after="0"/>
        <w:ind w:firstLine="480"/>
        <w:rPr>
          <w:rFonts w:cs="Times New Roman"/>
          <w:kern w:val="21"/>
        </w:rPr>
      </w:pPr>
      <w:r>
        <w:rPr>
          <w:rFonts w:hint="eastAsia"/>
          <w:kern w:val="21"/>
        </w:rPr>
        <w:t>根据生态环境现状调查，项目所在地现状用地类型主要为林地，</w:t>
      </w:r>
      <w:proofErr w:type="gramStart"/>
      <w:r>
        <w:rPr>
          <w:rFonts w:hint="eastAsia"/>
          <w:kern w:val="21"/>
        </w:rPr>
        <w:t>评价区</w:t>
      </w:r>
      <w:proofErr w:type="gramEnd"/>
      <w:r>
        <w:rPr>
          <w:rFonts w:hint="eastAsia"/>
          <w:kern w:val="21"/>
        </w:rPr>
        <w:t>植被层次结构、层片结构相对简单，食物网结构、营养结构相对较简单，动植物种类组成相对</w:t>
      </w:r>
      <w:r>
        <w:rPr>
          <w:rFonts w:hint="eastAsia"/>
          <w:kern w:val="21"/>
        </w:rPr>
        <w:lastRenderedPageBreak/>
        <w:t>贫乏，生态系统服务功能不强。建成后对植被、植物种类和群落分布以及动物区系的基本组成和性质不会发生明显变化。</w:t>
      </w:r>
    </w:p>
    <w:p w14:paraId="2D1E51EA"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生态保护措施</w:t>
      </w:r>
    </w:p>
    <w:p w14:paraId="7F394C4E" w14:textId="77777777" w:rsidR="00544649" w:rsidRDefault="00000000">
      <w:pPr>
        <w:adjustRightInd w:val="0"/>
        <w:snapToGrid w:val="0"/>
        <w:spacing w:after="0"/>
        <w:ind w:firstLine="482"/>
        <w:rPr>
          <w:rFonts w:cs="Times New Roman"/>
          <w:b/>
          <w:bCs/>
          <w:kern w:val="21"/>
        </w:rPr>
      </w:pPr>
      <w:r>
        <w:rPr>
          <w:rFonts w:cs="Times New Roman" w:hint="eastAsia"/>
          <w:b/>
          <w:bCs/>
          <w:kern w:val="21"/>
        </w:rPr>
        <w:t>1</w:t>
      </w:r>
      <w:r>
        <w:rPr>
          <w:rFonts w:cs="Times New Roman" w:hint="eastAsia"/>
          <w:b/>
          <w:bCs/>
          <w:kern w:val="21"/>
        </w:rPr>
        <w:t>、</w:t>
      </w:r>
      <w:r>
        <w:rPr>
          <w:rFonts w:cs="Times New Roman"/>
          <w:b/>
          <w:bCs/>
          <w:kern w:val="21"/>
        </w:rPr>
        <w:t>加强污染物治理</w:t>
      </w:r>
    </w:p>
    <w:p w14:paraId="5431456B" w14:textId="77777777" w:rsidR="00544649" w:rsidRDefault="00000000">
      <w:pPr>
        <w:adjustRightInd w:val="0"/>
        <w:snapToGrid w:val="0"/>
        <w:spacing w:after="0"/>
        <w:ind w:firstLine="480"/>
        <w:rPr>
          <w:kern w:val="21"/>
        </w:rPr>
      </w:pPr>
      <w:r>
        <w:rPr>
          <w:rFonts w:hint="eastAsia"/>
          <w:kern w:val="21"/>
        </w:rPr>
        <w:t>加强工程运营的规范化管理，对工程产生的废气、废水及固废等，严格执行本次评价提出的污染防治措施，实施污染物排放严格控制，减小污染对生态环境的影响。</w:t>
      </w:r>
    </w:p>
    <w:p w14:paraId="01410818" w14:textId="77777777" w:rsidR="00544649" w:rsidRDefault="00000000">
      <w:pPr>
        <w:adjustRightInd w:val="0"/>
        <w:snapToGrid w:val="0"/>
        <w:spacing w:after="0"/>
        <w:ind w:firstLine="480"/>
        <w:rPr>
          <w:rFonts w:cs="Times New Roman"/>
          <w:kern w:val="21"/>
        </w:rPr>
      </w:pPr>
      <w:r>
        <w:rPr>
          <w:kern w:val="21"/>
        </w:rPr>
        <w:t>加强建设项目自身的污染治理，采用先进、高效的防治措施减少全场</w:t>
      </w:r>
      <w:r>
        <w:rPr>
          <w:kern w:val="21"/>
        </w:rPr>
        <w:t>“</w:t>
      </w:r>
      <w:r>
        <w:rPr>
          <w:kern w:val="21"/>
        </w:rPr>
        <w:t>三废</w:t>
      </w:r>
      <w:r>
        <w:rPr>
          <w:kern w:val="21"/>
        </w:rPr>
        <w:t>”</w:t>
      </w:r>
      <w:r>
        <w:rPr>
          <w:kern w:val="21"/>
        </w:rPr>
        <w:t>排放对当地生态环境影响。本项目投产运营后各项污染物做到了达标排放，但排放总量仍然会对当地环境造成一定影响。因此应从全场范围进行严</w:t>
      </w:r>
      <w:r>
        <w:rPr>
          <w:rFonts w:cs="Times New Roman"/>
          <w:kern w:val="21"/>
        </w:rPr>
        <w:t>格管理，使全场污染物排放总量进一步削减，减轻对区域环境污染。</w:t>
      </w:r>
    </w:p>
    <w:p w14:paraId="36E03B9D" w14:textId="77777777" w:rsidR="00544649" w:rsidRDefault="00000000">
      <w:pPr>
        <w:adjustRightInd w:val="0"/>
        <w:snapToGrid w:val="0"/>
        <w:spacing w:after="0"/>
        <w:ind w:firstLine="482"/>
        <w:rPr>
          <w:rFonts w:cs="Times New Roman"/>
          <w:b/>
          <w:bCs/>
          <w:kern w:val="21"/>
        </w:rPr>
      </w:pPr>
      <w:r>
        <w:rPr>
          <w:rFonts w:cs="Times New Roman" w:hint="eastAsia"/>
          <w:b/>
          <w:bCs/>
          <w:kern w:val="21"/>
        </w:rPr>
        <w:t>2</w:t>
      </w:r>
      <w:r>
        <w:rPr>
          <w:rFonts w:cs="Times New Roman" w:hint="eastAsia"/>
          <w:b/>
          <w:bCs/>
          <w:kern w:val="21"/>
        </w:rPr>
        <w:t>、</w:t>
      </w:r>
      <w:r>
        <w:rPr>
          <w:rFonts w:cs="Times New Roman"/>
          <w:b/>
          <w:bCs/>
          <w:kern w:val="21"/>
        </w:rPr>
        <w:t>场区硬化</w:t>
      </w:r>
    </w:p>
    <w:p w14:paraId="535BC708" w14:textId="77777777" w:rsidR="00544649" w:rsidRDefault="00000000">
      <w:pPr>
        <w:adjustRightInd w:val="0"/>
        <w:snapToGrid w:val="0"/>
        <w:spacing w:after="0"/>
        <w:ind w:firstLine="480"/>
        <w:rPr>
          <w:rFonts w:cs="Times New Roman"/>
          <w:kern w:val="21"/>
        </w:rPr>
      </w:pPr>
      <w:r>
        <w:rPr>
          <w:rFonts w:cs="Times New Roman"/>
          <w:kern w:val="21"/>
        </w:rPr>
        <w:t>为进一步改善区域生态环境，建设单位在加强场内</w:t>
      </w:r>
      <w:r>
        <w:rPr>
          <w:rFonts w:cs="Times New Roman" w:hint="eastAsia"/>
          <w:kern w:val="21"/>
        </w:rPr>
        <w:t>“</w:t>
      </w:r>
      <w:r>
        <w:rPr>
          <w:rFonts w:cs="Times New Roman"/>
          <w:kern w:val="21"/>
        </w:rPr>
        <w:t>三废</w:t>
      </w:r>
      <w:r>
        <w:rPr>
          <w:rFonts w:cs="Times New Roman" w:hint="eastAsia"/>
          <w:kern w:val="21"/>
        </w:rPr>
        <w:t>”</w:t>
      </w:r>
      <w:r>
        <w:rPr>
          <w:rFonts w:cs="Times New Roman"/>
          <w:kern w:val="21"/>
        </w:rPr>
        <w:t>治理同时，还应加强场内绿化和硬化工作。</w:t>
      </w:r>
    </w:p>
    <w:p w14:paraId="02EF70C6" w14:textId="77777777" w:rsidR="00544649" w:rsidRDefault="00000000">
      <w:pPr>
        <w:adjustRightInd w:val="0"/>
        <w:snapToGrid w:val="0"/>
        <w:spacing w:after="0"/>
        <w:ind w:firstLine="482"/>
        <w:rPr>
          <w:rFonts w:cs="Times New Roman"/>
          <w:b/>
          <w:bCs/>
          <w:kern w:val="21"/>
        </w:rPr>
      </w:pPr>
      <w:r>
        <w:rPr>
          <w:rFonts w:cs="Times New Roman" w:hint="eastAsia"/>
          <w:b/>
          <w:bCs/>
          <w:kern w:val="21"/>
        </w:rPr>
        <w:t>3</w:t>
      </w:r>
      <w:r>
        <w:rPr>
          <w:rFonts w:cs="Times New Roman" w:hint="eastAsia"/>
          <w:b/>
          <w:bCs/>
          <w:kern w:val="21"/>
        </w:rPr>
        <w:t>、</w:t>
      </w:r>
      <w:r>
        <w:rPr>
          <w:rFonts w:cs="Times New Roman"/>
          <w:b/>
          <w:bCs/>
          <w:kern w:val="21"/>
        </w:rPr>
        <w:t>加强职工生态环保意识</w:t>
      </w:r>
    </w:p>
    <w:p w14:paraId="36C620DD" w14:textId="77777777" w:rsidR="00544649" w:rsidRDefault="00000000">
      <w:pPr>
        <w:adjustRightInd w:val="0"/>
        <w:snapToGrid w:val="0"/>
        <w:spacing w:after="0"/>
        <w:ind w:firstLine="480"/>
        <w:rPr>
          <w:rFonts w:cs="Times New Roman"/>
          <w:kern w:val="21"/>
        </w:rPr>
      </w:pPr>
      <w:r>
        <w:rPr>
          <w:kern w:val="21"/>
        </w:rPr>
        <w:t>随着项目建设，场内应健全管理体制，加强生态意识教育</w:t>
      </w:r>
      <w:r>
        <w:rPr>
          <w:rFonts w:hint="eastAsia"/>
          <w:kern w:val="21"/>
        </w:rPr>
        <w:t>，加强绿化管理及职工素质教育，从根本上树立生态保护的整体形象。</w:t>
      </w:r>
    </w:p>
    <w:p w14:paraId="69E79C52" w14:textId="77777777" w:rsidR="00544649" w:rsidRDefault="00000000">
      <w:pPr>
        <w:adjustRightInd w:val="0"/>
        <w:snapToGrid w:val="0"/>
        <w:spacing w:after="0"/>
        <w:ind w:firstLine="482"/>
        <w:rPr>
          <w:rFonts w:cs="Times New Roman"/>
          <w:b/>
          <w:bCs/>
          <w:kern w:val="21"/>
        </w:rPr>
      </w:pPr>
      <w:r>
        <w:rPr>
          <w:rFonts w:cs="Times New Roman" w:hint="eastAsia"/>
          <w:b/>
          <w:bCs/>
          <w:kern w:val="21"/>
        </w:rPr>
        <w:t>4</w:t>
      </w:r>
      <w:r>
        <w:rPr>
          <w:rFonts w:cs="Times New Roman" w:hint="eastAsia"/>
          <w:b/>
          <w:bCs/>
          <w:kern w:val="21"/>
        </w:rPr>
        <w:t>、</w:t>
      </w:r>
      <w:r>
        <w:rPr>
          <w:rFonts w:cs="Times New Roman"/>
          <w:b/>
          <w:bCs/>
          <w:kern w:val="21"/>
        </w:rPr>
        <w:t>加强场区绿化</w:t>
      </w:r>
    </w:p>
    <w:p w14:paraId="7564E50E" w14:textId="77777777" w:rsidR="00544649" w:rsidRDefault="00000000">
      <w:pPr>
        <w:adjustRightInd w:val="0"/>
        <w:snapToGrid w:val="0"/>
        <w:spacing w:after="0"/>
        <w:ind w:firstLine="480"/>
        <w:rPr>
          <w:rFonts w:cs="Times New Roman"/>
          <w:kern w:val="21"/>
        </w:rPr>
      </w:pPr>
      <w:r>
        <w:rPr>
          <w:rFonts w:cs="Times New Roman"/>
          <w:kern w:val="21"/>
        </w:rPr>
        <w:t>场区应制定绿化规划，实施全面绿化。利用植物作为治理污染的一种经济手段，发挥它们在吸收有害气体、净化空气、降低噪声、改善环境、保持生态平衡方面的作用。重点为：养殖区、生活管理区和道路两侧，应以乔木绿化为主，乔、灌、</w:t>
      </w:r>
      <w:proofErr w:type="gramStart"/>
      <w:r>
        <w:rPr>
          <w:rFonts w:cs="Times New Roman"/>
          <w:kern w:val="21"/>
        </w:rPr>
        <w:t>草合理</w:t>
      </w:r>
      <w:proofErr w:type="gramEnd"/>
      <w:r>
        <w:rPr>
          <w:rFonts w:cs="Times New Roman"/>
          <w:kern w:val="21"/>
        </w:rPr>
        <w:t>配置；在场界四周根据实际条件营造防护林，用以防止污染物对周边生态环境的影响。绿色植物具有多种环境生态效应，如调节空气、温度、湿度，阻挡风沙、滞留空气中的灰尘、吸收</w:t>
      </w:r>
      <w:r>
        <w:rPr>
          <w:rFonts w:cs="Times New Roman"/>
          <w:kern w:val="21"/>
        </w:rPr>
        <w:t>SO</w:t>
      </w:r>
      <w:r>
        <w:rPr>
          <w:rFonts w:cs="Times New Roman"/>
          <w:kern w:val="21"/>
          <w:vertAlign w:val="subscript"/>
        </w:rPr>
        <w:t>2</w:t>
      </w:r>
      <w:r>
        <w:rPr>
          <w:rFonts w:cs="Times New Roman"/>
          <w:kern w:val="21"/>
        </w:rPr>
        <w:t>等有害气体等，有些植物还有一定的杀菌能力，此外，树本身还有降噪隔声的功能。</w:t>
      </w:r>
    </w:p>
    <w:p w14:paraId="3AB4402C" w14:textId="77777777" w:rsidR="00544649" w:rsidRDefault="00000000">
      <w:pPr>
        <w:adjustRightInd w:val="0"/>
        <w:snapToGrid w:val="0"/>
        <w:spacing w:after="0"/>
        <w:ind w:firstLine="480"/>
        <w:rPr>
          <w:rFonts w:cs="Times New Roman"/>
          <w:kern w:val="21"/>
        </w:rPr>
      </w:pPr>
      <w:r>
        <w:rPr>
          <w:rFonts w:cs="Times New Roman"/>
          <w:kern w:val="21"/>
        </w:rPr>
        <w:t>结合项目的特点，种植高低相结合的乔灌木，形成隔离林带，防止污染扩散。生活管理区应以美化环境为主，种植绿篱、布置花坛、草坪等。道路的绿化以种植道路树为主，选择适宜的树种，进行多种树种混栽，形成沿道路的绿化带。</w:t>
      </w:r>
    </w:p>
    <w:p w14:paraId="3765CABB"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小结</w:t>
      </w:r>
    </w:p>
    <w:p w14:paraId="571F2825" w14:textId="77777777" w:rsidR="00544649" w:rsidRDefault="00000000">
      <w:pPr>
        <w:adjustRightInd w:val="0"/>
        <w:snapToGrid w:val="0"/>
        <w:spacing w:after="0"/>
        <w:ind w:firstLine="480"/>
        <w:rPr>
          <w:rFonts w:cs="Times New Roman"/>
          <w:kern w:val="21"/>
        </w:rPr>
      </w:pPr>
      <w:proofErr w:type="gramStart"/>
      <w:r>
        <w:rPr>
          <w:rFonts w:cs="Times New Roman"/>
          <w:kern w:val="21"/>
        </w:rPr>
        <w:t>评价区</w:t>
      </w:r>
      <w:proofErr w:type="gramEnd"/>
      <w:r>
        <w:rPr>
          <w:rFonts w:cs="Times New Roman"/>
          <w:kern w:val="21"/>
        </w:rPr>
        <w:t>生态系统受到本项目影响相对较小，在严格采取环</w:t>
      </w:r>
      <w:proofErr w:type="gramStart"/>
      <w:r>
        <w:rPr>
          <w:rFonts w:cs="Times New Roman"/>
          <w:kern w:val="21"/>
        </w:rPr>
        <w:t>评规定</w:t>
      </w:r>
      <w:proofErr w:type="gramEnd"/>
      <w:r>
        <w:rPr>
          <w:rFonts w:cs="Times New Roman"/>
          <w:kern w:val="21"/>
        </w:rPr>
        <w:t>的生态保护措施情况下，其生态特征不会从根本上发生改变，体系仍然维持原有的稳定性和生态承载能力。项目在对周围生态环境产生不利影响的同时，其有机肥有效施用于土壤，既增</w:t>
      </w:r>
      <w:r>
        <w:rPr>
          <w:rFonts w:cs="Times New Roman"/>
          <w:kern w:val="21"/>
        </w:rPr>
        <w:lastRenderedPageBreak/>
        <w:t>加了土壤肥力，又减少了化肥的使用，提高了农作物的产量和质量，可见，本工程的建设对周围农业环境有很大的有益作用。</w:t>
      </w:r>
    </w:p>
    <w:p w14:paraId="615406D4" w14:textId="77777777" w:rsidR="00544649" w:rsidRDefault="00000000">
      <w:pPr>
        <w:adjustRightInd w:val="0"/>
        <w:snapToGrid w:val="0"/>
        <w:spacing w:after="0"/>
        <w:ind w:firstLine="480"/>
        <w:rPr>
          <w:rFonts w:cs="Times New Roman"/>
          <w:kern w:val="21"/>
        </w:rPr>
      </w:pPr>
      <w:r>
        <w:rPr>
          <w:rFonts w:cs="Times New Roman"/>
          <w:kern w:val="21"/>
        </w:rPr>
        <w:t>从总体上看，项目运营期对生态环境的影响较小，评价要求对废水、废气、固</w:t>
      </w:r>
      <w:proofErr w:type="gramStart"/>
      <w:r>
        <w:rPr>
          <w:rFonts w:cs="Times New Roman"/>
          <w:kern w:val="21"/>
        </w:rPr>
        <w:t>废各种</w:t>
      </w:r>
      <w:proofErr w:type="gramEnd"/>
      <w:r>
        <w:rPr>
          <w:rFonts w:cs="Times New Roman"/>
          <w:kern w:val="21"/>
        </w:rPr>
        <w:t>污染物按照处理措施严格执行，并加大场区及其周围地区的绿化面积，这样才能保证生态环境不会受到破坏，并能够对受到影响的场地及时补救。</w:t>
      </w:r>
    </w:p>
    <w:p w14:paraId="6F96E8BA" w14:textId="77777777" w:rsidR="00544649" w:rsidRDefault="00000000">
      <w:pPr>
        <w:numPr>
          <w:ilvl w:val="2"/>
          <w:numId w:val="9"/>
        </w:numPr>
        <w:adjustRightInd w:val="0"/>
        <w:snapToGrid w:val="0"/>
        <w:spacing w:after="0"/>
        <w:ind w:firstLineChars="0"/>
        <w:outlineLvl w:val="2"/>
        <w:rPr>
          <w:rFonts w:cs="Times New Roman"/>
          <w:b/>
          <w:bCs/>
          <w:kern w:val="21"/>
          <w:sz w:val="28"/>
          <w:szCs w:val="24"/>
        </w:rPr>
      </w:pPr>
      <w:bookmarkStart w:id="327" w:name="_Toc195009892"/>
      <w:r>
        <w:rPr>
          <w:rFonts w:cs="Times New Roman"/>
          <w:b/>
          <w:bCs/>
          <w:kern w:val="21"/>
          <w:sz w:val="28"/>
          <w:szCs w:val="24"/>
        </w:rPr>
        <w:t>社会经济环境影响分析</w:t>
      </w:r>
      <w:bookmarkEnd w:id="327"/>
    </w:p>
    <w:p w14:paraId="0B6B0F20" w14:textId="77777777" w:rsidR="00544649" w:rsidRDefault="00000000">
      <w:pPr>
        <w:adjustRightInd w:val="0"/>
        <w:snapToGrid w:val="0"/>
        <w:spacing w:after="0"/>
        <w:ind w:firstLine="482"/>
        <w:rPr>
          <w:b/>
          <w:bCs/>
          <w:kern w:val="21"/>
        </w:rPr>
      </w:pPr>
      <w:r>
        <w:rPr>
          <w:rFonts w:hint="eastAsia"/>
          <w:b/>
          <w:bCs/>
          <w:kern w:val="21"/>
        </w:rPr>
        <w:t>1</w:t>
      </w:r>
      <w:r>
        <w:rPr>
          <w:rFonts w:hint="eastAsia"/>
          <w:b/>
          <w:bCs/>
          <w:kern w:val="21"/>
        </w:rPr>
        <w:t>、对区域经济影响</w:t>
      </w:r>
    </w:p>
    <w:p w14:paraId="252FF34D" w14:textId="77777777" w:rsidR="00544649" w:rsidRDefault="00000000">
      <w:pPr>
        <w:adjustRightInd w:val="0"/>
        <w:snapToGrid w:val="0"/>
        <w:spacing w:after="0"/>
        <w:ind w:firstLine="480"/>
        <w:rPr>
          <w:kern w:val="21"/>
        </w:rPr>
      </w:pPr>
      <w:r>
        <w:rPr>
          <w:rFonts w:hint="eastAsia"/>
          <w:kern w:val="21"/>
        </w:rPr>
        <w:t>本项目的建设可显著提高本地区养鸡生产性能，提高产品的市场竞争力，进一步发展壮大畜牧业中的优势主导产业，推进农业和农村经济结构调整，提高农业生产组织化程度和农业产业化经营水平。本项目的生产带动了社会经济发展，满足人民日益增长的鸡蛋市场需要，保证当地地区鸡蛋业务的顺利完成，项目的建设对社会环境影响有一定的促进作用。同时项目建设将招聘当地农民入场工作，可以为当地群众提供更多的工作岗位以及额外的收入来源，帮助农民脱贫致富，具有明显的社会正效应。</w:t>
      </w:r>
    </w:p>
    <w:p w14:paraId="3B959F0C" w14:textId="77777777" w:rsidR="00544649" w:rsidRDefault="00000000">
      <w:pPr>
        <w:adjustRightInd w:val="0"/>
        <w:snapToGrid w:val="0"/>
        <w:spacing w:after="0"/>
        <w:ind w:firstLine="482"/>
        <w:rPr>
          <w:b/>
          <w:bCs/>
          <w:kern w:val="21"/>
        </w:rPr>
      </w:pPr>
      <w:r>
        <w:rPr>
          <w:rFonts w:hint="eastAsia"/>
          <w:b/>
          <w:bCs/>
          <w:kern w:val="21"/>
        </w:rPr>
        <w:t>2</w:t>
      </w:r>
      <w:r>
        <w:rPr>
          <w:rFonts w:hint="eastAsia"/>
          <w:b/>
          <w:bCs/>
          <w:kern w:val="21"/>
        </w:rPr>
        <w:t>、居民生活环境的影响</w:t>
      </w:r>
    </w:p>
    <w:p w14:paraId="76037389" w14:textId="77777777" w:rsidR="00544649" w:rsidRDefault="00000000">
      <w:pPr>
        <w:adjustRightInd w:val="0"/>
        <w:snapToGrid w:val="0"/>
        <w:spacing w:after="0"/>
        <w:ind w:firstLine="480"/>
        <w:rPr>
          <w:kern w:val="21"/>
        </w:rPr>
      </w:pPr>
      <w:r>
        <w:rPr>
          <w:rFonts w:hint="eastAsia"/>
          <w:kern w:val="21"/>
        </w:rPr>
        <w:t>本项目的建设后，将会解决周围部分农民的就业问题，提高农民的收入。该项目建成后，需要运输饲料、鸡蛋、鸡粪及其他物质，车流量将有一定管道增加。但由于本项目运输路线大多是乡村，住户较少，汽车发动机工作时产生的噪声对沿线居民生活产生短时影响，不会</w:t>
      </w:r>
      <w:proofErr w:type="gramStart"/>
      <w:r>
        <w:rPr>
          <w:rFonts w:hint="eastAsia"/>
          <w:kern w:val="21"/>
        </w:rPr>
        <w:t>导致声</w:t>
      </w:r>
      <w:proofErr w:type="gramEnd"/>
      <w:r>
        <w:rPr>
          <w:rFonts w:hint="eastAsia"/>
          <w:kern w:val="21"/>
        </w:rPr>
        <w:t>环境质量明显的下降。通过合理调度、合理安排运输线路、减少夜间运输量等可有效减少物流运输中所产生的环境影响。</w:t>
      </w:r>
    </w:p>
    <w:p w14:paraId="38759647" w14:textId="77777777" w:rsidR="00544649" w:rsidRDefault="00000000">
      <w:pPr>
        <w:adjustRightInd w:val="0"/>
        <w:snapToGrid w:val="0"/>
        <w:spacing w:after="0"/>
        <w:ind w:firstLine="480"/>
        <w:rPr>
          <w:kern w:val="21"/>
        </w:rPr>
      </w:pPr>
      <w:r>
        <w:rPr>
          <w:rFonts w:hint="eastAsia"/>
          <w:kern w:val="21"/>
        </w:rPr>
        <w:t>同时项目产生污染物在采用相应治理措施后可以做到达标排放，基本不会对周边居民造成影响，环</w:t>
      </w:r>
      <w:proofErr w:type="gramStart"/>
      <w:r>
        <w:rPr>
          <w:rFonts w:hint="eastAsia"/>
          <w:kern w:val="21"/>
        </w:rPr>
        <w:t>评要求</w:t>
      </w:r>
      <w:proofErr w:type="gramEnd"/>
      <w:r>
        <w:rPr>
          <w:rFonts w:hint="eastAsia"/>
          <w:kern w:val="21"/>
        </w:rPr>
        <w:t>项目应合理施肥，避免对区域环境造成影响。</w:t>
      </w:r>
    </w:p>
    <w:p w14:paraId="121300F4" w14:textId="77777777" w:rsidR="00544649" w:rsidRDefault="00000000">
      <w:pPr>
        <w:keepNext/>
        <w:keepLines/>
        <w:pageBreakBefore/>
        <w:numPr>
          <w:ilvl w:val="0"/>
          <w:numId w:val="9"/>
        </w:numPr>
        <w:adjustRightInd w:val="0"/>
        <w:snapToGrid w:val="0"/>
        <w:spacing w:after="0"/>
        <w:ind w:firstLineChars="0"/>
        <w:outlineLvl w:val="0"/>
        <w:rPr>
          <w:rFonts w:cs="Times New Roman"/>
          <w:b/>
          <w:bCs/>
          <w:kern w:val="21"/>
          <w:sz w:val="36"/>
          <w:szCs w:val="36"/>
        </w:rPr>
      </w:pPr>
      <w:bookmarkStart w:id="328" w:name="_Toc4404"/>
      <w:bookmarkStart w:id="329" w:name="_Toc195009893"/>
      <w:r>
        <w:rPr>
          <w:rFonts w:cs="Times New Roman"/>
          <w:b/>
          <w:bCs/>
          <w:kern w:val="21"/>
          <w:sz w:val="36"/>
          <w:szCs w:val="36"/>
        </w:rPr>
        <w:lastRenderedPageBreak/>
        <w:t>环境风险分析</w:t>
      </w:r>
      <w:bookmarkEnd w:id="328"/>
      <w:bookmarkEnd w:id="329"/>
    </w:p>
    <w:p w14:paraId="7E185E56"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330" w:name="_Toc16311"/>
      <w:bookmarkStart w:id="331" w:name="_Toc195009894"/>
      <w:r>
        <w:rPr>
          <w:rFonts w:cs="Times New Roman"/>
          <w:b/>
          <w:bCs/>
          <w:kern w:val="21"/>
          <w:sz w:val="32"/>
          <w:szCs w:val="32"/>
        </w:rPr>
        <w:t>环境风险评价目的</w:t>
      </w:r>
      <w:bookmarkEnd w:id="330"/>
      <w:bookmarkEnd w:id="331"/>
    </w:p>
    <w:p w14:paraId="07E8174F" w14:textId="77777777" w:rsidR="00544649" w:rsidRDefault="00000000">
      <w:pPr>
        <w:adjustRightInd w:val="0"/>
        <w:snapToGrid w:val="0"/>
        <w:spacing w:after="0"/>
        <w:ind w:firstLine="480"/>
        <w:rPr>
          <w:rFonts w:cs="Times New Roman"/>
          <w:kern w:val="21"/>
          <w:szCs w:val="24"/>
        </w:rPr>
      </w:pPr>
      <w:r>
        <w:rPr>
          <w:rFonts w:cs="Times New Roman"/>
          <w:kern w:val="21"/>
          <w:szCs w:val="24"/>
        </w:rPr>
        <w:t>在项目的建设和实施过程中，由于人为原因或者自然因素引起有毒、易燃易爆的物质发生泄漏、火灾、爆炸等突发性事故，造成生命财产的伤害和损失被称为环境风险事故。</w:t>
      </w:r>
    </w:p>
    <w:p w14:paraId="6DD2F428" w14:textId="77777777" w:rsidR="00544649" w:rsidRDefault="00000000">
      <w:pPr>
        <w:adjustRightInd w:val="0"/>
        <w:snapToGrid w:val="0"/>
        <w:spacing w:after="0"/>
        <w:ind w:firstLine="480"/>
        <w:rPr>
          <w:rFonts w:cs="Times New Roman"/>
          <w:kern w:val="21"/>
          <w:szCs w:val="24"/>
        </w:rPr>
      </w:pPr>
      <w:r>
        <w:rPr>
          <w:rFonts w:cs="Times New Roman"/>
          <w:kern w:val="21"/>
          <w:szCs w:val="24"/>
        </w:rPr>
        <w:t>环境风险评价的目的是分析和预测建设项目存在潜在危险、有害因素，建设项目建设和运营期间可能发生的突发性</w:t>
      </w:r>
      <w:r>
        <w:rPr>
          <w:rFonts w:cs="Times New Roman"/>
          <w:kern w:val="21"/>
        </w:rPr>
        <w:t>事故</w:t>
      </w:r>
      <w:r>
        <w:rPr>
          <w:rFonts w:cs="Times New Roman"/>
          <w:kern w:val="21"/>
          <w:szCs w:val="24"/>
        </w:rPr>
        <w:t>，引起有毒有害、易燃易爆等物质泄漏、爆炸和火灾等，所造成的人身安全和环境影响损害程度，提出合理可行的防范、应急与减缓措施，以使建设项目事故频率、损失和环境影响达到可以接受水平。</w:t>
      </w:r>
    </w:p>
    <w:p w14:paraId="50EDA727" w14:textId="77777777" w:rsidR="00544649" w:rsidRDefault="00000000">
      <w:pPr>
        <w:adjustRightInd w:val="0"/>
        <w:snapToGrid w:val="0"/>
        <w:spacing w:after="0"/>
        <w:ind w:firstLine="480"/>
        <w:rPr>
          <w:rFonts w:cs="Times New Roman"/>
          <w:kern w:val="21"/>
          <w:szCs w:val="24"/>
        </w:rPr>
      </w:pPr>
      <w:r>
        <w:rPr>
          <w:rFonts w:cs="Times New Roman"/>
          <w:kern w:val="21"/>
          <w:szCs w:val="24"/>
        </w:rPr>
        <w:t>本项目运营涉及有毒有害危险化学品的使用和贮存。有毒有害危险化学品在运输、贮存和使用中有可能通过多种途径进入环境，因此具有潜在的事故隐患和环境风险。按照《建设项目环境风险评价技术导则》（</w:t>
      </w:r>
      <w:r>
        <w:rPr>
          <w:rFonts w:cs="Times New Roman"/>
          <w:kern w:val="21"/>
          <w:szCs w:val="24"/>
        </w:rPr>
        <w:t>HJ169-2018</w:t>
      </w:r>
      <w:r>
        <w:rPr>
          <w:rFonts w:cs="Times New Roman"/>
          <w:kern w:val="21"/>
          <w:szCs w:val="24"/>
        </w:rPr>
        <w:t>）的要求，采用对项目风险调查、风险识别、环境风险分析等进行环境风险评价，了解其环境风险的可接受程度，提出减少风险的事故应急措施及应急预案，为企业运行和环境风险管理提供资料和依据，以期达到防止环境风险发生的可能性及其危害的目的。</w:t>
      </w:r>
    </w:p>
    <w:p w14:paraId="51F0BACD"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332" w:name="_Toc195009895"/>
      <w:bookmarkStart w:id="333" w:name="_Toc18939"/>
      <w:bookmarkStart w:id="334" w:name="_Toc11174"/>
      <w:r>
        <w:rPr>
          <w:rFonts w:cs="Times New Roman"/>
          <w:b/>
          <w:bCs/>
          <w:kern w:val="21"/>
          <w:sz w:val="32"/>
          <w:szCs w:val="32"/>
        </w:rPr>
        <w:t>环境风险评价</w:t>
      </w:r>
      <w:r>
        <w:rPr>
          <w:rFonts w:cs="Times New Roman" w:hint="eastAsia"/>
          <w:b/>
          <w:bCs/>
          <w:kern w:val="21"/>
          <w:sz w:val="32"/>
          <w:szCs w:val="32"/>
        </w:rPr>
        <w:t>依据</w:t>
      </w:r>
      <w:bookmarkEnd w:id="332"/>
    </w:p>
    <w:p w14:paraId="1B3B3B78" w14:textId="77777777" w:rsidR="00544649" w:rsidRDefault="00000000">
      <w:pPr>
        <w:keepNext/>
        <w:keepLines/>
        <w:numPr>
          <w:ilvl w:val="2"/>
          <w:numId w:val="9"/>
        </w:numPr>
        <w:adjustRightInd w:val="0"/>
        <w:snapToGrid w:val="0"/>
        <w:spacing w:after="0"/>
        <w:ind w:firstLineChars="0"/>
        <w:jc w:val="left"/>
        <w:outlineLvl w:val="2"/>
        <w:rPr>
          <w:rFonts w:cs="Times New Roman"/>
          <w:b/>
          <w:kern w:val="21"/>
          <w:sz w:val="28"/>
          <w:szCs w:val="28"/>
        </w:rPr>
      </w:pPr>
      <w:bookmarkStart w:id="335" w:name="_Toc24875"/>
      <w:bookmarkStart w:id="336" w:name="_Toc16421"/>
      <w:bookmarkStart w:id="337" w:name="_Toc493"/>
      <w:bookmarkStart w:id="338" w:name="_Toc195009896"/>
      <w:r>
        <w:rPr>
          <w:rFonts w:cs="Times New Roman" w:hint="eastAsia"/>
          <w:b/>
          <w:kern w:val="21"/>
          <w:sz w:val="28"/>
          <w:szCs w:val="28"/>
        </w:rPr>
        <w:t>风险物质识别</w:t>
      </w:r>
      <w:bookmarkEnd w:id="335"/>
      <w:bookmarkEnd w:id="336"/>
      <w:bookmarkEnd w:id="337"/>
      <w:bookmarkEnd w:id="338"/>
    </w:p>
    <w:p w14:paraId="4A651AC6" w14:textId="77777777" w:rsidR="00544649" w:rsidRDefault="00000000">
      <w:pPr>
        <w:adjustRightInd w:val="0"/>
        <w:snapToGrid w:val="0"/>
        <w:spacing w:after="0"/>
        <w:ind w:firstLine="480"/>
        <w:rPr>
          <w:rFonts w:cs="Times New Roman"/>
          <w:kern w:val="21"/>
          <w:szCs w:val="24"/>
        </w:rPr>
      </w:pPr>
      <w:r>
        <w:rPr>
          <w:kern w:val="21"/>
        </w:rPr>
        <w:t>蛋鸡养殖属于农业生产项目，根据项目原辅料及生产情况，对照《建设项目环境风险评价技术导则》</w:t>
      </w:r>
      <w:r>
        <w:rPr>
          <w:rFonts w:hint="eastAsia"/>
          <w:kern w:val="21"/>
        </w:rPr>
        <w:t>（</w:t>
      </w:r>
      <w:r>
        <w:rPr>
          <w:kern w:val="21"/>
        </w:rPr>
        <w:t>HJ169-2018</w:t>
      </w:r>
      <w:r>
        <w:rPr>
          <w:rFonts w:hint="eastAsia"/>
          <w:kern w:val="21"/>
        </w:rPr>
        <w:t>）</w:t>
      </w:r>
      <w:r>
        <w:rPr>
          <w:kern w:val="21"/>
        </w:rPr>
        <w:t>附录</w:t>
      </w:r>
      <w:r>
        <w:rPr>
          <w:kern w:val="21"/>
        </w:rPr>
        <w:t>B</w:t>
      </w:r>
      <w:r>
        <w:rPr>
          <w:kern w:val="21"/>
        </w:rPr>
        <w:t>和《危险化学品目录</w:t>
      </w:r>
      <w:r>
        <w:rPr>
          <w:rFonts w:hint="eastAsia"/>
          <w:kern w:val="21"/>
        </w:rPr>
        <w:t>（</w:t>
      </w:r>
      <w:r>
        <w:rPr>
          <w:kern w:val="21"/>
        </w:rPr>
        <w:t>2015</w:t>
      </w:r>
      <w:r>
        <w:rPr>
          <w:kern w:val="21"/>
        </w:rPr>
        <w:t>版</w:t>
      </w:r>
      <w:r>
        <w:rPr>
          <w:rFonts w:hint="eastAsia"/>
          <w:kern w:val="21"/>
        </w:rPr>
        <w:t>）</w:t>
      </w:r>
      <w:r>
        <w:rPr>
          <w:kern w:val="21"/>
        </w:rPr>
        <w:t>》</w:t>
      </w:r>
      <w:r>
        <w:rPr>
          <w:rFonts w:hint="eastAsia"/>
          <w:kern w:val="21"/>
        </w:rPr>
        <w:t>，</w:t>
      </w:r>
      <w:r>
        <w:rPr>
          <w:kern w:val="21"/>
        </w:rPr>
        <w:t>本项目使用的原辅材料不涉及风险物质，项目所涉及的危险物质主要为备用柴油发电机使用的柴油、</w:t>
      </w:r>
      <w:r>
        <w:rPr>
          <w:rFonts w:hint="eastAsia"/>
          <w:kern w:val="21"/>
        </w:rPr>
        <w:t>危险废物暂存间暂存的废润滑油、</w:t>
      </w:r>
      <w:r>
        <w:rPr>
          <w:kern w:val="21"/>
        </w:rPr>
        <w:t>鸡粪中会挥发出含</w:t>
      </w:r>
      <w:r>
        <w:rPr>
          <w:kern w:val="21"/>
        </w:rPr>
        <w:t>H</w:t>
      </w:r>
      <w:r>
        <w:rPr>
          <w:rFonts w:hint="eastAsia"/>
          <w:kern w:val="21"/>
          <w:vertAlign w:val="subscript"/>
        </w:rPr>
        <w:t>2</w:t>
      </w:r>
      <w:r>
        <w:rPr>
          <w:kern w:val="21"/>
        </w:rPr>
        <w:t>S</w:t>
      </w:r>
      <w:r>
        <w:rPr>
          <w:kern w:val="21"/>
        </w:rPr>
        <w:t>和</w:t>
      </w:r>
      <w:r>
        <w:rPr>
          <w:kern w:val="21"/>
        </w:rPr>
        <w:t>NH</w:t>
      </w:r>
      <w:r>
        <w:rPr>
          <w:rFonts w:hint="eastAsia"/>
          <w:kern w:val="21"/>
          <w:vertAlign w:val="subscript"/>
        </w:rPr>
        <w:t>3</w:t>
      </w:r>
      <w:r>
        <w:rPr>
          <w:kern w:val="21"/>
        </w:rPr>
        <w:t>等刺激性臭味和有毒气体，以及运营产生的危险废物</w:t>
      </w:r>
      <w:r>
        <w:rPr>
          <w:rFonts w:cs="Times New Roman" w:hint="eastAsia"/>
          <w:kern w:val="21"/>
          <w:szCs w:val="24"/>
        </w:rPr>
        <w:t>，其物理化学性质及毒理特性详见下表。</w:t>
      </w:r>
    </w:p>
    <w:p w14:paraId="23C0EFE7" w14:textId="77777777" w:rsidR="00544649" w:rsidRDefault="00000000">
      <w:pPr>
        <w:numPr>
          <w:ilvl w:val="0"/>
          <w:numId w:val="29"/>
        </w:numPr>
        <w:adjustRightInd w:val="0"/>
        <w:snapToGrid w:val="0"/>
        <w:spacing w:beforeLines="20" w:before="62" w:afterLines="20" w:after="62" w:line="240" w:lineRule="auto"/>
        <w:ind w:left="0" w:firstLineChars="0" w:firstLine="0"/>
        <w:jc w:val="center"/>
        <w:rPr>
          <w:rFonts w:cs="Times New Roman"/>
          <w:kern w:val="21"/>
          <w:sz w:val="21"/>
          <w:szCs w:val="21"/>
        </w:rPr>
      </w:pPr>
      <w:r>
        <w:rPr>
          <w:rFonts w:cs="Times New Roman"/>
          <w:b/>
          <w:kern w:val="21"/>
          <w:sz w:val="21"/>
          <w:szCs w:val="21"/>
        </w:rPr>
        <w:t>项目主要</w:t>
      </w:r>
      <w:r>
        <w:rPr>
          <w:rFonts w:cs="Times New Roman" w:hint="eastAsia"/>
          <w:b/>
          <w:kern w:val="21"/>
          <w:sz w:val="21"/>
          <w:szCs w:val="21"/>
        </w:rPr>
        <w:t>物质危险特性一览表</w:t>
      </w:r>
    </w:p>
    <w:tbl>
      <w:tblPr>
        <w:tblStyle w:val="afc"/>
        <w:tblW w:w="9060" w:type="dxa"/>
        <w:tblLayout w:type="fixed"/>
        <w:tblLook w:val="04A0" w:firstRow="1" w:lastRow="0" w:firstColumn="1" w:lastColumn="0" w:noHBand="0" w:noVBand="1"/>
      </w:tblPr>
      <w:tblGrid>
        <w:gridCol w:w="659"/>
        <w:gridCol w:w="683"/>
        <w:gridCol w:w="1450"/>
        <w:gridCol w:w="6268"/>
      </w:tblGrid>
      <w:tr w:rsidR="00544649" w14:paraId="67EA9135" w14:textId="77777777">
        <w:trPr>
          <w:tblHeader/>
        </w:trPr>
        <w:tc>
          <w:tcPr>
            <w:tcW w:w="659" w:type="dxa"/>
            <w:vAlign w:val="center"/>
          </w:tcPr>
          <w:p w14:paraId="3BC03FD1"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序号</w:t>
            </w:r>
          </w:p>
        </w:tc>
        <w:tc>
          <w:tcPr>
            <w:tcW w:w="683" w:type="dxa"/>
            <w:vAlign w:val="center"/>
          </w:tcPr>
          <w:p w14:paraId="595D1907"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名称</w:t>
            </w:r>
          </w:p>
        </w:tc>
        <w:tc>
          <w:tcPr>
            <w:tcW w:w="1450" w:type="dxa"/>
            <w:vAlign w:val="center"/>
          </w:tcPr>
          <w:p w14:paraId="63961528"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危险性类别</w:t>
            </w:r>
          </w:p>
        </w:tc>
        <w:tc>
          <w:tcPr>
            <w:tcW w:w="6268" w:type="dxa"/>
            <w:vAlign w:val="center"/>
          </w:tcPr>
          <w:p w14:paraId="0FB683CA"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危险特性</w:t>
            </w:r>
          </w:p>
        </w:tc>
      </w:tr>
      <w:tr w:rsidR="00544649" w14:paraId="77EC2B4A" w14:textId="77777777">
        <w:tc>
          <w:tcPr>
            <w:tcW w:w="659" w:type="dxa"/>
            <w:vAlign w:val="center"/>
          </w:tcPr>
          <w:p w14:paraId="2CD17A4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w:t>
            </w:r>
          </w:p>
        </w:tc>
        <w:tc>
          <w:tcPr>
            <w:tcW w:w="683" w:type="dxa"/>
            <w:vAlign w:val="center"/>
          </w:tcPr>
          <w:p w14:paraId="7B4C5EA3"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kern w:val="21"/>
                <w:sz w:val="21"/>
                <w:szCs w:val="21"/>
              </w:rPr>
              <w:t>柴油</w:t>
            </w:r>
          </w:p>
        </w:tc>
        <w:tc>
          <w:tcPr>
            <w:tcW w:w="1450" w:type="dxa"/>
            <w:vAlign w:val="center"/>
          </w:tcPr>
          <w:p w14:paraId="3BD78E8C" w14:textId="77777777" w:rsidR="00544649" w:rsidRDefault="00000000">
            <w:pPr>
              <w:widowControl/>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kern w:val="21"/>
                <w:sz w:val="21"/>
                <w:szCs w:val="21"/>
              </w:rPr>
              <w:t>易燃液体</w:t>
            </w:r>
          </w:p>
        </w:tc>
        <w:tc>
          <w:tcPr>
            <w:tcW w:w="6268" w:type="dxa"/>
            <w:vAlign w:val="center"/>
          </w:tcPr>
          <w:p w14:paraId="57846A19" w14:textId="77777777" w:rsidR="00544649" w:rsidRDefault="00000000">
            <w:pPr>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稍有粘性的棕色液体。熔点</w:t>
            </w:r>
            <w:r>
              <w:rPr>
                <w:rFonts w:cs="Times New Roman"/>
                <w:kern w:val="21"/>
                <w:sz w:val="21"/>
                <w:szCs w:val="21"/>
              </w:rPr>
              <w:t>-18℃</w:t>
            </w:r>
            <w:r>
              <w:rPr>
                <w:rFonts w:cs="Times New Roman"/>
                <w:kern w:val="21"/>
                <w:sz w:val="21"/>
                <w:szCs w:val="21"/>
              </w:rPr>
              <w:t>、沸点</w:t>
            </w:r>
            <w:r>
              <w:rPr>
                <w:rFonts w:cs="Times New Roman"/>
                <w:kern w:val="21"/>
                <w:sz w:val="21"/>
                <w:szCs w:val="21"/>
              </w:rPr>
              <w:t>282~338℃</w:t>
            </w:r>
            <w:r>
              <w:rPr>
                <w:rFonts w:cs="Times New Roman"/>
                <w:kern w:val="21"/>
                <w:sz w:val="21"/>
                <w:szCs w:val="21"/>
              </w:rPr>
              <w:t>、</w:t>
            </w:r>
            <w:r>
              <w:rPr>
                <w:rFonts w:cs="Times New Roman" w:hint="eastAsia"/>
                <w:kern w:val="21"/>
                <w:sz w:val="21"/>
                <w:szCs w:val="21"/>
              </w:rPr>
              <w:t>闪点</w:t>
            </w:r>
            <w:r>
              <w:rPr>
                <w:rFonts w:cs="Times New Roman"/>
                <w:kern w:val="21"/>
                <w:sz w:val="21"/>
                <w:szCs w:val="21"/>
              </w:rPr>
              <w:t>38℃</w:t>
            </w:r>
            <w:r>
              <w:rPr>
                <w:rFonts w:cs="Times New Roman" w:hint="eastAsia"/>
                <w:kern w:val="21"/>
                <w:sz w:val="21"/>
                <w:szCs w:val="21"/>
              </w:rPr>
              <w:t>，</w:t>
            </w:r>
            <w:r>
              <w:rPr>
                <w:rFonts w:cs="Times New Roman"/>
                <w:kern w:val="21"/>
                <w:sz w:val="21"/>
                <w:szCs w:val="21"/>
              </w:rPr>
              <w:t>遇明火、高热或与氧化剂接触，有引起燃烧爆炸的危险。若遇高热，容器内压增大，有开裂和爆炸的危险。</w:t>
            </w:r>
          </w:p>
          <w:p w14:paraId="0DE727BD" w14:textId="77777777" w:rsidR="00544649" w:rsidRDefault="00000000">
            <w:pPr>
              <w:adjustRightInd w:val="0"/>
              <w:snapToGrid w:val="0"/>
              <w:spacing w:beforeLines="20" w:before="62" w:afterLines="20" w:after="62" w:line="240" w:lineRule="auto"/>
              <w:ind w:firstLineChars="0" w:firstLine="0"/>
              <w:rPr>
                <w:rFonts w:cs="Times New Roman"/>
                <w:b/>
                <w:kern w:val="21"/>
                <w:sz w:val="21"/>
                <w:szCs w:val="21"/>
              </w:rPr>
            </w:pPr>
            <w:r>
              <w:rPr>
                <w:rFonts w:cs="Times New Roman"/>
                <w:kern w:val="21"/>
                <w:sz w:val="21"/>
                <w:szCs w:val="21"/>
              </w:rPr>
              <w:t>皮肤接触可为主要吸收途径，可致急性肾脏损害。柴油可引起接触性皮炎、油性痤疮。吸入其雾滴或液体呛入可引起吸入性肺炎。能经胎盘进入胎儿血中。柴油废气可引起眼、</w:t>
            </w:r>
            <w:proofErr w:type="gramStart"/>
            <w:r>
              <w:rPr>
                <w:rFonts w:cs="Times New Roman"/>
                <w:kern w:val="21"/>
                <w:sz w:val="21"/>
                <w:szCs w:val="21"/>
              </w:rPr>
              <w:t>鼻刺激</w:t>
            </w:r>
            <w:proofErr w:type="gramEnd"/>
            <w:r>
              <w:rPr>
                <w:rFonts w:cs="Times New Roman"/>
                <w:kern w:val="21"/>
                <w:sz w:val="21"/>
                <w:szCs w:val="21"/>
              </w:rPr>
              <w:t>症状，头晕及头痛。</w:t>
            </w:r>
          </w:p>
        </w:tc>
      </w:tr>
      <w:tr w:rsidR="00544649" w14:paraId="10BCC3B5" w14:textId="77777777">
        <w:tc>
          <w:tcPr>
            <w:tcW w:w="659" w:type="dxa"/>
            <w:vAlign w:val="center"/>
          </w:tcPr>
          <w:p w14:paraId="3A45A77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2</w:t>
            </w:r>
          </w:p>
        </w:tc>
        <w:tc>
          <w:tcPr>
            <w:tcW w:w="683" w:type="dxa"/>
            <w:vAlign w:val="center"/>
          </w:tcPr>
          <w:p w14:paraId="1D36B4E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废润</w:t>
            </w:r>
            <w:r>
              <w:rPr>
                <w:rFonts w:cs="Times New Roman" w:hint="eastAsia"/>
                <w:kern w:val="21"/>
                <w:sz w:val="21"/>
                <w:szCs w:val="21"/>
              </w:rPr>
              <w:lastRenderedPageBreak/>
              <w:t>滑油</w:t>
            </w:r>
          </w:p>
        </w:tc>
        <w:tc>
          <w:tcPr>
            <w:tcW w:w="1450" w:type="dxa"/>
            <w:vAlign w:val="center"/>
          </w:tcPr>
          <w:p w14:paraId="56C61978" w14:textId="77777777" w:rsidR="00544649" w:rsidRDefault="00000000">
            <w:pPr>
              <w:widowControl/>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lastRenderedPageBreak/>
              <w:t>易燃液体</w:t>
            </w:r>
          </w:p>
        </w:tc>
        <w:tc>
          <w:tcPr>
            <w:tcW w:w="6268" w:type="dxa"/>
            <w:vAlign w:val="center"/>
          </w:tcPr>
          <w:p w14:paraId="08CBE27E" w14:textId="77777777" w:rsidR="00544649" w:rsidRDefault="00000000">
            <w:pPr>
              <w:adjustRightInd w:val="0"/>
              <w:snapToGrid w:val="0"/>
              <w:spacing w:beforeLines="20" w:before="62" w:afterLines="20" w:after="62" w:line="240" w:lineRule="auto"/>
              <w:ind w:firstLineChars="0" w:firstLine="0"/>
              <w:rPr>
                <w:rFonts w:cs="Times New Roman"/>
                <w:kern w:val="21"/>
                <w:sz w:val="21"/>
                <w:szCs w:val="21"/>
              </w:rPr>
            </w:pPr>
            <w:r>
              <w:rPr>
                <w:rFonts w:cs="Times New Roman" w:hint="eastAsia"/>
                <w:kern w:val="21"/>
                <w:sz w:val="21"/>
                <w:szCs w:val="21"/>
              </w:rPr>
              <w:t>润滑油是复杂的碳氢化合物的混合物，一般为不易挥发的油状润滑</w:t>
            </w:r>
            <w:r>
              <w:rPr>
                <w:rFonts w:cs="Times New Roman" w:hint="eastAsia"/>
                <w:kern w:val="21"/>
                <w:sz w:val="21"/>
                <w:szCs w:val="21"/>
              </w:rPr>
              <w:lastRenderedPageBreak/>
              <w:t>剂。吸入润滑油可能导致乏力、头晕、头痛、恶心等症状，严重者可能引发油脂性肺炎。长期接触机油可能引起神经衰弱综合征、呼吸道和眼刺激症状，以及慢性油脂性肺炎。</w:t>
            </w:r>
          </w:p>
        </w:tc>
      </w:tr>
      <w:tr w:rsidR="00544649" w14:paraId="50E9CA39" w14:textId="77777777">
        <w:trPr>
          <w:trHeight w:val="3745"/>
        </w:trPr>
        <w:tc>
          <w:tcPr>
            <w:tcW w:w="659" w:type="dxa"/>
            <w:vAlign w:val="center"/>
          </w:tcPr>
          <w:p w14:paraId="34ACB89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lastRenderedPageBreak/>
              <w:t>3</w:t>
            </w:r>
          </w:p>
        </w:tc>
        <w:tc>
          <w:tcPr>
            <w:tcW w:w="683" w:type="dxa"/>
            <w:vAlign w:val="center"/>
          </w:tcPr>
          <w:p w14:paraId="61335246"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kern w:val="21"/>
                <w:sz w:val="21"/>
                <w:szCs w:val="21"/>
              </w:rPr>
              <w:t>NH</w:t>
            </w:r>
            <w:r>
              <w:rPr>
                <w:rFonts w:cs="Times New Roman"/>
                <w:kern w:val="21"/>
                <w:sz w:val="21"/>
                <w:szCs w:val="21"/>
                <w:vertAlign w:val="subscript"/>
              </w:rPr>
              <w:t>3</w:t>
            </w:r>
          </w:p>
        </w:tc>
        <w:tc>
          <w:tcPr>
            <w:tcW w:w="1450" w:type="dxa"/>
            <w:vAlign w:val="center"/>
          </w:tcPr>
          <w:p w14:paraId="08E82F36"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Cs/>
                <w:kern w:val="21"/>
                <w:sz w:val="21"/>
                <w:szCs w:val="21"/>
              </w:rPr>
              <w:t>有毒气体</w:t>
            </w:r>
          </w:p>
        </w:tc>
        <w:tc>
          <w:tcPr>
            <w:tcW w:w="6268" w:type="dxa"/>
            <w:vAlign w:val="center"/>
          </w:tcPr>
          <w:p w14:paraId="4E67CDAF" w14:textId="77777777" w:rsidR="00544649" w:rsidRDefault="00000000">
            <w:pPr>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对</w:t>
            </w:r>
            <w:r>
              <w:rPr>
                <w:rFonts w:cs="Times New Roman" w:hint="eastAsia"/>
                <w:kern w:val="21"/>
                <w:sz w:val="21"/>
                <w:szCs w:val="21"/>
              </w:rPr>
              <w:t>黏膜</w:t>
            </w:r>
            <w:r>
              <w:rPr>
                <w:rFonts w:cs="Times New Roman"/>
                <w:kern w:val="21"/>
                <w:sz w:val="21"/>
                <w:szCs w:val="21"/>
              </w:rPr>
              <w:t>和皮肤有碱性刺激及腐蚀作用，可造成组织溶解性坏死。高浓度时可引起反射性呼吸停止和心脏停搏。</w:t>
            </w:r>
          </w:p>
          <w:p w14:paraId="7F4A8CB6" w14:textId="77777777" w:rsidR="00544649" w:rsidRDefault="00000000">
            <w:pPr>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人吸入</w:t>
            </w:r>
            <w:r>
              <w:rPr>
                <w:rFonts w:cs="Times New Roman"/>
                <w:bCs/>
                <w:kern w:val="21"/>
                <w:sz w:val="21"/>
                <w:szCs w:val="21"/>
              </w:rPr>
              <w:t>LC</w:t>
            </w:r>
            <w:r>
              <w:rPr>
                <w:rFonts w:cs="Times New Roman"/>
                <w:bCs/>
                <w:kern w:val="21"/>
                <w:sz w:val="21"/>
                <w:szCs w:val="21"/>
                <w:vertAlign w:val="subscript"/>
              </w:rPr>
              <w:t>10</w:t>
            </w:r>
            <w:r>
              <w:rPr>
                <w:rFonts w:cs="Times New Roman"/>
                <w:kern w:val="21"/>
                <w:sz w:val="21"/>
                <w:szCs w:val="21"/>
              </w:rPr>
              <w:t>:5000ppm/5M</w:t>
            </w:r>
            <w:r>
              <w:rPr>
                <w:rFonts w:cs="Times New Roman"/>
                <w:kern w:val="21"/>
                <w:sz w:val="21"/>
                <w:szCs w:val="21"/>
              </w:rPr>
              <w:t>。</w:t>
            </w:r>
          </w:p>
          <w:p w14:paraId="6A050FA9" w14:textId="77777777" w:rsidR="00544649" w:rsidRDefault="00000000">
            <w:pPr>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大鼠吸入</w:t>
            </w:r>
            <w:r>
              <w:rPr>
                <w:rFonts w:cs="Times New Roman"/>
                <w:bCs/>
                <w:kern w:val="21"/>
                <w:sz w:val="21"/>
                <w:szCs w:val="21"/>
              </w:rPr>
              <w:t>LC</w:t>
            </w:r>
            <w:r>
              <w:rPr>
                <w:rFonts w:cs="Times New Roman"/>
                <w:bCs/>
                <w:kern w:val="21"/>
                <w:sz w:val="21"/>
                <w:szCs w:val="21"/>
                <w:vertAlign w:val="subscript"/>
              </w:rPr>
              <w:t>50</w:t>
            </w:r>
            <w:r>
              <w:rPr>
                <w:rFonts w:cs="Times New Roman"/>
                <w:kern w:val="21"/>
                <w:sz w:val="21"/>
                <w:szCs w:val="21"/>
              </w:rPr>
              <w:t>:2000ppm/4H</w:t>
            </w:r>
            <w:r>
              <w:rPr>
                <w:rFonts w:cs="Times New Roman"/>
                <w:kern w:val="21"/>
                <w:sz w:val="21"/>
                <w:szCs w:val="21"/>
              </w:rPr>
              <w:t>。小鼠吸入</w:t>
            </w:r>
            <w:r>
              <w:rPr>
                <w:rFonts w:cs="Times New Roman"/>
                <w:bCs/>
                <w:kern w:val="21"/>
                <w:sz w:val="21"/>
                <w:szCs w:val="21"/>
              </w:rPr>
              <w:t>LC</w:t>
            </w:r>
            <w:r>
              <w:rPr>
                <w:rFonts w:cs="Times New Roman"/>
                <w:bCs/>
                <w:kern w:val="21"/>
                <w:sz w:val="21"/>
                <w:szCs w:val="21"/>
                <w:vertAlign w:val="subscript"/>
              </w:rPr>
              <w:t>50</w:t>
            </w:r>
            <w:r>
              <w:rPr>
                <w:rFonts w:cs="Times New Roman"/>
                <w:kern w:val="21"/>
                <w:sz w:val="21"/>
                <w:szCs w:val="21"/>
              </w:rPr>
              <w:t>:4230ppm/1H</w:t>
            </w:r>
            <w:r>
              <w:rPr>
                <w:rFonts w:cs="Times New Roman"/>
                <w:kern w:val="21"/>
                <w:sz w:val="21"/>
                <w:szCs w:val="21"/>
              </w:rPr>
              <w:t>。人接触</w:t>
            </w:r>
            <w:r>
              <w:rPr>
                <w:rFonts w:cs="Times New Roman"/>
                <w:kern w:val="21"/>
                <w:sz w:val="21"/>
                <w:szCs w:val="21"/>
              </w:rPr>
              <w:t>553mg/m</w:t>
            </w:r>
            <w:r>
              <w:rPr>
                <w:rFonts w:cs="Times New Roman"/>
                <w:kern w:val="21"/>
                <w:sz w:val="21"/>
                <w:szCs w:val="21"/>
                <w:vertAlign w:val="superscript"/>
              </w:rPr>
              <w:t>3</w:t>
            </w:r>
            <w:r>
              <w:rPr>
                <w:rFonts w:cs="Times New Roman"/>
                <w:kern w:val="21"/>
                <w:sz w:val="21"/>
                <w:szCs w:val="21"/>
              </w:rPr>
              <w:t>可发生强烈的刺激症状，可耐受</w:t>
            </w:r>
            <w:r>
              <w:rPr>
                <w:rFonts w:cs="Times New Roman"/>
                <w:kern w:val="21"/>
                <w:sz w:val="21"/>
                <w:szCs w:val="21"/>
              </w:rPr>
              <w:t>1.25</w:t>
            </w:r>
            <w:r>
              <w:rPr>
                <w:rFonts w:cs="Times New Roman"/>
                <w:kern w:val="21"/>
                <w:sz w:val="21"/>
                <w:szCs w:val="21"/>
              </w:rPr>
              <w:t>分钟；</w:t>
            </w:r>
            <w:r>
              <w:rPr>
                <w:rFonts w:cs="Times New Roman"/>
                <w:kern w:val="21"/>
                <w:sz w:val="21"/>
                <w:szCs w:val="21"/>
              </w:rPr>
              <w:t>3500</w:t>
            </w:r>
            <w:r>
              <w:rPr>
                <w:rFonts w:cs="Times New Roman" w:hint="eastAsia"/>
                <w:kern w:val="21"/>
                <w:sz w:val="21"/>
                <w:szCs w:val="21"/>
              </w:rPr>
              <w:t>~</w:t>
            </w:r>
            <w:r>
              <w:rPr>
                <w:rFonts w:cs="Times New Roman"/>
                <w:kern w:val="21"/>
                <w:sz w:val="21"/>
                <w:szCs w:val="21"/>
              </w:rPr>
              <w:t>7000mg/m</w:t>
            </w:r>
            <w:r>
              <w:rPr>
                <w:rFonts w:cs="Times New Roman"/>
                <w:kern w:val="21"/>
                <w:sz w:val="21"/>
                <w:szCs w:val="21"/>
                <w:vertAlign w:val="superscript"/>
              </w:rPr>
              <w:t>3</w:t>
            </w:r>
            <w:r>
              <w:rPr>
                <w:rFonts w:cs="Times New Roman"/>
                <w:kern w:val="21"/>
                <w:sz w:val="21"/>
                <w:szCs w:val="21"/>
              </w:rPr>
              <w:t>浓度下可立即死亡。</w:t>
            </w:r>
          </w:p>
          <w:p w14:paraId="5F36B5D0" w14:textId="77777777" w:rsidR="00544649" w:rsidRDefault="00000000">
            <w:pPr>
              <w:adjustRightInd w:val="0"/>
              <w:snapToGrid w:val="0"/>
              <w:spacing w:beforeLines="20" w:before="62" w:afterLines="20" w:after="62" w:line="240" w:lineRule="auto"/>
              <w:ind w:firstLineChars="0" w:firstLine="0"/>
              <w:rPr>
                <w:rFonts w:cs="Times New Roman"/>
                <w:b/>
                <w:kern w:val="21"/>
                <w:sz w:val="21"/>
                <w:szCs w:val="21"/>
              </w:rPr>
            </w:pPr>
            <w:r>
              <w:rPr>
                <w:rFonts w:cs="Times New Roman"/>
                <w:kern w:val="21"/>
                <w:sz w:val="21"/>
                <w:szCs w:val="21"/>
              </w:rPr>
              <w:t>短期内吸入大量氨气后可出现流泪、咽痛、声音嘶哑、咳嗽、痰可带血丝、胸闷、呼吸困难，可伴有头晕、头痛、恶心、呕吐、乏力等，可出现</w:t>
            </w:r>
            <w:r>
              <w:rPr>
                <w:rFonts w:cs="Times New Roman" w:hint="eastAsia"/>
                <w:kern w:val="21"/>
                <w:sz w:val="21"/>
                <w:szCs w:val="21"/>
              </w:rPr>
              <w:t>发绀</w:t>
            </w:r>
            <w:r>
              <w:rPr>
                <w:rFonts w:cs="Times New Roman"/>
                <w:kern w:val="21"/>
                <w:sz w:val="21"/>
                <w:szCs w:val="21"/>
              </w:rPr>
              <w:t>、眼结膜及咽部充血及水肿、呼吸率快、肺部</w:t>
            </w:r>
            <w:proofErr w:type="gramStart"/>
            <w:r>
              <w:rPr>
                <w:rFonts w:cs="Times New Roman" w:hint="eastAsia"/>
                <w:kern w:val="21"/>
                <w:sz w:val="21"/>
                <w:szCs w:val="21"/>
              </w:rPr>
              <w:t>啰</w:t>
            </w:r>
            <w:proofErr w:type="gramEnd"/>
            <w:r>
              <w:rPr>
                <w:rFonts w:cs="Times New Roman" w:hint="eastAsia"/>
                <w:kern w:val="21"/>
                <w:sz w:val="21"/>
                <w:szCs w:val="21"/>
              </w:rPr>
              <w:t>音</w:t>
            </w:r>
            <w:r>
              <w:rPr>
                <w:rFonts w:cs="Times New Roman"/>
                <w:kern w:val="21"/>
                <w:sz w:val="21"/>
                <w:szCs w:val="21"/>
              </w:rPr>
              <w:t>等。严重者可发生肺水肿、急性呼吸窘迫综合征，喉水肿痉挛或支气管</w:t>
            </w:r>
            <w:r>
              <w:rPr>
                <w:rFonts w:cs="Times New Roman" w:hint="eastAsia"/>
                <w:kern w:val="21"/>
                <w:sz w:val="21"/>
                <w:szCs w:val="21"/>
              </w:rPr>
              <w:t>黏膜</w:t>
            </w:r>
            <w:r>
              <w:rPr>
                <w:rFonts w:cs="Times New Roman"/>
                <w:kern w:val="21"/>
                <w:sz w:val="21"/>
                <w:szCs w:val="21"/>
              </w:rPr>
              <w:t>坏死脱落致</w:t>
            </w:r>
            <w:r>
              <w:rPr>
                <w:rFonts w:cs="Times New Roman" w:hint="eastAsia"/>
                <w:kern w:val="21"/>
                <w:sz w:val="21"/>
                <w:szCs w:val="21"/>
              </w:rPr>
              <w:t>窒息</w:t>
            </w:r>
            <w:r>
              <w:rPr>
                <w:rFonts w:cs="Times New Roman"/>
                <w:kern w:val="21"/>
                <w:sz w:val="21"/>
                <w:szCs w:val="21"/>
              </w:rPr>
              <w:t>，还可并发气胸、</w:t>
            </w:r>
            <w:r>
              <w:rPr>
                <w:rFonts w:cs="Times New Roman" w:hint="eastAsia"/>
                <w:kern w:val="21"/>
                <w:sz w:val="21"/>
                <w:szCs w:val="21"/>
              </w:rPr>
              <w:t>纵隔气肿</w:t>
            </w:r>
            <w:r>
              <w:rPr>
                <w:rFonts w:cs="Times New Roman"/>
                <w:kern w:val="21"/>
                <w:sz w:val="21"/>
                <w:szCs w:val="21"/>
              </w:rPr>
              <w:t>。胸部</w:t>
            </w:r>
            <w:r>
              <w:rPr>
                <w:rFonts w:cs="Times New Roman"/>
                <w:kern w:val="21"/>
                <w:sz w:val="21"/>
                <w:szCs w:val="21"/>
              </w:rPr>
              <w:t>X</w:t>
            </w:r>
            <w:r>
              <w:rPr>
                <w:rFonts w:cs="Times New Roman"/>
                <w:kern w:val="21"/>
                <w:sz w:val="21"/>
                <w:szCs w:val="21"/>
              </w:rPr>
              <w:t>线检查呈支气管炎、支气管周围炎、肺炎或肺水肿表现。气血分析示动脉血氧分压降低。</w:t>
            </w:r>
          </w:p>
        </w:tc>
      </w:tr>
      <w:tr w:rsidR="00544649" w14:paraId="64691242" w14:textId="77777777">
        <w:tc>
          <w:tcPr>
            <w:tcW w:w="659" w:type="dxa"/>
            <w:vAlign w:val="center"/>
          </w:tcPr>
          <w:p w14:paraId="33FFC87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4</w:t>
            </w:r>
          </w:p>
        </w:tc>
        <w:tc>
          <w:tcPr>
            <w:tcW w:w="683" w:type="dxa"/>
            <w:vAlign w:val="center"/>
          </w:tcPr>
          <w:p w14:paraId="76BB772A"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kern w:val="21"/>
                <w:sz w:val="21"/>
                <w:szCs w:val="21"/>
              </w:rPr>
              <w:t>H</w:t>
            </w:r>
            <w:r>
              <w:rPr>
                <w:rFonts w:cs="Times New Roman"/>
                <w:kern w:val="21"/>
                <w:sz w:val="21"/>
                <w:szCs w:val="21"/>
                <w:vertAlign w:val="subscript"/>
              </w:rPr>
              <w:t>2</w:t>
            </w:r>
            <w:r>
              <w:rPr>
                <w:rFonts w:cs="Times New Roman"/>
                <w:kern w:val="21"/>
                <w:sz w:val="21"/>
                <w:szCs w:val="21"/>
              </w:rPr>
              <w:t>S</w:t>
            </w:r>
          </w:p>
        </w:tc>
        <w:tc>
          <w:tcPr>
            <w:tcW w:w="1450" w:type="dxa"/>
            <w:vAlign w:val="center"/>
          </w:tcPr>
          <w:p w14:paraId="10D78DF5"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Cs/>
                <w:kern w:val="21"/>
                <w:sz w:val="21"/>
                <w:szCs w:val="21"/>
              </w:rPr>
              <w:t>有毒气体</w:t>
            </w:r>
          </w:p>
        </w:tc>
        <w:tc>
          <w:tcPr>
            <w:tcW w:w="6268" w:type="dxa"/>
            <w:vAlign w:val="center"/>
          </w:tcPr>
          <w:p w14:paraId="386DA1AF"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bCs/>
                <w:kern w:val="21"/>
                <w:sz w:val="21"/>
                <w:szCs w:val="21"/>
              </w:rPr>
              <w:t>具有臭鸡蛋气味，其中毒作用的</w:t>
            </w:r>
            <w:proofErr w:type="gramStart"/>
            <w:r>
              <w:rPr>
                <w:rFonts w:cs="Times New Roman"/>
                <w:bCs/>
                <w:kern w:val="21"/>
                <w:sz w:val="21"/>
                <w:szCs w:val="21"/>
              </w:rPr>
              <w:t>主要靶器是</w:t>
            </w:r>
            <w:proofErr w:type="gramEnd"/>
            <w:r>
              <w:rPr>
                <w:rFonts w:cs="Times New Roman"/>
                <w:bCs/>
                <w:kern w:val="21"/>
                <w:sz w:val="21"/>
                <w:szCs w:val="21"/>
              </w:rPr>
              <w:t>中枢神经系统和呼吸系</w:t>
            </w:r>
            <w:r>
              <w:rPr>
                <w:rFonts w:cs="Times New Roman" w:hint="eastAsia"/>
                <w:bCs/>
                <w:kern w:val="21"/>
                <w:sz w:val="21"/>
                <w:szCs w:val="21"/>
              </w:rPr>
              <w:t>统</w:t>
            </w:r>
            <w:r>
              <w:rPr>
                <w:rFonts w:cs="Times New Roman"/>
                <w:bCs/>
                <w:kern w:val="21"/>
                <w:sz w:val="21"/>
                <w:szCs w:val="21"/>
              </w:rPr>
              <w:t>，亦可伴有心脏等多器官损害，对毒作用最敏感的组织是脑和</w:t>
            </w:r>
            <w:r>
              <w:rPr>
                <w:rFonts w:cs="Times New Roman" w:hint="eastAsia"/>
                <w:bCs/>
                <w:kern w:val="21"/>
                <w:sz w:val="21"/>
                <w:szCs w:val="21"/>
              </w:rPr>
              <w:t>黏膜</w:t>
            </w:r>
            <w:r>
              <w:rPr>
                <w:rFonts w:cs="Times New Roman"/>
                <w:bCs/>
                <w:kern w:val="21"/>
                <w:sz w:val="21"/>
                <w:szCs w:val="21"/>
              </w:rPr>
              <w:t>接触部位。</w:t>
            </w:r>
          </w:p>
          <w:p w14:paraId="60E07A75"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bCs/>
                <w:kern w:val="21"/>
                <w:sz w:val="21"/>
                <w:szCs w:val="21"/>
              </w:rPr>
              <w:t>人吸入</w:t>
            </w:r>
            <w:r>
              <w:rPr>
                <w:rFonts w:cs="Times New Roman"/>
                <w:bCs/>
                <w:kern w:val="21"/>
                <w:sz w:val="21"/>
                <w:szCs w:val="21"/>
              </w:rPr>
              <w:t>LC</w:t>
            </w:r>
            <w:r>
              <w:rPr>
                <w:rFonts w:cs="Times New Roman"/>
                <w:bCs/>
                <w:kern w:val="21"/>
                <w:sz w:val="21"/>
                <w:szCs w:val="21"/>
                <w:vertAlign w:val="subscript"/>
              </w:rPr>
              <w:t>10</w:t>
            </w:r>
            <w:r>
              <w:rPr>
                <w:rFonts w:cs="Times New Roman"/>
                <w:bCs/>
                <w:kern w:val="21"/>
                <w:sz w:val="21"/>
                <w:szCs w:val="21"/>
              </w:rPr>
              <w:t>:600ppm/30M</w:t>
            </w:r>
            <w:r>
              <w:rPr>
                <w:rFonts w:cs="Times New Roman" w:hint="eastAsia"/>
                <w:bCs/>
                <w:kern w:val="21"/>
                <w:sz w:val="21"/>
                <w:szCs w:val="21"/>
              </w:rPr>
              <w:t>，</w:t>
            </w:r>
            <w:r>
              <w:rPr>
                <w:rFonts w:cs="Times New Roman"/>
                <w:bCs/>
                <w:kern w:val="21"/>
                <w:sz w:val="21"/>
                <w:szCs w:val="21"/>
              </w:rPr>
              <w:t>800ppm/5M</w:t>
            </w:r>
            <w:r>
              <w:rPr>
                <w:rFonts w:cs="Times New Roman"/>
                <w:bCs/>
                <w:kern w:val="21"/>
                <w:sz w:val="21"/>
                <w:szCs w:val="21"/>
              </w:rPr>
              <w:t>。人</w:t>
            </w:r>
            <w:r>
              <w:rPr>
                <w:rFonts w:cs="Times New Roman" w:hint="eastAsia"/>
                <w:bCs/>
                <w:kern w:val="21"/>
                <w:sz w:val="21"/>
                <w:szCs w:val="21"/>
              </w:rPr>
              <w:t>（</w:t>
            </w:r>
            <w:r>
              <w:rPr>
                <w:rFonts w:cs="Times New Roman"/>
                <w:bCs/>
                <w:kern w:val="21"/>
                <w:sz w:val="21"/>
                <w:szCs w:val="21"/>
              </w:rPr>
              <w:t>男性</w:t>
            </w:r>
            <w:r>
              <w:rPr>
                <w:rFonts w:cs="Times New Roman" w:hint="eastAsia"/>
                <w:bCs/>
                <w:kern w:val="21"/>
                <w:sz w:val="21"/>
                <w:szCs w:val="21"/>
              </w:rPr>
              <w:t>）</w:t>
            </w:r>
            <w:r>
              <w:rPr>
                <w:rFonts w:cs="Times New Roman"/>
                <w:bCs/>
                <w:kern w:val="21"/>
                <w:sz w:val="21"/>
                <w:szCs w:val="21"/>
              </w:rPr>
              <w:t>吸入</w:t>
            </w:r>
            <w:r>
              <w:rPr>
                <w:rFonts w:cs="Times New Roman"/>
                <w:bCs/>
                <w:kern w:val="21"/>
                <w:sz w:val="21"/>
                <w:szCs w:val="21"/>
              </w:rPr>
              <w:t>LC</w:t>
            </w:r>
            <w:r>
              <w:rPr>
                <w:rFonts w:cs="Times New Roman"/>
                <w:bCs/>
                <w:kern w:val="21"/>
                <w:sz w:val="21"/>
                <w:szCs w:val="21"/>
                <w:vertAlign w:val="subscript"/>
              </w:rPr>
              <w:t>50</w:t>
            </w:r>
            <w:r>
              <w:rPr>
                <w:rFonts w:cs="Times New Roman"/>
                <w:bCs/>
                <w:kern w:val="21"/>
                <w:sz w:val="21"/>
                <w:szCs w:val="21"/>
              </w:rPr>
              <w:t>=5700ug/kg</w:t>
            </w:r>
            <w:r>
              <w:rPr>
                <w:rFonts w:cs="Times New Roman"/>
                <w:bCs/>
                <w:kern w:val="21"/>
                <w:sz w:val="21"/>
                <w:szCs w:val="21"/>
              </w:rPr>
              <w:t>。</w:t>
            </w:r>
          </w:p>
          <w:p w14:paraId="1EC6CA13" w14:textId="77777777" w:rsidR="00544649" w:rsidRDefault="00000000">
            <w:pPr>
              <w:adjustRightInd w:val="0"/>
              <w:snapToGrid w:val="0"/>
              <w:spacing w:beforeLines="20" w:before="62" w:afterLines="20" w:after="62" w:line="240" w:lineRule="auto"/>
              <w:ind w:firstLineChars="0" w:firstLine="0"/>
              <w:rPr>
                <w:rFonts w:cs="Times New Roman"/>
                <w:bCs/>
                <w:kern w:val="21"/>
                <w:sz w:val="21"/>
                <w:szCs w:val="21"/>
              </w:rPr>
            </w:pPr>
            <w:r>
              <w:rPr>
                <w:rFonts w:cs="Times New Roman"/>
                <w:bCs/>
                <w:kern w:val="21"/>
                <w:sz w:val="21"/>
                <w:szCs w:val="21"/>
              </w:rPr>
              <w:t>大鼠吸入</w:t>
            </w:r>
            <w:r>
              <w:rPr>
                <w:rFonts w:cs="Times New Roman"/>
                <w:bCs/>
                <w:kern w:val="21"/>
                <w:sz w:val="21"/>
                <w:szCs w:val="21"/>
              </w:rPr>
              <w:t>LC</w:t>
            </w:r>
            <w:r>
              <w:rPr>
                <w:rFonts w:cs="Times New Roman"/>
                <w:bCs/>
                <w:kern w:val="21"/>
                <w:sz w:val="21"/>
                <w:szCs w:val="21"/>
                <w:vertAlign w:val="subscript"/>
              </w:rPr>
              <w:t>50</w:t>
            </w:r>
            <w:r>
              <w:rPr>
                <w:rFonts w:cs="Times New Roman"/>
                <w:bCs/>
                <w:kern w:val="21"/>
                <w:sz w:val="21"/>
                <w:szCs w:val="21"/>
              </w:rPr>
              <w:t>:444pp</w:t>
            </w:r>
            <w:r>
              <w:rPr>
                <w:rFonts w:cs="Times New Roman"/>
                <w:bCs/>
                <w:kern w:val="21"/>
                <w:sz w:val="21"/>
                <w:szCs w:val="21"/>
              </w:rPr>
              <w:t>。小鼠吸入</w:t>
            </w:r>
            <w:r>
              <w:rPr>
                <w:rFonts w:cs="Times New Roman"/>
                <w:bCs/>
                <w:kern w:val="21"/>
                <w:sz w:val="21"/>
                <w:szCs w:val="21"/>
              </w:rPr>
              <w:t>LC</w:t>
            </w:r>
            <w:r>
              <w:rPr>
                <w:rFonts w:cs="Times New Roman"/>
                <w:bCs/>
                <w:kern w:val="21"/>
                <w:sz w:val="21"/>
                <w:szCs w:val="21"/>
                <w:vertAlign w:val="subscript"/>
              </w:rPr>
              <w:t>50</w:t>
            </w:r>
            <w:r>
              <w:rPr>
                <w:rFonts w:cs="Times New Roman"/>
                <w:bCs/>
                <w:kern w:val="21"/>
                <w:sz w:val="21"/>
                <w:szCs w:val="21"/>
              </w:rPr>
              <w:t>:669ppm/</w:t>
            </w:r>
            <w:proofErr w:type="spellStart"/>
            <w:r>
              <w:rPr>
                <w:rFonts w:cs="Times New Roman"/>
                <w:bCs/>
                <w:kern w:val="21"/>
                <w:sz w:val="21"/>
                <w:szCs w:val="21"/>
              </w:rPr>
              <w:t>lH</w:t>
            </w:r>
            <w:proofErr w:type="spellEnd"/>
            <w:r>
              <w:rPr>
                <w:rFonts w:cs="Times New Roman"/>
                <w:bCs/>
                <w:kern w:val="21"/>
                <w:sz w:val="21"/>
                <w:szCs w:val="21"/>
              </w:rPr>
              <w:t>。</w:t>
            </w:r>
          </w:p>
          <w:p w14:paraId="4B430023" w14:textId="77777777" w:rsidR="00544649" w:rsidRDefault="00000000">
            <w:pPr>
              <w:adjustRightInd w:val="0"/>
              <w:snapToGrid w:val="0"/>
              <w:spacing w:beforeLines="20" w:before="62" w:afterLines="20" w:after="62" w:line="240" w:lineRule="auto"/>
              <w:ind w:firstLineChars="0" w:firstLine="0"/>
              <w:rPr>
                <w:rFonts w:cs="Times New Roman"/>
                <w:kern w:val="21"/>
                <w:sz w:val="21"/>
                <w:szCs w:val="21"/>
              </w:rPr>
            </w:pPr>
            <w:r>
              <w:rPr>
                <w:rFonts w:cs="Times New Roman"/>
                <w:bCs/>
                <w:kern w:val="21"/>
                <w:sz w:val="21"/>
                <w:szCs w:val="21"/>
              </w:rPr>
              <w:t>接触高浓度硫化氢后以脑病表现</w:t>
            </w:r>
            <w:r>
              <w:rPr>
                <w:rFonts w:cs="Times New Roman" w:hint="eastAsia"/>
                <w:bCs/>
                <w:kern w:val="21"/>
                <w:sz w:val="21"/>
                <w:szCs w:val="21"/>
              </w:rPr>
              <w:t>最为</w:t>
            </w:r>
            <w:r>
              <w:rPr>
                <w:rFonts w:cs="Times New Roman"/>
                <w:bCs/>
                <w:kern w:val="21"/>
                <w:sz w:val="21"/>
                <w:szCs w:val="21"/>
              </w:rPr>
              <w:t>显著</w:t>
            </w:r>
            <w:r>
              <w:rPr>
                <w:rFonts w:cs="Times New Roman" w:hint="eastAsia"/>
                <w:bCs/>
                <w:kern w:val="21"/>
                <w:sz w:val="21"/>
                <w:szCs w:val="21"/>
              </w:rPr>
              <w:t>，</w:t>
            </w:r>
            <w:r>
              <w:rPr>
                <w:rFonts w:cs="Times New Roman"/>
                <w:bCs/>
                <w:kern w:val="21"/>
                <w:sz w:val="21"/>
                <w:szCs w:val="21"/>
              </w:rPr>
              <w:t>出现头痛、头晕、易激动、步态蹒跚、烦躁、意识模糊、谵妄、癫痫样抽搐可呈全身性强直</w:t>
            </w:r>
            <w:r>
              <w:rPr>
                <w:rFonts w:cs="Times New Roman" w:hint="eastAsia"/>
                <w:bCs/>
                <w:kern w:val="21"/>
                <w:sz w:val="21"/>
                <w:szCs w:val="21"/>
              </w:rPr>
              <w:t>肌阵挛发作</w:t>
            </w:r>
            <w:r>
              <w:rPr>
                <w:rFonts w:cs="Times New Roman"/>
                <w:bCs/>
                <w:kern w:val="21"/>
                <w:sz w:val="21"/>
                <w:szCs w:val="21"/>
              </w:rPr>
              <w:t>等；可突然发生昏迷：也可发生呼吸困难或呼吸停止后心跳停止。眼底检查可见个别病例有视神经乳头水肿。部分病例可同时伴有肺水肿。脑病症状常较呼吸道症状的出现为早。可能因发生</w:t>
            </w:r>
            <w:r>
              <w:rPr>
                <w:rFonts w:cs="Times New Roman" w:hint="eastAsia"/>
                <w:bCs/>
                <w:kern w:val="21"/>
                <w:sz w:val="21"/>
                <w:szCs w:val="21"/>
              </w:rPr>
              <w:t>黏膜</w:t>
            </w:r>
            <w:r>
              <w:rPr>
                <w:rFonts w:cs="Times New Roman"/>
                <w:bCs/>
                <w:kern w:val="21"/>
                <w:sz w:val="21"/>
                <w:szCs w:val="21"/>
              </w:rPr>
              <w:t>刺激作用需要一定时间。</w:t>
            </w:r>
          </w:p>
        </w:tc>
      </w:tr>
    </w:tbl>
    <w:p w14:paraId="2DEE5C1F"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8"/>
        </w:rPr>
      </w:pPr>
      <w:bookmarkStart w:id="339" w:name="_Toc195009897"/>
      <w:r>
        <w:rPr>
          <w:rFonts w:cs="Times New Roman"/>
          <w:b/>
          <w:bCs/>
          <w:kern w:val="21"/>
          <w:sz w:val="28"/>
          <w:szCs w:val="28"/>
        </w:rPr>
        <w:t>风险潜势初判</w:t>
      </w:r>
      <w:bookmarkEnd w:id="339"/>
    </w:p>
    <w:p w14:paraId="2C50EB8D" w14:textId="77777777" w:rsidR="00544649" w:rsidRDefault="00000000">
      <w:pPr>
        <w:adjustRightInd w:val="0"/>
        <w:snapToGrid w:val="0"/>
        <w:spacing w:after="0"/>
        <w:ind w:firstLine="480"/>
        <w:rPr>
          <w:rFonts w:cs="Times New Roman"/>
          <w:kern w:val="21"/>
          <w:szCs w:val="20"/>
        </w:rPr>
      </w:pPr>
      <w:bookmarkStart w:id="340" w:name="_Toc124240807"/>
      <w:bookmarkStart w:id="341" w:name="_Toc90937915"/>
      <w:bookmarkStart w:id="342" w:name="_Toc97134962"/>
      <w:r>
        <w:rPr>
          <w:rFonts w:cs="Times New Roman" w:hint="eastAsia"/>
          <w:kern w:val="21"/>
          <w:szCs w:val="20"/>
        </w:rPr>
        <w:t>略。</w:t>
      </w:r>
    </w:p>
    <w:p w14:paraId="37695558"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343" w:name="_Toc1488"/>
      <w:bookmarkStart w:id="344" w:name="_Toc195009898"/>
      <w:r>
        <w:rPr>
          <w:rFonts w:cs="Times New Roman" w:hint="eastAsia"/>
          <w:b/>
          <w:bCs/>
          <w:kern w:val="21"/>
          <w:sz w:val="32"/>
          <w:szCs w:val="32"/>
        </w:rPr>
        <w:t>环境敏感目标概况</w:t>
      </w:r>
      <w:bookmarkEnd w:id="343"/>
      <w:bookmarkEnd w:id="344"/>
    </w:p>
    <w:p w14:paraId="5EFBD1A1" w14:textId="77777777" w:rsidR="00544649" w:rsidRDefault="00000000">
      <w:pPr>
        <w:adjustRightInd w:val="0"/>
        <w:snapToGrid w:val="0"/>
        <w:spacing w:after="0"/>
        <w:ind w:firstLine="480"/>
        <w:rPr>
          <w:kern w:val="21"/>
        </w:rPr>
      </w:pPr>
      <w:r>
        <w:rPr>
          <w:rFonts w:hint="eastAsia"/>
          <w:kern w:val="21"/>
        </w:rPr>
        <w:t>项目环境敏感目标基本情况及与项目位置关系详见</w:t>
      </w:r>
      <w:r>
        <w:rPr>
          <w:rFonts w:hint="eastAsia"/>
          <w:kern w:val="21"/>
        </w:rPr>
        <w:t>1.9.2</w:t>
      </w:r>
      <w:r>
        <w:rPr>
          <w:rFonts w:hint="eastAsia"/>
          <w:kern w:val="21"/>
        </w:rPr>
        <w:t>主要保护目标。</w:t>
      </w:r>
    </w:p>
    <w:p w14:paraId="7DA60452"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345" w:name="_Toc195009899"/>
      <w:r>
        <w:rPr>
          <w:rFonts w:cs="Times New Roman" w:hint="eastAsia"/>
          <w:b/>
          <w:bCs/>
          <w:kern w:val="21"/>
          <w:sz w:val="32"/>
          <w:szCs w:val="28"/>
        </w:rPr>
        <w:t>环境风险识别</w:t>
      </w:r>
      <w:bookmarkEnd w:id="345"/>
    </w:p>
    <w:p w14:paraId="6500C123" w14:textId="77777777" w:rsidR="00544649" w:rsidRDefault="00000000">
      <w:pPr>
        <w:keepNext/>
        <w:keepLines/>
        <w:numPr>
          <w:ilvl w:val="2"/>
          <w:numId w:val="9"/>
        </w:numPr>
        <w:adjustRightInd w:val="0"/>
        <w:snapToGrid w:val="0"/>
        <w:spacing w:after="0"/>
        <w:ind w:firstLineChars="0"/>
        <w:jc w:val="left"/>
        <w:outlineLvl w:val="2"/>
        <w:rPr>
          <w:rFonts w:cs="Times New Roman"/>
          <w:b/>
          <w:kern w:val="21"/>
          <w:sz w:val="28"/>
          <w:szCs w:val="28"/>
        </w:rPr>
      </w:pPr>
      <w:bookmarkStart w:id="346" w:name="_Toc195009900"/>
      <w:r>
        <w:rPr>
          <w:rFonts w:cs="Times New Roman" w:hint="eastAsia"/>
          <w:b/>
          <w:kern w:val="21"/>
          <w:sz w:val="28"/>
          <w:szCs w:val="28"/>
        </w:rPr>
        <w:t>物质风险性识别</w:t>
      </w:r>
      <w:bookmarkEnd w:id="346"/>
    </w:p>
    <w:p w14:paraId="00B7B97C" w14:textId="77777777" w:rsidR="00544649" w:rsidRDefault="00000000">
      <w:pPr>
        <w:adjustRightInd w:val="0"/>
        <w:snapToGrid w:val="0"/>
        <w:spacing w:beforeLines="20" w:before="62" w:afterLines="20" w:after="62" w:line="240" w:lineRule="auto"/>
        <w:ind w:firstLineChars="0" w:firstLine="0"/>
        <w:rPr>
          <w:rFonts w:cs="Times New Roman"/>
          <w:b/>
          <w:bCs/>
          <w:kern w:val="21"/>
          <w:sz w:val="21"/>
          <w:szCs w:val="21"/>
        </w:rPr>
      </w:pPr>
      <w:r>
        <w:rPr>
          <w:rFonts w:cs="Times New Roman" w:hint="eastAsia"/>
          <w:b/>
          <w:bCs/>
          <w:kern w:val="21"/>
          <w:sz w:val="21"/>
          <w:szCs w:val="21"/>
        </w:rPr>
        <w:t>略。</w:t>
      </w:r>
    </w:p>
    <w:p w14:paraId="2D59EB2C"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8"/>
        </w:rPr>
      </w:pPr>
      <w:bookmarkStart w:id="347" w:name="_Toc195009901"/>
      <w:r>
        <w:rPr>
          <w:b/>
          <w:bCs/>
          <w:kern w:val="21"/>
          <w:sz w:val="28"/>
          <w:szCs w:val="28"/>
        </w:rPr>
        <w:t>生产</w:t>
      </w:r>
      <w:r>
        <w:rPr>
          <w:rFonts w:hint="eastAsia"/>
          <w:b/>
          <w:bCs/>
          <w:kern w:val="21"/>
          <w:sz w:val="28"/>
          <w:szCs w:val="28"/>
        </w:rPr>
        <w:t>系统危险性</w:t>
      </w:r>
      <w:r>
        <w:rPr>
          <w:b/>
          <w:bCs/>
          <w:kern w:val="21"/>
          <w:sz w:val="28"/>
          <w:szCs w:val="28"/>
        </w:rPr>
        <w:t>识别</w:t>
      </w:r>
      <w:bookmarkEnd w:id="347"/>
    </w:p>
    <w:p w14:paraId="4948CDF5" w14:textId="77777777" w:rsidR="00544649" w:rsidRDefault="00000000">
      <w:pPr>
        <w:adjustRightInd w:val="0"/>
        <w:snapToGrid w:val="0"/>
        <w:spacing w:after="0"/>
        <w:ind w:firstLine="480"/>
        <w:rPr>
          <w:kern w:val="21"/>
        </w:rPr>
      </w:pPr>
      <w:r>
        <w:rPr>
          <w:rFonts w:hint="eastAsia"/>
          <w:kern w:val="21"/>
        </w:rPr>
        <w:t>略。</w:t>
      </w:r>
    </w:p>
    <w:p w14:paraId="0911FB16" w14:textId="77777777" w:rsidR="00544649" w:rsidRDefault="00000000">
      <w:pPr>
        <w:keepNext/>
        <w:keepLines/>
        <w:numPr>
          <w:ilvl w:val="2"/>
          <w:numId w:val="9"/>
        </w:numPr>
        <w:adjustRightInd w:val="0"/>
        <w:snapToGrid w:val="0"/>
        <w:spacing w:after="0"/>
        <w:ind w:firstLineChars="0"/>
        <w:jc w:val="left"/>
        <w:outlineLvl w:val="2"/>
        <w:rPr>
          <w:rFonts w:cs="Times New Roman"/>
          <w:b/>
          <w:kern w:val="21"/>
          <w:sz w:val="28"/>
          <w:szCs w:val="28"/>
        </w:rPr>
      </w:pPr>
      <w:bookmarkStart w:id="348" w:name="_Toc27073"/>
      <w:bookmarkStart w:id="349" w:name="_Toc24020"/>
      <w:bookmarkStart w:id="350" w:name="_Toc195009902"/>
      <w:r>
        <w:rPr>
          <w:rFonts w:cs="Times New Roman" w:hint="eastAsia"/>
          <w:b/>
          <w:kern w:val="21"/>
          <w:sz w:val="28"/>
          <w:szCs w:val="28"/>
        </w:rPr>
        <w:t>可能影响环境的途径</w:t>
      </w:r>
      <w:bookmarkEnd w:id="348"/>
      <w:bookmarkEnd w:id="349"/>
      <w:bookmarkEnd w:id="350"/>
    </w:p>
    <w:p w14:paraId="7A3B4301" w14:textId="77777777" w:rsidR="00544649" w:rsidRDefault="00000000">
      <w:pPr>
        <w:adjustRightInd w:val="0"/>
        <w:snapToGrid w:val="0"/>
        <w:spacing w:after="0"/>
        <w:ind w:firstLine="480"/>
        <w:rPr>
          <w:kern w:val="21"/>
        </w:rPr>
      </w:pPr>
      <w:r>
        <w:rPr>
          <w:rFonts w:hint="eastAsia"/>
          <w:kern w:val="21"/>
        </w:rPr>
        <w:t>根据项目特点及涉及的危险物质，项目存在的环境风险及影响途径主要有：柴油</w:t>
      </w:r>
      <w:r>
        <w:rPr>
          <w:rFonts w:hint="eastAsia"/>
          <w:kern w:val="21"/>
        </w:rPr>
        <w:lastRenderedPageBreak/>
        <w:t>或废润滑油发生泄漏，可能会导致泄漏的柴油和润滑油进入土壤，并污染土壤环境和地下水环境；柴油或废润滑油发生泄漏，导致火灾事故，对大气、地表水环境造成污染；鸡场发生疫情，可能会发生人群健康风险，见下表。</w:t>
      </w:r>
    </w:p>
    <w:p w14:paraId="4B5AA5ED" w14:textId="77777777" w:rsidR="00544649" w:rsidRDefault="00000000">
      <w:pPr>
        <w:adjustRightInd w:val="0"/>
        <w:snapToGrid w:val="0"/>
        <w:spacing w:after="0"/>
        <w:ind w:firstLine="480"/>
        <w:rPr>
          <w:rFonts w:cs="Times New Roman"/>
          <w:b/>
          <w:bCs/>
          <w:kern w:val="21"/>
          <w:sz w:val="21"/>
          <w:szCs w:val="21"/>
        </w:rPr>
      </w:pPr>
      <w:r>
        <w:rPr>
          <w:rFonts w:hint="eastAsia"/>
          <w:kern w:val="21"/>
        </w:rPr>
        <w:t>略。</w:t>
      </w:r>
    </w:p>
    <w:p w14:paraId="2254AE97"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351" w:name="_Toc195009903"/>
      <w:r>
        <w:rPr>
          <w:rFonts w:cs="Times New Roman"/>
          <w:b/>
          <w:bCs/>
          <w:kern w:val="21"/>
          <w:sz w:val="32"/>
          <w:szCs w:val="28"/>
        </w:rPr>
        <w:t>环境风险分析</w:t>
      </w:r>
      <w:bookmarkEnd w:id="351"/>
    </w:p>
    <w:p w14:paraId="25BA8BFB" w14:textId="77777777" w:rsidR="00544649" w:rsidRDefault="00000000">
      <w:pPr>
        <w:keepNext/>
        <w:keepLines/>
        <w:numPr>
          <w:ilvl w:val="2"/>
          <w:numId w:val="9"/>
        </w:numPr>
        <w:adjustRightInd w:val="0"/>
        <w:snapToGrid w:val="0"/>
        <w:spacing w:after="0"/>
        <w:ind w:firstLineChars="0"/>
        <w:jc w:val="left"/>
        <w:outlineLvl w:val="2"/>
        <w:rPr>
          <w:rFonts w:cs="Times New Roman"/>
          <w:b/>
          <w:kern w:val="21"/>
          <w:sz w:val="28"/>
          <w:szCs w:val="28"/>
        </w:rPr>
      </w:pPr>
      <w:bookmarkStart w:id="352" w:name="_Toc195009904"/>
      <w:r>
        <w:rPr>
          <w:rFonts w:cs="Times New Roman" w:hint="eastAsia"/>
          <w:b/>
          <w:kern w:val="21"/>
          <w:sz w:val="28"/>
          <w:szCs w:val="28"/>
        </w:rPr>
        <w:t>大气环境风险分析</w:t>
      </w:r>
      <w:bookmarkEnd w:id="352"/>
    </w:p>
    <w:p w14:paraId="0098EDB6" w14:textId="77777777" w:rsidR="00544649" w:rsidRDefault="00000000">
      <w:pPr>
        <w:adjustRightInd w:val="0"/>
        <w:snapToGrid w:val="0"/>
        <w:spacing w:after="0"/>
        <w:ind w:firstLine="480"/>
        <w:rPr>
          <w:kern w:val="21"/>
        </w:rPr>
      </w:pPr>
      <w:r>
        <w:rPr>
          <w:rFonts w:hint="eastAsia"/>
          <w:kern w:val="21"/>
        </w:rPr>
        <w:t>项目柴油储存</w:t>
      </w:r>
      <w:proofErr w:type="gramStart"/>
      <w:r>
        <w:rPr>
          <w:rFonts w:hint="eastAsia"/>
          <w:kern w:val="21"/>
        </w:rPr>
        <w:t>桶发生</w:t>
      </w:r>
      <w:proofErr w:type="gramEnd"/>
      <w:r>
        <w:rPr>
          <w:rFonts w:hint="eastAsia"/>
          <w:kern w:val="21"/>
        </w:rPr>
        <w:t>泄漏事故时，挥发出的非甲烷总烃对周围环境空气影响有限，主要体现在发生泄漏引发火灾，对周围环境空气和生态环境产生严重的污染。项目一旦发生储油桶泄漏与溢出事故时，油品自然挥发，挥发仅会对小区域内的环境空气造成一定的污染，不会造成大面积的扩散，通过及时处理回收利用，对大气环境影响不大。</w:t>
      </w:r>
    </w:p>
    <w:p w14:paraId="05E40436" w14:textId="77777777" w:rsidR="00544649" w:rsidRDefault="00000000">
      <w:pPr>
        <w:adjustRightInd w:val="0"/>
        <w:snapToGrid w:val="0"/>
        <w:spacing w:after="0"/>
        <w:ind w:firstLine="480"/>
        <w:rPr>
          <w:kern w:val="21"/>
        </w:rPr>
      </w:pPr>
      <w:r>
        <w:rPr>
          <w:rFonts w:hint="eastAsia"/>
          <w:kern w:val="21"/>
        </w:rPr>
        <w:t>项目发生火灾将主要是对场区内职工造成危害，对厂区外敏感点的影响不大。项目相关建筑物和储存场所是严格按照各种防火规范设计，企业也制定一套先进、高效的管理办法，对生产工人进行消防宣传教育，最大限度降低事故发生的可能性。</w:t>
      </w:r>
    </w:p>
    <w:p w14:paraId="17823BBA" w14:textId="77777777" w:rsidR="00544649" w:rsidRDefault="00000000">
      <w:pPr>
        <w:keepNext/>
        <w:keepLines/>
        <w:numPr>
          <w:ilvl w:val="2"/>
          <w:numId w:val="9"/>
        </w:numPr>
        <w:adjustRightInd w:val="0"/>
        <w:snapToGrid w:val="0"/>
        <w:spacing w:after="0"/>
        <w:ind w:firstLineChars="0"/>
        <w:jc w:val="left"/>
        <w:outlineLvl w:val="2"/>
        <w:rPr>
          <w:rFonts w:cs="Times New Roman"/>
          <w:b/>
          <w:kern w:val="21"/>
          <w:sz w:val="28"/>
          <w:szCs w:val="28"/>
        </w:rPr>
      </w:pPr>
      <w:bookmarkStart w:id="353" w:name="_Toc195009905"/>
      <w:r>
        <w:rPr>
          <w:rFonts w:cs="Times New Roman" w:hint="eastAsia"/>
          <w:b/>
          <w:kern w:val="21"/>
          <w:sz w:val="28"/>
          <w:szCs w:val="28"/>
        </w:rPr>
        <w:t>地表水环境风险分析</w:t>
      </w:r>
      <w:bookmarkEnd w:id="353"/>
    </w:p>
    <w:p w14:paraId="7A39FEB4" w14:textId="77777777" w:rsidR="00544649" w:rsidRDefault="00000000">
      <w:pPr>
        <w:adjustRightInd w:val="0"/>
        <w:snapToGrid w:val="0"/>
        <w:spacing w:after="0"/>
        <w:ind w:firstLine="480"/>
        <w:rPr>
          <w:kern w:val="21"/>
        </w:rPr>
      </w:pPr>
      <w:r>
        <w:rPr>
          <w:kern w:val="21"/>
        </w:rPr>
        <w:t>本项目运营期废水事故排放方式有因管道堵塞、破裂和接头处破损等使废水泄漏至厂区，或者因污水处理设施失效而使未经处理达标的废水直接用于场</w:t>
      </w:r>
      <w:r>
        <w:rPr>
          <w:rFonts w:hint="eastAsia"/>
          <w:kern w:val="21"/>
        </w:rPr>
        <w:t>区周边林地施肥</w:t>
      </w:r>
      <w:r>
        <w:rPr>
          <w:kern w:val="21"/>
        </w:rPr>
        <w:t>。废水事故排放后对环境的影响主要对大气、地表水、土壤产生污染性影响。</w:t>
      </w:r>
    </w:p>
    <w:p w14:paraId="42B01A7D" w14:textId="77777777" w:rsidR="00544649" w:rsidRDefault="00000000">
      <w:pPr>
        <w:keepNext/>
        <w:keepLines/>
        <w:numPr>
          <w:ilvl w:val="2"/>
          <w:numId w:val="9"/>
        </w:numPr>
        <w:adjustRightInd w:val="0"/>
        <w:snapToGrid w:val="0"/>
        <w:spacing w:after="0"/>
        <w:ind w:firstLineChars="0"/>
        <w:jc w:val="left"/>
        <w:outlineLvl w:val="2"/>
        <w:rPr>
          <w:rFonts w:cs="Times New Roman"/>
          <w:b/>
          <w:kern w:val="21"/>
          <w:sz w:val="28"/>
          <w:szCs w:val="28"/>
        </w:rPr>
      </w:pPr>
      <w:bookmarkStart w:id="354" w:name="_Toc195009906"/>
      <w:r>
        <w:rPr>
          <w:rFonts w:cs="Times New Roman" w:hint="eastAsia"/>
          <w:b/>
          <w:kern w:val="21"/>
          <w:sz w:val="28"/>
          <w:szCs w:val="28"/>
        </w:rPr>
        <w:t>地下水环境风险分析</w:t>
      </w:r>
      <w:bookmarkEnd w:id="354"/>
    </w:p>
    <w:p w14:paraId="78F5164E" w14:textId="77777777" w:rsidR="00544649" w:rsidRDefault="00000000">
      <w:pPr>
        <w:adjustRightInd w:val="0"/>
        <w:snapToGrid w:val="0"/>
        <w:spacing w:after="0"/>
        <w:ind w:firstLine="480"/>
        <w:rPr>
          <w:kern w:val="21"/>
        </w:rPr>
      </w:pPr>
      <w:r>
        <w:rPr>
          <w:rFonts w:hint="eastAsia"/>
          <w:kern w:val="21"/>
        </w:rPr>
        <w:t>根据《建设项目环境风险评价技术导则》（</w:t>
      </w:r>
      <w:r>
        <w:rPr>
          <w:rFonts w:hint="eastAsia"/>
          <w:kern w:val="21"/>
        </w:rPr>
        <w:t>HJ169-2018</w:t>
      </w:r>
      <w:r>
        <w:rPr>
          <w:rFonts w:hint="eastAsia"/>
          <w:kern w:val="21"/>
        </w:rPr>
        <w:t>），地下水风险低于一级评价的，风险预测分析与评价要求按照</w:t>
      </w:r>
      <w:r>
        <w:rPr>
          <w:rFonts w:hint="eastAsia"/>
          <w:kern w:val="21"/>
        </w:rPr>
        <w:t>HJ610</w:t>
      </w:r>
      <w:r>
        <w:rPr>
          <w:rFonts w:hint="eastAsia"/>
          <w:kern w:val="21"/>
        </w:rPr>
        <w:t>执行。本项目地下水风险评价等级为一般风险，因此风险源强确定、预测模型等参照</w:t>
      </w:r>
      <w:r>
        <w:rPr>
          <w:rFonts w:hint="eastAsia"/>
          <w:kern w:val="21"/>
        </w:rPr>
        <w:t>HJ610</w:t>
      </w:r>
      <w:r>
        <w:rPr>
          <w:rFonts w:hint="eastAsia"/>
          <w:kern w:val="21"/>
        </w:rPr>
        <w:t>执行。</w:t>
      </w:r>
    </w:p>
    <w:p w14:paraId="6D65B9ED" w14:textId="77777777" w:rsidR="00544649" w:rsidRDefault="00000000">
      <w:pPr>
        <w:adjustRightInd w:val="0"/>
        <w:snapToGrid w:val="0"/>
        <w:spacing w:after="0"/>
        <w:ind w:firstLine="480"/>
        <w:rPr>
          <w:kern w:val="21"/>
        </w:rPr>
      </w:pPr>
      <w:r>
        <w:rPr>
          <w:rFonts w:hint="eastAsia"/>
          <w:kern w:val="21"/>
        </w:rPr>
        <w:t>正常状况下，项目各构筑物采取防渗措施后，项目各生产设施正常运行，仅存在少量生产废水的跑、冒、滴、漏及废水处理池体的渗漏，但受防渗层阻隔，该类污染进入地下水系统的废水量极少，不会对地下水环境产生影响；非正常状况下，受生产设备、物料储存容器腐蚀等因素影响，此时物料下渗进入地下水系统，将对地下水环境产生一定影响。</w:t>
      </w:r>
    </w:p>
    <w:p w14:paraId="729AA238" w14:textId="77777777" w:rsidR="00544649" w:rsidRDefault="00000000">
      <w:pPr>
        <w:keepNext/>
        <w:keepLines/>
        <w:numPr>
          <w:ilvl w:val="2"/>
          <w:numId w:val="9"/>
        </w:numPr>
        <w:adjustRightInd w:val="0"/>
        <w:snapToGrid w:val="0"/>
        <w:spacing w:after="0"/>
        <w:ind w:firstLineChars="0"/>
        <w:jc w:val="left"/>
        <w:outlineLvl w:val="2"/>
        <w:rPr>
          <w:rFonts w:cs="Times New Roman"/>
          <w:b/>
          <w:kern w:val="21"/>
          <w:sz w:val="28"/>
          <w:szCs w:val="28"/>
        </w:rPr>
      </w:pPr>
      <w:bookmarkStart w:id="355" w:name="_Toc195009907"/>
      <w:r>
        <w:rPr>
          <w:rFonts w:cs="Times New Roman" w:hint="eastAsia"/>
          <w:b/>
          <w:kern w:val="21"/>
          <w:sz w:val="28"/>
          <w:szCs w:val="28"/>
        </w:rPr>
        <w:t>卫生防疫事故风险分析</w:t>
      </w:r>
      <w:bookmarkEnd w:id="355"/>
    </w:p>
    <w:p w14:paraId="314E388E" w14:textId="77777777" w:rsidR="00544649" w:rsidRDefault="00000000">
      <w:pPr>
        <w:adjustRightInd w:val="0"/>
        <w:snapToGrid w:val="0"/>
        <w:spacing w:after="0"/>
        <w:ind w:firstLine="480"/>
        <w:rPr>
          <w:rFonts w:cs="Times New Roman"/>
          <w:kern w:val="21"/>
        </w:rPr>
      </w:pPr>
      <w:r>
        <w:rPr>
          <w:rFonts w:cs="Times New Roman"/>
          <w:kern w:val="21"/>
        </w:rPr>
        <w:t>动物疫病是由某种特定病原体引起的，包括有致病性的细菌、病毒、真菌、螺旋体、霉形体、衣原体、立克次氏体、放线菌等微生物感染动物而引起的传染病和有病</w:t>
      </w:r>
      <w:r>
        <w:rPr>
          <w:rFonts w:cs="Times New Roman"/>
          <w:kern w:val="21"/>
        </w:rPr>
        <w:lastRenderedPageBreak/>
        <w:t>原性蠕虫、原虫、节肢动物感染或侵袭动物而引起的寄生虫病。动物疫病严重危害养殖业生产，导致养殖动物死亡率升高，直接造成严重的经济损失，特别是流行性、群发性疫病，更是会给养殖企业造成严重的经济损失。动物疫病还会造成动物生产性能和畜产品品质的下降，并增加动物饲料消耗、人工费用、防治费用等养殖成本，使养殖企业利润受损。对于出口型养殖企业，还会造成出口动物源性食品因动物疫病问题而被退货、销毁甚至封关。同时，随着病毒的发展演化，产生了许多人畜共患病，给人类健康带来严重威胁。</w:t>
      </w:r>
    </w:p>
    <w:p w14:paraId="20DC5CF4" w14:textId="77777777" w:rsidR="00544649" w:rsidRDefault="00000000">
      <w:pPr>
        <w:adjustRightInd w:val="0"/>
        <w:snapToGrid w:val="0"/>
        <w:spacing w:after="0"/>
        <w:ind w:firstLine="480"/>
        <w:rPr>
          <w:rFonts w:cs="Times New Roman"/>
          <w:kern w:val="21"/>
        </w:rPr>
      </w:pPr>
      <w:r>
        <w:rPr>
          <w:rFonts w:cs="Times New Roman"/>
          <w:kern w:val="21"/>
        </w:rPr>
        <w:t>目前蛋鸡养殖业主要</w:t>
      </w:r>
      <w:proofErr w:type="gramStart"/>
      <w:r>
        <w:rPr>
          <w:rFonts w:cs="Times New Roman"/>
          <w:kern w:val="21"/>
        </w:rPr>
        <w:t>疫情为禽流行性感冒</w:t>
      </w:r>
      <w:proofErr w:type="gramEnd"/>
      <w:r>
        <w:rPr>
          <w:rFonts w:cs="Times New Roman"/>
          <w:kern w:val="21"/>
        </w:rPr>
        <w:t>（高致病性禽流感）、鸡新城</w:t>
      </w:r>
      <w:proofErr w:type="gramStart"/>
      <w:r>
        <w:rPr>
          <w:rFonts w:cs="Times New Roman"/>
          <w:kern w:val="21"/>
        </w:rPr>
        <w:t>疫</w:t>
      </w:r>
      <w:proofErr w:type="gramEnd"/>
      <w:r>
        <w:rPr>
          <w:rFonts w:cs="Times New Roman"/>
          <w:kern w:val="21"/>
        </w:rPr>
        <w:t>等。</w:t>
      </w:r>
    </w:p>
    <w:p w14:paraId="019C328F" w14:textId="77777777" w:rsidR="00544649" w:rsidRDefault="00000000">
      <w:pPr>
        <w:keepNext/>
        <w:keepLines/>
        <w:numPr>
          <w:ilvl w:val="2"/>
          <w:numId w:val="9"/>
        </w:numPr>
        <w:adjustRightInd w:val="0"/>
        <w:snapToGrid w:val="0"/>
        <w:spacing w:after="0"/>
        <w:ind w:firstLineChars="0"/>
        <w:jc w:val="left"/>
        <w:outlineLvl w:val="2"/>
        <w:rPr>
          <w:rFonts w:cs="Times New Roman"/>
          <w:b/>
          <w:kern w:val="21"/>
          <w:sz w:val="28"/>
          <w:szCs w:val="28"/>
        </w:rPr>
      </w:pPr>
      <w:bookmarkStart w:id="356" w:name="_Toc195009908"/>
      <w:r>
        <w:rPr>
          <w:rFonts w:cs="Times New Roman" w:hint="eastAsia"/>
          <w:b/>
          <w:kern w:val="21"/>
          <w:sz w:val="28"/>
          <w:szCs w:val="28"/>
        </w:rPr>
        <w:t>火灾、爆炸事故次生环境影响分析</w:t>
      </w:r>
      <w:bookmarkEnd w:id="356"/>
    </w:p>
    <w:bookmarkEnd w:id="333"/>
    <w:bookmarkEnd w:id="334"/>
    <w:bookmarkEnd w:id="340"/>
    <w:bookmarkEnd w:id="341"/>
    <w:bookmarkEnd w:id="342"/>
    <w:p w14:paraId="7CB965DD" w14:textId="77777777" w:rsidR="00544649" w:rsidRDefault="00000000">
      <w:pPr>
        <w:adjustRightInd w:val="0"/>
        <w:snapToGrid w:val="0"/>
        <w:spacing w:after="0"/>
        <w:ind w:firstLine="480"/>
        <w:rPr>
          <w:rFonts w:cs="Times New Roman"/>
          <w:kern w:val="21"/>
        </w:rPr>
      </w:pPr>
      <w:r>
        <w:rPr>
          <w:rFonts w:cs="Times New Roman"/>
          <w:kern w:val="21"/>
        </w:rPr>
        <w:t>火灾引起的大气二次污染物主要为二氧化碳、一氧化碳、烟尘、二氧化硫、氮氧化物，有毒物质引起的火灾爆炸还会给人群带来腐蚀、灼伤、中毒等健康危害等，爆炸污染物的浓度范围在数十至数百</w:t>
      </w:r>
      <w:r>
        <w:rPr>
          <w:rFonts w:cs="Times New Roman"/>
          <w:kern w:val="21"/>
        </w:rPr>
        <w:t>mg/m</w:t>
      </w:r>
      <w:r>
        <w:rPr>
          <w:rFonts w:cs="Times New Roman"/>
          <w:kern w:val="21"/>
          <w:vertAlign w:val="superscript"/>
        </w:rPr>
        <w:t>3</w:t>
      </w:r>
      <w:r>
        <w:rPr>
          <w:rFonts w:cs="Times New Roman"/>
          <w:kern w:val="21"/>
        </w:rPr>
        <w:t>之间，对于下风向的环境空气质量在短时间有明显影响，长期影响则甚微。</w:t>
      </w:r>
    </w:p>
    <w:p w14:paraId="6F85D87A"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1</w:t>
      </w:r>
      <w:r>
        <w:rPr>
          <w:rFonts w:cs="Times New Roman" w:hint="eastAsia"/>
          <w:b/>
          <w:bCs/>
          <w:kern w:val="21"/>
        </w:rPr>
        <w:t>）</w:t>
      </w:r>
      <w:r>
        <w:rPr>
          <w:rFonts w:cs="Times New Roman"/>
          <w:b/>
          <w:bCs/>
          <w:kern w:val="21"/>
        </w:rPr>
        <w:t>火灾事故的伴生消防废水</w:t>
      </w:r>
    </w:p>
    <w:p w14:paraId="7CCEB0A2" w14:textId="77777777" w:rsidR="00544649" w:rsidRDefault="00000000">
      <w:pPr>
        <w:adjustRightInd w:val="0"/>
        <w:snapToGrid w:val="0"/>
        <w:spacing w:after="0"/>
        <w:ind w:firstLine="480"/>
        <w:rPr>
          <w:rFonts w:cs="Times New Roman"/>
          <w:kern w:val="21"/>
        </w:rPr>
      </w:pPr>
      <w:r>
        <w:rPr>
          <w:rFonts w:cs="Times New Roman"/>
          <w:kern w:val="21"/>
        </w:rPr>
        <w:t>根据装置工艺流程、贮运过程及主要物质危害性可知，本项目生产过程和贮运过程存在火灾爆炸的可能性。一旦发生</w:t>
      </w:r>
      <w:r>
        <w:rPr>
          <w:rFonts w:cs="Times New Roman" w:hint="eastAsia"/>
          <w:kern w:val="21"/>
        </w:rPr>
        <w:t>泄漏</w:t>
      </w:r>
      <w:r>
        <w:rPr>
          <w:rFonts w:cs="Times New Roman"/>
          <w:kern w:val="21"/>
        </w:rPr>
        <w:t>导致出现火情，在灭火同时，要冷却储罐或生产装置，这时产生的消防废水会携带一定量的有害物质，若不能及时得到有效收集和处置，将随雨排水系统进入外界水体，将造成水污染。为此，要将事故发生后产生的消防废水作为事故处理过程中的伴生</w:t>
      </w:r>
      <w:r>
        <w:rPr>
          <w:rFonts w:cs="Times New Roman"/>
          <w:kern w:val="21"/>
        </w:rPr>
        <w:t>/</w:t>
      </w:r>
      <w:r>
        <w:rPr>
          <w:rFonts w:cs="Times New Roman"/>
          <w:kern w:val="21"/>
        </w:rPr>
        <w:t>次生污染予以严肃对待，并要采取相应的紧急防范措施。</w:t>
      </w:r>
    </w:p>
    <w:p w14:paraId="205B41D9"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2</w:t>
      </w:r>
      <w:r>
        <w:rPr>
          <w:rFonts w:cs="Times New Roman" w:hint="eastAsia"/>
          <w:b/>
          <w:bCs/>
          <w:kern w:val="21"/>
        </w:rPr>
        <w:t>）</w:t>
      </w:r>
      <w:r>
        <w:rPr>
          <w:rFonts w:cs="Times New Roman"/>
          <w:b/>
          <w:bCs/>
          <w:kern w:val="21"/>
        </w:rPr>
        <w:t>火灾事故发生后产生的热辐射和烟气</w:t>
      </w:r>
    </w:p>
    <w:p w14:paraId="67F9D335" w14:textId="77777777" w:rsidR="00544649" w:rsidRDefault="00000000">
      <w:pPr>
        <w:adjustRightInd w:val="0"/>
        <w:snapToGrid w:val="0"/>
        <w:spacing w:after="0"/>
        <w:ind w:firstLine="480"/>
        <w:rPr>
          <w:rFonts w:cs="Times New Roman"/>
          <w:kern w:val="21"/>
        </w:rPr>
      </w:pPr>
      <w:r>
        <w:rPr>
          <w:rFonts w:cs="Times New Roman"/>
          <w:kern w:val="21"/>
        </w:rPr>
        <w:t>火灾发生后进入环境的主要是有害气体以及燃烧产物</w:t>
      </w:r>
      <w:r>
        <w:rPr>
          <w:rFonts w:cs="Times New Roman"/>
          <w:kern w:val="21"/>
        </w:rPr>
        <w:t>CO</w:t>
      </w:r>
      <w:r>
        <w:rPr>
          <w:rFonts w:cs="Times New Roman"/>
          <w:kern w:val="21"/>
        </w:rPr>
        <w:t>、</w:t>
      </w:r>
      <w:r>
        <w:rPr>
          <w:rFonts w:cs="Times New Roman"/>
          <w:kern w:val="21"/>
        </w:rPr>
        <w:t>CO</w:t>
      </w:r>
      <w:r>
        <w:rPr>
          <w:rFonts w:cs="Times New Roman"/>
          <w:kern w:val="21"/>
          <w:vertAlign w:val="subscript"/>
        </w:rPr>
        <w:t>2</w:t>
      </w:r>
      <w:r>
        <w:rPr>
          <w:rFonts w:cs="Times New Roman"/>
          <w:kern w:val="21"/>
        </w:rPr>
        <w:t>、氮氧化物等，对环境空气和人群健康造成危害。</w:t>
      </w:r>
    </w:p>
    <w:p w14:paraId="76288CFD"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3</w:t>
      </w:r>
      <w:r>
        <w:rPr>
          <w:rFonts w:cs="Times New Roman" w:hint="eastAsia"/>
          <w:b/>
          <w:bCs/>
          <w:kern w:val="21"/>
        </w:rPr>
        <w:t>）泄漏</w:t>
      </w:r>
      <w:r>
        <w:rPr>
          <w:rFonts w:cs="Times New Roman"/>
          <w:b/>
          <w:bCs/>
          <w:kern w:val="21"/>
        </w:rPr>
        <w:t>事故的伴生</w:t>
      </w:r>
      <w:r>
        <w:rPr>
          <w:rFonts w:cs="Times New Roman"/>
          <w:b/>
          <w:bCs/>
          <w:kern w:val="21"/>
        </w:rPr>
        <w:t>/</w:t>
      </w:r>
      <w:r>
        <w:rPr>
          <w:rFonts w:cs="Times New Roman"/>
          <w:b/>
          <w:bCs/>
          <w:kern w:val="21"/>
        </w:rPr>
        <w:t>次生危险性分析</w:t>
      </w:r>
    </w:p>
    <w:p w14:paraId="0CB5C5F7" w14:textId="77777777" w:rsidR="00544649" w:rsidRDefault="00000000">
      <w:pPr>
        <w:adjustRightInd w:val="0"/>
        <w:snapToGrid w:val="0"/>
        <w:spacing w:after="0"/>
        <w:ind w:firstLine="480"/>
        <w:rPr>
          <w:rFonts w:cs="Times New Roman"/>
          <w:kern w:val="21"/>
        </w:rPr>
      </w:pPr>
      <w:r>
        <w:rPr>
          <w:rFonts w:cs="Times New Roman"/>
          <w:kern w:val="21"/>
        </w:rPr>
        <w:t>在事故处理过程中应重点防范消防过程中的污水</w:t>
      </w:r>
      <w:proofErr w:type="gramStart"/>
      <w:r>
        <w:rPr>
          <w:rFonts w:cs="Times New Roman"/>
          <w:kern w:val="21"/>
        </w:rPr>
        <w:t>经雨排系统</w:t>
      </w:r>
      <w:proofErr w:type="gramEnd"/>
      <w:r>
        <w:rPr>
          <w:rFonts w:cs="Times New Roman"/>
          <w:kern w:val="21"/>
        </w:rPr>
        <w:t>排出厂外，其中可能含有大量的有毒有害物质。</w:t>
      </w:r>
      <w:proofErr w:type="gramStart"/>
      <w:r>
        <w:rPr>
          <w:rFonts w:cs="Times New Roman"/>
          <w:kern w:val="21"/>
        </w:rPr>
        <w:t>因此雨排系统</w:t>
      </w:r>
      <w:proofErr w:type="gramEnd"/>
      <w:r>
        <w:rPr>
          <w:rFonts w:cs="Times New Roman"/>
          <w:kern w:val="21"/>
        </w:rPr>
        <w:t>将设有专门的收集和切断设施，并采取三级拦截措施，严格防止消防污水排入外环境引发次生环境污染。</w:t>
      </w:r>
    </w:p>
    <w:p w14:paraId="3478588B"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357" w:name="_Toc32205"/>
      <w:bookmarkStart w:id="358" w:name="_Toc195009909"/>
      <w:r>
        <w:rPr>
          <w:rFonts w:cs="Times New Roman"/>
          <w:b/>
          <w:bCs/>
          <w:kern w:val="21"/>
          <w:sz w:val="32"/>
          <w:szCs w:val="32"/>
        </w:rPr>
        <w:t>环境风险防范措施及应急要求</w:t>
      </w:r>
      <w:bookmarkEnd w:id="357"/>
      <w:bookmarkEnd w:id="358"/>
    </w:p>
    <w:p w14:paraId="07E98EBD"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8"/>
        </w:rPr>
      </w:pPr>
      <w:bookmarkStart w:id="359" w:name="_Toc195009910"/>
      <w:r>
        <w:rPr>
          <w:rFonts w:cs="Times New Roman" w:hint="eastAsia"/>
          <w:b/>
          <w:bCs/>
          <w:kern w:val="21"/>
          <w:sz w:val="28"/>
          <w:szCs w:val="28"/>
        </w:rPr>
        <w:t>环境风险防范措施</w:t>
      </w:r>
      <w:bookmarkEnd w:id="359"/>
    </w:p>
    <w:p w14:paraId="26158BA7" w14:textId="77777777" w:rsidR="00544649" w:rsidRDefault="00000000">
      <w:pPr>
        <w:numPr>
          <w:ilvl w:val="3"/>
          <w:numId w:val="9"/>
        </w:numPr>
        <w:adjustRightInd w:val="0"/>
        <w:snapToGrid w:val="0"/>
        <w:spacing w:after="0"/>
        <w:ind w:firstLineChars="0"/>
        <w:outlineLvl w:val="3"/>
        <w:rPr>
          <w:b/>
          <w:bCs/>
          <w:kern w:val="21"/>
        </w:rPr>
      </w:pPr>
      <w:r>
        <w:rPr>
          <w:b/>
          <w:bCs/>
          <w:kern w:val="21"/>
          <w:szCs w:val="24"/>
        </w:rPr>
        <w:t>生产过程中的风险防范措施</w:t>
      </w:r>
    </w:p>
    <w:p w14:paraId="239B58D7" w14:textId="77777777" w:rsidR="00544649" w:rsidRDefault="00000000">
      <w:pPr>
        <w:adjustRightInd w:val="0"/>
        <w:snapToGrid w:val="0"/>
        <w:spacing w:after="0"/>
        <w:ind w:firstLine="480"/>
        <w:rPr>
          <w:kern w:val="21"/>
        </w:rPr>
      </w:pPr>
      <w:r>
        <w:rPr>
          <w:rFonts w:hint="eastAsia"/>
          <w:kern w:val="21"/>
        </w:rPr>
        <w:lastRenderedPageBreak/>
        <w:t>生产过程事故风险防范是安全生产的核心，要严格采取措施加以防范，尽可能降低事故概率。</w:t>
      </w:r>
    </w:p>
    <w:p w14:paraId="19ABFB69" w14:textId="77777777" w:rsidR="00544649" w:rsidRDefault="00000000">
      <w:pPr>
        <w:adjustRightInd w:val="0"/>
        <w:snapToGrid w:val="0"/>
        <w:spacing w:after="0"/>
        <w:ind w:firstLine="480"/>
        <w:rPr>
          <w:kern w:val="21"/>
        </w:rPr>
      </w:pPr>
      <w:r>
        <w:rPr>
          <w:rFonts w:hint="eastAsia"/>
          <w:kern w:val="21"/>
        </w:rPr>
        <w:t>（</w:t>
      </w:r>
      <w:r>
        <w:rPr>
          <w:rFonts w:hint="eastAsia"/>
          <w:kern w:val="21"/>
        </w:rPr>
        <w:t>1</w:t>
      </w:r>
      <w:r>
        <w:rPr>
          <w:rFonts w:hint="eastAsia"/>
          <w:kern w:val="21"/>
        </w:rPr>
        <w:t>）事故性泄漏常与装置设备故障相关联，项目生产和安全管理中要密切注意事故易发部位，做好运行监督检查与维修保养，防患于未然。</w:t>
      </w:r>
    </w:p>
    <w:p w14:paraId="75D8B3AC" w14:textId="77777777" w:rsidR="00544649" w:rsidRDefault="00000000">
      <w:pPr>
        <w:adjustRightInd w:val="0"/>
        <w:snapToGrid w:val="0"/>
        <w:spacing w:after="0"/>
        <w:ind w:firstLine="480"/>
        <w:rPr>
          <w:kern w:val="21"/>
        </w:rPr>
      </w:pPr>
      <w:r>
        <w:rPr>
          <w:rFonts w:hint="eastAsia"/>
          <w:kern w:val="21"/>
        </w:rPr>
        <w:t>（</w:t>
      </w:r>
      <w:r>
        <w:rPr>
          <w:rFonts w:hint="eastAsia"/>
          <w:kern w:val="21"/>
        </w:rPr>
        <w:t>2</w:t>
      </w:r>
      <w:r>
        <w:rPr>
          <w:rFonts w:hint="eastAsia"/>
          <w:kern w:val="21"/>
        </w:rPr>
        <w:t>）建设单位应组织员工认真学习贯彻，并将国家要求和安全技术规范转化为各自岗位的安全操作规程，并悬挂在岗位醒目位置，规范岗位操作，降低事故概率。</w:t>
      </w:r>
    </w:p>
    <w:p w14:paraId="1571C719" w14:textId="77777777" w:rsidR="00544649" w:rsidRDefault="00000000">
      <w:pPr>
        <w:adjustRightInd w:val="0"/>
        <w:snapToGrid w:val="0"/>
        <w:spacing w:after="0"/>
        <w:ind w:firstLine="480"/>
        <w:rPr>
          <w:kern w:val="21"/>
        </w:rPr>
      </w:pPr>
      <w:r>
        <w:rPr>
          <w:rFonts w:hint="eastAsia"/>
          <w:kern w:val="21"/>
        </w:rPr>
        <w:t>（</w:t>
      </w:r>
      <w:r>
        <w:rPr>
          <w:rFonts w:hint="eastAsia"/>
          <w:kern w:val="21"/>
        </w:rPr>
        <w:t>3</w:t>
      </w:r>
      <w:r>
        <w:rPr>
          <w:rFonts w:hint="eastAsia"/>
          <w:kern w:val="21"/>
        </w:rPr>
        <w:t>）必须组织专门人员每天每班多次进行周期性巡回检查，有跑冒滴漏或其他异常现象的应及时检修。</w:t>
      </w:r>
    </w:p>
    <w:p w14:paraId="48EFB611" w14:textId="77777777" w:rsidR="00544649" w:rsidRDefault="00000000">
      <w:pPr>
        <w:numPr>
          <w:ilvl w:val="3"/>
          <w:numId w:val="9"/>
        </w:numPr>
        <w:adjustRightInd w:val="0"/>
        <w:snapToGrid w:val="0"/>
        <w:spacing w:after="0"/>
        <w:ind w:firstLineChars="0"/>
        <w:outlineLvl w:val="3"/>
        <w:rPr>
          <w:b/>
          <w:bCs/>
          <w:kern w:val="21"/>
        </w:rPr>
      </w:pPr>
      <w:r>
        <w:rPr>
          <w:b/>
          <w:bCs/>
          <w:kern w:val="21"/>
          <w:szCs w:val="24"/>
        </w:rPr>
        <w:t>贮存过程中的风险防范措施</w:t>
      </w:r>
    </w:p>
    <w:p w14:paraId="2F28758E" w14:textId="77777777" w:rsidR="00544649" w:rsidRDefault="00000000">
      <w:pPr>
        <w:adjustRightInd w:val="0"/>
        <w:snapToGrid w:val="0"/>
        <w:spacing w:after="0"/>
        <w:ind w:firstLine="480"/>
        <w:rPr>
          <w:kern w:val="21"/>
        </w:rPr>
      </w:pPr>
      <w:r>
        <w:rPr>
          <w:rFonts w:hint="eastAsia"/>
          <w:kern w:val="21"/>
        </w:rPr>
        <w:t>（</w:t>
      </w:r>
      <w:r>
        <w:rPr>
          <w:rFonts w:hint="eastAsia"/>
          <w:kern w:val="21"/>
        </w:rPr>
        <w:t>1</w:t>
      </w:r>
      <w:r>
        <w:rPr>
          <w:rFonts w:hint="eastAsia"/>
          <w:kern w:val="21"/>
        </w:rPr>
        <w:t>）在装卸化学物品前，要预先做好准备工作，了解物品性质，检查装卸搬运的工具是否牢固，不牢固的应予以更换或修理。如工具上曾被易燃物、有机物、酸、碱等污染的，必须清洗后方可使用。</w:t>
      </w:r>
    </w:p>
    <w:p w14:paraId="3E329816" w14:textId="77777777" w:rsidR="00544649" w:rsidRDefault="00000000">
      <w:pPr>
        <w:adjustRightInd w:val="0"/>
        <w:snapToGrid w:val="0"/>
        <w:spacing w:after="0"/>
        <w:ind w:firstLine="480"/>
        <w:rPr>
          <w:kern w:val="21"/>
        </w:rPr>
      </w:pPr>
      <w:r>
        <w:rPr>
          <w:rFonts w:hint="eastAsia"/>
          <w:kern w:val="21"/>
        </w:rPr>
        <w:t>（</w:t>
      </w:r>
      <w:r>
        <w:rPr>
          <w:rFonts w:hint="eastAsia"/>
          <w:kern w:val="21"/>
        </w:rPr>
        <w:t>2</w:t>
      </w:r>
      <w:r>
        <w:rPr>
          <w:rFonts w:hint="eastAsia"/>
          <w:kern w:val="21"/>
        </w:rPr>
        <w:t>）化学物品洒落在地面、车板上时，应及时扫除。</w:t>
      </w:r>
    </w:p>
    <w:p w14:paraId="3601531E" w14:textId="77777777" w:rsidR="00544649" w:rsidRDefault="00000000">
      <w:pPr>
        <w:adjustRightInd w:val="0"/>
        <w:snapToGrid w:val="0"/>
        <w:spacing w:after="0"/>
        <w:ind w:firstLine="480"/>
        <w:rPr>
          <w:kern w:val="21"/>
        </w:rPr>
      </w:pPr>
      <w:r>
        <w:rPr>
          <w:rFonts w:hint="eastAsia"/>
          <w:kern w:val="21"/>
        </w:rPr>
        <w:t>（</w:t>
      </w:r>
      <w:r>
        <w:rPr>
          <w:rFonts w:hint="eastAsia"/>
          <w:kern w:val="21"/>
        </w:rPr>
        <w:t>3</w:t>
      </w:r>
      <w:r>
        <w:rPr>
          <w:rFonts w:hint="eastAsia"/>
          <w:kern w:val="21"/>
        </w:rPr>
        <w:t>）在装卸化学物品时，不得饮酒、吸烟。工作完毕后根据工作情况和危险品的性质，及时清洗手、脸、漱口或淋浴。必须保持现场空气流通，如果发现恶心、头晕等中毒现象，应立即到新鲜空气处休息，脱去工作服和防护用具，清洗皮肤沾染部分，重者送医院诊治。</w:t>
      </w:r>
    </w:p>
    <w:p w14:paraId="6BDE788B" w14:textId="77777777" w:rsidR="00544649" w:rsidRDefault="00000000">
      <w:pPr>
        <w:adjustRightInd w:val="0"/>
        <w:snapToGrid w:val="0"/>
        <w:spacing w:after="0"/>
        <w:ind w:firstLine="480"/>
        <w:rPr>
          <w:kern w:val="21"/>
        </w:rPr>
      </w:pPr>
      <w:r>
        <w:rPr>
          <w:rFonts w:hint="eastAsia"/>
          <w:kern w:val="21"/>
        </w:rPr>
        <w:t>（</w:t>
      </w:r>
      <w:r>
        <w:rPr>
          <w:rFonts w:hint="eastAsia"/>
          <w:kern w:val="21"/>
        </w:rPr>
        <w:t>4</w:t>
      </w:r>
      <w:r>
        <w:rPr>
          <w:rFonts w:hint="eastAsia"/>
          <w:kern w:val="21"/>
        </w:rPr>
        <w:t>）尽量减少人体与物品包装的接触，工作完毕后以肥皂和水清洗手脸和淋浴后才可进食饮水。</w:t>
      </w:r>
    </w:p>
    <w:p w14:paraId="50C353BF" w14:textId="77777777" w:rsidR="00544649" w:rsidRDefault="00000000">
      <w:pPr>
        <w:numPr>
          <w:ilvl w:val="3"/>
          <w:numId w:val="9"/>
        </w:numPr>
        <w:adjustRightInd w:val="0"/>
        <w:snapToGrid w:val="0"/>
        <w:spacing w:after="0"/>
        <w:ind w:firstLineChars="0"/>
        <w:outlineLvl w:val="3"/>
        <w:rPr>
          <w:b/>
          <w:bCs/>
          <w:kern w:val="21"/>
        </w:rPr>
      </w:pPr>
      <w:r>
        <w:rPr>
          <w:b/>
          <w:bCs/>
          <w:kern w:val="21"/>
          <w:szCs w:val="24"/>
        </w:rPr>
        <w:t>物料泄漏的风险防范措施</w:t>
      </w:r>
    </w:p>
    <w:p w14:paraId="7070ABE9" w14:textId="77777777" w:rsidR="00544649" w:rsidRDefault="00000000">
      <w:pPr>
        <w:adjustRightInd w:val="0"/>
        <w:snapToGrid w:val="0"/>
        <w:spacing w:after="0"/>
        <w:ind w:firstLine="480"/>
        <w:rPr>
          <w:kern w:val="21"/>
        </w:rPr>
      </w:pPr>
      <w:r>
        <w:rPr>
          <w:rFonts w:hint="eastAsia"/>
          <w:kern w:val="21"/>
        </w:rPr>
        <w:t>泄漏事故的防治是生产和储运过程中最重要的环节，经验表明：设备失灵和人为的操作失误是引起泄漏的主要原因。因此选用较好的设备、精心设计、认真的管理和操作人员的责任心是减少泄漏事故的关键，为此，企业需要做到以下几点：</w:t>
      </w:r>
    </w:p>
    <w:p w14:paraId="2D800E92" w14:textId="77777777" w:rsidR="00544649" w:rsidRDefault="00000000">
      <w:pPr>
        <w:adjustRightInd w:val="0"/>
        <w:snapToGrid w:val="0"/>
        <w:spacing w:after="0"/>
        <w:ind w:firstLine="482"/>
        <w:rPr>
          <w:b/>
          <w:bCs/>
          <w:kern w:val="21"/>
        </w:rPr>
      </w:pPr>
      <w:r>
        <w:rPr>
          <w:rFonts w:hint="eastAsia"/>
          <w:b/>
          <w:bCs/>
          <w:kern w:val="21"/>
        </w:rPr>
        <w:t>（</w:t>
      </w:r>
      <w:r>
        <w:rPr>
          <w:rFonts w:hint="eastAsia"/>
          <w:b/>
          <w:bCs/>
          <w:kern w:val="21"/>
        </w:rPr>
        <w:t>1</w:t>
      </w:r>
      <w:r>
        <w:rPr>
          <w:rFonts w:hint="eastAsia"/>
          <w:b/>
          <w:bCs/>
          <w:kern w:val="21"/>
        </w:rPr>
        <w:t>）化学物料存放区应保持周围消防通道的畅通。</w:t>
      </w:r>
    </w:p>
    <w:p w14:paraId="24BBB382" w14:textId="77777777" w:rsidR="00544649" w:rsidRDefault="00000000">
      <w:pPr>
        <w:adjustRightInd w:val="0"/>
        <w:snapToGrid w:val="0"/>
        <w:spacing w:after="0"/>
        <w:ind w:firstLine="480"/>
        <w:rPr>
          <w:kern w:val="21"/>
        </w:rPr>
      </w:pPr>
      <w:r>
        <w:rPr>
          <w:rFonts w:hint="eastAsia"/>
          <w:kern w:val="21"/>
        </w:rPr>
        <w:t>加强设备维护，及时更换设备密封件，对压力计、温度计及各种调节器进行定期检查。</w:t>
      </w:r>
    </w:p>
    <w:p w14:paraId="4FE24C1B" w14:textId="77777777" w:rsidR="00544649" w:rsidRDefault="00000000">
      <w:pPr>
        <w:adjustRightInd w:val="0"/>
        <w:snapToGrid w:val="0"/>
        <w:spacing w:after="0"/>
        <w:ind w:firstLine="482"/>
        <w:rPr>
          <w:b/>
          <w:bCs/>
          <w:kern w:val="21"/>
        </w:rPr>
      </w:pPr>
      <w:r>
        <w:rPr>
          <w:rFonts w:hint="eastAsia"/>
          <w:b/>
          <w:bCs/>
          <w:kern w:val="21"/>
        </w:rPr>
        <w:t>（</w:t>
      </w:r>
      <w:r>
        <w:rPr>
          <w:rFonts w:hint="eastAsia"/>
          <w:b/>
          <w:bCs/>
          <w:kern w:val="21"/>
        </w:rPr>
        <w:t>2</w:t>
      </w:r>
      <w:r>
        <w:rPr>
          <w:rFonts w:hint="eastAsia"/>
          <w:b/>
          <w:bCs/>
          <w:kern w:val="21"/>
        </w:rPr>
        <w:t>）</w:t>
      </w:r>
      <w:proofErr w:type="gramStart"/>
      <w:r>
        <w:rPr>
          <w:rFonts w:hint="eastAsia"/>
          <w:b/>
          <w:bCs/>
          <w:kern w:val="21"/>
        </w:rPr>
        <w:t>装卸时防泄漏</w:t>
      </w:r>
      <w:proofErr w:type="gramEnd"/>
      <w:r>
        <w:rPr>
          <w:rFonts w:hint="eastAsia"/>
          <w:b/>
          <w:bCs/>
          <w:kern w:val="21"/>
        </w:rPr>
        <w:t>措施</w:t>
      </w:r>
    </w:p>
    <w:p w14:paraId="378E8565" w14:textId="77777777" w:rsidR="00544649" w:rsidRDefault="00000000">
      <w:pPr>
        <w:adjustRightInd w:val="0"/>
        <w:snapToGrid w:val="0"/>
        <w:spacing w:after="0"/>
        <w:ind w:firstLine="480"/>
        <w:rPr>
          <w:kern w:val="21"/>
        </w:rPr>
      </w:pPr>
      <w:r>
        <w:rPr>
          <w:rFonts w:hint="eastAsia"/>
          <w:kern w:val="21"/>
        </w:rPr>
        <w:t>在装卸物料时，要严格按章操作，尽量避免事故的发生，装卸区设围堰以防止液体化工物料直接流入路面，当装卸过程发生较严重的泄漏时，泄漏的化学物料通过围堰收集，能利用的应回收利用，不能利用则委托有资质单位处置。</w:t>
      </w:r>
    </w:p>
    <w:p w14:paraId="71A04882" w14:textId="77777777" w:rsidR="00544649" w:rsidRDefault="00000000">
      <w:pPr>
        <w:adjustRightInd w:val="0"/>
        <w:snapToGrid w:val="0"/>
        <w:spacing w:after="0"/>
        <w:ind w:firstLine="482"/>
        <w:rPr>
          <w:b/>
          <w:bCs/>
          <w:kern w:val="21"/>
        </w:rPr>
      </w:pPr>
      <w:bookmarkStart w:id="360" w:name="OLE_LINK29"/>
      <w:r>
        <w:rPr>
          <w:rFonts w:hint="eastAsia"/>
          <w:b/>
          <w:bCs/>
          <w:kern w:val="21"/>
        </w:rPr>
        <w:t>（</w:t>
      </w:r>
      <w:r>
        <w:rPr>
          <w:rFonts w:hint="eastAsia"/>
          <w:b/>
          <w:bCs/>
          <w:kern w:val="21"/>
        </w:rPr>
        <w:t>3</w:t>
      </w:r>
      <w:r>
        <w:rPr>
          <w:rFonts w:hint="eastAsia"/>
          <w:b/>
          <w:bCs/>
          <w:kern w:val="21"/>
        </w:rPr>
        <w:t>）柴油泄漏风险防范措施</w:t>
      </w:r>
    </w:p>
    <w:bookmarkEnd w:id="360"/>
    <w:p w14:paraId="2D0A94BF" w14:textId="77777777" w:rsidR="00544649" w:rsidRDefault="00000000">
      <w:pPr>
        <w:adjustRightInd w:val="0"/>
        <w:snapToGrid w:val="0"/>
        <w:spacing w:after="0"/>
        <w:ind w:firstLine="480"/>
        <w:rPr>
          <w:kern w:val="21"/>
        </w:rPr>
      </w:pPr>
      <w:r>
        <w:rPr>
          <w:rFonts w:hint="eastAsia"/>
          <w:kern w:val="21"/>
        </w:rPr>
        <w:lastRenderedPageBreak/>
        <w:t>柴油储存设施应当符合有关安全防火规定，设置相应的通风、防爆、防火、防雷、防静电等安全设施并做好标识。定期检查呼吸阀和阻火器情况是否处于正常状态。</w:t>
      </w:r>
    </w:p>
    <w:p w14:paraId="09F91E0F" w14:textId="77777777" w:rsidR="00544649" w:rsidRDefault="00000000">
      <w:pPr>
        <w:adjustRightInd w:val="0"/>
        <w:snapToGrid w:val="0"/>
        <w:spacing w:after="0"/>
        <w:ind w:firstLine="480"/>
        <w:rPr>
          <w:kern w:val="21"/>
        </w:rPr>
      </w:pPr>
      <w:r>
        <w:rPr>
          <w:rFonts w:hint="eastAsia"/>
          <w:kern w:val="21"/>
        </w:rPr>
        <w:fldChar w:fldCharType="begin"/>
      </w:r>
      <w:r>
        <w:rPr>
          <w:rFonts w:hint="eastAsia"/>
          <w:kern w:val="21"/>
        </w:rPr>
        <w:instrText>= 1 \* GB3</w:instrText>
      </w:r>
      <w:r>
        <w:rPr>
          <w:rFonts w:hint="eastAsia"/>
          <w:kern w:val="21"/>
        </w:rPr>
        <w:fldChar w:fldCharType="separate"/>
      </w:r>
      <w:r>
        <w:rPr>
          <w:rFonts w:hint="eastAsia"/>
          <w:kern w:val="21"/>
        </w:rPr>
        <w:t>①</w:t>
      </w:r>
      <w:r>
        <w:rPr>
          <w:rFonts w:hint="eastAsia"/>
          <w:kern w:val="21"/>
        </w:rPr>
        <w:fldChar w:fldCharType="end"/>
      </w:r>
      <w:r>
        <w:rPr>
          <w:rFonts w:hint="eastAsia"/>
          <w:kern w:val="21"/>
        </w:rPr>
        <w:t>对存放柴油的房间和储油柜进行严格管控，房间钥匙不得随意配制，无关人员不得随意借用钥匙；门应上锁，钥匙由值班人员管理，未经批准，非工作人员严禁入内；</w:t>
      </w:r>
    </w:p>
    <w:bookmarkStart w:id="361" w:name="OLE_LINK30"/>
    <w:p w14:paraId="3502E18B" w14:textId="77777777" w:rsidR="00544649" w:rsidRDefault="00000000">
      <w:pPr>
        <w:adjustRightInd w:val="0"/>
        <w:snapToGrid w:val="0"/>
        <w:spacing w:after="0"/>
        <w:ind w:firstLine="480"/>
        <w:rPr>
          <w:kern w:val="21"/>
        </w:rPr>
      </w:pPr>
      <w:r>
        <w:rPr>
          <w:rFonts w:hint="eastAsia"/>
          <w:kern w:val="21"/>
        </w:rPr>
        <w:fldChar w:fldCharType="begin"/>
      </w:r>
      <w:r>
        <w:rPr>
          <w:rFonts w:hint="eastAsia"/>
          <w:kern w:val="21"/>
        </w:rPr>
        <w:instrText>= 2 \* GB3</w:instrText>
      </w:r>
      <w:r>
        <w:rPr>
          <w:rFonts w:hint="eastAsia"/>
          <w:kern w:val="21"/>
        </w:rPr>
        <w:fldChar w:fldCharType="separate"/>
      </w:r>
      <w:r>
        <w:rPr>
          <w:rFonts w:hint="eastAsia"/>
          <w:kern w:val="21"/>
        </w:rPr>
        <w:t>②</w:t>
      </w:r>
      <w:r>
        <w:rPr>
          <w:rFonts w:hint="eastAsia"/>
          <w:kern w:val="21"/>
        </w:rPr>
        <w:fldChar w:fldCharType="end"/>
      </w:r>
      <w:bookmarkEnd w:id="361"/>
      <w:r>
        <w:rPr>
          <w:rFonts w:hint="eastAsia"/>
          <w:kern w:val="21"/>
        </w:rPr>
        <w:t>存放柴油的房间不得有无关的物品、物资存放（包括临时性存放）；禁止堆放易燃、易爆物品及腐蚀性物品；严禁随处乱堆乱放固体废弃物，保持房间四周环境的清洁卫生。</w:t>
      </w:r>
    </w:p>
    <w:bookmarkStart w:id="362" w:name="OLE_LINK31"/>
    <w:p w14:paraId="4A935EE6" w14:textId="77777777" w:rsidR="00544649" w:rsidRDefault="00000000">
      <w:pPr>
        <w:adjustRightInd w:val="0"/>
        <w:snapToGrid w:val="0"/>
        <w:spacing w:after="0"/>
        <w:ind w:firstLine="480"/>
        <w:rPr>
          <w:kern w:val="21"/>
        </w:rPr>
      </w:pPr>
      <w:r>
        <w:rPr>
          <w:rFonts w:hint="eastAsia"/>
          <w:kern w:val="21"/>
        </w:rPr>
        <w:fldChar w:fldCharType="begin"/>
      </w:r>
      <w:r>
        <w:rPr>
          <w:rFonts w:hint="eastAsia"/>
          <w:kern w:val="21"/>
        </w:rPr>
        <w:instrText>= 3 \* GB3</w:instrText>
      </w:r>
      <w:r>
        <w:rPr>
          <w:rFonts w:hint="eastAsia"/>
          <w:kern w:val="21"/>
        </w:rPr>
        <w:fldChar w:fldCharType="separate"/>
      </w:r>
      <w:r>
        <w:rPr>
          <w:rFonts w:hint="eastAsia"/>
          <w:kern w:val="21"/>
        </w:rPr>
        <w:t>③</w:t>
      </w:r>
      <w:r>
        <w:rPr>
          <w:rFonts w:hint="eastAsia"/>
          <w:kern w:val="21"/>
        </w:rPr>
        <w:fldChar w:fldCharType="end"/>
      </w:r>
      <w:bookmarkEnd w:id="362"/>
      <w:r>
        <w:rPr>
          <w:rFonts w:hint="eastAsia"/>
          <w:kern w:val="21"/>
        </w:rPr>
        <w:t>室内禁止敲打和碰撞以防产生火花。发现火警必须及时报告，同时尽全力与消防人员共同扑灭火灾。</w:t>
      </w:r>
    </w:p>
    <w:p w14:paraId="12AC6963" w14:textId="77777777" w:rsidR="00544649" w:rsidRDefault="00000000">
      <w:pPr>
        <w:adjustRightInd w:val="0"/>
        <w:snapToGrid w:val="0"/>
        <w:spacing w:after="0"/>
        <w:ind w:firstLine="482"/>
        <w:rPr>
          <w:b/>
          <w:bCs/>
          <w:kern w:val="21"/>
        </w:rPr>
      </w:pPr>
      <w:r>
        <w:rPr>
          <w:rFonts w:hint="eastAsia"/>
          <w:b/>
          <w:bCs/>
          <w:kern w:val="21"/>
        </w:rPr>
        <w:t>（</w:t>
      </w:r>
      <w:r>
        <w:rPr>
          <w:rFonts w:hint="eastAsia"/>
          <w:b/>
          <w:bCs/>
          <w:kern w:val="21"/>
        </w:rPr>
        <w:t>4</w:t>
      </w:r>
      <w:r>
        <w:rPr>
          <w:rFonts w:hint="eastAsia"/>
          <w:b/>
          <w:bCs/>
          <w:kern w:val="21"/>
        </w:rPr>
        <w:t>）废润滑油泄漏风险防范措施</w:t>
      </w:r>
    </w:p>
    <w:p w14:paraId="7B53A78B" w14:textId="77777777" w:rsidR="00544649" w:rsidRDefault="00000000">
      <w:pPr>
        <w:adjustRightInd w:val="0"/>
        <w:snapToGrid w:val="0"/>
        <w:spacing w:after="0"/>
        <w:ind w:firstLine="480"/>
        <w:rPr>
          <w:kern w:val="21"/>
        </w:rPr>
      </w:pPr>
      <w:r>
        <w:rPr>
          <w:rFonts w:hint="eastAsia"/>
          <w:kern w:val="21"/>
        </w:rPr>
        <w:fldChar w:fldCharType="begin"/>
      </w:r>
      <w:r>
        <w:rPr>
          <w:rFonts w:hint="eastAsia"/>
          <w:kern w:val="21"/>
        </w:rPr>
        <w:instrText>= 1 \* GB3</w:instrText>
      </w:r>
      <w:r>
        <w:rPr>
          <w:rFonts w:hint="eastAsia"/>
          <w:kern w:val="21"/>
        </w:rPr>
        <w:fldChar w:fldCharType="separate"/>
      </w:r>
      <w:r>
        <w:rPr>
          <w:rFonts w:hint="eastAsia"/>
          <w:kern w:val="21"/>
        </w:rPr>
        <w:t>①</w:t>
      </w:r>
      <w:r>
        <w:rPr>
          <w:rFonts w:hint="eastAsia"/>
          <w:kern w:val="21"/>
        </w:rPr>
        <w:fldChar w:fldCharType="end"/>
      </w:r>
      <w:r>
        <w:rPr>
          <w:rFonts w:hint="eastAsia"/>
          <w:kern w:val="21"/>
        </w:rPr>
        <w:t>危险废物暂存间采取重点防渗处理设置防渗托盘，并加强危险废物暂存间管理。</w:t>
      </w:r>
    </w:p>
    <w:p w14:paraId="534F829F" w14:textId="77777777" w:rsidR="00544649" w:rsidRDefault="00000000">
      <w:pPr>
        <w:adjustRightInd w:val="0"/>
        <w:snapToGrid w:val="0"/>
        <w:spacing w:after="0"/>
        <w:ind w:firstLine="480"/>
        <w:rPr>
          <w:rFonts w:ascii="宋体" w:hAnsi="宋体" w:cs="宋体" w:hint="eastAsia"/>
          <w:szCs w:val="24"/>
        </w:rPr>
      </w:pPr>
      <w:r>
        <w:rPr>
          <w:rFonts w:hint="eastAsia"/>
          <w:kern w:val="21"/>
        </w:rPr>
        <w:fldChar w:fldCharType="begin"/>
      </w:r>
      <w:r>
        <w:rPr>
          <w:rFonts w:hint="eastAsia"/>
          <w:kern w:val="21"/>
        </w:rPr>
        <w:instrText>= 2 \* GB3</w:instrText>
      </w:r>
      <w:r>
        <w:rPr>
          <w:rFonts w:hint="eastAsia"/>
          <w:kern w:val="21"/>
        </w:rPr>
        <w:fldChar w:fldCharType="separate"/>
      </w:r>
      <w:r>
        <w:rPr>
          <w:rFonts w:hint="eastAsia"/>
          <w:kern w:val="21"/>
        </w:rPr>
        <w:t>②</w:t>
      </w:r>
      <w:r>
        <w:rPr>
          <w:rFonts w:hint="eastAsia"/>
          <w:kern w:val="21"/>
        </w:rPr>
        <w:fldChar w:fldCharType="end"/>
      </w:r>
      <w:r>
        <w:rPr>
          <w:rFonts w:hint="eastAsia"/>
          <w:kern w:val="21"/>
        </w:rPr>
        <w:t>发现存放废润滑油桶出现泄露时，</w:t>
      </w:r>
      <w:r>
        <w:rPr>
          <w:rFonts w:ascii="宋体" w:hAnsi="宋体" w:cs="宋体"/>
          <w:szCs w:val="24"/>
        </w:rPr>
        <w:t xml:space="preserve">将破损桶内未泄漏部分的废机 </w:t>
      </w:r>
      <w:proofErr w:type="gramStart"/>
      <w:r>
        <w:rPr>
          <w:rFonts w:ascii="宋体" w:hAnsi="宋体" w:cs="宋体"/>
          <w:szCs w:val="24"/>
        </w:rPr>
        <w:t>油转移</w:t>
      </w:r>
      <w:proofErr w:type="gramEnd"/>
      <w:r>
        <w:rPr>
          <w:rFonts w:ascii="宋体" w:hAnsi="宋体" w:cs="宋体"/>
          <w:szCs w:val="24"/>
        </w:rPr>
        <w:t>至空桶。</w:t>
      </w:r>
    </w:p>
    <w:p w14:paraId="2C52E2CF" w14:textId="77777777" w:rsidR="00544649" w:rsidRDefault="00000000">
      <w:pPr>
        <w:adjustRightInd w:val="0"/>
        <w:snapToGrid w:val="0"/>
        <w:spacing w:after="0"/>
        <w:ind w:firstLine="480"/>
        <w:rPr>
          <w:kern w:val="21"/>
        </w:rPr>
      </w:pPr>
      <w:r>
        <w:rPr>
          <w:rFonts w:hint="eastAsia"/>
          <w:kern w:val="21"/>
        </w:rPr>
        <w:fldChar w:fldCharType="begin"/>
      </w:r>
      <w:r>
        <w:rPr>
          <w:rFonts w:hint="eastAsia"/>
          <w:kern w:val="21"/>
        </w:rPr>
        <w:instrText>= 3 \* GB3</w:instrText>
      </w:r>
      <w:r>
        <w:rPr>
          <w:rFonts w:hint="eastAsia"/>
          <w:kern w:val="21"/>
        </w:rPr>
        <w:fldChar w:fldCharType="separate"/>
      </w:r>
      <w:r>
        <w:rPr>
          <w:rFonts w:hint="eastAsia"/>
          <w:kern w:val="21"/>
        </w:rPr>
        <w:t>③</w:t>
      </w:r>
      <w:r>
        <w:rPr>
          <w:rFonts w:hint="eastAsia"/>
          <w:kern w:val="21"/>
        </w:rPr>
        <w:fldChar w:fldCharType="end"/>
      </w:r>
      <w:r>
        <w:rPr>
          <w:rFonts w:hint="eastAsia"/>
          <w:kern w:val="21"/>
        </w:rPr>
        <w:t>用沙土覆盖泄漏的废机油并清理收集至空桶内，破损桶</w:t>
      </w:r>
      <w:proofErr w:type="gramStart"/>
      <w:r>
        <w:rPr>
          <w:rFonts w:hint="eastAsia"/>
          <w:kern w:val="21"/>
        </w:rPr>
        <w:t>及含废机油</w:t>
      </w:r>
      <w:proofErr w:type="gramEnd"/>
      <w:r>
        <w:rPr>
          <w:rFonts w:hint="eastAsia"/>
          <w:kern w:val="21"/>
        </w:rPr>
        <w:t>沙土</w:t>
      </w:r>
      <w:proofErr w:type="gramStart"/>
      <w:r>
        <w:rPr>
          <w:rFonts w:hint="eastAsia"/>
          <w:kern w:val="21"/>
        </w:rPr>
        <w:t>按危废</w:t>
      </w:r>
      <w:proofErr w:type="gramEnd"/>
      <w:r>
        <w:rPr>
          <w:rFonts w:hint="eastAsia"/>
          <w:kern w:val="21"/>
        </w:rPr>
        <w:t>管理。</w:t>
      </w:r>
    </w:p>
    <w:p w14:paraId="02D3D8E6" w14:textId="77777777" w:rsidR="00544649" w:rsidRDefault="00000000">
      <w:pPr>
        <w:numPr>
          <w:ilvl w:val="3"/>
          <w:numId w:val="9"/>
        </w:numPr>
        <w:adjustRightInd w:val="0"/>
        <w:snapToGrid w:val="0"/>
        <w:spacing w:after="0"/>
        <w:ind w:firstLineChars="0"/>
        <w:outlineLvl w:val="3"/>
        <w:rPr>
          <w:b/>
          <w:bCs/>
          <w:kern w:val="21"/>
        </w:rPr>
      </w:pPr>
      <w:r>
        <w:rPr>
          <w:b/>
          <w:bCs/>
          <w:kern w:val="21"/>
          <w:szCs w:val="24"/>
        </w:rPr>
        <w:t>地下水环境风险防范措施</w:t>
      </w:r>
    </w:p>
    <w:p w14:paraId="14349DCA" w14:textId="77777777" w:rsidR="00544649" w:rsidRDefault="00000000">
      <w:pPr>
        <w:adjustRightInd w:val="0"/>
        <w:snapToGrid w:val="0"/>
        <w:spacing w:after="0"/>
        <w:ind w:firstLine="482"/>
        <w:rPr>
          <w:b/>
          <w:bCs/>
          <w:kern w:val="21"/>
        </w:rPr>
      </w:pPr>
      <w:r>
        <w:rPr>
          <w:rFonts w:hint="eastAsia"/>
          <w:b/>
          <w:bCs/>
          <w:kern w:val="21"/>
        </w:rPr>
        <w:t>1</w:t>
      </w:r>
      <w:r>
        <w:rPr>
          <w:rFonts w:hint="eastAsia"/>
          <w:b/>
          <w:bCs/>
          <w:kern w:val="21"/>
        </w:rPr>
        <w:t>、防治废水污染地下水措施</w:t>
      </w:r>
    </w:p>
    <w:p w14:paraId="419604A2" w14:textId="77777777" w:rsidR="00544649" w:rsidRDefault="00000000">
      <w:pPr>
        <w:adjustRightInd w:val="0"/>
        <w:snapToGrid w:val="0"/>
        <w:spacing w:after="0"/>
        <w:ind w:firstLine="480"/>
        <w:rPr>
          <w:kern w:val="21"/>
        </w:rPr>
      </w:pPr>
      <w:r>
        <w:rPr>
          <w:rFonts w:hint="eastAsia"/>
          <w:kern w:val="21"/>
        </w:rPr>
        <w:t>（</w:t>
      </w:r>
      <w:r>
        <w:rPr>
          <w:rFonts w:hint="eastAsia"/>
          <w:kern w:val="21"/>
        </w:rPr>
        <w:t>1</w:t>
      </w:r>
      <w:r>
        <w:rPr>
          <w:rFonts w:hint="eastAsia"/>
          <w:kern w:val="21"/>
        </w:rPr>
        <w:t>）所有管道系统均必须按有关标准进行良好设计、制作及安装。管道连接应多采用焊接，尽可能减少使用接合法兰，以降低泄漏概率；法兰连接使用垫片的材质应与输送介质的性质相适应，不应使用易受到输送物溶解、腐蚀的材料。工艺</w:t>
      </w:r>
      <w:proofErr w:type="gramStart"/>
      <w:r>
        <w:rPr>
          <w:rFonts w:hint="eastAsia"/>
          <w:kern w:val="21"/>
        </w:rPr>
        <w:t>输送泵均采用</w:t>
      </w:r>
      <w:proofErr w:type="gramEnd"/>
      <w:r>
        <w:rPr>
          <w:rFonts w:hint="eastAsia"/>
          <w:kern w:val="21"/>
        </w:rPr>
        <w:t>密封防</w:t>
      </w:r>
      <w:proofErr w:type="gramStart"/>
      <w:r>
        <w:rPr>
          <w:rFonts w:hint="eastAsia"/>
          <w:kern w:val="21"/>
        </w:rPr>
        <w:t>泄漏泵以避免</w:t>
      </w:r>
      <w:proofErr w:type="gramEnd"/>
      <w:r>
        <w:rPr>
          <w:rFonts w:hint="eastAsia"/>
          <w:kern w:val="21"/>
        </w:rPr>
        <w:t>物料泄漏。物料输送管线要定期试压检漏。</w:t>
      </w:r>
    </w:p>
    <w:p w14:paraId="333C98D0" w14:textId="77777777" w:rsidR="00544649" w:rsidRDefault="00000000">
      <w:pPr>
        <w:adjustRightInd w:val="0"/>
        <w:snapToGrid w:val="0"/>
        <w:spacing w:after="0"/>
        <w:ind w:firstLine="480"/>
        <w:rPr>
          <w:kern w:val="21"/>
        </w:rPr>
      </w:pPr>
      <w:r>
        <w:rPr>
          <w:rFonts w:hint="eastAsia"/>
          <w:kern w:val="21"/>
        </w:rPr>
        <w:t>（</w:t>
      </w:r>
      <w:r>
        <w:rPr>
          <w:rFonts w:hint="eastAsia"/>
          <w:kern w:val="21"/>
        </w:rPr>
        <w:t>2</w:t>
      </w:r>
      <w:r>
        <w:rPr>
          <w:rFonts w:hint="eastAsia"/>
          <w:kern w:val="21"/>
        </w:rPr>
        <w:t>）污水处理设施必须防腐、防渗。</w:t>
      </w:r>
    </w:p>
    <w:p w14:paraId="36BF34DC" w14:textId="77777777" w:rsidR="00544649" w:rsidRDefault="00000000">
      <w:pPr>
        <w:adjustRightInd w:val="0"/>
        <w:snapToGrid w:val="0"/>
        <w:spacing w:after="0"/>
        <w:ind w:firstLine="482"/>
        <w:rPr>
          <w:b/>
          <w:bCs/>
          <w:kern w:val="21"/>
        </w:rPr>
      </w:pPr>
      <w:r>
        <w:rPr>
          <w:rFonts w:hint="eastAsia"/>
          <w:b/>
          <w:bCs/>
          <w:kern w:val="21"/>
        </w:rPr>
        <w:t>2</w:t>
      </w:r>
      <w:r>
        <w:rPr>
          <w:rFonts w:hint="eastAsia"/>
          <w:b/>
          <w:bCs/>
          <w:kern w:val="21"/>
        </w:rPr>
        <w:t>、分区防渗措施</w:t>
      </w:r>
    </w:p>
    <w:p w14:paraId="605BB8D5" w14:textId="77777777" w:rsidR="00544649" w:rsidRDefault="00000000">
      <w:pPr>
        <w:adjustRightInd w:val="0"/>
        <w:snapToGrid w:val="0"/>
        <w:spacing w:after="0"/>
        <w:ind w:firstLine="480"/>
        <w:rPr>
          <w:kern w:val="21"/>
        </w:rPr>
      </w:pPr>
      <w:r>
        <w:rPr>
          <w:rFonts w:hint="eastAsia"/>
          <w:kern w:val="21"/>
        </w:rPr>
        <w:t>本项目设置重点防渗区、一般防渗区和简单防渗区。</w:t>
      </w:r>
    </w:p>
    <w:p w14:paraId="39CEA636" w14:textId="77777777" w:rsidR="00544649" w:rsidRDefault="00000000">
      <w:pPr>
        <w:adjustRightInd w:val="0"/>
        <w:snapToGrid w:val="0"/>
        <w:spacing w:after="0"/>
        <w:ind w:firstLine="482"/>
        <w:rPr>
          <w:b/>
          <w:bCs/>
          <w:kern w:val="21"/>
        </w:rPr>
      </w:pPr>
      <w:r>
        <w:rPr>
          <w:rFonts w:hint="eastAsia"/>
          <w:b/>
          <w:bCs/>
          <w:kern w:val="21"/>
        </w:rPr>
        <w:t>3</w:t>
      </w:r>
      <w:r>
        <w:rPr>
          <w:rFonts w:hint="eastAsia"/>
          <w:b/>
          <w:bCs/>
          <w:kern w:val="21"/>
        </w:rPr>
        <w:t>、监控、预警及事故应急减缓措施</w:t>
      </w:r>
    </w:p>
    <w:p w14:paraId="47CB2F7F" w14:textId="77777777" w:rsidR="00544649" w:rsidRDefault="00000000">
      <w:pPr>
        <w:adjustRightInd w:val="0"/>
        <w:snapToGrid w:val="0"/>
        <w:spacing w:after="0"/>
        <w:ind w:firstLine="480"/>
        <w:rPr>
          <w:kern w:val="21"/>
        </w:rPr>
      </w:pPr>
      <w:r>
        <w:rPr>
          <w:rFonts w:hint="eastAsia"/>
          <w:kern w:val="21"/>
        </w:rPr>
        <w:t>（</w:t>
      </w:r>
      <w:r>
        <w:rPr>
          <w:rFonts w:hint="eastAsia"/>
          <w:kern w:val="21"/>
        </w:rPr>
        <w:t>1</w:t>
      </w:r>
      <w:r>
        <w:rPr>
          <w:rFonts w:hint="eastAsia"/>
          <w:kern w:val="21"/>
        </w:rPr>
        <w:t>）根据本</w:t>
      </w:r>
      <w:proofErr w:type="gramStart"/>
      <w:r>
        <w:rPr>
          <w:rFonts w:hint="eastAsia"/>
          <w:kern w:val="21"/>
        </w:rPr>
        <w:t>项目产污特征</w:t>
      </w:r>
      <w:proofErr w:type="gramEnd"/>
      <w:r>
        <w:rPr>
          <w:rFonts w:hint="eastAsia"/>
          <w:kern w:val="21"/>
        </w:rPr>
        <w:t>，环</w:t>
      </w:r>
      <w:proofErr w:type="gramStart"/>
      <w:r>
        <w:rPr>
          <w:rFonts w:hint="eastAsia"/>
          <w:kern w:val="21"/>
        </w:rPr>
        <w:t>评要求</w:t>
      </w:r>
      <w:proofErr w:type="gramEnd"/>
      <w:r>
        <w:rPr>
          <w:rFonts w:hint="eastAsia"/>
          <w:kern w:val="21"/>
        </w:rPr>
        <w:t>本项目运行过程中在</w:t>
      </w:r>
      <w:proofErr w:type="gramStart"/>
      <w:r>
        <w:rPr>
          <w:rFonts w:hint="eastAsia"/>
          <w:kern w:val="21"/>
        </w:rPr>
        <w:t>育雏场</w:t>
      </w:r>
      <w:proofErr w:type="gramEnd"/>
      <w:r>
        <w:rPr>
          <w:rFonts w:hint="eastAsia"/>
          <w:kern w:val="21"/>
        </w:rPr>
        <w:t>及蛋鸡场下游分别布设</w:t>
      </w:r>
      <w:r>
        <w:rPr>
          <w:rFonts w:hint="eastAsia"/>
          <w:kern w:val="21"/>
        </w:rPr>
        <w:t>1</w:t>
      </w:r>
      <w:r>
        <w:rPr>
          <w:rFonts w:hint="eastAsia"/>
          <w:kern w:val="21"/>
        </w:rPr>
        <w:t>个地下水水质监控点。</w:t>
      </w:r>
    </w:p>
    <w:p w14:paraId="58E9F8B9" w14:textId="77777777" w:rsidR="00544649" w:rsidRDefault="00000000">
      <w:pPr>
        <w:adjustRightInd w:val="0"/>
        <w:snapToGrid w:val="0"/>
        <w:spacing w:after="0"/>
        <w:ind w:firstLine="480"/>
        <w:rPr>
          <w:kern w:val="21"/>
        </w:rPr>
      </w:pPr>
      <w:r>
        <w:rPr>
          <w:rFonts w:hint="eastAsia"/>
          <w:kern w:val="21"/>
        </w:rPr>
        <w:t>（</w:t>
      </w:r>
      <w:r>
        <w:rPr>
          <w:rFonts w:hint="eastAsia"/>
          <w:kern w:val="21"/>
        </w:rPr>
        <w:t>2</w:t>
      </w:r>
      <w:r>
        <w:rPr>
          <w:rFonts w:hint="eastAsia"/>
          <w:kern w:val="21"/>
        </w:rPr>
        <w:t>）项目运行过程中，严格按照环</w:t>
      </w:r>
      <w:proofErr w:type="gramStart"/>
      <w:r>
        <w:rPr>
          <w:rFonts w:hint="eastAsia"/>
          <w:kern w:val="21"/>
        </w:rPr>
        <w:t>评要求</w:t>
      </w:r>
      <w:proofErr w:type="gramEnd"/>
      <w:r>
        <w:rPr>
          <w:rFonts w:hint="eastAsia"/>
          <w:kern w:val="21"/>
        </w:rPr>
        <w:t>对下游水质监测井进行监测，一旦发现水质异常，立刻采取有效措施，避免对下游地下水造成污染。</w:t>
      </w:r>
    </w:p>
    <w:p w14:paraId="22F7A607" w14:textId="77777777" w:rsidR="00544649" w:rsidRDefault="00000000">
      <w:pPr>
        <w:adjustRightInd w:val="0"/>
        <w:snapToGrid w:val="0"/>
        <w:spacing w:after="0"/>
        <w:ind w:firstLine="480"/>
        <w:rPr>
          <w:kern w:val="21"/>
        </w:rPr>
      </w:pPr>
      <w:r>
        <w:rPr>
          <w:rFonts w:hint="eastAsia"/>
          <w:kern w:val="21"/>
        </w:rPr>
        <w:t>（</w:t>
      </w:r>
      <w:r>
        <w:rPr>
          <w:rFonts w:hint="eastAsia"/>
          <w:kern w:val="21"/>
        </w:rPr>
        <w:t>3</w:t>
      </w:r>
      <w:r>
        <w:rPr>
          <w:rFonts w:hint="eastAsia"/>
          <w:kern w:val="21"/>
        </w:rPr>
        <w:t>）加强本项目污水处理管路的检修。</w:t>
      </w:r>
    </w:p>
    <w:p w14:paraId="11A925B3" w14:textId="77777777" w:rsidR="00544649" w:rsidRDefault="00000000">
      <w:pPr>
        <w:adjustRightInd w:val="0"/>
        <w:snapToGrid w:val="0"/>
        <w:spacing w:after="0"/>
        <w:ind w:firstLine="480"/>
        <w:rPr>
          <w:kern w:val="21"/>
        </w:rPr>
      </w:pPr>
      <w:r>
        <w:rPr>
          <w:rFonts w:hint="eastAsia"/>
          <w:kern w:val="21"/>
        </w:rPr>
        <w:lastRenderedPageBreak/>
        <w:t>（</w:t>
      </w:r>
      <w:r>
        <w:rPr>
          <w:rFonts w:hint="eastAsia"/>
          <w:kern w:val="21"/>
        </w:rPr>
        <w:t>4</w:t>
      </w:r>
      <w:r>
        <w:rPr>
          <w:rFonts w:hint="eastAsia"/>
          <w:kern w:val="21"/>
        </w:rPr>
        <w:t>）本</w:t>
      </w:r>
      <w:proofErr w:type="gramStart"/>
      <w:r>
        <w:rPr>
          <w:rFonts w:hint="eastAsia"/>
          <w:kern w:val="21"/>
        </w:rPr>
        <w:t>项目各池体</w:t>
      </w:r>
      <w:proofErr w:type="gramEnd"/>
      <w:r>
        <w:rPr>
          <w:rFonts w:hint="eastAsia"/>
          <w:kern w:val="21"/>
        </w:rPr>
        <w:t>构筑物下方除按要求设置防渗措施，</w:t>
      </w:r>
      <w:r>
        <w:rPr>
          <w:rFonts w:hint="eastAsia"/>
          <w:kern w:val="21"/>
          <w:lang w:val="zh-CN"/>
        </w:rPr>
        <w:t>出现泄漏情况能及时进行处置。</w:t>
      </w:r>
    </w:p>
    <w:p w14:paraId="2117FEA0" w14:textId="77777777" w:rsidR="00544649" w:rsidRDefault="00000000">
      <w:pPr>
        <w:adjustRightInd w:val="0"/>
        <w:snapToGrid w:val="0"/>
        <w:spacing w:after="0"/>
        <w:ind w:firstLine="480"/>
        <w:rPr>
          <w:kern w:val="21"/>
        </w:rPr>
      </w:pPr>
      <w:r>
        <w:rPr>
          <w:rFonts w:hint="eastAsia"/>
          <w:kern w:val="21"/>
        </w:rPr>
        <w:t>（</w:t>
      </w:r>
      <w:r>
        <w:rPr>
          <w:rFonts w:hint="eastAsia"/>
          <w:kern w:val="21"/>
        </w:rPr>
        <w:t>5</w:t>
      </w:r>
      <w:r>
        <w:rPr>
          <w:rFonts w:hint="eastAsia"/>
          <w:kern w:val="21"/>
        </w:rPr>
        <w:t>）设置雨水收集系统，实行“清污分流”。</w:t>
      </w:r>
    </w:p>
    <w:p w14:paraId="308FF540" w14:textId="77777777" w:rsidR="00544649" w:rsidRDefault="00000000">
      <w:pPr>
        <w:numPr>
          <w:ilvl w:val="3"/>
          <w:numId w:val="9"/>
        </w:numPr>
        <w:adjustRightInd w:val="0"/>
        <w:snapToGrid w:val="0"/>
        <w:spacing w:after="0"/>
        <w:ind w:firstLineChars="0"/>
        <w:outlineLvl w:val="3"/>
        <w:rPr>
          <w:b/>
          <w:bCs/>
          <w:kern w:val="21"/>
        </w:rPr>
      </w:pPr>
      <w:r>
        <w:rPr>
          <w:rFonts w:cs="Times New Roman"/>
          <w:b/>
          <w:bCs/>
          <w:kern w:val="21"/>
        </w:rPr>
        <w:t>对火灾事故的防范措施</w:t>
      </w:r>
    </w:p>
    <w:p w14:paraId="1DC069C6" w14:textId="77777777" w:rsidR="00544649" w:rsidRDefault="00000000">
      <w:pPr>
        <w:adjustRightInd w:val="0"/>
        <w:snapToGrid w:val="0"/>
        <w:spacing w:after="0"/>
        <w:ind w:firstLine="480"/>
        <w:rPr>
          <w:kern w:val="21"/>
        </w:rPr>
      </w:pPr>
      <w:r>
        <w:rPr>
          <w:rFonts w:hint="eastAsia"/>
          <w:kern w:val="21"/>
        </w:rPr>
        <w:t>（</w:t>
      </w:r>
      <w:r>
        <w:rPr>
          <w:kern w:val="21"/>
        </w:rPr>
        <w:t>1</w:t>
      </w:r>
      <w:r>
        <w:rPr>
          <w:rFonts w:hint="eastAsia"/>
          <w:kern w:val="21"/>
        </w:rPr>
        <w:t>）对明火、动火进行严格管制，制定相关标识标牌。</w:t>
      </w:r>
    </w:p>
    <w:p w14:paraId="79A69C61" w14:textId="77777777" w:rsidR="00544649" w:rsidRDefault="00000000">
      <w:pPr>
        <w:adjustRightInd w:val="0"/>
        <w:snapToGrid w:val="0"/>
        <w:spacing w:after="0"/>
        <w:ind w:firstLine="480"/>
        <w:rPr>
          <w:kern w:val="21"/>
        </w:rPr>
      </w:pPr>
      <w:r>
        <w:rPr>
          <w:rFonts w:hint="eastAsia"/>
          <w:kern w:val="21"/>
        </w:rPr>
        <w:t>（</w:t>
      </w:r>
      <w:r>
        <w:rPr>
          <w:kern w:val="21"/>
        </w:rPr>
        <w:t>2</w:t>
      </w:r>
      <w:r>
        <w:rPr>
          <w:rFonts w:hint="eastAsia"/>
          <w:kern w:val="21"/>
        </w:rPr>
        <w:t>）鸡舍、饲料仓库、蛋库等场所内严禁烟火，并设置严禁烟火标志，用电设备均采取漏电保护装置，鸡舍使用的保暖灯，对灯具的发热部件采取隔热等防火保护措施，如发生着火事故时，应立即使用现场灭火器及消防栓进行灭火。</w:t>
      </w:r>
    </w:p>
    <w:p w14:paraId="07CA3213" w14:textId="77777777" w:rsidR="00544649" w:rsidRDefault="00000000">
      <w:pPr>
        <w:adjustRightInd w:val="0"/>
        <w:snapToGrid w:val="0"/>
        <w:spacing w:after="0"/>
        <w:ind w:firstLine="480"/>
        <w:rPr>
          <w:kern w:val="21"/>
        </w:rPr>
      </w:pPr>
      <w:r>
        <w:rPr>
          <w:rFonts w:cs="Times New Roman"/>
          <w:kern w:val="21"/>
        </w:rPr>
        <w:t>（</w:t>
      </w:r>
      <w:r>
        <w:rPr>
          <w:rFonts w:cs="Times New Roman"/>
          <w:kern w:val="21"/>
        </w:rPr>
        <w:t>3</w:t>
      </w:r>
      <w:r>
        <w:rPr>
          <w:rFonts w:cs="Times New Roman"/>
          <w:kern w:val="21"/>
        </w:rPr>
        <w:t>）</w:t>
      </w:r>
      <w:r>
        <w:rPr>
          <w:rFonts w:hint="eastAsia"/>
          <w:kern w:val="21"/>
        </w:rPr>
        <w:t>如火势较大，不能控制时，应立即报告</w:t>
      </w:r>
      <w:r>
        <w:rPr>
          <w:rFonts w:hint="eastAsia"/>
          <w:kern w:val="21"/>
        </w:rPr>
        <w:t>119</w:t>
      </w:r>
      <w:r>
        <w:rPr>
          <w:rFonts w:hint="eastAsia"/>
          <w:kern w:val="21"/>
        </w:rPr>
        <w:t>，并组织周围人员疏散至安全地方。</w:t>
      </w:r>
    </w:p>
    <w:p w14:paraId="72EFA7B0"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4</w:t>
      </w:r>
      <w:r>
        <w:rPr>
          <w:rFonts w:cs="Times New Roman"/>
          <w:kern w:val="21"/>
        </w:rPr>
        <w:t>）</w:t>
      </w:r>
      <w:r>
        <w:rPr>
          <w:rFonts w:hint="eastAsia"/>
          <w:kern w:val="21"/>
        </w:rPr>
        <w:t>要经常对天然气输气管线进行检查。在使用天然气设备时，要正确操</w:t>
      </w:r>
      <w:r>
        <w:rPr>
          <w:rFonts w:cs="Times New Roman"/>
          <w:kern w:val="21"/>
        </w:rPr>
        <w:t>作，有人看守，保持通风，避免发生</w:t>
      </w:r>
      <w:r>
        <w:rPr>
          <w:rFonts w:cs="Times New Roman" w:hint="eastAsia"/>
          <w:kern w:val="21"/>
        </w:rPr>
        <w:t>天然</w:t>
      </w:r>
      <w:r>
        <w:rPr>
          <w:rFonts w:cs="Times New Roman"/>
          <w:kern w:val="21"/>
        </w:rPr>
        <w:t>气</w:t>
      </w:r>
      <w:r>
        <w:rPr>
          <w:rFonts w:cs="Times New Roman" w:hint="eastAsia"/>
          <w:kern w:val="21"/>
        </w:rPr>
        <w:t>泄漏</w:t>
      </w:r>
      <w:r>
        <w:rPr>
          <w:rFonts w:cs="Times New Roman"/>
          <w:kern w:val="21"/>
        </w:rPr>
        <w:t>或爆燃。</w:t>
      </w:r>
      <w:r>
        <w:rPr>
          <w:rFonts w:cs="Times New Roman" w:hint="eastAsia"/>
          <w:kern w:val="21"/>
        </w:rPr>
        <w:t>天然气使用场所</w:t>
      </w:r>
      <w:r>
        <w:rPr>
          <w:rFonts w:cs="Times New Roman"/>
          <w:kern w:val="21"/>
        </w:rPr>
        <w:t>通风条件应保持良好。</w:t>
      </w:r>
    </w:p>
    <w:p w14:paraId="6F011241" w14:textId="77777777" w:rsidR="00544649" w:rsidRDefault="00000000">
      <w:pPr>
        <w:numPr>
          <w:ilvl w:val="3"/>
          <w:numId w:val="9"/>
        </w:numPr>
        <w:adjustRightInd w:val="0"/>
        <w:snapToGrid w:val="0"/>
        <w:spacing w:after="0"/>
        <w:ind w:firstLineChars="0"/>
        <w:outlineLvl w:val="3"/>
        <w:rPr>
          <w:b/>
          <w:bCs/>
          <w:kern w:val="21"/>
        </w:rPr>
      </w:pPr>
      <w:r>
        <w:rPr>
          <w:rFonts w:cs="Times New Roman"/>
          <w:b/>
          <w:bCs/>
          <w:kern w:val="21"/>
        </w:rPr>
        <w:t>对动物疫病防治措施</w:t>
      </w:r>
    </w:p>
    <w:p w14:paraId="1726499E" w14:textId="77777777" w:rsidR="00544649" w:rsidRDefault="00000000">
      <w:pPr>
        <w:widowControl/>
        <w:adjustRightInd w:val="0"/>
        <w:snapToGrid w:val="0"/>
        <w:spacing w:after="0"/>
        <w:ind w:firstLine="482"/>
        <w:jc w:val="left"/>
        <w:rPr>
          <w:b/>
          <w:bCs/>
          <w:kern w:val="21"/>
        </w:rPr>
      </w:pPr>
      <w:r>
        <w:rPr>
          <w:rFonts w:ascii="宋体" w:hAnsi="宋体" w:cs="宋体" w:hint="eastAsia"/>
          <w:b/>
          <w:bCs/>
          <w:kern w:val="21"/>
          <w:szCs w:val="24"/>
          <w:lang w:bidi="ar"/>
        </w:rPr>
        <w:t>（</w:t>
      </w:r>
      <w:r>
        <w:rPr>
          <w:rFonts w:cs="Times New Roman"/>
          <w:b/>
          <w:bCs/>
          <w:kern w:val="21"/>
          <w:szCs w:val="24"/>
          <w:lang w:bidi="ar"/>
        </w:rPr>
        <w:t>1</w:t>
      </w:r>
      <w:r>
        <w:rPr>
          <w:rFonts w:ascii="宋体" w:hAnsi="宋体" w:cs="宋体" w:hint="eastAsia"/>
          <w:b/>
          <w:bCs/>
          <w:kern w:val="21"/>
          <w:szCs w:val="24"/>
          <w:lang w:bidi="ar"/>
        </w:rPr>
        <w:t>）疫病预防措施</w:t>
      </w:r>
    </w:p>
    <w:p w14:paraId="32E2EB92" w14:textId="77777777" w:rsidR="00544649" w:rsidRDefault="00000000">
      <w:pPr>
        <w:widowControl/>
        <w:adjustRightInd w:val="0"/>
        <w:snapToGrid w:val="0"/>
        <w:spacing w:after="0"/>
        <w:ind w:firstLine="480"/>
        <w:jc w:val="left"/>
        <w:rPr>
          <w:kern w:val="21"/>
        </w:rPr>
      </w:pPr>
      <w:r>
        <w:rPr>
          <w:rFonts w:ascii="宋体" w:hAnsi="宋体" w:cs="宋体" w:hint="eastAsia"/>
          <w:kern w:val="21"/>
          <w:szCs w:val="24"/>
          <w:lang w:bidi="ar"/>
        </w:rPr>
        <w:t>建立严格的卫生防疫制度是集约化养殖场正常生产的保证，在鸡场生产中应坚持“防重于治”的方针，必须建立严格的卫生防疫制度、健全卫生防疫设施，以确保鸡场安全生产。采取的措施有：</w:t>
      </w:r>
    </w:p>
    <w:p w14:paraId="46740A38" w14:textId="77777777" w:rsidR="00544649" w:rsidRDefault="00000000">
      <w:pPr>
        <w:widowControl/>
        <w:adjustRightInd w:val="0"/>
        <w:snapToGrid w:val="0"/>
        <w:spacing w:after="0"/>
        <w:ind w:firstLine="480"/>
        <w:jc w:val="left"/>
        <w:rPr>
          <w:kern w:val="21"/>
        </w:rPr>
      </w:pPr>
      <w:r>
        <w:rPr>
          <w:rFonts w:ascii="宋体" w:hAnsi="宋体" w:cs="宋体" w:hint="eastAsia"/>
          <w:kern w:val="21"/>
          <w:szCs w:val="24"/>
          <w:lang w:bidi="ar"/>
        </w:rPr>
        <w:t>①在生产中应坚持“防重于治”的方针，改变原来的被动治疗为现在的主动预防。如引种时的检疫、隔离、消毒；鸡场疾病的化验与预测；疫苗的注射、药物预防等等，都是将疾病拒之门外的有效办法。</w:t>
      </w:r>
    </w:p>
    <w:p w14:paraId="6CB8D970" w14:textId="77777777" w:rsidR="00544649" w:rsidRDefault="00000000">
      <w:pPr>
        <w:widowControl/>
        <w:adjustRightInd w:val="0"/>
        <w:snapToGrid w:val="0"/>
        <w:spacing w:after="0"/>
        <w:ind w:firstLine="480"/>
        <w:jc w:val="left"/>
        <w:rPr>
          <w:kern w:val="21"/>
        </w:rPr>
      </w:pPr>
      <w:r>
        <w:rPr>
          <w:rFonts w:ascii="宋体" w:hAnsi="宋体" w:cs="宋体" w:hint="eastAsia"/>
          <w:kern w:val="21"/>
          <w:szCs w:val="24"/>
          <w:lang w:bidi="ar"/>
        </w:rPr>
        <w:t>②企业应将养殖区与生活区分开。养殖区门口应设置消毒池和消毒室，消毒池内应常年存放消毒药。本项目养殖区与生活区及粪污处理区之间设置围墙，围墙具有防鼠功能。做好清洁卫生及消毒，防鼠虫传染病害等。</w:t>
      </w:r>
    </w:p>
    <w:p w14:paraId="0A7A8864" w14:textId="77777777" w:rsidR="00544649" w:rsidRDefault="00000000">
      <w:pPr>
        <w:widowControl/>
        <w:adjustRightInd w:val="0"/>
        <w:snapToGrid w:val="0"/>
        <w:spacing w:after="0"/>
        <w:ind w:firstLine="480"/>
        <w:jc w:val="left"/>
        <w:rPr>
          <w:kern w:val="21"/>
        </w:rPr>
      </w:pPr>
      <w:r>
        <w:rPr>
          <w:rFonts w:ascii="宋体" w:hAnsi="宋体" w:cs="宋体" w:hint="eastAsia"/>
          <w:kern w:val="21"/>
          <w:szCs w:val="24"/>
          <w:lang w:bidi="ar"/>
        </w:rPr>
        <w:t>③严格控制非生产人员进入生产区，必须进入时应更换工作服及鞋帽，经消毒室消毒后才能进入。</w:t>
      </w:r>
    </w:p>
    <w:p w14:paraId="19CF0A9F" w14:textId="77777777" w:rsidR="00544649" w:rsidRDefault="00000000">
      <w:pPr>
        <w:widowControl/>
        <w:adjustRightInd w:val="0"/>
        <w:snapToGrid w:val="0"/>
        <w:spacing w:after="0"/>
        <w:ind w:firstLine="480"/>
        <w:jc w:val="left"/>
        <w:rPr>
          <w:kern w:val="21"/>
        </w:rPr>
      </w:pPr>
      <w:r>
        <w:rPr>
          <w:rFonts w:ascii="宋体" w:hAnsi="宋体" w:cs="宋体" w:hint="eastAsia"/>
          <w:kern w:val="21"/>
          <w:szCs w:val="24"/>
          <w:lang w:bidi="ar"/>
        </w:rPr>
        <w:t>④兽医必须转变观念，现代化养鸡必须树立兽医新观念。兽医除了对常见疾病进行治疗外，还必须经常对鸡群临床症状进行收集、分析、整理，形成最佳、最可信的详细资料，再根据流行病学的基本特征去排除鸡场一些慢性病和亚临床症状疾病，保证鸡群健康，达到预期的生长性能。传统的治疗兽医将变成防疫兽医，再发展成现在的保健兽医。只有这样，才能在鸡病防控工作上取得突破性进展。</w:t>
      </w:r>
    </w:p>
    <w:p w14:paraId="36D72245" w14:textId="77777777" w:rsidR="00544649" w:rsidRDefault="00000000">
      <w:pPr>
        <w:widowControl/>
        <w:adjustRightInd w:val="0"/>
        <w:snapToGrid w:val="0"/>
        <w:spacing w:after="0"/>
        <w:ind w:firstLine="480"/>
        <w:jc w:val="left"/>
        <w:rPr>
          <w:kern w:val="21"/>
        </w:rPr>
      </w:pPr>
      <w:r>
        <w:rPr>
          <w:rFonts w:ascii="宋体" w:hAnsi="宋体" w:cs="宋体" w:hint="eastAsia"/>
          <w:kern w:val="21"/>
          <w:szCs w:val="24"/>
          <w:lang w:bidi="ar"/>
        </w:rPr>
        <w:lastRenderedPageBreak/>
        <w:t>⑤合理布局、完善设施及严格消毒是预防疾病的基础。鸡场选址一般要求地势高，远离主干道，通风向阳，水质好，排污治污方便的地方。现代化养鸡往往通过改善养鸡设备来控制或减少疾病，</w:t>
      </w:r>
      <w:proofErr w:type="gramStart"/>
      <w:r>
        <w:rPr>
          <w:rFonts w:ascii="宋体" w:hAnsi="宋体" w:cs="宋体" w:hint="eastAsia"/>
          <w:kern w:val="21"/>
          <w:szCs w:val="24"/>
          <w:lang w:bidi="ar"/>
        </w:rPr>
        <w:t>如漏粪地板</w:t>
      </w:r>
      <w:proofErr w:type="gramEnd"/>
      <w:r>
        <w:rPr>
          <w:rFonts w:ascii="宋体" w:hAnsi="宋体" w:cs="宋体" w:hint="eastAsia"/>
          <w:kern w:val="21"/>
          <w:szCs w:val="24"/>
          <w:lang w:bidi="ar"/>
        </w:rPr>
        <w:t>和</w:t>
      </w:r>
      <w:proofErr w:type="gramStart"/>
      <w:r>
        <w:rPr>
          <w:rFonts w:ascii="宋体" w:hAnsi="宋体" w:cs="宋体" w:hint="eastAsia"/>
          <w:kern w:val="21"/>
          <w:szCs w:val="24"/>
          <w:lang w:bidi="ar"/>
        </w:rPr>
        <w:t>护仔栏的</w:t>
      </w:r>
      <w:proofErr w:type="gramEnd"/>
      <w:r>
        <w:rPr>
          <w:rFonts w:ascii="宋体" w:hAnsi="宋体" w:cs="宋体" w:hint="eastAsia"/>
          <w:kern w:val="21"/>
          <w:szCs w:val="24"/>
          <w:lang w:bidi="ar"/>
        </w:rPr>
        <w:t>使用、小单元的全进全出、通风系统及温控设备等等。即使是</w:t>
      </w:r>
      <w:proofErr w:type="gramStart"/>
      <w:r>
        <w:rPr>
          <w:rFonts w:ascii="宋体" w:hAnsi="宋体" w:cs="宋体" w:hint="eastAsia"/>
          <w:kern w:val="21"/>
          <w:szCs w:val="24"/>
          <w:lang w:bidi="ar"/>
        </w:rPr>
        <w:t>小鸡场</w:t>
      </w:r>
      <w:proofErr w:type="gramEnd"/>
      <w:r>
        <w:rPr>
          <w:rFonts w:ascii="宋体" w:hAnsi="宋体" w:cs="宋体" w:hint="eastAsia"/>
          <w:kern w:val="21"/>
          <w:szCs w:val="24"/>
          <w:lang w:bidi="ar"/>
        </w:rPr>
        <w:t>也不可忽视隔离墙、隔离沟、消毒池和排污道的建设。经常开展常规的消毒，保持良好的消毒效果来减少疾病的感染机会，进一步促进鸡群健康。</w:t>
      </w:r>
    </w:p>
    <w:p w14:paraId="764A86DB" w14:textId="77777777" w:rsidR="00544649" w:rsidRDefault="00000000">
      <w:pPr>
        <w:widowControl/>
        <w:adjustRightInd w:val="0"/>
        <w:snapToGrid w:val="0"/>
        <w:spacing w:after="0"/>
        <w:ind w:firstLine="480"/>
        <w:jc w:val="left"/>
        <w:rPr>
          <w:kern w:val="21"/>
        </w:rPr>
      </w:pPr>
      <w:r>
        <w:rPr>
          <w:rFonts w:ascii="宋体" w:hAnsi="宋体" w:cs="宋体" w:hint="eastAsia"/>
          <w:kern w:val="21"/>
          <w:szCs w:val="24"/>
          <w:lang w:bidi="ar"/>
        </w:rPr>
        <w:t>常见空鸡舍消毒程序：</w:t>
      </w:r>
    </w:p>
    <w:p w14:paraId="24247EF0" w14:textId="77777777" w:rsidR="00544649" w:rsidRDefault="00000000">
      <w:pPr>
        <w:widowControl/>
        <w:adjustRightInd w:val="0"/>
        <w:snapToGrid w:val="0"/>
        <w:spacing w:after="0"/>
        <w:ind w:firstLine="480"/>
        <w:jc w:val="left"/>
        <w:rPr>
          <w:kern w:val="21"/>
        </w:rPr>
      </w:pPr>
      <w:r>
        <w:rPr>
          <w:rFonts w:ascii="宋体" w:hAnsi="宋体" w:cs="宋体" w:hint="eastAsia"/>
          <w:kern w:val="21"/>
          <w:szCs w:val="24"/>
          <w:lang w:bidi="ar"/>
        </w:rPr>
        <w:t>空圈</w:t>
      </w:r>
      <w:r>
        <w:rPr>
          <w:rFonts w:cs="Times New Roman"/>
          <w:kern w:val="21"/>
          <w:szCs w:val="24"/>
          <w:lang w:bidi="ar"/>
        </w:rPr>
        <w:t>→</w:t>
      </w:r>
      <w:r>
        <w:rPr>
          <w:rFonts w:ascii="宋体" w:hAnsi="宋体" w:cs="宋体" w:hint="eastAsia"/>
          <w:kern w:val="21"/>
          <w:szCs w:val="24"/>
          <w:lang w:bidi="ar"/>
        </w:rPr>
        <w:t>清理杂物</w:t>
      </w:r>
      <w:r>
        <w:rPr>
          <w:rFonts w:cs="Times New Roman"/>
          <w:kern w:val="21"/>
          <w:szCs w:val="24"/>
          <w:lang w:bidi="ar"/>
        </w:rPr>
        <w:t>→</w:t>
      </w:r>
      <w:r>
        <w:rPr>
          <w:rFonts w:ascii="宋体" w:hAnsi="宋体" w:cs="宋体" w:hint="eastAsia"/>
          <w:kern w:val="21"/>
          <w:szCs w:val="24"/>
          <w:lang w:bidi="ar"/>
        </w:rPr>
        <w:t>消毒</w:t>
      </w:r>
      <w:r>
        <w:rPr>
          <w:rFonts w:cs="Times New Roman"/>
          <w:kern w:val="21"/>
          <w:szCs w:val="24"/>
          <w:lang w:bidi="ar"/>
        </w:rPr>
        <w:t>→3</w:t>
      </w:r>
      <w:r>
        <w:rPr>
          <w:rFonts w:ascii="宋体" w:hAnsi="宋体" w:cs="宋体" w:hint="eastAsia"/>
          <w:kern w:val="21"/>
          <w:szCs w:val="24"/>
          <w:lang w:bidi="ar"/>
        </w:rPr>
        <w:t>小时后清理污垢死角</w:t>
      </w:r>
      <w:r>
        <w:rPr>
          <w:rFonts w:cs="Times New Roman"/>
          <w:kern w:val="21"/>
          <w:szCs w:val="24"/>
          <w:lang w:bidi="ar"/>
        </w:rPr>
        <w:t>→</w:t>
      </w:r>
      <w:r>
        <w:rPr>
          <w:rFonts w:ascii="宋体" w:hAnsi="宋体" w:cs="宋体" w:hint="eastAsia"/>
          <w:kern w:val="21"/>
          <w:szCs w:val="24"/>
          <w:lang w:bidi="ar"/>
        </w:rPr>
        <w:t>晾干</w:t>
      </w:r>
      <w:r>
        <w:rPr>
          <w:rFonts w:cs="Times New Roman"/>
          <w:kern w:val="21"/>
          <w:szCs w:val="24"/>
          <w:lang w:bidi="ar"/>
        </w:rPr>
        <w:t>→</w:t>
      </w:r>
      <w:r>
        <w:rPr>
          <w:rFonts w:ascii="宋体" w:hAnsi="宋体" w:cs="宋体" w:hint="eastAsia"/>
          <w:kern w:val="21"/>
          <w:szCs w:val="24"/>
          <w:lang w:bidi="ar"/>
        </w:rPr>
        <w:t>消毒</w:t>
      </w:r>
      <w:r>
        <w:rPr>
          <w:rFonts w:cs="Times New Roman"/>
          <w:kern w:val="21"/>
          <w:szCs w:val="24"/>
          <w:lang w:bidi="ar"/>
        </w:rPr>
        <w:t>→</w:t>
      </w:r>
      <w:r>
        <w:rPr>
          <w:rFonts w:ascii="宋体" w:hAnsi="宋体" w:cs="宋体" w:hint="eastAsia"/>
          <w:kern w:val="21"/>
          <w:szCs w:val="24"/>
          <w:lang w:bidi="ar"/>
        </w:rPr>
        <w:t>晾干</w:t>
      </w:r>
      <w:r>
        <w:rPr>
          <w:rFonts w:cs="Times New Roman"/>
          <w:kern w:val="21"/>
          <w:szCs w:val="24"/>
          <w:lang w:bidi="ar"/>
        </w:rPr>
        <w:t>→</w:t>
      </w:r>
      <w:r>
        <w:rPr>
          <w:rFonts w:ascii="宋体" w:hAnsi="宋体" w:cs="宋体" w:hint="eastAsia"/>
          <w:kern w:val="21"/>
          <w:szCs w:val="24"/>
          <w:lang w:bidi="ar"/>
        </w:rPr>
        <w:t>阳离子表面活性消毒剂消毒</w:t>
      </w:r>
      <w:r>
        <w:rPr>
          <w:rFonts w:cs="Times New Roman"/>
          <w:kern w:val="21"/>
          <w:szCs w:val="24"/>
          <w:lang w:bidi="ar"/>
        </w:rPr>
        <w:t>→</w:t>
      </w:r>
      <w:r>
        <w:rPr>
          <w:rFonts w:ascii="宋体" w:hAnsi="宋体" w:cs="宋体" w:hint="eastAsia"/>
          <w:kern w:val="21"/>
          <w:szCs w:val="24"/>
          <w:lang w:bidi="ar"/>
        </w:rPr>
        <w:t>晾干</w:t>
      </w:r>
      <w:r>
        <w:rPr>
          <w:rFonts w:cs="Times New Roman"/>
          <w:kern w:val="21"/>
          <w:szCs w:val="24"/>
          <w:lang w:bidi="ar"/>
        </w:rPr>
        <w:t>→</w:t>
      </w:r>
      <w:r>
        <w:rPr>
          <w:rFonts w:ascii="宋体" w:hAnsi="宋体" w:cs="宋体" w:hint="eastAsia"/>
          <w:kern w:val="21"/>
          <w:szCs w:val="24"/>
          <w:lang w:bidi="ar"/>
        </w:rPr>
        <w:t>进鸡。</w:t>
      </w:r>
    </w:p>
    <w:p w14:paraId="27268EF0" w14:textId="77777777" w:rsidR="00544649" w:rsidRDefault="00000000">
      <w:pPr>
        <w:widowControl/>
        <w:adjustRightInd w:val="0"/>
        <w:snapToGrid w:val="0"/>
        <w:spacing w:after="0"/>
        <w:ind w:firstLine="480"/>
        <w:jc w:val="left"/>
        <w:rPr>
          <w:kern w:val="21"/>
        </w:rPr>
      </w:pPr>
      <w:r>
        <w:rPr>
          <w:rFonts w:ascii="宋体" w:hAnsi="宋体" w:cs="宋体" w:hint="eastAsia"/>
          <w:kern w:val="21"/>
          <w:szCs w:val="24"/>
          <w:lang w:bidi="ar"/>
        </w:rPr>
        <w:t>⑥加强饲养管理，搞好环境卫生是预防疾病的条件。全价平衡的营养是保证鸡群发挥生产性能的重要因素，良好的饲养环境有利于鸡群生产性能的正常发挥。科学程序化的管理使鸡群生产性能获得最大经济效益。相反，营养不良、环境恶劣、管理不善，都能降低鸡群的抗感染能力或者引起鸡群疾病加重。即便是很健康、免疫能力很强的鸡群在极其恶劣的环境下也很难避免疾病的发生。另外及时淘汰无价值的个体，对减少疾病非常重要。</w:t>
      </w:r>
    </w:p>
    <w:p w14:paraId="0D46472F" w14:textId="77777777" w:rsidR="00544649" w:rsidRDefault="00000000">
      <w:pPr>
        <w:adjustRightInd w:val="0"/>
        <w:snapToGrid w:val="0"/>
        <w:spacing w:after="0"/>
        <w:ind w:firstLine="480"/>
        <w:rPr>
          <w:kern w:val="21"/>
        </w:rPr>
      </w:pPr>
      <w:r>
        <w:rPr>
          <w:rFonts w:hint="eastAsia"/>
          <w:kern w:val="21"/>
        </w:rPr>
        <w:t>⑦饲养人员每年应至少进行一次体格检查，如发现患有危害人、鸡的传染病者，应及时调离，以防传染。</w:t>
      </w:r>
    </w:p>
    <w:p w14:paraId="5C25A02D" w14:textId="77777777" w:rsidR="00544649" w:rsidRDefault="00000000">
      <w:pPr>
        <w:adjustRightInd w:val="0"/>
        <w:snapToGrid w:val="0"/>
        <w:spacing w:after="0"/>
        <w:ind w:firstLine="480"/>
        <w:rPr>
          <w:kern w:val="21"/>
        </w:rPr>
      </w:pPr>
      <w:r>
        <w:rPr>
          <w:rFonts w:hint="eastAsia"/>
          <w:kern w:val="21"/>
        </w:rPr>
        <w:t>⑧经常保持鸡舍、鸡体的清洁，鸡舍还应保持平整、干燥、无污物（如砖块、石头、废弃塑料袋等）。</w:t>
      </w:r>
    </w:p>
    <w:p w14:paraId="2A7ED0D7" w14:textId="77777777" w:rsidR="00544649" w:rsidRDefault="00000000">
      <w:pPr>
        <w:adjustRightInd w:val="0"/>
        <w:snapToGrid w:val="0"/>
        <w:spacing w:after="0"/>
        <w:ind w:firstLine="482"/>
        <w:rPr>
          <w:b/>
          <w:bCs/>
          <w:kern w:val="21"/>
        </w:rPr>
      </w:pPr>
      <w:r>
        <w:rPr>
          <w:rFonts w:hint="eastAsia"/>
          <w:b/>
          <w:bCs/>
          <w:kern w:val="21"/>
        </w:rPr>
        <w:t>（</w:t>
      </w:r>
      <w:r>
        <w:rPr>
          <w:b/>
          <w:bCs/>
          <w:kern w:val="21"/>
        </w:rPr>
        <w:t>2</w:t>
      </w:r>
      <w:r>
        <w:rPr>
          <w:rFonts w:hint="eastAsia"/>
          <w:b/>
          <w:bCs/>
          <w:kern w:val="21"/>
        </w:rPr>
        <w:t>）疫病监测制度</w:t>
      </w:r>
    </w:p>
    <w:p w14:paraId="5E1E908F" w14:textId="77777777" w:rsidR="00544649" w:rsidRDefault="00000000">
      <w:pPr>
        <w:adjustRightInd w:val="0"/>
        <w:snapToGrid w:val="0"/>
        <w:spacing w:after="0"/>
        <w:ind w:firstLine="480"/>
        <w:rPr>
          <w:kern w:val="21"/>
        </w:rPr>
      </w:pPr>
      <w:r>
        <w:rPr>
          <w:rFonts w:hint="eastAsia"/>
          <w:kern w:val="21"/>
        </w:rPr>
        <w:t>疫病监测是预防疾病的关键，只有对</w:t>
      </w:r>
      <w:proofErr w:type="gramStart"/>
      <w:r>
        <w:rPr>
          <w:rFonts w:hint="eastAsia"/>
          <w:kern w:val="21"/>
        </w:rPr>
        <w:t>养殖场内鸡只</w:t>
      </w:r>
      <w:proofErr w:type="gramEnd"/>
      <w:r>
        <w:rPr>
          <w:rFonts w:hint="eastAsia"/>
          <w:kern w:val="21"/>
        </w:rPr>
        <w:t>的健康状况、免疫水平以及原发病史进行全面、细致地了解，才能有针对性制定免疫程序、防控措施和净化方案。</w:t>
      </w:r>
    </w:p>
    <w:p w14:paraId="559CB097" w14:textId="77777777" w:rsidR="00544649" w:rsidRDefault="00000000">
      <w:pPr>
        <w:adjustRightInd w:val="0"/>
        <w:snapToGrid w:val="0"/>
        <w:spacing w:after="0"/>
        <w:ind w:firstLine="482"/>
        <w:rPr>
          <w:b/>
          <w:bCs/>
          <w:kern w:val="21"/>
        </w:rPr>
      </w:pPr>
      <w:r>
        <w:rPr>
          <w:rFonts w:hint="eastAsia"/>
          <w:b/>
          <w:bCs/>
          <w:kern w:val="21"/>
        </w:rPr>
        <w:t>（</w:t>
      </w:r>
      <w:r>
        <w:rPr>
          <w:b/>
          <w:bCs/>
          <w:kern w:val="21"/>
        </w:rPr>
        <w:t>3</w:t>
      </w:r>
      <w:r>
        <w:rPr>
          <w:rFonts w:hint="eastAsia"/>
          <w:b/>
          <w:bCs/>
          <w:kern w:val="21"/>
        </w:rPr>
        <w:t>）发生疫情时的紧急措施</w:t>
      </w:r>
    </w:p>
    <w:p w14:paraId="772F673F" w14:textId="77777777" w:rsidR="00544649" w:rsidRDefault="00000000">
      <w:pPr>
        <w:adjustRightInd w:val="0"/>
        <w:snapToGrid w:val="0"/>
        <w:spacing w:after="0"/>
        <w:ind w:firstLine="480"/>
        <w:rPr>
          <w:kern w:val="21"/>
        </w:rPr>
      </w:pPr>
      <w:r>
        <w:rPr>
          <w:rFonts w:hint="eastAsia"/>
          <w:kern w:val="21"/>
        </w:rPr>
        <w:t>若不慎发生传染病，应立即采取有效的控制措施：</w:t>
      </w:r>
    </w:p>
    <w:p w14:paraId="7098C648" w14:textId="77777777" w:rsidR="00544649" w:rsidRDefault="00000000">
      <w:pPr>
        <w:adjustRightInd w:val="0"/>
        <w:snapToGrid w:val="0"/>
        <w:spacing w:after="0"/>
        <w:ind w:firstLine="480"/>
        <w:rPr>
          <w:kern w:val="21"/>
        </w:rPr>
      </w:pPr>
      <w:r>
        <w:rPr>
          <w:rFonts w:hint="eastAsia"/>
          <w:kern w:val="21"/>
        </w:rPr>
        <w:t>①封闭</w:t>
      </w:r>
      <w:r>
        <w:rPr>
          <w:kern w:val="21"/>
        </w:rPr>
        <w:t>→</w:t>
      </w:r>
      <w:r>
        <w:rPr>
          <w:rFonts w:hint="eastAsia"/>
          <w:kern w:val="21"/>
        </w:rPr>
        <w:t>隔离</w:t>
      </w:r>
      <w:r>
        <w:rPr>
          <w:kern w:val="21"/>
        </w:rPr>
        <w:t>→</w:t>
      </w:r>
      <w:r>
        <w:rPr>
          <w:rFonts w:hint="eastAsia"/>
          <w:kern w:val="21"/>
        </w:rPr>
        <w:t>每天消毒</w:t>
      </w:r>
      <w:r>
        <w:rPr>
          <w:kern w:val="21"/>
        </w:rPr>
        <w:t>→</w:t>
      </w:r>
      <w:r>
        <w:rPr>
          <w:rFonts w:hint="eastAsia"/>
          <w:kern w:val="21"/>
        </w:rPr>
        <w:t>根据临床症状、解剖变化进行疾病的初步诊断</w:t>
      </w:r>
      <w:r>
        <w:rPr>
          <w:kern w:val="21"/>
        </w:rPr>
        <w:t>→</w:t>
      </w:r>
      <w:r>
        <w:rPr>
          <w:rFonts w:hint="eastAsia"/>
          <w:kern w:val="21"/>
        </w:rPr>
        <w:t>病畜的对症治疗</w:t>
      </w:r>
      <w:r>
        <w:rPr>
          <w:kern w:val="21"/>
        </w:rPr>
        <w:t>→</w:t>
      </w:r>
      <w:r>
        <w:rPr>
          <w:rFonts w:hint="eastAsia"/>
          <w:kern w:val="21"/>
        </w:rPr>
        <w:t>采样送检确诊</w:t>
      </w:r>
      <w:r>
        <w:rPr>
          <w:kern w:val="21"/>
        </w:rPr>
        <w:t>→</w:t>
      </w:r>
      <w:r>
        <w:rPr>
          <w:rFonts w:hint="eastAsia"/>
          <w:kern w:val="21"/>
        </w:rPr>
        <w:t>紧急预防接种</w:t>
      </w:r>
      <w:r>
        <w:rPr>
          <w:kern w:val="21"/>
        </w:rPr>
        <w:t>→</w:t>
      </w:r>
      <w:r>
        <w:rPr>
          <w:rFonts w:hint="eastAsia"/>
          <w:kern w:val="21"/>
        </w:rPr>
        <w:t>取各种综合性防治措施。做到行动迅速，方法得当，措施有力，尽可能地将损失降到最低。</w:t>
      </w:r>
    </w:p>
    <w:p w14:paraId="2FFBB5AA" w14:textId="77777777" w:rsidR="00544649" w:rsidRDefault="00000000">
      <w:pPr>
        <w:adjustRightInd w:val="0"/>
        <w:snapToGrid w:val="0"/>
        <w:spacing w:after="0"/>
        <w:ind w:firstLine="480"/>
        <w:rPr>
          <w:kern w:val="21"/>
        </w:rPr>
      </w:pPr>
      <w:r>
        <w:rPr>
          <w:rFonts w:hint="eastAsia"/>
          <w:kern w:val="21"/>
        </w:rPr>
        <w:t>②应立即按照计划组成防疫小组，尽快做出确切诊断，迅速向卫生防疫部门报告疫情。迅速隔离病鸡，对危害较重的传染病应及时划区封锁，建立封锁带，出入人员和车辆要严格消毒，同时严格消毒污染环境。解除封锁的条件是在最后一羽病鸡痊愈后两个潜伏期内再无新病例出现，经过全面大消毒，报上级主管部门批准，方可解除</w:t>
      </w:r>
      <w:r>
        <w:rPr>
          <w:rFonts w:hint="eastAsia"/>
          <w:kern w:val="21"/>
        </w:rPr>
        <w:lastRenderedPageBreak/>
        <w:t>封锁。</w:t>
      </w:r>
    </w:p>
    <w:p w14:paraId="6674F7D3" w14:textId="77777777" w:rsidR="00544649" w:rsidRDefault="00000000">
      <w:pPr>
        <w:adjustRightInd w:val="0"/>
        <w:snapToGrid w:val="0"/>
        <w:spacing w:after="0"/>
        <w:ind w:firstLine="480"/>
        <w:rPr>
          <w:kern w:val="21"/>
        </w:rPr>
      </w:pPr>
      <w:r>
        <w:rPr>
          <w:rFonts w:hint="eastAsia"/>
          <w:kern w:val="21"/>
        </w:rPr>
        <w:t>③对病鸡及封锁区内的</w:t>
      </w:r>
      <w:proofErr w:type="gramStart"/>
      <w:r>
        <w:rPr>
          <w:rFonts w:hint="eastAsia"/>
          <w:kern w:val="21"/>
        </w:rPr>
        <w:t>鸡实行</w:t>
      </w:r>
      <w:proofErr w:type="gramEnd"/>
      <w:r>
        <w:rPr>
          <w:rFonts w:hint="eastAsia"/>
          <w:kern w:val="21"/>
        </w:rPr>
        <w:t>合理的综合防治措施，包括疫苗的紧急接种、抗生素疗法、高免血清的特异性疗法、化学疗法、增强体质和生理机能的辅助疗法等。</w:t>
      </w:r>
    </w:p>
    <w:p w14:paraId="305434EB" w14:textId="77777777" w:rsidR="00544649" w:rsidRDefault="00000000">
      <w:pPr>
        <w:adjustRightInd w:val="0"/>
        <w:snapToGrid w:val="0"/>
        <w:spacing w:after="0"/>
        <w:ind w:firstLine="482"/>
        <w:rPr>
          <w:b/>
          <w:bCs/>
          <w:kern w:val="21"/>
        </w:rPr>
      </w:pPr>
      <w:r>
        <w:rPr>
          <w:rFonts w:hint="eastAsia"/>
          <w:b/>
          <w:bCs/>
          <w:kern w:val="21"/>
        </w:rPr>
        <w:t>（</w:t>
      </w:r>
      <w:r>
        <w:rPr>
          <w:b/>
          <w:bCs/>
          <w:kern w:val="21"/>
        </w:rPr>
        <w:t>4</w:t>
      </w:r>
      <w:r>
        <w:rPr>
          <w:rFonts w:hint="eastAsia"/>
          <w:b/>
          <w:bCs/>
          <w:kern w:val="21"/>
        </w:rPr>
        <w:t>）疫情控制方案</w:t>
      </w:r>
    </w:p>
    <w:p w14:paraId="297ED7FD" w14:textId="77777777" w:rsidR="00544649" w:rsidRDefault="00000000">
      <w:pPr>
        <w:adjustRightInd w:val="0"/>
        <w:snapToGrid w:val="0"/>
        <w:spacing w:after="0"/>
        <w:ind w:firstLine="480"/>
        <w:rPr>
          <w:kern w:val="21"/>
        </w:rPr>
      </w:pPr>
      <w:r>
        <w:rPr>
          <w:rFonts w:hint="eastAsia"/>
          <w:kern w:val="21"/>
        </w:rPr>
        <w:t>根据发生疫情的类别，应分别采取相应的控制方案，具体如下：</w:t>
      </w:r>
    </w:p>
    <w:p w14:paraId="0230DCBB" w14:textId="77777777" w:rsidR="00544649" w:rsidRDefault="00000000">
      <w:pPr>
        <w:adjustRightInd w:val="0"/>
        <w:snapToGrid w:val="0"/>
        <w:spacing w:after="0"/>
        <w:ind w:firstLine="480"/>
        <w:rPr>
          <w:kern w:val="21"/>
        </w:rPr>
      </w:pPr>
      <w:r>
        <w:rPr>
          <w:rFonts w:hint="eastAsia"/>
          <w:kern w:val="21"/>
        </w:rPr>
        <w:t>①发生一类疫病时，应当及时报告当地畜牧兽医行政管理部门，由其派专人到现场，划定</w:t>
      </w:r>
      <w:proofErr w:type="gramStart"/>
      <w:r>
        <w:rPr>
          <w:rFonts w:hint="eastAsia"/>
          <w:kern w:val="21"/>
        </w:rPr>
        <w:t>疫</w:t>
      </w:r>
      <w:proofErr w:type="gramEnd"/>
      <w:r>
        <w:rPr>
          <w:rFonts w:hint="eastAsia"/>
          <w:kern w:val="21"/>
        </w:rPr>
        <w:t>点、疫区、受威胁区，采集病料，调查疫源，并及时报请县人民政府决定对场区实行封锁，将疫情等情况逐级上报国务院畜牧兽医行政管理部门。县政府应当立即组织有关部门和单位采取隔离、扑杀、销毁、消毒、紧急免疫接种等强制性控制、扑灭措施，迅速扑灭疫病，并通报毗邻地区。在封锁期间，禁止染疫和疑似染疫的鸡只流出场区，禁止非疫区的鸡只进入场区，并根据扑灭动物疫病的需要对出入封锁区的人员、运输工具及有关物品采取消毒和其他限制性措施。封锁的解除，必须由县人民政府宣布。</w:t>
      </w:r>
    </w:p>
    <w:p w14:paraId="2790A0EA" w14:textId="77777777" w:rsidR="00544649" w:rsidRDefault="00000000">
      <w:pPr>
        <w:adjustRightInd w:val="0"/>
        <w:snapToGrid w:val="0"/>
        <w:spacing w:after="0"/>
        <w:ind w:firstLine="480"/>
        <w:rPr>
          <w:kern w:val="21"/>
        </w:rPr>
      </w:pPr>
      <w:r>
        <w:rPr>
          <w:rFonts w:hint="eastAsia"/>
          <w:kern w:val="21"/>
        </w:rPr>
        <w:t>②发生二类动物疫病时，县畜牧兽医行政管理部门应当根据需要组织有关部门和单位采取隔离、扑杀、销毁、消毒、紧急免疫接种、限制易感染的动物、动物产品及有关物品出入等控制、扑灭措施。</w:t>
      </w:r>
    </w:p>
    <w:p w14:paraId="727A0693" w14:textId="77777777" w:rsidR="00544649" w:rsidRDefault="00000000">
      <w:pPr>
        <w:adjustRightInd w:val="0"/>
        <w:snapToGrid w:val="0"/>
        <w:spacing w:after="0"/>
        <w:ind w:firstLine="480"/>
        <w:rPr>
          <w:kern w:val="21"/>
        </w:rPr>
      </w:pPr>
      <w:r>
        <w:rPr>
          <w:rFonts w:hint="eastAsia"/>
          <w:kern w:val="21"/>
        </w:rPr>
        <w:t>③发生三类动物疫病时，应由县政府按照动物疫病预防计划和国务院畜牧兽医行政管理部门的有关规定，组织防治和净化。</w:t>
      </w:r>
    </w:p>
    <w:p w14:paraId="4E5B36E1" w14:textId="77777777" w:rsidR="00544649" w:rsidRDefault="00000000">
      <w:pPr>
        <w:adjustRightInd w:val="0"/>
        <w:snapToGrid w:val="0"/>
        <w:spacing w:after="0"/>
        <w:ind w:firstLine="482"/>
        <w:rPr>
          <w:b/>
          <w:bCs/>
          <w:kern w:val="21"/>
        </w:rPr>
      </w:pPr>
      <w:r>
        <w:rPr>
          <w:rFonts w:hint="eastAsia"/>
          <w:b/>
          <w:bCs/>
          <w:kern w:val="21"/>
        </w:rPr>
        <w:t>（</w:t>
      </w:r>
      <w:r>
        <w:rPr>
          <w:b/>
          <w:bCs/>
          <w:kern w:val="21"/>
        </w:rPr>
        <w:t>5</w:t>
      </w:r>
      <w:r>
        <w:rPr>
          <w:rFonts w:hint="eastAsia"/>
          <w:b/>
          <w:bCs/>
          <w:kern w:val="21"/>
        </w:rPr>
        <w:t>）个人防护措施</w:t>
      </w:r>
    </w:p>
    <w:p w14:paraId="1C552AC9" w14:textId="77777777" w:rsidR="00544649" w:rsidRDefault="00000000">
      <w:pPr>
        <w:adjustRightInd w:val="0"/>
        <w:snapToGrid w:val="0"/>
        <w:spacing w:after="0"/>
        <w:ind w:firstLine="480"/>
        <w:rPr>
          <w:kern w:val="21"/>
        </w:rPr>
      </w:pPr>
      <w:r>
        <w:rPr>
          <w:rFonts w:hint="eastAsia"/>
          <w:kern w:val="21"/>
        </w:rPr>
        <w:t>①管理传染源：加强畜类疫情监测；患者应隔离治疗，转运时应戴口罩。</w:t>
      </w:r>
    </w:p>
    <w:p w14:paraId="0A571AB8" w14:textId="77777777" w:rsidR="00544649" w:rsidRDefault="00000000">
      <w:pPr>
        <w:adjustRightInd w:val="0"/>
        <w:snapToGrid w:val="0"/>
        <w:spacing w:after="0"/>
        <w:ind w:firstLine="480"/>
        <w:rPr>
          <w:kern w:val="21"/>
        </w:rPr>
      </w:pPr>
      <w:r>
        <w:rPr>
          <w:rFonts w:hint="eastAsia"/>
          <w:kern w:val="21"/>
        </w:rPr>
        <w:t>②切断传播途径：接触患者或患者分泌物后应洗手；处理患者血液或分泌物时应戴手套；被患者血液或分泌物污染的医疗器械应消毒；发生疫情时，应尽量减少与畜类接触，接触畜类时应戴上手套和口罩，穿上防护衣。</w:t>
      </w:r>
    </w:p>
    <w:p w14:paraId="4AA8B313" w14:textId="77777777" w:rsidR="00544649" w:rsidRDefault="00000000">
      <w:pPr>
        <w:adjustRightInd w:val="0"/>
        <w:snapToGrid w:val="0"/>
        <w:spacing w:after="0"/>
        <w:ind w:firstLine="480"/>
        <w:rPr>
          <w:kern w:val="21"/>
        </w:rPr>
      </w:pPr>
      <w:r>
        <w:rPr>
          <w:rFonts w:hint="eastAsia"/>
          <w:kern w:val="21"/>
        </w:rPr>
        <w:t>③日常防护：职工进入养殖场之前和之后，都应该换洗衣服、洗澡、做好个人防护。</w:t>
      </w:r>
    </w:p>
    <w:p w14:paraId="44EABC84" w14:textId="77777777" w:rsidR="00544649" w:rsidRDefault="00000000">
      <w:pPr>
        <w:adjustRightInd w:val="0"/>
        <w:snapToGrid w:val="0"/>
        <w:spacing w:after="0"/>
        <w:ind w:firstLine="480"/>
        <w:rPr>
          <w:rFonts w:cs="Times New Roman"/>
          <w:kern w:val="21"/>
        </w:rPr>
      </w:pPr>
      <w:r>
        <w:rPr>
          <w:rFonts w:cs="Times New Roman"/>
          <w:kern w:val="21"/>
        </w:rPr>
        <w:t>根据《中华人民共和国动物防疫法》及其他相关管理办法的要求，本项目的生产经营活动</w:t>
      </w:r>
      <w:r>
        <w:rPr>
          <w:rFonts w:cs="Times New Roman" w:hint="eastAsia"/>
          <w:kern w:val="21"/>
        </w:rPr>
        <w:t>还应</w:t>
      </w:r>
      <w:r>
        <w:rPr>
          <w:rFonts w:cs="Times New Roman"/>
          <w:kern w:val="21"/>
        </w:rPr>
        <w:t>采取以下措施保障动物疫病的防治：</w:t>
      </w:r>
    </w:p>
    <w:p w14:paraId="7C4EDAE8" w14:textId="77777777" w:rsidR="00544649" w:rsidRDefault="00000000">
      <w:pPr>
        <w:adjustRightInd w:val="0"/>
        <w:snapToGrid w:val="0"/>
        <w:spacing w:after="0"/>
        <w:ind w:firstLine="480"/>
        <w:rPr>
          <w:rFonts w:cs="Times New Roman"/>
          <w:kern w:val="21"/>
        </w:rPr>
      </w:pPr>
      <w:r>
        <w:rPr>
          <w:rFonts w:cs="Times New Roman"/>
          <w:kern w:val="21"/>
        </w:rPr>
        <w:t>1</w:t>
      </w:r>
      <w:r>
        <w:rPr>
          <w:rFonts w:cs="Times New Roman"/>
          <w:kern w:val="21"/>
        </w:rPr>
        <w:t>、加强员工防疫知识和兽医法规的教育；</w:t>
      </w:r>
    </w:p>
    <w:p w14:paraId="7830F701" w14:textId="77777777" w:rsidR="00544649" w:rsidRDefault="00000000">
      <w:pPr>
        <w:adjustRightInd w:val="0"/>
        <w:snapToGrid w:val="0"/>
        <w:spacing w:after="0"/>
        <w:ind w:firstLine="480"/>
        <w:rPr>
          <w:rFonts w:cs="Times New Roman"/>
          <w:kern w:val="21"/>
        </w:rPr>
      </w:pPr>
      <w:r>
        <w:rPr>
          <w:rFonts w:cs="Times New Roman"/>
          <w:kern w:val="21"/>
        </w:rPr>
        <w:t>2</w:t>
      </w:r>
      <w:r>
        <w:rPr>
          <w:rFonts w:cs="Times New Roman"/>
          <w:kern w:val="21"/>
        </w:rPr>
        <w:t>、对养殖场进行科学的选址规划和布局，远离人口聚集区及其他动物制品加工店，在场区内设置严格管理的消毒设施，对不同生长阶段的鸡只实行隔离饲养，并保持安全距离；</w:t>
      </w:r>
    </w:p>
    <w:p w14:paraId="0980E3F8" w14:textId="77777777" w:rsidR="00544649" w:rsidRDefault="00000000">
      <w:pPr>
        <w:adjustRightInd w:val="0"/>
        <w:snapToGrid w:val="0"/>
        <w:spacing w:after="0"/>
        <w:ind w:firstLine="480"/>
        <w:rPr>
          <w:rFonts w:cs="Times New Roman"/>
          <w:kern w:val="21"/>
        </w:rPr>
      </w:pPr>
      <w:r>
        <w:rPr>
          <w:rFonts w:cs="Times New Roman"/>
          <w:kern w:val="21"/>
        </w:rPr>
        <w:lastRenderedPageBreak/>
        <w:t>3</w:t>
      </w:r>
      <w:r>
        <w:rPr>
          <w:rFonts w:cs="Times New Roman"/>
          <w:kern w:val="21"/>
        </w:rPr>
        <w:t>、完善隔离制度，场界划分明确，生产区和患病鸡舍保持安全距离，并建立隔离网、隔离墙或防疫沟等设施，</w:t>
      </w:r>
      <w:proofErr w:type="gramStart"/>
      <w:r>
        <w:rPr>
          <w:rFonts w:cs="Times New Roman"/>
          <w:kern w:val="21"/>
        </w:rPr>
        <w:t>粪污和动物</w:t>
      </w:r>
      <w:proofErr w:type="gramEnd"/>
      <w:r>
        <w:rPr>
          <w:rFonts w:cs="Times New Roman"/>
          <w:kern w:val="21"/>
        </w:rPr>
        <w:t>运输通道分离，人畜分离，加强生产区人员及其他动物的出入管理，落实动物尸体无害化处理；</w:t>
      </w:r>
    </w:p>
    <w:p w14:paraId="30B64549" w14:textId="77777777" w:rsidR="00544649" w:rsidRDefault="00000000">
      <w:pPr>
        <w:adjustRightInd w:val="0"/>
        <w:snapToGrid w:val="0"/>
        <w:spacing w:after="0"/>
        <w:ind w:firstLine="480"/>
        <w:rPr>
          <w:rFonts w:cs="Times New Roman"/>
          <w:kern w:val="21"/>
        </w:rPr>
      </w:pPr>
      <w:r>
        <w:rPr>
          <w:rFonts w:cs="Times New Roman"/>
          <w:kern w:val="21"/>
        </w:rPr>
        <w:t>4</w:t>
      </w:r>
      <w:r>
        <w:rPr>
          <w:rFonts w:cs="Times New Roman"/>
          <w:kern w:val="21"/>
        </w:rPr>
        <w:t>、加强影响疾病发生和流行的饲养管理因素，主要包括饲料营养、饮水质量、饲养密度、通风换气、防暑或保温、粪便和污物处理、环境卫生和消毒、动物圈舍管理、生产管理制度、全进全出制度、技术操作规程以及患病动物隔离、检疫等内容，防治病原微生物在不同批次群体中形成连续感染或交叉感染；</w:t>
      </w:r>
    </w:p>
    <w:p w14:paraId="5B8CD118" w14:textId="77777777" w:rsidR="00544649" w:rsidRDefault="00000000">
      <w:pPr>
        <w:adjustRightInd w:val="0"/>
        <w:snapToGrid w:val="0"/>
        <w:spacing w:after="0"/>
        <w:ind w:firstLine="480"/>
        <w:rPr>
          <w:rFonts w:cs="Times New Roman"/>
          <w:kern w:val="21"/>
        </w:rPr>
      </w:pPr>
      <w:r>
        <w:rPr>
          <w:rFonts w:cs="Times New Roman"/>
          <w:kern w:val="21"/>
        </w:rPr>
        <w:t>5</w:t>
      </w:r>
      <w:r>
        <w:rPr>
          <w:rFonts w:cs="Times New Roman"/>
          <w:kern w:val="21"/>
        </w:rPr>
        <w:t>、做好疫情报告和疫情诊断工作，迅速全面准确的将疫情报告给主管防疫部门，以便畜禽防疫检疫机构及时正确的做出诊断，提出并实施防治办法，控制疫病的蔓延扩散；</w:t>
      </w:r>
    </w:p>
    <w:p w14:paraId="443E5BD0" w14:textId="77777777" w:rsidR="00544649" w:rsidRDefault="00000000">
      <w:pPr>
        <w:adjustRightInd w:val="0"/>
        <w:snapToGrid w:val="0"/>
        <w:spacing w:after="0"/>
        <w:ind w:firstLine="480"/>
        <w:rPr>
          <w:rFonts w:cs="Times New Roman"/>
          <w:kern w:val="21"/>
        </w:rPr>
      </w:pPr>
      <w:r>
        <w:rPr>
          <w:rFonts w:cs="Times New Roman"/>
          <w:kern w:val="21"/>
        </w:rPr>
        <w:t>6</w:t>
      </w:r>
      <w:r>
        <w:rPr>
          <w:rFonts w:cs="Times New Roman"/>
          <w:kern w:val="21"/>
        </w:rPr>
        <w:t>、根据动物运转的环节，配合相关管理部门做好产地检疫、市场监督、屠宰检疫和运输检疫工作；</w:t>
      </w:r>
    </w:p>
    <w:p w14:paraId="27550917" w14:textId="77777777" w:rsidR="00544649" w:rsidRDefault="00000000">
      <w:pPr>
        <w:adjustRightInd w:val="0"/>
        <w:snapToGrid w:val="0"/>
        <w:spacing w:after="0"/>
        <w:ind w:firstLine="480"/>
        <w:rPr>
          <w:rFonts w:cs="Times New Roman"/>
          <w:kern w:val="21"/>
        </w:rPr>
      </w:pPr>
      <w:r>
        <w:rPr>
          <w:rFonts w:cs="Times New Roman"/>
          <w:kern w:val="21"/>
        </w:rPr>
        <w:t>7</w:t>
      </w:r>
      <w:r>
        <w:rPr>
          <w:rFonts w:cs="Times New Roman"/>
          <w:kern w:val="21"/>
        </w:rPr>
        <w:t>、在发生疫病后，严格按照相关防治处理方案做好隔离、封锁、扑杀和疫病的净化；禁止鸡只流动，病鸡及相关物品应采取无害化处理。对未发病的鸡，应立即以鸡瘟弱毒疫苗（剂量可加大</w:t>
      </w:r>
      <w:r>
        <w:rPr>
          <w:rFonts w:cs="Times New Roman"/>
          <w:kern w:val="21"/>
        </w:rPr>
        <w:t>2~4</w:t>
      </w:r>
      <w:r>
        <w:rPr>
          <w:rFonts w:cs="Times New Roman"/>
          <w:kern w:val="21"/>
        </w:rPr>
        <w:t>倍）进行紧急预防接种，对鸡舍、粪便和用具彻底消毒，饲养用具每天消毒一次。</w:t>
      </w:r>
    </w:p>
    <w:p w14:paraId="044A789F" w14:textId="77777777" w:rsidR="00544649" w:rsidRDefault="00000000">
      <w:pPr>
        <w:adjustRightInd w:val="0"/>
        <w:snapToGrid w:val="0"/>
        <w:spacing w:after="0"/>
        <w:ind w:firstLine="480"/>
        <w:rPr>
          <w:rFonts w:cs="Times New Roman"/>
          <w:kern w:val="21"/>
        </w:rPr>
      </w:pPr>
      <w:r>
        <w:rPr>
          <w:rFonts w:cs="Times New Roman"/>
          <w:kern w:val="21"/>
        </w:rPr>
        <w:t>8</w:t>
      </w:r>
      <w:r>
        <w:rPr>
          <w:rFonts w:cs="Times New Roman"/>
          <w:kern w:val="21"/>
        </w:rPr>
        <w:t>、做好鸡只的免疫接种工作，尤其是</w:t>
      </w:r>
      <w:proofErr w:type="gramStart"/>
      <w:r>
        <w:rPr>
          <w:rFonts w:cs="Times New Roman"/>
          <w:kern w:val="21"/>
        </w:rPr>
        <w:t>对易感畜群</w:t>
      </w:r>
      <w:proofErr w:type="gramEnd"/>
      <w:r>
        <w:rPr>
          <w:rFonts w:cs="Times New Roman"/>
          <w:kern w:val="21"/>
        </w:rPr>
        <w:t>，要做好群体防治，必要时使用免疫增强剂，在使用药物的同时，也要做好药物消毒检查，确保药物的安全；</w:t>
      </w:r>
    </w:p>
    <w:p w14:paraId="38022741" w14:textId="77777777" w:rsidR="00544649" w:rsidRDefault="00000000">
      <w:pPr>
        <w:adjustRightInd w:val="0"/>
        <w:snapToGrid w:val="0"/>
        <w:spacing w:after="0"/>
        <w:ind w:firstLine="480"/>
        <w:rPr>
          <w:rFonts w:cs="Times New Roman"/>
          <w:kern w:val="21"/>
        </w:rPr>
      </w:pPr>
      <w:r>
        <w:rPr>
          <w:rFonts w:cs="Times New Roman"/>
          <w:kern w:val="21"/>
        </w:rPr>
        <w:t>9</w:t>
      </w:r>
      <w:r>
        <w:rPr>
          <w:rFonts w:cs="Times New Roman"/>
          <w:kern w:val="21"/>
        </w:rPr>
        <w:t>、严格落实消毒制度，按照规范对尸体进行无害化处理，并定期进行场区杀虫灭鼠工作，切断昆虫和鼠类等传染源；</w:t>
      </w:r>
    </w:p>
    <w:p w14:paraId="45A8CAFE" w14:textId="77777777" w:rsidR="00544649" w:rsidRDefault="00000000">
      <w:pPr>
        <w:adjustRightInd w:val="0"/>
        <w:snapToGrid w:val="0"/>
        <w:spacing w:after="0"/>
        <w:ind w:firstLine="480"/>
        <w:rPr>
          <w:rFonts w:cs="Times New Roman"/>
          <w:kern w:val="21"/>
        </w:rPr>
      </w:pPr>
      <w:r>
        <w:rPr>
          <w:rFonts w:cs="Times New Roman"/>
          <w:kern w:val="21"/>
        </w:rPr>
        <w:t>10</w:t>
      </w:r>
      <w:r>
        <w:rPr>
          <w:rFonts w:cs="Times New Roman"/>
          <w:kern w:val="21"/>
        </w:rPr>
        <w:t>、对于已经感染疫病的动物，可以挽救的，应进行及时全面的治疗措施，但对于感染烈性传染病的畜禽，应坚决予以扑杀后，交由当地县级以上地方人民政府兽医主管部门负责处置。</w:t>
      </w:r>
    </w:p>
    <w:p w14:paraId="77805F11" w14:textId="77777777" w:rsidR="00544649" w:rsidRDefault="00000000">
      <w:pPr>
        <w:numPr>
          <w:ilvl w:val="3"/>
          <w:numId w:val="9"/>
        </w:numPr>
        <w:adjustRightInd w:val="0"/>
        <w:snapToGrid w:val="0"/>
        <w:spacing w:after="0"/>
        <w:ind w:firstLineChars="0"/>
        <w:outlineLvl w:val="3"/>
        <w:rPr>
          <w:b/>
          <w:bCs/>
          <w:kern w:val="21"/>
        </w:rPr>
      </w:pPr>
      <w:r>
        <w:rPr>
          <w:rFonts w:cs="Times New Roman" w:hint="eastAsia"/>
          <w:b/>
          <w:bCs/>
          <w:kern w:val="21"/>
        </w:rPr>
        <w:t>危险废物防范</w:t>
      </w:r>
      <w:r>
        <w:rPr>
          <w:rFonts w:cs="Times New Roman"/>
          <w:b/>
          <w:bCs/>
          <w:kern w:val="21"/>
        </w:rPr>
        <w:t>措施</w:t>
      </w:r>
    </w:p>
    <w:p w14:paraId="12CC057E" w14:textId="77777777" w:rsidR="00544649" w:rsidRDefault="00000000">
      <w:pPr>
        <w:adjustRightInd w:val="0"/>
        <w:snapToGrid w:val="0"/>
        <w:spacing w:after="0"/>
        <w:ind w:firstLine="480"/>
        <w:rPr>
          <w:kern w:val="21"/>
        </w:rPr>
      </w:pPr>
      <w:r>
        <w:rPr>
          <w:rFonts w:hint="eastAsia"/>
          <w:kern w:val="21"/>
        </w:rPr>
        <w:t>项目危险废物单独收集，</w:t>
      </w:r>
      <w:proofErr w:type="gramStart"/>
      <w:r>
        <w:rPr>
          <w:rFonts w:hint="eastAsia"/>
          <w:kern w:val="21"/>
        </w:rPr>
        <w:t>暂存于危废暂存</w:t>
      </w:r>
      <w:proofErr w:type="gramEnd"/>
      <w:r>
        <w:rPr>
          <w:rFonts w:hint="eastAsia"/>
          <w:kern w:val="21"/>
        </w:rPr>
        <w:t>间，委托有资质的单位处置。</w:t>
      </w:r>
      <w:proofErr w:type="gramStart"/>
      <w:r>
        <w:rPr>
          <w:rFonts w:hint="eastAsia"/>
          <w:kern w:val="21"/>
        </w:rPr>
        <w:t>危废暂存</w:t>
      </w:r>
      <w:proofErr w:type="gramEnd"/>
      <w:r>
        <w:rPr>
          <w:rFonts w:hint="eastAsia"/>
          <w:kern w:val="21"/>
        </w:rPr>
        <w:t>间根据《危险废物贮存污染控制标准》（</w:t>
      </w:r>
      <w:r>
        <w:rPr>
          <w:rFonts w:hint="eastAsia"/>
          <w:kern w:val="21"/>
        </w:rPr>
        <w:t>GB18597-2023</w:t>
      </w:r>
      <w:r>
        <w:rPr>
          <w:rFonts w:hint="eastAsia"/>
          <w:kern w:val="21"/>
        </w:rPr>
        <w:t>）的要求建设，地面采取有效的防渗措施。经妥善收集后交由有相关资质的单位清运、处置，运输过程采用全封闭方式，将贮运过程风险降至最低。</w:t>
      </w:r>
    </w:p>
    <w:p w14:paraId="37FB5F0F" w14:textId="77777777" w:rsidR="00544649" w:rsidRDefault="00000000">
      <w:pPr>
        <w:keepNext/>
        <w:keepLines/>
        <w:numPr>
          <w:ilvl w:val="2"/>
          <w:numId w:val="9"/>
        </w:numPr>
        <w:adjustRightInd w:val="0"/>
        <w:snapToGrid w:val="0"/>
        <w:spacing w:after="0"/>
        <w:ind w:firstLineChars="0"/>
        <w:jc w:val="left"/>
        <w:outlineLvl w:val="2"/>
        <w:rPr>
          <w:rFonts w:cs="Times New Roman"/>
          <w:b/>
          <w:kern w:val="21"/>
          <w:sz w:val="28"/>
          <w:szCs w:val="28"/>
        </w:rPr>
      </w:pPr>
      <w:bookmarkStart w:id="363" w:name="_Toc195009911"/>
      <w:r>
        <w:rPr>
          <w:rFonts w:cs="Times New Roman" w:hint="eastAsia"/>
          <w:b/>
          <w:kern w:val="21"/>
          <w:sz w:val="28"/>
          <w:szCs w:val="28"/>
        </w:rPr>
        <w:t>风险事故应急预案</w:t>
      </w:r>
      <w:bookmarkEnd w:id="363"/>
    </w:p>
    <w:p w14:paraId="417A8356" w14:textId="77777777" w:rsidR="00544649" w:rsidRDefault="00000000">
      <w:pPr>
        <w:numPr>
          <w:ilvl w:val="3"/>
          <w:numId w:val="9"/>
        </w:numPr>
        <w:adjustRightInd w:val="0"/>
        <w:snapToGrid w:val="0"/>
        <w:spacing w:after="0"/>
        <w:ind w:firstLineChars="0"/>
        <w:outlineLvl w:val="3"/>
        <w:rPr>
          <w:b/>
          <w:bCs/>
          <w:kern w:val="21"/>
        </w:rPr>
      </w:pPr>
      <w:r>
        <w:rPr>
          <w:rFonts w:ascii="宋体" w:hAnsi="宋体" w:cs="宋体"/>
          <w:b/>
          <w:bCs/>
          <w:kern w:val="21"/>
          <w:szCs w:val="24"/>
        </w:rPr>
        <w:t>环境应急要求</w:t>
      </w:r>
    </w:p>
    <w:p w14:paraId="140D5FA0" w14:textId="77777777" w:rsidR="00544649" w:rsidRDefault="00000000">
      <w:pPr>
        <w:adjustRightInd w:val="0"/>
        <w:snapToGrid w:val="0"/>
        <w:spacing w:after="0"/>
        <w:ind w:firstLine="480"/>
        <w:rPr>
          <w:kern w:val="21"/>
        </w:rPr>
      </w:pPr>
      <w:r>
        <w:rPr>
          <w:rFonts w:hint="eastAsia"/>
          <w:kern w:val="21"/>
        </w:rPr>
        <w:lastRenderedPageBreak/>
        <w:t>无论预防工作如何周密，风险事故总是难以根本杜绝，制定风险事故应急预案的目的是要迅速而有效的将事故损失减至最小。项目运行过程中，一旦出现突发事故，必须按事先拟定的应急方案进行紧急处理，它包括应急状态分类、应急计划区、事故等级水平、应急防护和应急医学处理等。</w:t>
      </w:r>
    </w:p>
    <w:p w14:paraId="601A2762" w14:textId="77777777" w:rsidR="00544649" w:rsidRDefault="00000000">
      <w:pPr>
        <w:adjustRightInd w:val="0"/>
        <w:snapToGrid w:val="0"/>
        <w:spacing w:after="0"/>
        <w:ind w:firstLine="480"/>
        <w:rPr>
          <w:kern w:val="21"/>
        </w:rPr>
      </w:pPr>
      <w:r>
        <w:rPr>
          <w:rFonts w:hint="eastAsia"/>
          <w:kern w:val="21"/>
        </w:rPr>
        <w:t>如若发生污染事故，应及时切断事故源，根据事态严重程度启动相应的应急预案。当地下水被污染时，应及时告知周边住户，并进行地下水监测。</w:t>
      </w:r>
    </w:p>
    <w:p w14:paraId="6665C586" w14:textId="77777777" w:rsidR="00544649" w:rsidRDefault="00000000">
      <w:pPr>
        <w:adjustRightInd w:val="0"/>
        <w:snapToGrid w:val="0"/>
        <w:spacing w:after="0"/>
        <w:ind w:firstLine="480"/>
        <w:rPr>
          <w:kern w:val="21"/>
        </w:rPr>
      </w:pPr>
      <w:r>
        <w:rPr>
          <w:rFonts w:hint="eastAsia"/>
          <w:kern w:val="21"/>
        </w:rPr>
        <w:t>为及时控制事故发生情况，本项目应设置事故应急预案，本次评价针对项目情况提出具体如下风险应急预案供参考。</w:t>
      </w:r>
    </w:p>
    <w:p w14:paraId="6957873C" w14:textId="77777777" w:rsidR="00544649" w:rsidRDefault="00000000">
      <w:pPr>
        <w:numPr>
          <w:ilvl w:val="3"/>
          <w:numId w:val="9"/>
        </w:numPr>
        <w:adjustRightInd w:val="0"/>
        <w:snapToGrid w:val="0"/>
        <w:spacing w:after="0"/>
        <w:ind w:firstLineChars="0"/>
        <w:outlineLvl w:val="3"/>
        <w:rPr>
          <w:b/>
          <w:bCs/>
          <w:kern w:val="21"/>
        </w:rPr>
      </w:pPr>
      <w:r>
        <w:rPr>
          <w:rFonts w:ascii="宋体" w:hAnsi="宋体" w:cs="宋体" w:hint="eastAsia"/>
          <w:b/>
          <w:bCs/>
          <w:kern w:val="21"/>
          <w:szCs w:val="24"/>
        </w:rPr>
        <w:t>风险事故应急预案</w:t>
      </w:r>
    </w:p>
    <w:p w14:paraId="5DEBF5AB" w14:textId="77777777" w:rsidR="00544649" w:rsidRDefault="00000000">
      <w:pPr>
        <w:adjustRightInd w:val="0"/>
        <w:snapToGrid w:val="0"/>
        <w:spacing w:after="0"/>
        <w:ind w:firstLine="482"/>
        <w:rPr>
          <w:b/>
          <w:bCs/>
          <w:kern w:val="21"/>
        </w:rPr>
      </w:pPr>
      <w:r>
        <w:rPr>
          <w:rFonts w:ascii="宋体" w:hAnsi="宋体" w:cs="宋体" w:hint="eastAsia"/>
          <w:b/>
          <w:bCs/>
          <w:kern w:val="21"/>
          <w:szCs w:val="24"/>
        </w:rPr>
        <w:t>一、</w:t>
      </w:r>
      <w:r>
        <w:rPr>
          <w:rFonts w:ascii="宋体" w:hAnsi="宋体" w:cs="宋体"/>
          <w:b/>
          <w:bCs/>
          <w:kern w:val="21"/>
          <w:szCs w:val="24"/>
        </w:rPr>
        <w:t>事故应急组织</w:t>
      </w:r>
      <w:r>
        <w:rPr>
          <w:rFonts w:hint="eastAsia"/>
          <w:b/>
          <w:bCs/>
          <w:kern w:val="21"/>
        </w:rPr>
        <w:t>机构</w:t>
      </w:r>
    </w:p>
    <w:p w14:paraId="403C780A" w14:textId="77777777" w:rsidR="00544649" w:rsidRDefault="00000000">
      <w:pPr>
        <w:adjustRightInd w:val="0"/>
        <w:snapToGrid w:val="0"/>
        <w:spacing w:after="0"/>
        <w:ind w:firstLine="480"/>
        <w:rPr>
          <w:kern w:val="21"/>
        </w:rPr>
      </w:pPr>
      <w:r>
        <w:rPr>
          <w:rFonts w:hint="eastAsia"/>
          <w:kern w:val="21"/>
        </w:rPr>
        <w:t>1</w:t>
      </w:r>
      <w:r>
        <w:rPr>
          <w:rFonts w:hint="eastAsia"/>
          <w:kern w:val="21"/>
        </w:rPr>
        <w:t>、成立应急救援指挥中心、事故应急救援抢救中心。场区总负责人任应急救援指挥中心、事故应急救援抢救中心主任，有关部室及场区的领导均为成员、安全环保部和保卫科是场区管理安全生产的职能部门，配有专职管理干部，车间和班组也有兼职安全员，基本形成了“三级”安全管理体系。</w:t>
      </w:r>
    </w:p>
    <w:p w14:paraId="6AD5E615" w14:textId="77777777" w:rsidR="00544649" w:rsidRDefault="00000000">
      <w:pPr>
        <w:adjustRightInd w:val="0"/>
        <w:snapToGrid w:val="0"/>
        <w:spacing w:after="0"/>
        <w:ind w:firstLine="480"/>
        <w:rPr>
          <w:kern w:val="21"/>
        </w:rPr>
      </w:pPr>
      <w:r>
        <w:rPr>
          <w:rFonts w:hint="eastAsia"/>
          <w:kern w:val="21"/>
        </w:rPr>
        <w:t>2</w:t>
      </w:r>
      <w:r>
        <w:rPr>
          <w:rFonts w:hint="eastAsia"/>
          <w:kern w:val="21"/>
        </w:rPr>
        <w:t>、成立技术支援中心。场区总工程师任技术支援中心主任，各科室的工程师和技术人员为成员，提供必要的事故应急技术保障，并且调动救援装置。救援抢险队组成：为抢险抢修队队长，场区各职能部门和全体员工都负有事故应急救援的责任，为救援抢险队员，其任务主要是担负本厂</w:t>
      </w:r>
      <w:proofErr w:type="gramStart"/>
      <w:r>
        <w:rPr>
          <w:rFonts w:hint="eastAsia"/>
          <w:kern w:val="21"/>
        </w:rPr>
        <w:t>各危险</w:t>
      </w:r>
      <w:proofErr w:type="gramEnd"/>
      <w:r>
        <w:rPr>
          <w:rFonts w:hint="eastAsia"/>
          <w:kern w:val="21"/>
        </w:rPr>
        <w:t>事故的救援及处置。</w:t>
      </w:r>
    </w:p>
    <w:p w14:paraId="2AE8944A" w14:textId="77777777" w:rsidR="00544649" w:rsidRDefault="00000000">
      <w:pPr>
        <w:adjustRightInd w:val="0"/>
        <w:snapToGrid w:val="0"/>
        <w:spacing w:after="0"/>
        <w:ind w:firstLine="480"/>
        <w:rPr>
          <w:kern w:val="21"/>
        </w:rPr>
      </w:pPr>
      <w:r>
        <w:rPr>
          <w:rFonts w:hint="eastAsia"/>
          <w:kern w:val="21"/>
        </w:rPr>
        <w:t>3</w:t>
      </w:r>
      <w:r>
        <w:rPr>
          <w:rFonts w:hint="eastAsia"/>
          <w:kern w:val="21"/>
        </w:rPr>
        <w:t>、设置应急通讯中心。应急通讯中心是联系场区应急组织的纽带，是与外界应急组织交换信息的桥梁，确保应急信息上传下达畅通无阻，在技术支援中心出现技术难题，需利用公司内配置的电话、对讲机、广播等通讯设施，随时与外界技术专家、指挥部和消防队联系，提供不间断的通信保障。</w:t>
      </w:r>
    </w:p>
    <w:p w14:paraId="378D9AA6" w14:textId="77777777" w:rsidR="00544649" w:rsidRDefault="00000000">
      <w:pPr>
        <w:adjustRightInd w:val="0"/>
        <w:snapToGrid w:val="0"/>
        <w:spacing w:after="0"/>
        <w:ind w:firstLine="482"/>
        <w:rPr>
          <w:rFonts w:ascii="宋体" w:hAnsi="宋体" w:cs="宋体" w:hint="eastAsia"/>
          <w:b/>
          <w:bCs/>
          <w:kern w:val="21"/>
          <w:szCs w:val="24"/>
        </w:rPr>
      </w:pPr>
      <w:r>
        <w:rPr>
          <w:rFonts w:ascii="宋体" w:hAnsi="宋体" w:cs="宋体" w:hint="eastAsia"/>
          <w:b/>
          <w:bCs/>
          <w:kern w:val="21"/>
          <w:szCs w:val="24"/>
        </w:rPr>
        <w:t>二、</w:t>
      </w:r>
      <w:r>
        <w:rPr>
          <w:rFonts w:ascii="宋体" w:hAnsi="宋体" w:cs="宋体"/>
          <w:b/>
          <w:bCs/>
          <w:kern w:val="21"/>
          <w:szCs w:val="24"/>
        </w:rPr>
        <w:t>事故应急演练</w:t>
      </w:r>
    </w:p>
    <w:p w14:paraId="4E729BE2" w14:textId="77777777" w:rsidR="00544649" w:rsidRDefault="00000000">
      <w:pPr>
        <w:adjustRightInd w:val="0"/>
        <w:snapToGrid w:val="0"/>
        <w:spacing w:after="0"/>
        <w:ind w:firstLine="480"/>
        <w:rPr>
          <w:rFonts w:ascii="宋体" w:hAnsi="宋体" w:cs="宋体" w:hint="eastAsia"/>
          <w:kern w:val="21"/>
          <w:szCs w:val="24"/>
        </w:rPr>
      </w:pPr>
      <w:r>
        <w:rPr>
          <w:rFonts w:ascii="宋体" w:hAnsi="宋体" w:cs="宋体"/>
          <w:kern w:val="21"/>
          <w:szCs w:val="24"/>
        </w:rPr>
        <w:t>事故应急救援预案编制后，应测试应急预案和实施程序的有效性，了解各个应急组织机构的响应和协调能力，检测应急设备装置的应用效果，确保应急组织人员熟知他们的职责和任务。实施定期的应急救援模拟训练，提高各个应急组织机构的应急事故的处理能力，</w:t>
      </w:r>
      <w:r>
        <w:rPr>
          <w:rFonts w:hint="eastAsia"/>
          <w:kern w:val="21"/>
        </w:rPr>
        <w:t>不断改进</w:t>
      </w:r>
      <w:r>
        <w:rPr>
          <w:rFonts w:ascii="宋体" w:hAnsi="宋体" w:cs="宋体"/>
          <w:kern w:val="21"/>
          <w:szCs w:val="24"/>
        </w:rPr>
        <w:t>和完善事故应急预案。</w:t>
      </w:r>
    </w:p>
    <w:p w14:paraId="1DD3152E" w14:textId="77777777" w:rsidR="00544649" w:rsidRDefault="00000000">
      <w:pPr>
        <w:adjustRightInd w:val="0"/>
        <w:snapToGrid w:val="0"/>
        <w:spacing w:after="0"/>
        <w:ind w:firstLine="482"/>
        <w:rPr>
          <w:rFonts w:ascii="宋体" w:hAnsi="宋体" w:cs="宋体" w:hint="eastAsia"/>
          <w:b/>
          <w:bCs/>
          <w:kern w:val="21"/>
          <w:szCs w:val="24"/>
        </w:rPr>
      </w:pPr>
      <w:r>
        <w:rPr>
          <w:rFonts w:ascii="宋体" w:hAnsi="宋体" w:cs="宋体" w:hint="eastAsia"/>
          <w:b/>
          <w:bCs/>
          <w:kern w:val="21"/>
          <w:szCs w:val="24"/>
        </w:rPr>
        <w:t>三、</w:t>
      </w:r>
      <w:r>
        <w:rPr>
          <w:rFonts w:ascii="宋体" w:hAnsi="宋体" w:cs="宋体"/>
          <w:b/>
          <w:bCs/>
          <w:kern w:val="21"/>
          <w:szCs w:val="24"/>
        </w:rPr>
        <w:t>事故应急程序</w:t>
      </w:r>
    </w:p>
    <w:p w14:paraId="45E044A7" w14:textId="77777777" w:rsidR="00544649" w:rsidRDefault="00000000">
      <w:pPr>
        <w:adjustRightInd w:val="0"/>
        <w:snapToGrid w:val="0"/>
        <w:spacing w:after="0"/>
        <w:ind w:firstLine="480"/>
        <w:rPr>
          <w:kern w:val="21"/>
        </w:rPr>
      </w:pPr>
      <w:r>
        <w:rPr>
          <w:rFonts w:hint="eastAsia"/>
          <w:kern w:val="21"/>
        </w:rPr>
        <w:t>当发生重大事故时，首先以自救为主。根据对事故进行的应急分级，选择需要的应急预案，启动应急组织机构的职能，依据应急预案进行营救，在进行自救的同时，向上一级救援指挥中心及政府报告。具体应急救援程序依据国家应急救援体系建设方</w:t>
      </w:r>
      <w:r>
        <w:rPr>
          <w:rFonts w:hint="eastAsia"/>
          <w:kern w:val="21"/>
        </w:rPr>
        <w:lastRenderedPageBreak/>
        <w:t>案执行。</w:t>
      </w:r>
    </w:p>
    <w:p w14:paraId="47B68453" w14:textId="77777777" w:rsidR="00544649" w:rsidRDefault="00000000">
      <w:pPr>
        <w:numPr>
          <w:ilvl w:val="0"/>
          <w:numId w:val="30"/>
        </w:numPr>
        <w:adjustRightInd w:val="0"/>
        <w:snapToGrid w:val="0"/>
        <w:spacing w:after="0"/>
        <w:ind w:firstLine="480"/>
        <w:rPr>
          <w:kern w:val="21"/>
        </w:rPr>
      </w:pPr>
      <w:r>
        <w:rPr>
          <w:rFonts w:hint="eastAsia"/>
          <w:kern w:val="21"/>
        </w:rPr>
        <w:t>最早发现者应立即向办公室报警，并采取一切妥当的办法果断切断事故源。</w:t>
      </w:r>
    </w:p>
    <w:p w14:paraId="3FFF2CD5" w14:textId="77777777" w:rsidR="00544649" w:rsidRDefault="00000000">
      <w:pPr>
        <w:numPr>
          <w:ilvl w:val="0"/>
          <w:numId w:val="30"/>
        </w:numPr>
        <w:adjustRightInd w:val="0"/>
        <w:snapToGrid w:val="0"/>
        <w:spacing w:after="0"/>
        <w:ind w:firstLine="480"/>
        <w:rPr>
          <w:kern w:val="21"/>
        </w:rPr>
      </w:pPr>
      <w:r>
        <w:rPr>
          <w:rFonts w:hint="eastAsia"/>
          <w:kern w:val="21"/>
        </w:rPr>
        <w:t>场办接到报警后，应迅速通知有关部门，下达应急救援预案处置指令，发出警报。</w:t>
      </w:r>
    </w:p>
    <w:p w14:paraId="3B67C890" w14:textId="77777777" w:rsidR="00544649" w:rsidRDefault="00000000">
      <w:pPr>
        <w:numPr>
          <w:ilvl w:val="0"/>
          <w:numId w:val="30"/>
        </w:numPr>
        <w:adjustRightInd w:val="0"/>
        <w:snapToGrid w:val="0"/>
        <w:spacing w:after="0"/>
        <w:ind w:firstLine="480"/>
        <w:rPr>
          <w:kern w:val="21"/>
        </w:rPr>
      </w:pPr>
      <w:r>
        <w:rPr>
          <w:rFonts w:hint="eastAsia"/>
          <w:kern w:val="21"/>
        </w:rPr>
        <w:t>应急领导小组组长及消防队和各专业救援队伍应迅速赶往事故现场。</w:t>
      </w:r>
    </w:p>
    <w:p w14:paraId="17860658" w14:textId="77777777" w:rsidR="00544649" w:rsidRDefault="00000000">
      <w:pPr>
        <w:numPr>
          <w:ilvl w:val="0"/>
          <w:numId w:val="30"/>
        </w:numPr>
        <w:adjustRightInd w:val="0"/>
        <w:snapToGrid w:val="0"/>
        <w:spacing w:after="0"/>
        <w:ind w:firstLine="480"/>
        <w:rPr>
          <w:kern w:val="21"/>
        </w:rPr>
      </w:pPr>
      <w:r>
        <w:rPr>
          <w:rFonts w:hint="eastAsia"/>
          <w:kern w:val="21"/>
        </w:rPr>
        <w:t>发生事故的所在场所，应迅速查明事故发生源点、原因，凡能阻止或消除事故的，则以自救为主。如事故自己不能控制的，应向指挥部报告。</w:t>
      </w:r>
    </w:p>
    <w:p w14:paraId="0BAE2322" w14:textId="77777777" w:rsidR="00544649" w:rsidRDefault="00000000">
      <w:pPr>
        <w:numPr>
          <w:ilvl w:val="0"/>
          <w:numId w:val="30"/>
        </w:numPr>
        <w:adjustRightInd w:val="0"/>
        <w:snapToGrid w:val="0"/>
        <w:spacing w:after="0"/>
        <w:ind w:firstLine="480"/>
        <w:rPr>
          <w:kern w:val="21"/>
        </w:rPr>
      </w:pPr>
      <w:r>
        <w:rPr>
          <w:rFonts w:hint="eastAsia"/>
          <w:kern w:val="21"/>
        </w:rPr>
        <w:t>救援抢险队到达事故现场后，首先查明现场有无人员受伤，以最快速度使伤者脱离现场，严重者尽快送医院抢救。</w:t>
      </w:r>
    </w:p>
    <w:p w14:paraId="32867591" w14:textId="77777777" w:rsidR="00544649" w:rsidRDefault="00000000">
      <w:pPr>
        <w:numPr>
          <w:ilvl w:val="0"/>
          <w:numId w:val="30"/>
        </w:numPr>
        <w:adjustRightInd w:val="0"/>
        <w:snapToGrid w:val="0"/>
        <w:spacing w:after="0"/>
        <w:ind w:firstLine="480"/>
        <w:rPr>
          <w:kern w:val="21"/>
        </w:rPr>
      </w:pPr>
      <w:r>
        <w:rPr>
          <w:rFonts w:hint="eastAsia"/>
          <w:kern w:val="21"/>
        </w:rPr>
        <w:t>对于不同等级（一级、二级、三级）应急预案，启动事故应急救援预案，向有关部门报告，必要时联系社会救援。</w:t>
      </w:r>
    </w:p>
    <w:p w14:paraId="6B590793" w14:textId="77777777" w:rsidR="00544649" w:rsidRDefault="00000000">
      <w:pPr>
        <w:numPr>
          <w:ilvl w:val="0"/>
          <w:numId w:val="20"/>
        </w:numPr>
        <w:adjustRightInd w:val="0"/>
        <w:snapToGrid w:val="0"/>
        <w:spacing w:after="0"/>
        <w:ind w:firstLine="482"/>
        <w:rPr>
          <w:kern w:val="21"/>
        </w:rPr>
      </w:pPr>
      <w:r>
        <w:rPr>
          <w:rFonts w:hint="eastAsia"/>
          <w:b/>
          <w:bCs/>
          <w:kern w:val="21"/>
        </w:rPr>
        <w:t>事故应急救援保障</w:t>
      </w:r>
    </w:p>
    <w:p w14:paraId="518492AE" w14:textId="77777777" w:rsidR="00544649" w:rsidRDefault="00000000">
      <w:pPr>
        <w:adjustRightInd w:val="0"/>
        <w:snapToGrid w:val="0"/>
        <w:spacing w:after="0"/>
        <w:ind w:firstLine="480"/>
        <w:rPr>
          <w:kern w:val="21"/>
        </w:rPr>
      </w:pPr>
      <w:r>
        <w:rPr>
          <w:rFonts w:hint="eastAsia"/>
          <w:kern w:val="21"/>
        </w:rPr>
        <w:t>为能在事故发生后，迅速准确地有条不紊地处理事故，尽可能减少事故造成的损失，平时必须做好应急救援的准备工作，落实岗位责任制和各项制度。具体措施为：</w:t>
      </w:r>
    </w:p>
    <w:p w14:paraId="65FBF5D9" w14:textId="77777777" w:rsidR="00544649" w:rsidRDefault="00000000">
      <w:pPr>
        <w:numPr>
          <w:ilvl w:val="0"/>
          <w:numId w:val="31"/>
        </w:numPr>
        <w:adjustRightInd w:val="0"/>
        <w:snapToGrid w:val="0"/>
        <w:spacing w:after="0"/>
        <w:ind w:firstLine="480"/>
        <w:rPr>
          <w:kern w:val="21"/>
        </w:rPr>
      </w:pPr>
      <w:r>
        <w:rPr>
          <w:rFonts w:hint="eastAsia"/>
          <w:kern w:val="21"/>
        </w:rPr>
        <w:t>落实应急救援组织和人员。每年初，进行一次组织调度与培训，确保救援组织落实。</w:t>
      </w:r>
    </w:p>
    <w:p w14:paraId="0E138178" w14:textId="77777777" w:rsidR="00544649" w:rsidRDefault="00000000">
      <w:pPr>
        <w:numPr>
          <w:ilvl w:val="0"/>
          <w:numId w:val="31"/>
        </w:numPr>
        <w:adjustRightInd w:val="0"/>
        <w:snapToGrid w:val="0"/>
        <w:spacing w:after="0"/>
        <w:ind w:firstLine="480"/>
        <w:rPr>
          <w:kern w:val="21"/>
        </w:rPr>
      </w:pPr>
      <w:r>
        <w:rPr>
          <w:rFonts w:hint="eastAsia"/>
          <w:kern w:val="21"/>
        </w:rPr>
        <w:t>按照任务分工，做好物资器材准备，如：必要的指挥通讯，报警，洗消，消防，防护用品，检修等器材及交通工具，上述各种器材应指定专人保管，并定期检查保养，使其处于良好状况。</w:t>
      </w:r>
    </w:p>
    <w:p w14:paraId="1D5A80D5" w14:textId="77777777" w:rsidR="00544649" w:rsidRDefault="00000000">
      <w:pPr>
        <w:numPr>
          <w:ilvl w:val="0"/>
          <w:numId w:val="31"/>
        </w:numPr>
        <w:adjustRightInd w:val="0"/>
        <w:snapToGrid w:val="0"/>
        <w:spacing w:after="0"/>
        <w:ind w:firstLine="480"/>
        <w:rPr>
          <w:kern w:val="21"/>
        </w:rPr>
      </w:pPr>
      <w:r>
        <w:rPr>
          <w:rFonts w:hint="eastAsia"/>
          <w:kern w:val="21"/>
        </w:rPr>
        <w:t>定期组织救援训练和学习，每年演练两次，提高指挥水平和救援能力。</w:t>
      </w:r>
    </w:p>
    <w:p w14:paraId="340D339C" w14:textId="77777777" w:rsidR="00544649" w:rsidRDefault="00000000">
      <w:pPr>
        <w:numPr>
          <w:ilvl w:val="0"/>
          <w:numId w:val="31"/>
        </w:numPr>
        <w:adjustRightInd w:val="0"/>
        <w:snapToGrid w:val="0"/>
        <w:spacing w:after="0"/>
        <w:ind w:firstLine="480"/>
        <w:rPr>
          <w:kern w:val="21"/>
        </w:rPr>
      </w:pPr>
      <w:r>
        <w:rPr>
          <w:rFonts w:hint="eastAsia"/>
          <w:kern w:val="21"/>
        </w:rPr>
        <w:t>对本场员工进行经常性的应急救援常识教育。</w:t>
      </w:r>
    </w:p>
    <w:p w14:paraId="7981C567" w14:textId="77777777" w:rsidR="00544649" w:rsidRDefault="00000000">
      <w:pPr>
        <w:numPr>
          <w:ilvl w:val="0"/>
          <w:numId w:val="31"/>
        </w:numPr>
        <w:adjustRightInd w:val="0"/>
        <w:snapToGrid w:val="0"/>
        <w:spacing w:after="0"/>
        <w:ind w:firstLine="480"/>
        <w:rPr>
          <w:kern w:val="21"/>
        </w:rPr>
      </w:pPr>
      <w:r>
        <w:rPr>
          <w:rFonts w:hint="eastAsia"/>
          <w:kern w:val="21"/>
        </w:rPr>
        <w:t>建立完善的各项制度。值班制度，建立昼夜值班制度；检查制度，每月结合安全生产工作检查，定期检查应急救援工作落实情况及器具保管情况；总结评比工作，与安全生产工作同检查同评比，同表彰同奖励。</w:t>
      </w:r>
    </w:p>
    <w:p w14:paraId="027F098A" w14:textId="77777777" w:rsidR="00544649" w:rsidRDefault="00000000">
      <w:pPr>
        <w:adjustRightInd w:val="0"/>
        <w:snapToGrid w:val="0"/>
        <w:spacing w:after="0"/>
        <w:ind w:firstLine="480"/>
        <w:rPr>
          <w:rFonts w:cs="Times New Roman"/>
          <w:kern w:val="21"/>
          <w:szCs w:val="24"/>
        </w:rPr>
      </w:pPr>
      <w:r>
        <w:rPr>
          <w:rFonts w:hint="eastAsia"/>
          <w:kern w:val="21"/>
        </w:rPr>
        <w:t>建设</w:t>
      </w:r>
      <w:r>
        <w:rPr>
          <w:rFonts w:cs="Times New Roman"/>
          <w:kern w:val="21"/>
          <w:szCs w:val="24"/>
        </w:rPr>
        <w:t>单位须按照《关于印发</w:t>
      </w:r>
      <w:r>
        <w:rPr>
          <w:rFonts w:cs="Times New Roman" w:hint="eastAsia"/>
          <w:kern w:val="21"/>
          <w:szCs w:val="24"/>
        </w:rPr>
        <w:t>〈</w:t>
      </w:r>
      <w:r>
        <w:rPr>
          <w:rFonts w:cs="Times New Roman"/>
          <w:kern w:val="21"/>
          <w:szCs w:val="24"/>
        </w:rPr>
        <w:t>企业事业单位突发环境事件应急预案备案管理办法（试行）</w:t>
      </w:r>
      <w:r>
        <w:rPr>
          <w:rFonts w:cs="Times New Roman" w:hint="eastAsia"/>
          <w:kern w:val="21"/>
          <w:szCs w:val="24"/>
        </w:rPr>
        <w:t>〉</w:t>
      </w:r>
      <w:r>
        <w:rPr>
          <w:rFonts w:cs="Times New Roman"/>
          <w:kern w:val="21"/>
          <w:szCs w:val="24"/>
        </w:rPr>
        <w:t>的通知》（环发</w:t>
      </w:r>
      <w:r>
        <w:rPr>
          <w:rFonts w:cs="Times New Roman" w:hint="eastAsia"/>
          <w:kern w:val="21"/>
          <w:szCs w:val="24"/>
        </w:rPr>
        <w:t>〔</w:t>
      </w:r>
      <w:r>
        <w:rPr>
          <w:rFonts w:cs="Times New Roman"/>
          <w:kern w:val="21"/>
          <w:szCs w:val="24"/>
        </w:rPr>
        <w:t>2015</w:t>
      </w:r>
      <w:r>
        <w:rPr>
          <w:rFonts w:cs="Times New Roman" w:hint="eastAsia"/>
          <w:kern w:val="21"/>
          <w:szCs w:val="24"/>
        </w:rPr>
        <w:t>〕</w:t>
      </w:r>
      <w:r>
        <w:rPr>
          <w:rFonts w:cs="Times New Roman"/>
          <w:kern w:val="21"/>
          <w:szCs w:val="24"/>
        </w:rPr>
        <w:t>4</w:t>
      </w:r>
      <w:r>
        <w:rPr>
          <w:rFonts w:cs="Times New Roman"/>
          <w:kern w:val="21"/>
          <w:szCs w:val="24"/>
        </w:rPr>
        <w:t>号）、《关于印发</w:t>
      </w:r>
      <w:r>
        <w:rPr>
          <w:rFonts w:cs="Times New Roman" w:hint="eastAsia"/>
          <w:kern w:val="21"/>
          <w:szCs w:val="24"/>
        </w:rPr>
        <w:t>〈</w:t>
      </w:r>
      <w:r>
        <w:rPr>
          <w:rFonts w:cs="Times New Roman"/>
          <w:kern w:val="21"/>
          <w:szCs w:val="24"/>
        </w:rPr>
        <w:t>四川省突发环境事件应急预案备案行业名录（试行）的通知</w:t>
      </w:r>
      <w:r>
        <w:rPr>
          <w:rFonts w:cs="Times New Roman" w:hint="eastAsia"/>
          <w:kern w:val="21"/>
          <w:szCs w:val="24"/>
        </w:rPr>
        <w:t>〉</w:t>
      </w:r>
      <w:r>
        <w:rPr>
          <w:rFonts w:cs="Times New Roman"/>
          <w:kern w:val="21"/>
          <w:szCs w:val="24"/>
        </w:rPr>
        <w:t>》（</w:t>
      </w:r>
      <w:proofErr w:type="gramStart"/>
      <w:r>
        <w:rPr>
          <w:rFonts w:cs="Times New Roman"/>
          <w:kern w:val="21"/>
          <w:szCs w:val="24"/>
        </w:rPr>
        <w:t>川环办</w:t>
      </w:r>
      <w:proofErr w:type="gramEnd"/>
      <w:r>
        <w:rPr>
          <w:rFonts w:cs="Times New Roman"/>
          <w:kern w:val="21"/>
          <w:szCs w:val="24"/>
        </w:rPr>
        <w:t>函</w:t>
      </w:r>
      <w:r>
        <w:rPr>
          <w:rFonts w:cs="Times New Roman" w:hint="eastAsia"/>
          <w:kern w:val="21"/>
          <w:szCs w:val="24"/>
        </w:rPr>
        <w:t>〔</w:t>
      </w:r>
      <w:r>
        <w:rPr>
          <w:rFonts w:cs="Times New Roman"/>
          <w:kern w:val="21"/>
          <w:szCs w:val="24"/>
        </w:rPr>
        <w:t>2019</w:t>
      </w:r>
      <w:r>
        <w:rPr>
          <w:rFonts w:cs="Times New Roman" w:hint="eastAsia"/>
          <w:kern w:val="21"/>
          <w:szCs w:val="24"/>
        </w:rPr>
        <w:t>〕</w:t>
      </w:r>
      <w:r>
        <w:rPr>
          <w:rFonts w:cs="Times New Roman"/>
          <w:kern w:val="21"/>
          <w:szCs w:val="24"/>
        </w:rPr>
        <w:t>504</w:t>
      </w:r>
      <w:r>
        <w:rPr>
          <w:rFonts w:cs="Times New Roman"/>
          <w:kern w:val="21"/>
          <w:szCs w:val="24"/>
        </w:rPr>
        <w:t>号）有关要求，结合项目实际情况，修订完善其环境污染事故应急与响应预案，本项目应急预案的主要内容见</w:t>
      </w:r>
      <w:r>
        <w:rPr>
          <w:rFonts w:cs="Times New Roman" w:hint="eastAsia"/>
          <w:kern w:val="21"/>
          <w:szCs w:val="24"/>
        </w:rPr>
        <w:t>下表</w:t>
      </w:r>
      <w:r>
        <w:rPr>
          <w:rFonts w:cs="Times New Roman"/>
          <w:kern w:val="21"/>
          <w:szCs w:val="24"/>
        </w:rPr>
        <w:t>。</w:t>
      </w:r>
    </w:p>
    <w:p w14:paraId="5E9DB631" w14:textId="77777777" w:rsidR="00544649" w:rsidRDefault="00000000">
      <w:pPr>
        <w:numPr>
          <w:ilvl w:val="0"/>
          <w:numId w:val="29"/>
        </w:numPr>
        <w:adjustRightInd w:val="0"/>
        <w:snapToGrid w:val="0"/>
        <w:spacing w:beforeLines="20" w:before="62" w:afterLines="20" w:after="62" w:line="240" w:lineRule="auto"/>
        <w:ind w:left="0" w:firstLineChars="0" w:firstLine="0"/>
        <w:jc w:val="center"/>
        <w:rPr>
          <w:rFonts w:cs="Times New Roman"/>
          <w:kern w:val="21"/>
          <w:sz w:val="21"/>
          <w:szCs w:val="21"/>
        </w:rPr>
      </w:pPr>
      <w:r>
        <w:rPr>
          <w:rFonts w:cs="Times New Roman"/>
          <w:b/>
          <w:kern w:val="21"/>
          <w:sz w:val="21"/>
          <w:szCs w:val="21"/>
        </w:rPr>
        <w:t>本项目应急预案内容</w:t>
      </w:r>
    </w:p>
    <w:tbl>
      <w:tblPr>
        <w:tblStyle w:val="afc"/>
        <w:tblW w:w="9060" w:type="dxa"/>
        <w:tblLayout w:type="fixed"/>
        <w:tblLook w:val="04A0" w:firstRow="1" w:lastRow="0" w:firstColumn="1" w:lastColumn="0" w:noHBand="0" w:noVBand="1"/>
      </w:tblPr>
      <w:tblGrid>
        <w:gridCol w:w="501"/>
        <w:gridCol w:w="2010"/>
        <w:gridCol w:w="6549"/>
      </w:tblGrid>
      <w:tr w:rsidR="00544649" w14:paraId="2FB21151" w14:textId="77777777">
        <w:trPr>
          <w:tblHeader/>
        </w:trPr>
        <w:tc>
          <w:tcPr>
            <w:tcW w:w="501" w:type="dxa"/>
            <w:vAlign w:val="center"/>
          </w:tcPr>
          <w:p w14:paraId="63636572"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lastRenderedPageBreak/>
              <w:t>序号</w:t>
            </w:r>
          </w:p>
        </w:tc>
        <w:tc>
          <w:tcPr>
            <w:tcW w:w="2010" w:type="dxa"/>
            <w:vAlign w:val="center"/>
          </w:tcPr>
          <w:p w14:paraId="7737A99E"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项目</w:t>
            </w:r>
          </w:p>
        </w:tc>
        <w:tc>
          <w:tcPr>
            <w:tcW w:w="6549" w:type="dxa"/>
            <w:vAlign w:val="center"/>
          </w:tcPr>
          <w:p w14:paraId="2D72FF1F"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重点内容及要求</w:t>
            </w:r>
          </w:p>
        </w:tc>
      </w:tr>
      <w:tr w:rsidR="00544649" w14:paraId="2FFE2945" w14:textId="77777777">
        <w:tc>
          <w:tcPr>
            <w:tcW w:w="501" w:type="dxa"/>
            <w:vAlign w:val="center"/>
          </w:tcPr>
          <w:p w14:paraId="5D4F2E1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1</w:t>
            </w:r>
          </w:p>
        </w:tc>
        <w:tc>
          <w:tcPr>
            <w:tcW w:w="2010" w:type="dxa"/>
            <w:vAlign w:val="center"/>
          </w:tcPr>
          <w:p w14:paraId="41A7DDC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应急计划区</w:t>
            </w:r>
          </w:p>
        </w:tc>
        <w:tc>
          <w:tcPr>
            <w:tcW w:w="6549" w:type="dxa"/>
            <w:vAlign w:val="center"/>
          </w:tcPr>
          <w:p w14:paraId="5FF408B0" w14:textId="77777777" w:rsidR="00544649" w:rsidRDefault="00000000">
            <w:pPr>
              <w:pStyle w:val="aff7"/>
              <w:adjustRightInd w:val="0"/>
              <w:snapToGrid w:val="0"/>
              <w:spacing w:before="62" w:after="62"/>
              <w:jc w:val="both"/>
              <w:rPr>
                <w:rFonts w:cs="Times New Roman"/>
                <w:kern w:val="21"/>
                <w:szCs w:val="21"/>
              </w:rPr>
            </w:pPr>
            <w:r>
              <w:rPr>
                <w:rFonts w:cs="Times New Roman"/>
                <w:kern w:val="21"/>
                <w:szCs w:val="21"/>
              </w:rPr>
              <w:t>整个养殖场</w:t>
            </w:r>
          </w:p>
        </w:tc>
      </w:tr>
      <w:tr w:rsidR="00544649" w14:paraId="6999140F" w14:textId="77777777">
        <w:trPr>
          <w:trHeight w:val="90"/>
        </w:trPr>
        <w:tc>
          <w:tcPr>
            <w:tcW w:w="501" w:type="dxa"/>
            <w:vAlign w:val="center"/>
          </w:tcPr>
          <w:p w14:paraId="44821408"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2</w:t>
            </w:r>
          </w:p>
        </w:tc>
        <w:tc>
          <w:tcPr>
            <w:tcW w:w="2010" w:type="dxa"/>
            <w:vAlign w:val="center"/>
          </w:tcPr>
          <w:p w14:paraId="4D475A30"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应急组织机构、人员</w:t>
            </w:r>
          </w:p>
        </w:tc>
        <w:tc>
          <w:tcPr>
            <w:tcW w:w="6549" w:type="dxa"/>
            <w:vAlign w:val="center"/>
          </w:tcPr>
          <w:p w14:paraId="455BB0C3"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lang w:bidi="ar"/>
              </w:rPr>
              <w:t>实施三级应急组织机构，各级别主要负责人为应急计划、协调第一人，应急人员必须为培训上岗熟练工；区域应急组织结构由当地政府、相关行业专家、卫生安全相关单位组成，并由当地政府进行统一调度</w:t>
            </w:r>
            <w:r>
              <w:rPr>
                <w:rFonts w:cs="Times New Roman"/>
                <w:kern w:val="21"/>
                <w:sz w:val="21"/>
                <w:szCs w:val="21"/>
              </w:rPr>
              <w:t>。</w:t>
            </w:r>
          </w:p>
        </w:tc>
      </w:tr>
      <w:tr w:rsidR="00544649" w14:paraId="64D6AE5C" w14:textId="77777777">
        <w:tc>
          <w:tcPr>
            <w:tcW w:w="501" w:type="dxa"/>
            <w:vAlign w:val="center"/>
          </w:tcPr>
          <w:p w14:paraId="30A380E1"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3</w:t>
            </w:r>
          </w:p>
        </w:tc>
        <w:tc>
          <w:tcPr>
            <w:tcW w:w="2010" w:type="dxa"/>
            <w:vAlign w:val="center"/>
          </w:tcPr>
          <w:p w14:paraId="0B941421"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预案分级响应条件</w:t>
            </w:r>
          </w:p>
        </w:tc>
        <w:tc>
          <w:tcPr>
            <w:tcW w:w="6549" w:type="dxa"/>
            <w:vAlign w:val="center"/>
          </w:tcPr>
          <w:p w14:paraId="4AD4E80A" w14:textId="77777777" w:rsidR="00544649" w:rsidRDefault="00000000">
            <w:pPr>
              <w:widowControl/>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lang w:bidi="ar"/>
              </w:rPr>
              <w:t>根据事故的严重程度制定相应级别的应急预案，以及适合相应情况的处理措施。</w:t>
            </w:r>
            <w:r>
              <w:rPr>
                <w:rFonts w:cs="Times New Roman"/>
                <w:kern w:val="21"/>
                <w:sz w:val="21"/>
                <w:szCs w:val="21"/>
              </w:rPr>
              <w:t>项目应急响应分为三级响应：一级响应：项目内部响应；二级响应：与镇级共同响应；三级响应：与市级主管部门共同响应</w:t>
            </w:r>
            <w:r>
              <w:rPr>
                <w:rFonts w:cs="Times New Roman" w:hint="eastAsia"/>
                <w:kern w:val="21"/>
                <w:sz w:val="21"/>
                <w:szCs w:val="21"/>
              </w:rPr>
              <w:t>。</w:t>
            </w:r>
          </w:p>
        </w:tc>
      </w:tr>
      <w:tr w:rsidR="00544649" w14:paraId="063684F4" w14:textId="77777777">
        <w:tc>
          <w:tcPr>
            <w:tcW w:w="501" w:type="dxa"/>
            <w:vAlign w:val="center"/>
          </w:tcPr>
          <w:p w14:paraId="1AEBDA6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4</w:t>
            </w:r>
          </w:p>
        </w:tc>
        <w:tc>
          <w:tcPr>
            <w:tcW w:w="2010" w:type="dxa"/>
            <w:vAlign w:val="center"/>
          </w:tcPr>
          <w:p w14:paraId="6525CF12"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应急救援保障</w:t>
            </w:r>
          </w:p>
        </w:tc>
        <w:tc>
          <w:tcPr>
            <w:tcW w:w="6549" w:type="dxa"/>
            <w:vAlign w:val="center"/>
          </w:tcPr>
          <w:p w14:paraId="7685CDD6" w14:textId="77777777" w:rsidR="00544649" w:rsidRDefault="00000000">
            <w:pPr>
              <w:pStyle w:val="aff7"/>
              <w:adjustRightInd w:val="0"/>
              <w:snapToGrid w:val="0"/>
              <w:spacing w:before="62" w:after="62"/>
              <w:jc w:val="both"/>
              <w:rPr>
                <w:rFonts w:cs="Times New Roman"/>
                <w:kern w:val="21"/>
                <w:szCs w:val="21"/>
              </w:rPr>
            </w:pPr>
            <w:r>
              <w:rPr>
                <w:rFonts w:cs="Times New Roman"/>
                <w:kern w:val="21"/>
                <w:szCs w:val="21"/>
              </w:rPr>
              <w:t>针对危险目标，事先将抢险抢修、个体防护、医疗救援、</w:t>
            </w:r>
            <w:proofErr w:type="gramStart"/>
            <w:r>
              <w:rPr>
                <w:rFonts w:cs="Times New Roman"/>
                <w:kern w:val="21"/>
                <w:szCs w:val="21"/>
              </w:rPr>
              <w:t>通讯联络</w:t>
            </w:r>
            <w:proofErr w:type="gramEnd"/>
            <w:r>
              <w:rPr>
                <w:rFonts w:cs="Times New Roman"/>
                <w:kern w:val="21"/>
                <w:szCs w:val="21"/>
              </w:rPr>
              <w:t>等装备器材配备齐全。平时要专人维护、保管、检验，确保器材始终处于完好状态，保证能有效使用。</w:t>
            </w:r>
          </w:p>
        </w:tc>
      </w:tr>
      <w:tr w:rsidR="00544649" w14:paraId="1D11DEB2" w14:textId="77777777">
        <w:tc>
          <w:tcPr>
            <w:tcW w:w="501" w:type="dxa"/>
            <w:vAlign w:val="center"/>
          </w:tcPr>
          <w:p w14:paraId="74974201"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5</w:t>
            </w:r>
          </w:p>
        </w:tc>
        <w:tc>
          <w:tcPr>
            <w:tcW w:w="2010" w:type="dxa"/>
            <w:vAlign w:val="center"/>
          </w:tcPr>
          <w:p w14:paraId="69CC177F"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报警、</w:t>
            </w:r>
            <w:proofErr w:type="gramStart"/>
            <w:r>
              <w:rPr>
                <w:rFonts w:cs="Times New Roman"/>
                <w:kern w:val="21"/>
                <w:szCs w:val="21"/>
              </w:rPr>
              <w:t>通讯联络</w:t>
            </w:r>
            <w:proofErr w:type="gramEnd"/>
            <w:r>
              <w:rPr>
                <w:rFonts w:cs="Times New Roman"/>
                <w:kern w:val="21"/>
                <w:szCs w:val="21"/>
              </w:rPr>
              <w:t>方式</w:t>
            </w:r>
          </w:p>
        </w:tc>
        <w:tc>
          <w:tcPr>
            <w:tcW w:w="6549" w:type="dxa"/>
            <w:vAlign w:val="center"/>
          </w:tcPr>
          <w:p w14:paraId="55AE5C25" w14:textId="77777777" w:rsidR="00544649" w:rsidRDefault="00000000">
            <w:pPr>
              <w:pStyle w:val="aff7"/>
              <w:adjustRightInd w:val="0"/>
              <w:snapToGrid w:val="0"/>
              <w:spacing w:before="62" w:after="62"/>
              <w:jc w:val="both"/>
              <w:rPr>
                <w:rFonts w:cs="Times New Roman"/>
                <w:kern w:val="21"/>
                <w:szCs w:val="21"/>
              </w:rPr>
            </w:pPr>
            <w:r>
              <w:rPr>
                <w:rFonts w:cs="Times New Roman"/>
                <w:kern w:val="21"/>
                <w:szCs w:val="21"/>
              </w:rPr>
              <w:t>逐一细化应急状态下各主要负责单位的报警通讯方式、地点、电话号码以及相关配套的交通保障、管制、消防联络方法，涉及跨区域的还应与相关区域环境保护部门和上级环保部门保持联系，及时通报事故处理情况，以获得区域性支援</w:t>
            </w:r>
          </w:p>
        </w:tc>
      </w:tr>
      <w:tr w:rsidR="00544649" w14:paraId="368AB99B" w14:textId="77777777">
        <w:tc>
          <w:tcPr>
            <w:tcW w:w="501" w:type="dxa"/>
            <w:vAlign w:val="center"/>
          </w:tcPr>
          <w:p w14:paraId="519911AE"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6</w:t>
            </w:r>
          </w:p>
        </w:tc>
        <w:tc>
          <w:tcPr>
            <w:tcW w:w="2010" w:type="dxa"/>
            <w:vAlign w:val="center"/>
          </w:tcPr>
          <w:p w14:paraId="784810D5"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应急环境监测、抢险、救援及控制措施</w:t>
            </w:r>
          </w:p>
        </w:tc>
        <w:tc>
          <w:tcPr>
            <w:tcW w:w="6549" w:type="dxa"/>
            <w:vAlign w:val="center"/>
          </w:tcPr>
          <w:p w14:paraId="7FBAA64C" w14:textId="77777777" w:rsidR="00544649" w:rsidRDefault="00000000">
            <w:pPr>
              <w:pStyle w:val="aff7"/>
              <w:adjustRightInd w:val="0"/>
              <w:snapToGrid w:val="0"/>
              <w:spacing w:before="62" w:after="62"/>
              <w:jc w:val="both"/>
              <w:rPr>
                <w:rFonts w:cs="Times New Roman"/>
                <w:kern w:val="21"/>
                <w:szCs w:val="21"/>
              </w:rPr>
            </w:pPr>
            <w:r>
              <w:rPr>
                <w:rFonts w:cs="Times New Roman"/>
                <w:kern w:val="21"/>
                <w:szCs w:val="21"/>
              </w:rPr>
              <w:t>由专业队伍负责对事故现场进行侦察监测，对事故性质、参数与后果进行评估，为指挥部门提供决策依据。</w:t>
            </w:r>
          </w:p>
        </w:tc>
      </w:tr>
      <w:tr w:rsidR="00544649" w14:paraId="4BBE0F17" w14:textId="77777777">
        <w:tc>
          <w:tcPr>
            <w:tcW w:w="501" w:type="dxa"/>
            <w:vAlign w:val="center"/>
          </w:tcPr>
          <w:p w14:paraId="02FF3CDD"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7</w:t>
            </w:r>
          </w:p>
        </w:tc>
        <w:tc>
          <w:tcPr>
            <w:tcW w:w="2010" w:type="dxa"/>
            <w:vAlign w:val="center"/>
          </w:tcPr>
          <w:p w14:paraId="14CE9DB0"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应急检测、防护措施、清除泄漏措施和器材</w:t>
            </w:r>
          </w:p>
        </w:tc>
        <w:tc>
          <w:tcPr>
            <w:tcW w:w="6549" w:type="dxa"/>
            <w:vAlign w:val="center"/>
          </w:tcPr>
          <w:p w14:paraId="558433A4" w14:textId="77777777" w:rsidR="00544649" w:rsidRDefault="00000000">
            <w:pPr>
              <w:pStyle w:val="aff7"/>
              <w:adjustRightInd w:val="0"/>
              <w:snapToGrid w:val="0"/>
              <w:spacing w:before="62" w:after="62"/>
              <w:jc w:val="both"/>
              <w:rPr>
                <w:rFonts w:cs="Times New Roman"/>
                <w:kern w:val="21"/>
                <w:szCs w:val="21"/>
              </w:rPr>
            </w:pPr>
            <w:r>
              <w:rPr>
                <w:rFonts w:cs="Times New Roman"/>
                <w:kern w:val="21"/>
                <w:szCs w:val="21"/>
              </w:rPr>
              <w:t>事故现场、邻近区域、控制防火区域，控制和清除污染措施及相应设备、使用方法、使用人员。</w:t>
            </w:r>
          </w:p>
        </w:tc>
      </w:tr>
      <w:tr w:rsidR="00544649" w14:paraId="664B666A" w14:textId="77777777">
        <w:tc>
          <w:tcPr>
            <w:tcW w:w="501" w:type="dxa"/>
            <w:vAlign w:val="center"/>
          </w:tcPr>
          <w:p w14:paraId="5555D080"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8</w:t>
            </w:r>
          </w:p>
        </w:tc>
        <w:tc>
          <w:tcPr>
            <w:tcW w:w="2010" w:type="dxa"/>
            <w:vAlign w:val="center"/>
          </w:tcPr>
          <w:p w14:paraId="582CB4F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人员紧急撤离、疏散，应急剂量控制、撤离组织计划</w:t>
            </w:r>
          </w:p>
        </w:tc>
        <w:tc>
          <w:tcPr>
            <w:tcW w:w="6549" w:type="dxa"/>
            <w:vAlign w:val="center"/>
          </w:tcPr>
          <w:p w14:paraId="462721E0" w14:textId="77777777" w:rsidR="00544649" w:rsidRDefault="00000000">
            <w:pPr>
              <w:pStyle w:val="aff7"/>
              <w:adjustRightInd w:val="0"/>
              <w:snapToGrid w:val="0"/>
              <w:spacing w:before="62" w:after="62"/>
              <w:jc w:val="both"/>
              <w:rPr>
                <w:rFonts w:cs="Times New Roman"/>
                <w:kern w:val="21"/>
                <w:szCs w:val="21"/>
              </w:rPr>
            </w:pPr>
            <w:r>
              <w:rPr>
                <w:rFonts w:cs="Times New Roman"/>
                <w:kern w:val="21"/>
                <w:szCs w:val="21"/>
              </w:rPr>
              <w:t>事故现场、工厂邻近区、受事故影响的区域人员及公众对毒物应急剂量控制规定，撤离组织计划及救护，医疗救护与公众健康</w:t>
            </w:r>
          </w:p>
        </w:tc>
      </w:tr>
      <w:tr w:rsidR="00544649" w14:paraId="2621339E" w14:textId="77777777">
        <w:tc>
          <w:tcPr>
            <w:tcW w:w="501" w:type="dxa"/>
            <w:vAlign w:val="center"/>
          </w:tcPr>
          <w:p w14:paraId="75A4DAC1"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9</w:t>
            </w:r>
          </w:p>
        </w:tc>
        <w:tc>
          <w:tcPr>
            <w:tcW w:w="2010" w:type="dxa"/>
            <w:vAlign w:val="center"/>
          </w:tcPr>
          <w:p w14:paraId="50690DAE"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事故应急救援关闭程序与恢复措施</w:t>
            </w:r>
          </w:p>
        </w:tc>
        <w:tc>
          <w:tcPr>
            <w:tcW w:w="6549" w:type="dxa"/>
            <w:vAlign w:val="center"/>
          </w:tcPr>
          <w:p w14:paraId="693EB7E1" w14:textId="77777777" w:rsidR="00544649" w:rsidRDefault="00000000">
            <w:pPr>
              <w:pStyle w:val="aff7"/>
              <w:adjustRightInd w:val="0"/>
              <w:snapToGrid w:val="0"/>
              <w:spacing w:before="62" w:after="62"/>
              <w:jc w:val="both"/>
              <w:rPr>
                <w:rFonts w:cs="Times New Roman"/>
                <w:kern w:val="21"/>
                <w:szCs w:val="21"/>
              </w:rPr>
            </w:pPr>
            <w:r>
              <w:rPr>
                <w:rFonts w:cs="Times New Roman"/>
                <w:kern w:val="21"/>
                <w:szCs w:val="21"/>
              </w:rPr>
              <w:t>规定应急状态终止程序；事故现场善后处理、恢复措施；邻近区域解除事故警戒及善后恢复措施；制定有关的环境恢复措施；组织专业人员对事故后的环境变化进行监测，对事故应急措施的环境可行性进行后影响评价</w:t>
            </w:r>
          </w:p>
        </w:tc>
      </w:tr>
      <w:tr w:rsidR="00544649" w14:paraId="47356EC6" w14:textId="77777777">
        <w:tc>
          <w:tcPr>
            <w:tcW w:w="501" w:type="dxa"/>
            <w:vAlign w:val="center"/>
          </w:tcPr>
          <w:p w14:paraId="62C5F80F"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10</w:t>
            </w:r>
          </w:p>
        </w:tc>
        <w:tc>
          <w:tcPr>
            <w:tcW w:w="2010" w:type="dxa"/>
            <w:vAlign w:val="center"/>
          </w:tcPr>
          <w:p w14:paraId="5FCA321C"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应急培训计划</w:t>
            </w:r>
          </w:p>
        </w:tc>
        <w:tc>
          <w:tcPr>
            <w:tcW w:w="6549" w:type="dxa"/>
            <w:vAlign w:val="center"/>
          </w:tcPr>
          <w:p w14:paraId="6AF15421" w14:textId="77777777" w:rsidR="00544649" w:rsidRDefault="00000000">
            <w:pPr>
              <w:pStyle w:val="aff7"/>
              <w:adjustRightInd w:val="0"/>
              <w:snapToGrid w:val="0"/>
              <w:spacing w:before="62" w:after="62"/>
              <w:jc w:val="both"/>
              <w:rPr>
                <w:rFonts w:cs="Times New Roman"/>
                <w:kern w:val="21"/>
                <w:szCs w:val="21"/>
              </w:rPr>
            </w:pPr>
            <w:r>
              <w:rPr>
                <w:rFonts w:cs="Times New Roman"/>
                <w:kern w:val="21"/>
                <w:szCs w:val="21"/>
              </w:rPr>
              <w:t>根据公司的风险防范措施及事故应急计划，制定相应的培训计划，对公司应急小组成员及一般员工进行定期培训。对于环保管理人员和有关操作人员应建立</w:t>
            </w:r>
            <w:r>
              <w:rPr>
                <w:rFonts w:cs="Times New Roman"/>
                <w:kern w:val="21"/>
                <w:szCs w:val="21"/>
              </w:rPr>
              <w:t>“</w:t>
            </w:r>
            <w:r>
              <w:rPr>
                <w:rFonts w:cs="Times New Roman"/>
                <w:kern w:val="21"/>
                <w:szCs w:val="21"/>
              </w:rPr>
              <w:t>先培训、后上岗</w:t>
            </w:r>
            <w:r>
              <w:rPr>
                <w:rFonts w:cs="Times New Roman"/>
                <w:kern w:val="21"/>
                <w:szCs w:val="21"/>
              </w:rPr>
              <w:t>”</w:t>
            </w:r>
            <w:r>
              <w:rPr>
                <w:rFonts w:cs="Times New Roman"/>
                <w:kern w:val="21"/>
                <w:szCs w:val="21"/>
              </w:rPr>
              <w:t>、</w:t>
            </w:r>
            <w:r>
              <w:rPr>
                <w:rFonts w:cs="Times New Roman"/>
                <w:kern w:val="21"/>
                <w:szCs w:val="21"/>
              </w:rPr>
              <w:t>“</w:t>
            </w:r>
            <w:r>
              <w:rPr>
                <w:rFonts w:cs="Times New Roman"/>
                <w:kern w:val="21"/>
                <w:szCs w:val="21"/>
              </w:rPr>
              <w:t>定期培训安全和环保法规、知识以及突发性事故应急处理技术</w:t>
            </w:r>
            <w:r>
              <w:rPr>
                <w:rFonts w:cs="Times New Roman"/>
                <w:kern w:val="21"/>
                <w:szCs w:val="21"/>
              </w:rPr>
              <w:t>”</w:t>
            </w:r>
            <w:r>
              <w:rPr>
                <w:rFonts w:cs="Times New Roman"/>
                <w:kern w:val="21"/>
                <w:szCs w:val="21"/>
              </w:rPr>
              <w:t>的制度。</w:t>
            </w:r>
          </w:p>
        </w:tc>
      </w:tr>
      <w:tr w:rsidR="00544649" w14:paraId="2BF43A2C" w14:textId="77777777">
        <w:tc>
          <w:tcPr>
            <w:tcW w:w="501" w:type="dxa"/>
            <w:vAlign w:val="center"/>
          </w:tcPr>
          <w:p w14:paraId="67E7744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11</w:t>
            </w:r>
          </w:p>
        </w:tc>
        <w:tc>
          <w:tcPr>
            <w:tcW w:w="2010" w:type="dxa"/>
            <w:vAlign w:val="center"/>
          </w:tcPr>
          <w:p w14:paraId="3564932C"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公众教育和信息</w:t>
            </w:r>
          </w:p>
        </w:tc>
        <w:tc>
          <w:tcPr>
            <w:tcW w:w="6549" w:type="dxa"/>
            <w:vAlign w:val="center"/>
          </w:tcPr>
          <w:p w14:paraId="6E6ECE7B" w14:textId="77777777" w:rsidR="00544649" w:rsidRDefault="00000000">
            <w:pPr>
              <w:pStyle w:val="aff7"/>
              <w:adjustRightInd w:val="0"/>
              <w:snapToGrid w:val="0"/>
              <w:spacing w:before="62" w:after="62"/>
              <w:jc w:val="both"/>
              <w:rPr>
                <w:rFonts w:cs="Times New Roman"/>
                <w:kern w:val="21"/>
                <w:szCs w:val="21"/>
              </w:rPr>
            </w:pPr>
            <w:r>
              <w:rPr>
                <w:rFonts w:cs="Times New Roman"/>
                <w:kern w:val="21"/>
                <w:szCs w:val="21"/>
              </w:rPr>
              <w:t>利用企业对外宣传栏、周边村委会的公众宣传栏，以墙报、传单等形式对公司周边居民、工作人员进行危险化学品辨析、事故防范常识、应急处理措施等内容的宣传。向居民开设环境风险防范座谈会，邀请专业技术人员宣讲风险防范知识。</w:t>
            </w:r>
          </w:p>
        </w:tc>
      </w:tr>
    </w:tbl>
    <w:p w14:paraId="53687CA1"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环境风险突发事故建议</w:t>
      </w:r>
    </w:p>
    <w:p w14:paraId="6A8213BD" w14:textId="77777777" w:rsidR="00544649" w:rsidRDefault="00000000">
      <w:pPr>
        <w:adjustRightInd w:val="0"/>
        <w:snapToGrid w:val="0"/>
        <w:spacing w:after="0"/>
        <w:ind w:firstLine="480"/>
        <w:rPr>
          <w:rFonts w:cs="Times New Roman"/>
          <w:kern w:val="21"/>
        </w:rPr>
      </w:pPr>
      <w:r>
        <w:rPr>
          <w:rFonts w:cs="Times New Roman"/>
          <w:kern w:val="21"/>
        </w:rPr>
        <w:t>根据《建设项目环境风险评价技术导则》（</w:t>
      </w:r>
      <w:r>
        <w:rPr>
          <w:rFonts w:cs="Times New Roman"/>
          <w:kern w:val="21"/>
        </w:rPr>
        <w:t>HJ/T169-2018</w:t>
      </w:r>
      <w:r>
        <w:rPr>
          <w:rFonts w:cs="Times New Roman"/>
          <w:kern w:val="21"/>
        </w:rPr>
        <w:t>）中规定的</w:t>
      </w:r>
      <w:r>
        <w:rPr>
          <w:rFonts w:cs="Times New Roman"/>
          <w:kern w:val="21"/>
        </w:rPr>
        <w:t>“</w:t>
      </w:r>
      <w:r>
        <w:rPr>
          <w:rFonts w:cs="Times New Roman"/>
          <w:kern w:val="21"/>
        </w:rPr>
        <w:t>环境风险的突发性事故应急预案纲要</w:t>
      </w:r>
      <w:r>
        <w:rPr>
          <w:rFonts w:cs="Times New Roman"/>
          <w:kern w:val="21"/>
        </w:rPr>
        <w:t>”</w:t>
      </w:r>
      <w:r>
        <w:rPr>
          <w:rFonts w:cs="Times New Roman"/>
          <w:kern w:val="21"/>
        </w:rPr>
        <w:t>，结合本项目的实际情况，</w:t>
      </w:r>
      <w:proofErr w:type="gramStart"/>
      <w:r>
        <w:rPr>
          <w:rFonts w:cs="Times New Roman"/>
          <w:kern w:val="21"/>
        </w:rPr>
        <w:t>本评价</w:t>
      </w:r>
      <w:proofErr w:type="gramEnd"/>
      <w:r>
        <w:rPr>
          <w:rFonts w:cs="Times New Roman"/>
          <w:kern w:val="21"/>
        </w:rPr>
        <w:t>提出如下环境风险突发事故应急预案建议：</w:t>
      </w:r>
    </w:p>
    <w:p w14:paraId="1B3C1F0A" w14:textId="77777777" w:rsidR="00544649" w:rsidRDefault="00000000">
      <w:pPr>
        <w:adjustRightInd w:val="0"/>
        <w:snapToGrid w:val="0"/>
        <w:spacing w:after="0"/>
        <w:ind w:firstLine="482"/>
        <w:rPr>
          <w:rFonts w:cs="Times New Roman"/>
          <w:b/>
          <w:bCs/>
          <w:kern w:val="21"/>
        </w:rPr>
      </w:pPr>
      <w:r>
        <w:rPr>
          <w:rFonts w:cs="Times New Roman" w:hint="eastAsia"/>
          <w:b/>
          <w:bCs/>
          <w:kern w:val="21"/>
        </w:rPr>
        <w:t>一、</w:t>
      </w:r>
      <w:r>
        <w:rPr>
          <w:rFonts w:cs="Times New Roman"/>
          <w:b/>
          <w:bCs/>
          <w:kern w:val="21"/>
        </w:rPr>
        <w:t>泄漏应急处理建议</w:t>
      </w:r>
    </w:p>
    <w:p w14:paraId="6C7F9341" w14:textId="77777777" w:rsidR="00544649" w:rsidRDefault="00000000">
      <w:pPr>
        <w:adjustRightInd w:val="0"/>
        <w:snapToGrid w:val="0"/>
        <w:spacing w:after="0"/>
        <w:ind w:firstLine="480"/>
        <w:rPr>
          <w:rFonts w:cs="Times New Roman"/>
          <w:kern w:val="21"/>
        </w:rPr>
      </w:pPr>
      <w:r>
        <w:rPr>
          <w:rFonts w:cs="Times New Roman"/>
          <w:kern w:val="21"/>
        </w:rPr>
        <w:t>迅速撤离泄漏污染区人员至上风处，并进行隔离，严格限制出入。切断火源。建</w:t>
      </w:r>
      <w:r>
        <w:rPr>
          <w:rFonts w:cs="Times New Roman"/>
          <w:kern w:val="21"/>
        </w:rPr>
        <w:lastRenderedPageBreak/>
        <w:t>议应急处理人员戴自给正压式呼吸器，穿消防防护服。尽可能切断泄漏源。合理通风，加速扩散。</w:t>
      </w:r>
      <w:proofErr w:type="gramStart"/>
      <w:r>
        <w:rPr>
          <w:rFonts w:cs="Times New Roman"/>
          <w:kern w:val="21"/>
        </w:rPr>
        <w:t>喷雾状水稀释</w:t>
      </w:r>
      <w:proofErr w:type="gramEnd"/>
      <w:r>
        <w:rPr>
          <w:rFonts w:cs="Times New Roman"/>
          <w:kern w:val="21"/>
        </w:rPr>
        <w:t>、溶解。构筑围堤或挖坑收容产生的大量废水。如有可能，将漏出气用排风机送至空旷地方或装设适当喷头烧掉。也可以将漏气的容器移至空旷处，注意通风。漏气容器要妥善处理，修复、检验后再用。</w:t>
      </w:r>
    </w:p>
    <w:p w14:paraId="75410F88" w14:textId="77777777" w:rsidR="00544649" w:rsidRDefault="00000000">
      <w:pPr>
        <w:adjustRightInd w:val="0"/>
        <w:snapToGrid w:val="0"/>
        <w:spacing w:after="0"/>
        <w:ind w:firstLine="482"/>
        <w:rPr>
          <w:rFonts w:cs="Times New Roman"/>
          <w:b/>
          <w:bCs/>
          <w:kern w:val="21"/>
        </w:rPr>
      </w:pPr>
      <w:r>
        <w:rPr>
          <w:rFonts w:cs="Times New Roman" w:hint="eastAsia"/>
          <w:b/>
          <w:bCs/>
          <w:kern w:val="21"/>
        </w:rPr>
        <w:t>二、</w:t>
      </w:r>
      <w:r>
        <w:rPr>
          <w:rFonts w:cs="Times New Roman"/>
          <w:b/>
          <w:bCs/>
          <w:kern w:val="21"/>
        </w:rPr>
        <w:t>急救措施建议</w:t>
      </w:r>
    </w:p>
    <w:p w14:paraId="5BFDDC66" w14:textId="77777777" w:rsidR="00544649" w:rsidRDefault="00000000">
      <w:pPr>
        <w:adjustRightInd w:val="0"/>
        <w:snapToGrid w:val="0"/>
        <w:spacing w:after="0"/>
        <w:ind w:firstLine="480"/>
        <w:rPr>
          <w:rFonts w:cs="Times New Roman"/>
          <w:kern w:val="21"/>
        </w:rPr>
      </w:pPr>
      <w:r>
        <w:rPr>
          <w:rFonts w:cs="Times New Roman"/>
          <w:kern w:val="21"/>
        </w:rPr>
        <w:t>迅速脱离现场至空气新鲜处。保持呼吸道通畅。如呼吸困难，给输氧。如呼吸停止，立即进行人工呼吸。就医。灭火方法：切断气源。若不能立即切断气源，则不允许熄灭正在燃烧的气体。喷水冷却容器，可能的话将容器从火场移至空旷处。灭火剂：雾状水、泡沫、二氧化碳、干粉。</w:t>
      </w:r>
    </w:p>
    <w:p w14:paraId="34FD28F8" w14:textId="77777777" w:rsidR="00544649" w:rsidRDefault="00000000">
      <w:pPr>
        <w:widowControl/>
        <w:adjustRightInd w:val="0"/>
        <w:snapToGrid w:val="0"/>
        <w:spacing w:after="0"/>
        <w:ind w:firstLine="482"/>
        <w:jc w:val="left"/>
        <w:rPr>
          <w:kern w:val="21"/>
        </w:rPr>
      </w:pPr>
      <w:r>
        <w:rPr>
          <w:rFonts w:cs="Times New Roman" w:hint="eastAsia"/>
          <w:b/>
          <w:bCs/>
          <w:kern w:val="21"/>
        </w:rPr>
        <w:t>三、</w:t>
      </w:r>
      <w:r>
        <w:rPr>
          <w:rFonts w:ascii="宋体" w:hAnsi="宋体" w:cs="宋体" w:hint="eastAsia"/>
          <w:b/>
          <w:bCs/>
          <w:kern w:val="21"/>
          <w:szCs w:val="24"/>
          <w:lang w:bidi="ar"/>
        </w:rPr>
        <w:t>天然气泄漏应急措施</w:t>
      </w:r>
    </w:p>
    <w:p w14:paraId="6F198BDB" w14:textId="77777777" w:rsidR="00544649" w:rsidRDefault="00000000">
      <w:pPr>
        <w:adjustRightInd w:val="0"/>
        <w:snapToGrid w:val="0"/>
        <w:spacing w:after="0"/>
        <w:ind w:firstLine="480"/>
        <w:rPr>
          <w:kern w:val="21"/>
        </w:rPr>
      </w:pPr>
      <w:r>
        <w:rPr>
          <w:rFonts w:hint="eastAsia"/>
          <w:kern w:val="21"/>
        </w:rPr>
        <w:t>（</w:t>
      </w:r>
      <w:r>
        <w:rPr>
          <w:kern w:val="21"/>
        </w:rPr>
        <w:t>1</w:t>
      </w:r>
      <w:r>
        <w:rPr>
          <w:rFonts w:hint="eastAsia"/>
          <w:kern w:val="21"/>
        </w:rPr>
        <w:t>）迅速脱离现场至空气新鲜处。保持呼吸道通畅。如呼吸困难，需立即进行输氧。如呼吸停止，立即进行人工呼吸并就医。</w:t>
      </w:r>
    </w:p>
    <w:p w14:paraId="421741A0" w14:textId="77777777" w:rsidR="00544649" w:rsidRDefault="00000000">
      <w:pPr>
        <w:adjustRightInd w:val="0"/>
        <w:snapToGrid w:val="0"/>
        <w:spacing w:after="0"/>
        <w:ind w:firstLine="480"/>
        <w:rPr>
          <w:kern w:val="21"/>
        </w:rPr>
      </w:pPr>
      <w:r>
        <w:rPr>
          <w:rFonts w:hint="eastAsia"/>
          <w:kern w:val="21"/>
        </w:rPr>
        <w:t>（</w:t>
      </w:r>
      <w:r>
        <w:rPr>
          <w:kern w:val="21"/>
        </w:rPr>
        <w:t>2</w:t>
      </w:r>
      <w:r>
        <w:rPr>
          <w:rFonts w:hint="eastAsia"/>
          <w:kern w:val="21"/>
        </w:rPr>
        <w:t>）切断气源，若不能切断气源，则不允许熄灭泄漏处的火焰，喷水冷却容器，尽可能将容器从火场移至空旷处。可用的灭火剂有泡沫、二氧化碳、雾状水（溶于水）。</w:t>
      </w:r>
    </w:p>
    <w:p w14:paraId="113D74B7" w14:textId="77777777" w:rsidR="00544649" w:rsidRDefault="00000000">
      <w:pPr>
        <w:adjustRightInd w:val="0"/>
        <w:snapToGrid w:val="0"/>
        <w:spacing w:after="0"/>
        <w:ind w:firstLine="480"/>
        <w:rPr>
          <w:kern w:val="21"/>
        </w:rPr>
      </w:pPr>
      <w:r>
        <w:rPr>
          <w:rFonts w:hint="eastAsia"/>
          <w:kern w:val="21"/>
        </w:rPr>
        <w:t>（</w:t>
      </w:r>
      <w:r>
        <w:rPr>
          <w:kern w:val="21"/>
        </w:rPr>
        <w:t>3</w:t>
      </w:r>
      <w:r>
        <w:rPr>
          <w:rFonts w:hint="eastAsia"/>
          <w:kern w:val="21"/>
        </w:rPr>
        <w:t>）消除</w:t>
      </w:r>
      <w:proofErr w:type="gramStart"/>
      <w:r>
        <w:rPr>
          <w:rFonts w:hint="eastAsia"/>
          <w:kern w:val="21"/>
        </w:rPr>
        <w:t>所有点</w:t>
      </w:r>
      <w:proofErr w:type="gramEnd"/>
      <w:r>
        <w:rPr>
          <w:rFonts w:hint="eastAsia"/>
          <w:kern w:val="21"/>
        </w:rPr>
        <w:t>火源，根据气体的影响区域划定警戒区，无关人员从侧风口或上风口撤离至安全区；静风泄漏时，液化石油气沉在底部并向低洼处流动，无关人员向高处撤离，建议应急处理人员佩戴正压式空气呼吸器，穿戴防静电、防寒衣服。作业时使用所有设备应为</w:t>
      </w:r>
      <w:proofErr w:type="gramStart"/>
      <w:r>
        <w:rPr>
          <w:rFonts w:hint="eastAsia"/>
          <w:kern w:val="21"/>
        </w:rPr>
        <w:t>防爆且</w:t>
      </w:r>
      <w:proofErr w:type="gramEnd"/>
      <w:r>
        <w:rPr>
          <w:rFonts w:hint="eastAsia"/>
          <w:kern w:val="21"/>
        </w:rPr>
        <w:t>接地，禁止接触或跨越泄漏物，尽可能切断泄漏源，若可以翻转容器，使之逸出气体而非液体。喷雾</w:t>
      </w:r>
      <w:proofErr w:type="gramStart"/>
      <w:r>
        <w:rPr>
          <w:rFonts w:hint="eastAsia"/>
          <w:kern w:val="21"/>
        </w:rPr>
        <w:t>状水抑制蒸气</w:t>
      </w:r>
      <w:proofErr w:type="gramEnd"/>
      <w:r>
        <w:rPr>
          <w:rFonts w:hint="eastAsia"/>
          <w:kern w:val="21"/>
        </w:rPr>
        <w:t>或改变</w:t>
      </w:r>
      <w:proofErr w:type="gramStart"/>
      <w:r>
        <w:rPr>
          <w:rFonts w:hint="eastAsia"/>
          <w:kern w:val="21"/>
        </w:rPr>
        <w:t>蒸气</w:t>
      </w:r>
      <w:proofErr w:type="gramEnd"/>
      <w:r>
        <w:rPr>
          <w:rFonts w:hint="eastAsia"/>
          <w:kern w:val="21"/>
        </w:rPr>
        <w:t>云流向，避免水流接触泄漏物。禁止用水直接冲击泄漏物或泄漏源。防止气体通过下水道、通风系统和密闭</w:t>
      </w:r>
      <w:proofErr w:type="gramStart"/>
      <w:r>
        <w:rPr>
          <w:rFonts w:hint="eastAsia"/>
          <w:kern w:val="21"/>
        </w:rPr>
        <w:t>性空间</w:t>
      </w:r>
      <w:proofErr w:type="gramEnd"/>
      <w:r>
        <w:rPr>
          <w:rFonts w:hint="eastAsia"/>
          <w:kern w:val="21"/>
        </w:rPr>
        <w:t>扩散，隔离泄漏区直至气体散尽。</w:t>
      </w:r>
    </w:p>
    <w:p w14:paraId="7DB33EEF" w14:textId="77777777" w:rsidR="00544649" w:rsidRDefault="00000000">
      <w:pPr>
        <w:widowControl/>
        <w:adjustRightInd w:val="0"/>
        <w:snapToGrid w:val="0"/>
        <w:spacing w:after="0"/>
        <w:ind w:firstLine="482"/>
        <w:jc w:val="left"/>
        <w:rPr>
          <w:kern w:val="21"/>
        </w:rPr>
      </w:pPr>
      <w:r>
        <w:rPr>
          <w:rFonts w:hint="eastAsia"/>
          <w:b/>
          <w:bCs/>
          <w:kern w:val="21"/>
        </w:rPr>
        <w:t>四、</w:t>
      </w:r>
      <w:r>
        <w:rPr>
          <w:rFonts w:ascii="宋体" w:hAnsi="宋体" w:cs="宋体" w:hint="eastAsia"/>
          <w:b/>
          <w:bCs/>
          <w:kern w:val="21"/>
          <w:szCs w:val="24"/>
          <w:lang w:bidi="ar"/>
        </w:rPr>
        <w:t>畜禽疫病事故应急措施</w:t>
      </w:r>
    </w:p>
    <w:p w14:paraId="60824857" w14:textId="77777777" w:rsidR="00544649" w:rsidRDefault="00000000">
      <w:pPr>
        <w:adjustRightInd w:val="0"/>
        <w:snapToGrid w:val="0"/>
        <w:spacing w:after="0"/>
        <w:ind w:firstLine="480"/>
        <w:rPr>
          <w:kern w:val="21"/>
        </w:rPr>
      </w:pPr>
      <w:r>
        <w:rPr>
          <w:rFonts w:hint="eastAsia"/>
          <w:kern w:val="21"/>
        </w:rPr>
        <w:t>一旦发现养殖场蛋鸡发生疾病、疫情，应立即采取紧急防治措施，防止疫情扩散。</w:t>
      </w:r>
    </w:p>
    <w:p w14:paraId="011E12A4" w14:textId="77777777" w:rsidR="00544649" w:rsidRDefault="00000000">
      <w:pPr>
        <w:adjustRightInd w:val="0"/>
        <w:snapToGrid w:val="0"/>
        <w:spacing w:after="0"/>
        <w:ind w:firstLine="480"/>
        <w:rPr>
          <w:kern w:val="21"/>
        </w:rPr>
      </w:pPr>
      <w:r>
        <w:rPr>
          <w:rFonts w:hint="eastAsia"/>
          <w:kern w:val="21"/>
        </w:rPr>
        <w:t>（</w:t>
      </w:r>
      <w:r>
        <w:rPr>
          <w:kern w:val="21"/>
        </w:rPr>
        <w:t>1</w:t>
      </w:r>
      <w:r>
        <w:rPr>
          <w:rFonts w:hint="eastAsia"/>
          <w:kern w:val="21"/>
        </w:rPr>
        <w:t>）应立即组成防疫小组，尽快确切诊断，迅速向有关上级部门报告疫情。</w:t>
      </w:r>
    </w:p>
    <w:p w14:paraId="79BDD9AB" w14:textId="77777777" w:rsidR="00544649" w:rsidRDefault="00000000">
      <w:pPr>
        <w:adjustRightInd w:val="0"/>
        <w:snapToGrid w:val="0"/>
        <w:spacing w:after="0"/>
        <w:ind w:firstLine="480"/>
        <w:rPr>
          <w:kern w:val="21"/>
        </w:rPr>
      </w:pPr>
      <w:r>
        <w:rPr>
          <w:rFonts w:hint="eastAsia"/>
          <w:kern w:val="21"/>
        </w:rPr>
        <w:t>（</w:t>
      </w:r>
      <w:r>
        <w:rPr>
          <w:kern w:val="21"/>
        </w:rPr>
        <w:t>2</w:t>
      </w:r>
      <w:r>
        <w:rPr>
          <w:rFonts w:hint="eastAsia"/>
          <w:kern w:val="21"/>
        </w:rPr>
        <w:t>）迅速隔离病鸡，对危害较重的传染病应及时划区封锁，建立封锁带，出入人员和车辆要严格消毒，同时严格消毒污染环境。解除封锁的条件是在最后一头病鸡痊愈或屠宰后两个潜伏期内再无新病例出现，经过全面大消毒，报上级主管部门批准，方可解除封锁。</w:t>
      </w:r>
    </w:p>
    <w:p w14:paraId="035468E4" w14:textId="77777777" w:rsidR="00544649" w:rsidRDefault="00000000">
      <w:pPr>
        <w:adjustRightInd w:val="0"/>
        <w:snapToGrid w:val="0"/>
        <w:spacing w:after="0"/>
        <w:ind w:firstLine="480"/>
        <w:rPr>
          <w:kern w:val="21"/>
        </w:rPr>
      </w:pPr>
      <w:r>
        <w:rPr>
          <w:rFonts w:hint="eastAsia"/>
          <w:kern w:val="21"/>
        </w:rPr>
        <w:t>（</w:t>
      </w:r>
      <w:r>
        <w:rPr>
          <w:kern w:val="21"/>
        </w:rPr>
        <w:t>3</w:t>
      </w:r>
      <w:r>
        <w:rPr>
          <w:rFonts w:hint="eastAsia"/>
          <w:kern w:val="21"/>
        </w:rPr>
        <w:t>）对鸡场及封锁区内的鸡只实行合理的综合防治措施，包括疫苗的紧急接种、抗生素疗法、高免血清的特异性疗法、化学疗法、增强体质和生理机能的辅助疗法等。</w:t>
      </w:r>
    </w:p>
    <w:p w14:paraId="5848A3E8" w14:textId="77777777" w:rsidR="00544649" w:rsidRDefault="00000000">
      <w:pPr>
        <w:adjustRightInd w:val="0"/>
        <w:snapToGrid w:val="0"/>
        <w:spacing w:after="0"/>
        <w:ind w:firstLine="480"/>
        <w:rPr>
          <w:kern w:val="21"/>
        </w:rPr>
      </w:pPr>
      <w:r>
        <w:rPr>
          <w:rFonts w:hint="eastAsia"/>
          <w:kern w:val="21"/>
        </w:rPr>
        <w:t>（</w:t>
      </w:r>
      <w:r>
        <w:rPr>
          <w:kern w:val="21"/>
        </w:rPr>
        <w:t>4</w:t>
      </w:r>
      <w:r>
        <w:rPr>
          <w:rFonts w:hint="eastAsia"/>
          <w:kern w:val="21"/>
        </w:rPr>
        <w:t>）病鸡尸体要严格按照防疫条例进行处置。</w:t>
      </w:r>
    </w:p>
    <w:p w14:paraId="75C4D425" w14:textId="77777777" w:rsidR="00544649" w:rsidRDefault="00000000">
      <w:pPr>
        <w:adjustRightInd w:val="0"/>
        <w:snapToGrid w:val="0"/>
        <w:spacing w:after="0"/>
        <w:ind w:firstLine="480"/>
        <w:rPr>
          <w:kern w:val="21"/>
        </w:rPr>
      </w:pPr>
      <w:r>
        <w:rPr>
          <w:rFonts w:hint="eastAsia"/>
          <w:kern w:val="21"/>
        </w:rPr>
        <w:lastRenderedPageBreak/>
        <w:t>（</w:t>
      </w:r>
      <w:r>
        <w:rPr>
          <w:kern w:val="21"/>
        </w:rPr>
        <w:t>5</w:t>
      </w:r>
      <w:r>
        <w:rPr>
          <w:rFonts w:hint="eastAsia"/>
          <w:kern w:val="21"/>
        </w:rPr>
        <w:t>）出现重大疫情时必须严格执行《重大动物疫情应急条例》中相关规定。其中报告制度如下：从事动物隔离、疫情监测、疫病研究与诊疗、检验检疫以及动物饲养、屠宰加工、运输、经营等活动的有关单位和个人，发现动物出现群体发病或者死亡的，应当立即向所在地的县（市）动物防疫监督机构报告。重大动物疫情报告包括下列内容：</w:t>
      </w:r>
    </w:p>
    <w:p w14:paraId="1B0B909F" w14:textId="77777777" w:rsidR="00544649" w:rsidRDefault="00000000">
      <w:pPr>
        <w:adjustRightInd w:val="0"/>
        <w:snapToGrid w:val="0"/>
        <w:spacing w:after="0"/>
        <w:ind w:firstLine="480"/>
        <w:rPr>
          <w:kern w:val="21"/>
        </w:rPr>
      </w:pPr>
      <w:r>
        <w:rPr>
          <w:rFonts w:hint="eastAsia"/>
          <w:kern w:val="21"/>
        </w:rPr>
        <w:t>①疫情发生地时间、地点；</w:t>
      </w:r>
    </w:p>
    <w:p w14:paraId="25B7DCEF" w14:textId="77777777" w:rsidR="00544649" w:rsidRDefault="00000000">
      <w:pPr>
        <w:adjustRightInd w:val="0"/>
        <w:snapToGrid w:val="0"/>
        <w:spacing w:after="0"/>
        <w:ind w:firstLine="480"/>
        <w:rPr>
          <w:kern w:val="21"/>
        </w:rPr>
      </w:pPr>
      <w:r>
        <w:rPr>
          <w:rFonts w:hint="eastAsia"/>
          <w:kern w:val="21"/>
        </w:rPr>
        <w:t>②染疫、疑似染疫动物种类和数量、同群动物数量、免疫情况、死亡数量、临床症状、病理变化、诊断情况；</w:t>
      </w:r>
    </w:p>
    <w:p w14:paraId="19A38702" w14:textId="77777777" w:rsidR="00544649" w:rsidRDefault="00000000">
      <w:pPr>
        <w:adjustRightInd w:val="0"/>
        <w:snapToGrid w:val="0"/>
        <w:spacing w:after="0"/>
        <w:ind w:firstLine="480"/>
        <w:rPr>
          <w:kern w:val="21"/>
        </w:rPr>
      </w:pPr>
      <w:r>
        <w:rPr>
          <w:rFonts w:hint="eastAsia"/>
          <w:kern w:val="21"/>
        </w:rPr>
        <w:t>③流行病学和疫源追踪情况；</w:t>
      </w:r>
    </w:p>
    <w:p w14:paraId="317F0476" w14:textId="77777777" w:rsidR="00544649" w:rsidRDefault="00000000">
      <w:pPr>
        <w:adjustRightInd w:val="0"/>
        <w:snapToGrid w:val="0"/>
        <w:spacing w:after="0"/>
        <w:ind w:firstLine="480"/>
        <w:rPr>
          <w:kern w:val="21"/>
        </w:rPr>
      </w:pPr>
      <w:r>
        <w:rPr>
          <w:rFonts w:hint="eastAsia"/>
          <w:kern w:val="21"/>
        </w:rPr>
        <w:t>④已采取的控制措施；</w:t>
      </w:r>
    </w:p>
    <w:p w14:paraId="70DAE733" w14:textId="77777777" w:rsidR="00544649" w:rsidRDefault="00000000">
      <w:pPr>
        <w:adjustRightInd w:val="0"/>
        <w:snapToGrid w:val="0"/>
        <w:spacing w:after="0"/>
        <w:ind w:firstLine="480"/>
        <w:rPr>
          <w:kern w:val="21"/>
        </w:rPr>
      </w:pPr>
      <w:r>
        <w:rPr>
          <w:rFonts w:hint="eastAsia"/>
          <w:kern w:val="21"/>
        </w:rPr>
        <w:t>⑤疫情报告的单位、负责人、报告人及联系方式。有关单位和个人对重大动物疫情不得瞒报、谎报、迟报，不得授意他人瞒报、谎报、迟报，不得阻碍他人报告。</w:t>
      </w:r>
    </w:p>
    <w:p w14:paraId="18E4828C" w14:textId="77777777" w:rsidR="00544649" w:rsidRDefault="00000000">
      <w:pPr>
        <w:adjustRightInd w:val="0"/>
        <w:snapToGrid w:val="0"/>
        <w:spacing w:after="0"/>
        <w:ind w:firstLine="480"/>
        <w:rPr>
          <w:kern w:val="21"/>
        </w:rPr>
      </w:pPr>
      <w:r>
        <w:rPr>
          <w:rFonts w:hint="eastAsia"/>
          <w:kern w:val="21"/>
        </w:rPr>
        <w:t>（</w:t>
      </w:r>
      <w:r>
        <w:rPr>
          <w:kern w:val="21"/>
        </w:rPr>
        <w:t>6</w:t>
      </w:r>
      <w:r>
        <w:rPr>
          <w:rFonts w:hint="eastAsia"/>
          <w:kern w:val="21"/>
        </w:rPr>
        <w:t>）发生疫情后针对</w:t>
      </w:r>
      <w:proofErr w:type="gramStart"/>
      <w:r>
        <w:rPr>
          <w:rFonts w:hint="eastAsia"/>
          <w:kern w:val="21"/>
        </w:rPr>
        <w:t>疫</w:t>
      </w:r>
      <w:proofErr w:type="gramEnd"/>
      <w:r>
        <w:rPr>
          <w:rFonts w:hint="eastAsia"/>
          <w:kern w:val="21"/>
        </w:rPr>
        <w:t>点采取的应急措施如下：</w:t>
      </w:r>
    </w:p>
    <w:p w14:paraId="1170E172" w14:textId="77777777" w:rsidR="00544649" w:rsidRDefault="00000000">
      <w:pPr>
        <w:adjustRightInd w:val="0"/>
        <w:snapToGrid w:val="0"/>
        <w:spacing w:after="0"/>
        <w:ind w:firstLine="480"/>
        <w:rPr>
          <w:kern w:val="21"/>
        </w:rPr>
      </w:pPr>
      <w:r>
        <w:rPr>
          <w:rFonts w:hint="eastAsia"/>
          <w:kern w:val="21"/>
        </w:rPr>
        <w:t>①扑杀并销毁染疫动物和易感染的动物及其产品；</w:t>
      </w:r>
    </w:p>
    <w:p w14:paraId="328588D0" w14:textId="77777777" w:rsidR="00544649" w:rsidRDefault="00000000">
      <w:pPr>
        <w:adjustRightInd w:val="0"/>
        <w:snapToGrid w:val="0"/>
        <w:spacing w:after="0"/>
        <w:ind w:firstLine="480"/>
        <w:rPr>
          <w:kern w:val="21"/>
        </w:rPr>
      </w:pPr>
      <w:r>
        <w:rPr>
          <w:rFonts w:hint="eastAsia"/>
          <w:kern w:val="21"/>
        </w:rPr>
        <w:t>②对病死的动物、动物排泄物、被污染饲料、污水进行无害化处理；</w:t>
      </w:r>
    </w:p>
    <w:p w14:paraId="47DE6875" w14:textId="77777777" w:rsidR="00544649" w:rsidRDefault="00000000">
      <w:pPr>
        <w:adjustRightInd w:val="0"/>
        <w:snapToGrid w:val="0"/>
        <w:spacing w:after="0"/>
        <w:ind w:firstLine="480"/>
        <w:rPr>
          <w:kern w:val="21"/>
        </w:rPr>
      </w:pPr>
      <w:r>
        <w:rPr>
          <w:rFonts w:hint="eastAsia"/>
          <w:kern w:val="21"/>
        </w:rPr>
        <w:t>③对被污染的物品、用具、动物圈舍、场地进行严格消毒。</w:t>
      </w:r>
    </w:p>
    <w:p w14:paraId="3A5A22A0" w14:textId="77777777" w:rsidR="00544649" w:rsidRDefault="00000000">
      <w:pPr>
        <w:adjustRightInd w:val="0"/>
        <w:snapToGrid w:val="0"/>
        <w:spacing w:after="0"/>
        <w:ind w:firstLine="480"/>
        <w:rPr>
          <w:kern w:val="21"/>
        </w:rPr>
      </w:pPr>
      <w:r>
        <w:rPr>
          <w:rFonts w:hint="eastAsia"/>
          <w:kern w:val="21"/>
        </w:rPr>
        <w:t>（</w:t>
      </w:r>
      <w:r>
        <w:rPr>
          <w:kern w:val="21"/>
        </w:rPr>
        <w:t>7</w:t>
      </w:r>
      <w:r>
        <w:rPr>
          <w:rFonts w:hint="eastAsia"/>
          <w:kern w:val="21"/>
        </w:rPr>
        <w:t>）对疫区应当采取下列措施：</w:t>
      </w:r>
    </w:p>
    <w:p w14:paraId="2EEF30F6" w14:textId="77777777" w:rsidR="00544649" w:rsidRDefault="00000000">
      <w:pPr>
        <w:adjustRightInd w:val="0"/>
        <w:snapToGrid w:val="0"/>
        <w:spacing w:after="0"/>
        <w:ind w:firstLine="480"/>
        <w:rPr>
          <w:kern w:val="21"/>
        </w:rPr>
      </w:pPr>
      <w:r>
        <w:rPr>
          <w:rFonts w:hint="eastAsia"/>
          <w:kern w:val="21"/>
        </w:rPr>
        <w:t>①在疫区周围设置警示标志，在出入疫区的交通路口设置临时动物检疫消毒站，对出入的人员和车辆进行消毒；</w:t>
      </w:r>
    </w:p>
    <w:p w14:paraId="2936293B" w14:textId="77777777" w:rsidR="00544649" w:rsidRDefault="00000000">
      <w:pPr>
        <w:adjustRightInd w:val="0"/>
        <w:snapToGrid w:val="0"/>
        <w:spacing w:after="0"/>
        <w:ind w:firstLine="480"/>
        <w:rPr>
          <w:kern w:val="21"/>
        </w:rPr>
      </w:pPr>
      <w:r>
        <w:rPr>
          <w:rFonts w:hint="eastAsia"/>
          <w:kern w:val="21"/>
        </w:rPr>
        <w:t>②扑杀并销毁染疫和疑似染疫动物及其同群动物，销毁染疫和疑似染疫的动物产品，对其他易感染的动物实行圈养或者在指定地点放养，役用动物限制在疫区内使役；</w:t>
      </w:r>
    </w:p>
    <w:p w14:paraId="1DD88A70" w14:textId="77777777" w:rsidR="00544649" w:rsidRDefault="00000000">
      <w:pPr>
        <w:adjustRightInd w:val="0"/>
        <w:snapToGrid w:val="0"/>
        <w:spacing w:after="0"/>
        <w:ind w:firstLine="480"/>
        <w:rPr>
          <w:kern w:val="21"/>
        </w:rPr>
      </w:pPr>
      <w:r>
        <w:rPr>
          <w:rFonts w:hint="eastAsia"/>
          <w:kern w:val="21"/>
        </w:rPr>
        <w:t>③对易感染的动物进行监测，并按照国务院兽医主管部门的规定实施紧急免疫接种，必要时对易感染的动物进行扑杀；</w:t>
      </w:r>
    </w:p>
    <w:p w14:paraId="1743A18A" w14:textId="77777777" w:rsidR="00544649" w:rsidRDefault="00000000">
      <w:pPr>
        <w:adjustRightInd w:val="0"/>
        <w:snapToGrid w:val="0"/>
        <w:spacing w:after="0"/>
        <w:ind w:firstLine="480"/>
        <w:rPr>
          <w:kern w:val="21"/>
        </w:rPr>
      </w:pPr>
      <w:r>
        <w:rPr>
          <w:rFonts w:hint="eastAsia"/>
          <w:kern w:val="21"/>
        </w:rPr>
        <w:t>④关闭动物及动物产品交易市场，禁止动物进出疫区和动物产品运出疫区；</w:t>
      </w:r>
    </w:p>
    <w:p w14:paraId="1898DD1D" w14:textId="77777777" w:rsidR="00544649" w:rsidRDefault="00000000">
      <w:pPr>
        <w:adjustRightInd w:val="0"/>
        <w:snapToGrid w:val="0"/>
        <w:spacing w:after="0"/>
        <w:ind w:firstLine="480"/>
        <w:rPr>
          <w:kern w:val="21"/>
        </w:rPr>
      </w:pPr>
      <w:r>
        <w:rPr>
          <w:rFonts w:hint="eastAsia"/>
          <w:kern w:val="21"/>
        </w:rPr>
        <w:t>⑤对动物圈舍、动物排泄物、污水和其他可能受污染的物品、场地，进行消毒或者无害化处理。</w:t>
      </w:r>
    </w:p>
    <w:p w14:paraId="3B675AEE" w14:textId="77777777" w:rsidR="00544649" w:rsidRDefault="00000000">
      <w:pPr>
        <w:adjustRightInd w:val="0"/>
        <w:snapToGrid w:val="0"/>
        <w:spacing w:after="0"/>
        <w:ind w:firstLine="480"/>
        <w:rPr>
          <w:rFonts w:cs="Times New Roman"/>
          <w:kern w:val="21"/>
        </w:rPr>
      </w:pPr>
      <w:r>
        <w:rPr>
          <w:rFonts w:hint="eastAsia"/>
          <w:kern w:val="21"/>
        </w:rPr>
        <w:t>根据《畜禽养殖业污染防治技术规范》第</w:t>
      </w:r>
      <w:r>
        <w:rPr>
          <w:kern w:val="21"/>
        </w:rPr>
        <w:t>9</w:t>
      </w:r>
      <w:r>
        <w:rPr>
          <w:rFonts w:hint="eastAsia"/>
          <w:kern w:val="21"/>
        </w:rPr>
        <w:t>条规定，病死畜禽尸体要及时处理，严禁随意丢弃，严禁出售或作为饲料再利用。</w:t>
      </w:r>
    </w:p>
    <w:p w14:paraId="07183B8C"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364" w:name="_Toc195009912"/>
      <w:bookmarkStart w:id="365" w:name="_Toc10490"/>
      <w:r>
        <w:rPr>
          <w:rFonts w:cs="Times New Roman"/>
          <w:b/>
          <w:bCs/>
          <w:kern w:val="21"/>
          <w:sz w:val="32"/>
          <w:szCs w:val="32"/>
        </w:rPr>
        <w:t>风险分析结论</w:t>
      </w:r>
      <w:bookmarkEnd w:id="364"/>
    </w:p>
    <w:p w14:paraId="73A1FCAD" w14:textId="77777777" w:rsidR="00544649" w:rsidRDefault="00000000">
      <w:pPr>
        <w:adjustRightInd w:val="0"/>
        <w:snapToGrid w:val="0"/>
        <w:spacing w:after="0"/>
        <w:ind w:firstLine="480"/>
        <w:rPr>
          <w:rFonts w:cs="Times New Roman"/>
          <w:kern w:val="21"/>
          <w:sz w:val="21"/>
          <w:szCs w:val="21"/>
        </w:rPr>
      </w:pPr>
      <w:bookmarkStart w:id="366" w:name="_Toc23286"/>
      <w:bookmarkStart w:id="367" w:name="_Toc5997"/>
      <w:bookmarkStart w:id="368" w:name="_Toc13427"/>
      <w:bookmarkEnd w:id="365"/>
      <w:r>
        <w:rPr>
          <w:rFonts w:cs="Times New Roman" w:hint="eastAsia"/>
          <w:kern w:val="21"/>
          <w:szCs w:val="24"/>
        </w:rPr>
        <w:t>根据风险识别和</w:t>
      </w:r>
      <w:proofErr w:type="gramStart"/>
      <w:r>
        <w:rPr>
          <w:rFonts w:cs="Times New Roman" w:hint="eastAsia"/>
          <w:kern w:val="21"/>
          <w:szCs w:val="24"/>
        </w:rPr>
        <w:t>源项</w:t>
      </w:r>
      <w:proofErr w:type="gramEnd"/>
      <w:r>
        <w:rPr>
          <w:rFonts w:cs="Times New Roman" w:hint="eastAsia"/>
          <w:kern w:val="21"/>
          <w:szCs w:val="24"/>
        </w:rPr>
        <w:t>分析，本项目环境风险的最大可信事故为疫病事故、柴油泄</w:t>
      </w:r>
      <w:r>
        <w:rPr>
          <w:rFonts w:cs="Times New Roman" w:hint="eastAsia"/>
          <w:kern w:val="21"/>
          <w:szCs w:val="24"/>
        </w:rPr>
        <w:lastRenderedPageBreak/>
        <w:t>漏事故。建设单位应按照本次评价做好各项风险的预防和应急措施，并制定完善的风险事故应急预案。在建设单位严格落实本次评价提出的各项措施和要求的前提下，本项目运营</w:t>
      </w:r>
      <w:proofErr w:type="gramStart"/>
      <w:r>
        <w:rPr>
          <w:rFonts w:cs="Times New Roman" w:hint="eastAsia"/>
          <w:kern w:val="21"/>
          <w:szCs w:val="24"/>
        </w:rPr>
        <w:t>期环境</w:t>
      </w:r>
      <w:proofErr w:type="gramEnd"/>
      <w:r>
        <w:rPr>
          <w:rFonts w:cs="Times New Roman" w:hint="eastAsia"/>
          <w:kern w:val="21"/>
          <w:szCs w:val="24"/>
        </w:rPr>
        <w:t>风险在可接受范围之内。</w:t>
      </w:r>
    </w:p>
    <w:p w14:paraId="7835C329" w14:textId="77777777" w:rsidR="00544649" w:rsidRDefault="00000000">
      <w:pPr>
        <w:keepNext/>
        <w:keepLines/>
        <w:pageBreakBefore/>
        <w:numPr>
          <w:ilvl w:val="0"/>
          <w:numId w:val="9"/>
        </w:numPr>
        <w:adjustRightInd w:val="0"/>
        <w:snapToGrid w:val="0"/>
        <w:spacing w:after="0"/>
        <w:ind w:firstLineChars="0"/>
        <w:outlineLvl w:val="0"/>
        <w:rPr>
          <w:rFonts w:cs="Times New Roman"/>
          <w:b/>
          <w:bCs/>
          <w:kern w:val="21"/>
          <w:sz w:val="36"/>
          <w:szCs w:val="36"/>
        </w:rPr>
      </w:pPr>
      <w:bookmarkStart w:id="369" w:name="_Toc195009913"/>
      <w:r>
        <w:rPr>
          <w:rFonts w:cs="Times New Roman"/>
          <w:b/>
          <w:bCs/>
          <w:kern w:val="21"/>
          <w:sz w:val="36"/>
          <w:szCs w:val="36"/>
        </w:rPr>
        <w:lastRenderedPageBreak/>
        <w:t>污染防治措施及其可行性论证</w:t>
      </w:r>
      <w:bookmarkEnd w:id="369"/>
    </w:p>
    <w:p w14:paraId="418D0204"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370" w:name="_Toc13512"/>
      <w:bookmarkStart w:id="371" w:name="_Toc5817"/>
      <w:bookmarkStart w:id="372" w:name="_Toc28814"/>
      <w:bookmarkStart w:id="373" w:name="_Toc195009914"/>
      <w:bookmarkEnd w:id="366"/>
      <w:bookmarkEnd w:id="367"/>
      <w:bookmarkEnd w:id="368"/>
      <w:r>
        <w:rPr>
          <w:rFonts w:cs="Times New Roman"/>
          <w:b/>
          <w:bCs/>
          <w:kern w:val="21"/>
          <w:sz w:val="32"/>
          <w:szCs w:val="32"/>
        </w:rPr>
        <w:t>施工期环境保护措施及可行性分析</w:t>
      </w:r>
      <w:bookmarkEnd w:id="370"/>
      <w:bookmarkEnd w:id="371"/>
      <w:bookmarkEnd w:id="372"/>
      <w:bookmarkEnd w:id="373"/>
    </w:p>
    <w:p w14:paraId="599332B0" w14:textId="77777777" w:rsidR="00544649" w:rsidRDefault="00000000">
      <w:pPr>
        <w:adjustRightInd w:val="0"/>
        <w:snapToGrid w:val="0"/>
        <w:spacing w:after="0"/>
        <w:ind w:firstLine="480"/>
      </w:pPr>
      <w:r>
        <w:rPr>
          <w:rFonts w:hint="eastAsia"/>
        </w:rPr>
        <w:t>评价针对工程施工期可能对环境造成的影响，以保护项目区的环境、最大限度地减少工程建设对环境造成的不利影响为目的，对施工期环境影响因素进行简要分析并提出具体的防范措施。</w:t>
      </w:r>
    </w:p>
    <w:p w14:paraId="7F0C5E9A" w14:textId="77777777" w:rsidR="00544649" w:rsidRDefault="00000000">
      <w:pPr>
        <w:keepNext/>
        <w:keepLines/>
        <w:numPr>
          <w:ilvl w:val="2"/>
          <w:numId w:val="9"/>
        </w:numPr>
        <w:adjustRightInd w:val="0"/>
        <w:snapToGrid w:val="0"/>
        <w:spacing w:after="0"/>
        <w:ind w:firstLineChars="0"/>
        <w:jc w:val="left"/>
        <w:outlineLvl w:val="2"/>
        <w:rPr>
          <w:rFonts w:cs="Times New Roman"/>
          <w:b/>
          <w:kern w:val="21"/>
          <w:sz w:val="28"/>
          <w:szCs w:val="28"/>
        </w:rPr>
      </w:pPr>
      <w:bookmarkStart w:id="374" w:name="_Toc1214"/>
      <w:bookmarkStart w:id="375" w:name="_Toc5845"/>
      <w:bookmarkStart w:id="376" w:name="_Toc23039"/>
      <w:bookmarkStart w:id="377" w:name="_Toc195009915"/>
      <w:r>
        <w:rPr>
          <w:rFonts w:cs="Times New Roman" w:hint="eastAsia"/>
          <w:b/>
          <w:bCs/>
          <w:kern w:val="21"/>
          <w:sz w:val="28"/>
          <w:szCs w:val="28"/>
        </w:rPr>
        <w:t>废水治理措施分析</w:t>
      </w:r>
      <w:bookmarkEnd w:id="374"/>
      <w:bookmarkEnd w:id="375"/>
      <w:bookmarkEnd w:id="376"/>
      <w:bookmarkEnd w:id="377"/>
    </w:p>
    <w:p w14:paraId="189643E4" w14:textId="77777777" w:rsidR="00544649" w:rsidRDefault="00000000">
      <w:pPr>
        <w:adjustRightInd w:val="0"/>
        <w:snapToGrid w:val="0"/>
        <w:spacing w:after="0"/>
        <w:ind w:firstLine="480"/>
        <w:rPr>
          <w:rFonts w:cs="Times New Roman"/>
          <w:kern w:val="21"/>
        </w:rPr>
      </w:pPr>
      <w:r>
        <w:rPr>
          <w:rFonts w:cs="Times New Roman" w:hint="eastAsia"/>
          <w:kern w:val="21"/>
        </w:rPr>
        <w:t>本项目</w:t>
      </w:r>
      <w:r>
        <w:rPr>
          <w:rFonts w:hint="eastAsia"/>
          <w:kern w:val="21"/>
        </w:rPr>
        <w:t>施工场地内不设施工营地，施工期废水主要为施工废水和施工人员的生活污水。施工过程中的生产废水悬浮物含量高，易于沉淀，经简易沉淀池处理后，循环使用，不外排；本项目施工期生活污水依托当地居民化粪池处理后用于周边林地施肥，不外排。</w:t>
      </w:r>
      <w:r>
        <w:rPr>
          <w:rFonts w:ascii="宋体" w:hAnsi="宋体" w:cs="宋体"/>
          <w:kern w:val="21"/>
          <w:szCs w:val="24"/>
        </w:rPr>
        <w:t>废</w:t>
      </w:r>
      <w:r>
        <w:rPr>
          <w:rFonts w:hint="eastAsia"/>
          <w:kern w:val="21"/>
        </w:rPr>
        <w:t>水均可做到综合利用。</w:t>
      </w:r>
    </w:p>
    <w:p w14:paraId="57B744BD" w14:textId="77777777" w:rsidR="00544649" w:rsidRDefault="00000000">
      <w:pPr>
        <w:adjustRightInd w:val="0"/>
        <w:snapToGrid w:val="0"/>
        <w:spacing w:after="0"/>
        <w:ind w:firstLine="480"/>
        <w:rPr>
          <w:kern w:val="21"/>
        </w:rPr>
      </w:pPr>
      <w:r>
        <w:rPr>
          <w:rFonts w:hint="eastAsia"/>
          <w:kern w:val="21"/>
        </w:rPr>
        <w:t>项目施工期水环境影响防治措施采用目前施工场地常用的治理措施，技术经济可行。</w:t>
      </w:r>
    </w:p>
    <w:p w14:paraId="2CD4E85E"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8"/>
        </w:rPr>
      </w:pPr>
      <w:bookmarkStart w:id="378" w:name="_Toc29095"/>
      <w:bookmarkStart w:id="379" w:name="_Toc195009916"/>
      <w:r>
        <w:rPr>
          <w:rFonts w:cs="Times New Roman"/>
          <w:b/>
          <w:bCs/>
          <w:kern w:val="21"/>
          <w:sz w:val="28"/>
          <w:szCs w:val="28"/>
        </w:rPr>
        <w:t>废气治理措施分析</w:t>
      </w:r>
      <w:bookmarkEnd w:id="378"/>
      <w:bookmarkEnd w:id="379"/>
    </w:p>
    <w:p w14:paraId="7EE33297" w14:textId="77777777" w:rsidR="00544649" w:rsidRDefault="00000000">
      <w:pPr>
        <w:adjustRightInd w:val="0"/>
        <w:snapToGrid w:val="0"/>
        <w:spacing w:after="0"/>
        <w:ind w:firstLine="480"/>
        <w:rPr>
          <w:rFonts w:cs="Times New Roman"/>
          <w:kern w:val="21"/>
        </w:rPr>
      </w:pPr>
      <w:r>
        <w:rPr>
          <w:rFonts w:cs="Times New Roman" w:hint="eastAsia"/>
          <w:kern w:val="21"/>
        </w:rPr>
        <w:t>本项目施工期大气污染主要来自两个方面：一是施工过程中开挖、堆放、运输材料等产生的扬尘；二是施工机械和重型运输车辆运行过程中所排放的废气。</w:t>
      </w:r>
    </w:p>
    <w:p w14:paraId="6D18BFE4" w14:textId="77777777" w:rsidR="00544649" w:rsidRDefault="00000000">
      <w:pPr>
        <w:adjustRightInd w:val="0"/>
        <w:snapToGrid w:val="0"/>
        <w:spacing w:after="0"/>
        <w:ind w:firstLine="480"/>
        <w:rPr>
          <w:rFonts w:cs="Times New Roman"/>
          <w:kern w:val="21"/>
        </w:rPr>
      </w:pPr>
      <w:r>
        <w:rPr>
          <w:rFonts w:cs="Times New Roman"/>
          <w:kern w:val="21"/>
        </w:rPr>
        <w:t>项目施工工地做到</w:t>
      </w:r>
      <w:r>
        <w:rPr>
          <w:rFonts w:cs="Times New Roman" w:hint="eastAsia"/>
          <w:kern w:val="21"/>
        </w:rPr>
        <w:t>“</w:t>
      </w:r>
      <w:r>
        <w:rPr>
          <w:rFonts w:cs="Times New Roman"/>
          <w:kern w:val="21"/>
        </w:rPr>
        <w:t>六必须</w:t>
      </w:r>
      <w:r>
        <w:rPr>
          <w:rFonts w:cs="Times New Roman" w:hint="eastAsia"/>
          <w:kern w:val="21"/>
        </w:rPr>
        <w:t>”</w:t>
      </w:r>
      <w:r>
        <w:rPr>
          <w:rFonts w:cs="Times New Roman"/>
          <w:kern w:val="21"/>
        </w:rPr>
        <w:t>（必须围挡作业、必须硬化道路、必须设置冲洗设施、必须及时洒水作业、必须落实保洁人员、必须定时清扫施工现场）、</w:t>
      </w:r>
      <w:r>
        <w:rPr>
          <w:rFonts w:cs="Times New Roman"/>
          <w:kern w:val="21"/>
        </w:rPr>
        <w:t>“</w:t>
      </w:r>
      <w:r>
        <w:rPr>
          <w:rFonts w:cs="Times New Roman"/>
          <w:kern w:val="21"/>
        </w:rPr>
        <w:t>六不准</w:t>
      </w:r>
      <w:r>
        <w:rPr>
          <w:rFonts w:cs="Times New Roman"/>
          <w:kern w:val="21"/>
        </w:rPr>
        <w:t>”</w:t>
      </w:r>
      <w:r>
        <w:rPr>
          <w:rFonts w:cs="Times New Roman"/>
          <w:kern w:val="21"/>
        </w:rPr>
        <w:t>（不准车辆带泥出门、不准运渣车辆冒顶装载、不准高空抛撒建筑垃圾、不准现场搅拌混凝土、不准场地积水、不准现场焚烧废弃物）。</w:t>
      </w:r>
    </w:p>
    <w:p w14:paraId="6986838A" w14:textId="77777777" w:rsidR="00544649" w:rsidRDefault="00000000">
      <w:pPr>
        <w:adjustRightInd w:val="0"/>
        <w:snapToGrid w:val="0"/>
        <w:spacing w:after="0"/>
        <w:ind w:firstLine="480"/>
        <w:rPr>
          <w:rFonts w:cs="Times New Roman"/>
          <w:kern w:val="21"/>
        </w:rPr>
      </w:pPr>
      <w:r>
        <w:rPr>
          <w:rFonts w:cs="Times New Roman"/>
          <w:kern w:val="21"/>
        </w:rPr>
        <w:t>项目在施工过程中应采取的废气治理措施如下：</w:t>
      </w:r>
    </w:p>
    <w:p w14:paraId="68712CC2" w14:textId="77777777" w:rsidR="00544649" w:rsidRDefault="00000000">
      <w:pPr>
        <w:adjustRightInd w:val="0"/>
        <w:snapToGrid w:val="0"/>
        <w:spacing w:after="0"/>
        <w:ind w:firstLine="480"/>
        <w:rPr>
          <w:rFonts w:cs="Times New Roman"/>
          <w:kern w:val="21"/>
        </w:rPr>
      </w:pPr>
      <w:r>
        <w:rPr>
          <w:rFonts w:cs="Times New Roman" w:hint="eastAsia"/>
          <w:kern w:val="21"/>
        </w:rPr>
        <w:t>（</w:t>
      </w:r>
      <w:r>
        <w:rPr>
          <w:rFonts w:cs="Times New Roman" w:hint="eastAsia"/>
          <w:kern w:val="21"/>
        </w:rPr>
        <w:t>1</w:t>
      </w:r>
      <w:r>
        <w:rPr>
          <w:rFonts w:cs="Times New Roman" w:hint="eastAsia"/>
          <w:kern w:val="21"/>
        </w:rPr>
        <w:t>）</w:t>
      </w:r>
      <w:r>
        <w:rPr>
          <w:rFonts w:cs="Times New Roman"/>
          <w:kern w:val="21"/>
        </w:rPr>
        <w:t>施工企业要在开工前制定建筑施工现场扬尘控制措施，对施工现场实施封闭围挡、道路硬化、材料堆放遮盖、进出车辆冲洗、工程立面围护、建筑垃圾清运等措施；</w:t>
      </w:r>
    </w:p>
    <w:p w14:paraId="58CEF055" w14:textId="77777777" w:rsidR="00544649" w:rsidRDefault="00000000">
      <w:pPr>
        <w:adjustRightInd w:val="0"/>
        <w:snapToGrid w:val="0"/>
        <w:spacing w:after="0"/>
        <w:ind w:firstLine="480"/>
        <w:rPr>
          <w:rFonts w:cs="Times New Roman"/>
          <w:kern w:val="21"/>
        </w:rPr>
      </w:pPr>
      <w:r>
        <w:rPr>
          <w:rFonts w:cs="Times New Roman" w:hint="eastAsia"/>
          <w:kern w:val="21"/>
        </w:rPr>
        <w:t>（</w:t>
      </w:r>
      <w:r>
        <w:rPr>
          <w:rFonts w:cs="Times New Roman" w:hint="eastAsia"/>
          <w:kern w:val="21"/>
        </w:rPr>
        <w:t>2</w:t>
      </w:r>
      <w:r>
        <w:rPr>
          <w:rFonts w:cs="Times New Roman" w:hint="eastAsia"/>
          <w:kern w:val="21"/>
        </w:rPr>
        <w:t>）</w:t>
      </w:r>
      <w:r>
        <w:rPr>
          <w:rFonts w:cs="Times New Roman"/>
          <w:kern w:val="21"/>
        </w:rPr>
        <w:t>施工单位应当按照工地扬尘污染防治方案的要求，在施工现场出入口公示扬尘污染控制措施、负责人、环保监督员、扬尘监管主管部门等有关信息，接受社会监督；</w:t>
      </w:r>
    </w:p>
    <w:p w14:paraId="15E6CF43" w14:textId="77777777" w:rsidR="00544649" w:rsidRDefault="00000000">
      <w:pPr>
        <w:adjustRightInd w:val="0"/>
        <w:snapToGrid w:val="0"/>
        <w:spacing w:after="0"/>
        <w:ind w:firstLine="480"/>
        <w:rPr>
          <w:rFonts w:cs="Times New Roman"/>
          <w:kern w:val="21"/>
        </w:rPr>
      </w:pPr>
      <w:r>
        <w:rPr>
          <w:rFonts w:cs="Times New Roman" w:hint="eastAsia"/>
          <w:kern w:val="21"/>
        </w:rPr>
        <w:t>（</w:t>
      </w:r>
      <w:r>
        <w:rPr>
          <w:rFonts w:cs="Times New Roman" w:hint="eastAsia"/>
          <w:kern w:val="21"/>
        </w:rPr>
        <w:t>3</w:t>
      </w:r>
      <w:r>
        <w:rPr>
          <w:rFonts w:cs="Times New Roman" w:hint="eastAsia"/>
          <w:kern w:val="21"/>
        </w:rPr>
        <w:t>）</w:t>
      </w:r>
      <w:r>
        <w:rPr>
          <w:rFonts w:cs="Times New Roman"/>
          <w:kern w:val="21"/>
        </w:rPr>
        <w:t>施工现场实行围挡封闭，施工现场出入口位置配备车辆冲洗设施；施工现场出入口、主要道路、加工区等采取硬化处理措施，并采取措施防止车辆将泥沙带出施工现场；施工现场采取洒水、覆盖、铺装、绿化等降尘措施；</w:t>
      </w:r>
    </w:p>
    <w:p w14:paraId="52AA03C6" w14:textId="77777777" w:rsidR="00544649" w:rsidRDefault="00000000">
      <w:pPr>
        <w:adjustRightInd w:val="0"/>
        <w:snapToGrid w:val="0"/>
        <w:spacing w:after="0"/>
        <w:ind w:firstLine="480"/>
        <w:rPr>
          <w:rFonts w:cs="Times New Roman"/>
          <w:kern w:val="21"/>
        </w:rPr>
      </w:pPr>
      <w:r>
        <w:rPr>
          <w:rFonts w:cs="Times New Roman" w:hint="eastAsia"/>
          <w:kern w:val="21"/>
        </w:rPr>
        <w:lastRenderedPageBreak/>
        <w:t>（</w:t>
      </w:r>
      <w:r>
        <w:rPr>
          <w:rFonts w:cs="Times New Roman" w:hint="eastAsia"/>
          <w:kern w:val="21"/>
        </w:rPr>
        <w:t>4</w:t>
      </w:r>
      <w:r>
        <w:rPr>
          <w:rFonts w:cs="Times New Roman" w:hint="eastAsia"/>
          <w:kern w:val="21"/>
        </w:rPr>
        <w:t>）</w:t>
      </w:r>
      <w:r>
        <w:rPr>
          <w:rFonts w:cs="Times New Roman"/>
          <w:kern w:val="21"/>
        </w:rPr>
        <w:t>施工现场建筑材料实行集中、分类堆放。建筑垃圾采取封闭方式清运，严禁高处抛洒；装卸和贮存物料应当防止遗</w:t>
      </w:r>
      <w:proofErr w:type="gramStart"/>
      <w:r>
        <w:rPr>
          <w:rFonts w:cs="Times New Roman"/>
          <w:kern w:val="21"/>
        </w:rPr>
        <w:t>撒或者</w:t>
      </w:r>
      <w:proofErr w:type="gramEnd"/>
      <w:r>
        <w:rPr>
          <w:rFonts w:cs="Times New Roman"/>
          <w:kern w:val="21"/>
        </w:rPr>
        <w:t>扬尘；易产生扬尘的建筑材料采取封闭运输；</w:t>
      </w:r>
    </w:p>
    <w:p w14:paraId="5F5F92E0" w14:textId="77777777" w:rsidR="00544649" w:rsidRDefault="00000000">
      <w:pPr>
        <w:adjustRightInd w:val="0"/>
        <w:snapToGrid w:val="0"/>
        <w:spacing w:after="0"/>
        <w:ind w:firstLine="480"/>
        <w:rPr>
          <w:rFonts w:cs="Times New Roman"/>
          <w:kern w:val="21"/>
        </w:rPr>
      </w:pPr>
      <w:r>
        <w:rPr>
          <w:rFonts w:cs="Times New Roman" w:hint="eastAsia"/>
          <w:kern w:val="21"/>
        </w:rPr>
        <w:t>（</w:t>
      </w:r>
      <w:r>
        <w:rPr>
          <w:rFonts w:cs="Times New Roman" w:hint="eastAsia"/>
          <w:kern w:val="21"/>
        </w:rPr>
        <w:t>5</w:t>
      </w:r>
      <w:r>
        <w:rPr>
          <w:rFonts w:cs="Times New Roman" w:hint="eastAsia"/>
          <w:kern w:val="21"/>
        </w:rPr>
        <w:t>）</w:t>
      </w:r>
      <w:r>
        <w:rPr>
          <w:rFonts w:cs="Times New Roman"/>
          <w:kern w:val="21"/>
        </w:rPr>
        <w:t>加强对施工人员的环保教育，增强全体施工人员的环保意识，坚持文明施工、科学施工，减少施工期的大气污染；</w:t>
      </w:r>
    </w:p>
    <w:p w14:paraId="7092944E" w14:textId="77777777" w:rsidR="00544649" w:rsidRDefault="00000000">
      <w:pPr>
        <w:adjustRightInd w:val="0"/>
        <w:snapToGrid w:val="0"/>
        <w:spacing w:after="0"/>
        <w:ind w:firstLine="480"/>
        <w:rPr>
          <w:rFonts w:cs="Times New Roman"/>
          <w:kern w:val="21"/>
        </w:rPr>
      </w:pPr>
      <w:r>
        <w:rPr>
          <w:rFonts w:cs="Times New Roman" w:hint="eastAsia"/>
          <w:kern w:val="21"/>
        </w:rPr>
        <w:t>（</w:t>
      </w:r>
      <w:r>
        <w:rPr>
          <w:rFonts w:cs="Times New Roman" w:hint="eastAsia"/>
          <w:kern w:val="21"/>
        </w:rPr>
        <w:t>6</w:t>
      </w:r>
      <w:r>
        <w:rPr>
          <w:rFonts w:cs="Times New Roman" w:hint="eastAsia"/>
          <w:kern w:val="21"/>
        </w:rPr>
        <w:t>）</w:t>
      </w:r>
      <w:r>
        <w:rPr>
          <w:rFonts w:cs="Times New Roman"/>
          <w:kern w:val="21"/>
        </w:rPr>
        <w:t>施工现场禁止焚烧沥青、油毡、橡胶、垃圾等易产生有毒有害烟尘和恶臭气体的物质</w:t>
      </w:r>
      <w:r>
        <w:rPr>
          <w:rFonts w:cs="Times New Roman" w:hint="eastAsia"/>
          <w:kern w:val="21"/>
        </w:rPr>
        <w:t>。</w:t>
      </w:r>
    </w:p>
    <w:p w14:paraId="42507AFB" w14:textId="77777777" w:rsidR="00544649" w:rsidRDefault="00000000">
      <w:pPr>
        <w:adjustRightInd w:val="0"/>
        <w:snapToGrid w:val="0"/>
        <w:spacing w:after="0"/>
        <w:ind w:firstLine="480"/>
        <w:rPr>
          <w:rFonts w:cs="Times New Roman"/>
          <w:kern w:val="21"/>
        </w:rPr>
      </w:pPr>
      <w:r>
        <w:rPr>
          <w:rFonts w:cs="Times New Roman"/>
          <w:kern w:val="21"/>
        </w:rPr>
        <w:t>综上所述，</w:t>
      </w:r>
      <w:r>
        <w:rPr>
          <w:rFonts w:cs="Times New Roman" w:hint="eastAsia"/>
          <w:kern w:val="21"/>
        </w:rPr>
        <w:t>只要按规范施工，严格落实以上防治措施，施工期废气对区域环境空气的影响较小。施工期的空气污染是短时的，</w:t>
      </w:r>
      <w:proofErr w:type="gramStart"/>
      <w:r>
        <w:rPr>
          <w:rFonts w:cs="Times New Roman" w:hint="eastAsia"/>
          <w:kern w:val="21"/>
        </w:rPr>
        <w:t>待施工</w:t>
      </w:r>
      <w:proofErr w:type="gramEnd"/>
      <w:r>
        <w:rPr>
          <w:rFonts w:cs="Times New Roman" w:hint="eastAsia"/>
          <w:kern w:val="21"/>
        </w:rPr>
        <w:t>完成后污染随之消失，大气环境质量即可恢复到原来的水平。</w:t>
      </w:r>
      <w:proofErr w:type="gramStart"/>
      <w:r>
        <w:rPr>
          <w:rFonts w:cs="Times New Roman"/>
          <w:kern w:val="21"/>
        </w:rPr>
        <w:t>故项目</w:t>
      </w:r>
      <w:proofErr w:type="gramEnd"/>
      <w:r>
        <w:rPr>
          <w:rFonts w:cs="Times New Roman"/>
          <w:kern w:val="21"/>
        </w:rPr>
        <w:t>施工废气处理措施技术合理可行。</w:t>
      </w:r>
    </w:p>
    <w:p w14:paraId="248AD8C2"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380" w:name="_Toc8176"/>
      <w:bookmarkStart w:id="381" w:name="_Toc195009917"/>
      <w:r>
        <w:rPr>
          <w:rFonts w:cs="Times New Roman"/>
          <w:b/>
          <w:bCs/>
          <w:kern w:val="21"/>
          <w:sz w:val="28"/>
          <w:szCs w:val="24"/>
        </w:rPr>
        <w:t>噪声治理措施分析</w:t>
      </w:r>
      <w:bookmarkEnd w:id="380"/>
      <w:bookmarkEnd w:id="381"/>
    </w:p>
    <w:p w14:paraId="7DAA61B1"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本工程施工期噪声类型主要是工程施工机械运行时产生的设备噪声及运输车辆产生的交通噪声，对项目区域的声环境带来一定影响，</w:t>
      </w:r>
      <w:r>
        <w:rPr>
          <w:rFonts w:cs="Times New Roman"/>
          <w:kern w:val="21"/>
          <w:szCs w:val="24"/>
        </w:rPr>
        <w:t>项目在施工过程中应采取的噪声治理措施如下：</w:t>
      </w:r>
    </w:p>
    <w:p w14:paraId="0C72ADA1" w14:textId="77777777" w:rsidR="00544649" w:rsidRDefault="00000000">
      <w:pPr>
        <w:numPr>
          <w:ilvl w:val="0"/>
          <w:numId w:val="32"/>
        </w:numPr>
        <w:adjustRightInd w:val="0"/>
        <w:snapToGrid w:val="0"/>
        <w:spacing w:after="0"/>
        <w:ind w:firstLine="480"/>
        <w:rPr>
          <w:rFonts w:cs="Times New Roman"/>
          <w:kern w:val="21"/>
          <w:szCs w:val="24"/>
        </w:rPr>
      </w:pPr>
      <w:r>
        <w:rPr>
          <w:rFonts w:cs="Times New Roman"/>
          <w:kern w:val="21"/>
          <w:szCs w:val="24"/>
        </w:rPr>
        <w:t>根据《中华人民共和国噪声污染防治法》第二十九条规定：施工单位必须在工程开工</w:t>
      </w:r>
      <w:r>
        <w:rPr>
          <w:rFonts w:cs="Times New Roman"/>
          <w:kern w:val="21"/>
          <w:szCs w:val="24"/>
        </w:rPr>
        <w:t>15</w:t>
      </w:r>
      <w:r>
        <w:rPr>
          <w:rFonts w:cs="Times New Roman"/>
          <w:kern w:val="21"/>
          <w:szCs w:val="24"/>
        </w:rPr>
        <w:t>日以前向工程所在地县级以上地方人民政府环境保护行政主管部门申报工程项目名称、施工场所和期限、建筑施工机械可能产生的环境噪声值以及所采取的环境噪声污染防治措施情况；</w:t>
      </w:r>
    </w:p>
    <w:p w14:paraId="267BA360" w14:textId="77777777" w:rsidR="00544649" w:rsidRDefault="00000000">
      <w:pPr>
        <w:numPr>
          <w:ilvl w:val="0"/>
          <w:numId w:val="32"/>
        </w:numPr>
        <w:adjustRightInd w:val="0"/>
        <w:snapToGrid w:val="0"/>
        <w:spacing w:after="0"/>
        <w:ind w:firstLine="480"/>
        <w:rPr>
          <w:rFonts w:cs="Times New Roman"/>
          <w:kern w:val="21"/>
          <w:szCs w:val="24"/>
        </w:rPr>
      </w:pPr>
      <w:r>
        <w:rPr>
          <w:rFonts w:cs="Times New Roman"/>
          <w:kern w:val="21"/>
          <w:szCs w:val="24"/>
        </w:rPr>
        <w:t>合理安排施工时间，高噪声工种禁止午休（</w:t>
      </w:r>
      <w:r>
        <w:rPr>
          <w:rFonts w:cs="Times New Roman"/>
          <w:kern w:val="21"/>
          <w:szCs w:val="24"/>
        </w:rPr>
        <w:t>12</w:t>
      </w:r>
      <w:r>
        <w:rPr>
          <w:rFonts w:cs="Times New Roman"/>
          <w:kern w:val="21"/>
          <w:szCs w:val="24"/>
        </w:rPr>
        <w:t>：</w:t>
      </w:r>
      <w:r>
        <w:rPr>
          <w:rFonts w:cs="Times New Roman"/>
          <w:kern w:val="21"/>
          <w:szCs w:val="24"/>
        </w:rPr>
        <w:t>00~14</w:t>
      </w:r>
      <w:r>
        <w:rPr>
          <w:rFonts w:cs="Times New Roman"/>
          <w:kern w:val="21"/>
          <w:szCs w:val="24"/>
        </w:rPr>
        <w:t>：</w:t>
      </w:r>
      <w:r>
        <w:rPr>
          <w:rFonts w:cs="Times New Roman"/>
          <w:kern w:val="21"/>
          <w:szCs w:val="24"/>
        </w:rPr>
        <w:t>00</w:t>
      </w:r>
      <w:r>
        <w:rPr>
          <w:rFonts w:cs="Times New Roman"/>
          <w:kern w:val="21"/>
          <w:szCs w:val="24"/>
        </w:rPr>
        <w:t>）和夜间（</w:t>
      </w:r>
      <w:r>
        <w:rPr>
          <w:rFonts w:cs="Times New Roman"/>
          <w:kern w:val="21"/>
          <w:szCs w:val="24"/>
        </w:rPr>
        <w:t>22</w:t>
      </w:r>
      <w:r>
        <w:rPr>
          <w:rFonts w:cs="Times New Roman"/>
          <w:kern w:val="21"/>
          <w:szCs w:val="24"/>
        </w:rPr>
        <w:t>：</w:t>
      </w:r>
      <w:r>
        <w:rPr>
          <w:rFonts w:cs="Times New Roman"/>
          <w:kern w:val="21"/>
          <w:szCs w:val="24"/>
        </w:rPr>
        <w:t>00~06</w:t>
      </w:r>
      <w:r>
        <w:rPr>
          <w:rFonts w:cs="Times New Roman"/>
          <w:kern w:val="21"/>
          <w:szCs w:val="24"/>
        </w:rPr>
        <w:t>：</w:t>
      </w:r>
      <w:r>
        <w:rPr>
          <w:rFonts w:cs="Times New Roman"/>
          <w:kern w:val="21"/>
          <w:szCs w:val="24"/>
        </w:rPr>
        <w:t>00</w:t>
      </w:r>
      <w:r>
        <w:rPr>
          <w:rFonts w:cs="Times New Roman"/>
          <w:kern w:val="21"/>
          <w:szCs w:val="24"/>
        </w:rPr>
        <w:t>）施工，避免在同一时间内集中使用大量的动力机械设备。如夜间需进行施工工艺要求必须连续作业的强噪声施工，建设单位应首先征得项目所在地环保、建委、城管等主管部门同意。同时，要求施工单位严格执行《建筑施工场界环境噪声排放标准》（</w:t>
      </w:r>
      <w:r>
        <w:rPr>
          <w:rFonts w:cs="Times New Roman"/>
          <w:kern w:val="21"/>
          <w:szCs w:val="24"/>
        </w:rPr>
        <w:t>GB12523-2011</w:t>
      </w:r>
      <w:r>
        <w:rPr>
          <w:rFonts w:cs="Times New Roman"/>
          <w:kern w:val="21"/>
          <w:szCs w:val="24"/>
        </w:rPr>
        <w:t>）中的相关规定，施工期间的场界噪声必须满足《建筑施工场界环境噪声排放标准》（</w:t>
      </w:r>
      <w:r>
        <w:rPr>
          <w:rFonts w:cs="Times New Roman"/>
          <w:kern w:val="21"/>
          <w:szCs w:val="24"/>
        </w:rPr>
        <w:t>GB12523-2011</w:t>
      </w:r>
      <w:r>
        <w:rPr>
          <w:rFonts w:cs="Times New Roman"/>
          <w:kern w:val="21"/>
          <w:szCs w:val="24"/>
        </w:rPr>
        <w:t>）各阶段标准限值要求；</w:t>
      </w:r>
    </w:p>
    <w:p w14:paraId="703761F4" w14:textId="77777777" w:rsidR="00544649" w:rsidRDefault="00000000">
      <w:pPr>
        <w:numPr>
          <w:ilvl w:val="0"/>
          <w:numId w:val="32"/>
        </w:numPr>
        <w:adjustRightInd w:val="0"/>
        <w:snapToGrid w:val="0"/>
        <w:spacing w:after="0"/>
        <w:ind w:firstLine="480"/>
        <w:rPr>
          <w:rFonts w:cs="Times New Roman"/>
          <w:kern w:val="21"/>
          <w:szCs w:val="24"/>
        </w:rPr>
      </w:pPr>
      <w:r>
        <w:rPr>
          <w:rFonts w:cs="Times New Roman"/>
          <w:kern w:val="21"/>
          <w:szCs w:val="24"/>
        </w:rPr>
        <w:t>文明施工。施工单位要加强声源噪声控制，应使用低噪声机械或采取消声器、</w:t>
      </w:r>
      <w:proofErr w:type="gramStart"/>
      <w:r>
        <w:rPr>
          <w:rFonts w:cs="Times New Roman"/>
          <w:kern w:val="21"/>
          <w:szCs w:val="24"/>
        </w:rPr>
        <w:t>消声管</w:t>
      </w:r>
      <w:proofErr w:type="gramEnd"/>
      <w:r>
        <w:rPr>
          <w:rFonts w:cs="Times New Roman"/>
          <w:kern w:val="21"/>
          <w:szCs w:val="24"/>
        </w:rPr>
        <w:t>或声障等措施进行控制，使噪声的排放符合国家规定的施工场界环境噪声排放标准。在装卸、搬运木材、模具、钢材等材料时应轻拿轻放，严禁抛掷。运输车辆进出施工现场时应有专人指挥并限速，场内运输车辆禁止鸣笛，减少交通噪声；</w:t>
      </w:r>
    </w:p>
    <w:p w14:paraId="17B5C3CE" w14:textId="77777777" w:rsidR="00544649" w:rsidRDefault="00000000">
      <w:pPr>
        <w:numPr>
          <w:ilvl w:val="0"/>
          <w:numId w:val="32"/>
        </w:numPr>
        <w:adjustRightInd w:val="0"/>
        <w:snapToGrid w:val="0"/>
        <w:spacing w:after="0"/>
        <w:ind w:firstLine="480"/>
        <w:rPr>
          <w:rFonts w:cs="Times New Roman"/>
          <w:kern w:val="21"/>
          <w:szCs w:val="24"/>
        </w:rPr>
      </w:pPr>
      <w:r>
        <w:rPr>
          <w:rFonts w:cs="Times New Roman"/>
          <w:kern w:val="21"/>
          <w:szCs w:val="24"/>
        </w:rPr>
        <w:t>施工车辆特别是重型运载车辆的运行线路和时间，应尽量避开噪声敏感区域和噪声敏感时段。进出车辆要合理调度，明确线路，使行驶道路保持平坦，减弱车</w:t>
      </w:r>
      <w:r>
        <w:rPr>
          <w:rFonts w:cs="Times New Roman"/>
          <w:kern w:val="21"/>
          <w:szCs w:val="24"/>
        </w:rPr>
        <w:lastRenderedPageBreak/>
        <w:t>辆的颠簸噪声和产生振动。加强施工区域交通管理，避免因交通堵塞增加车辆鸣笛；</w:t>
      </w:r>
    </w:p>
    <w:p w14:paraId="33257A8C" w14:textId="77777777" w:rsidR="00544649" w:rsidRDefault="00000000">
      <w:pPr>
        <w:numPr>
          <w:ilvl w:val="0"/>
          <w:numId w:val="32"/>
        </w:numPr>
        <w:adjustRightInd w:val="0"/>
        <w:snapToGrid w:val="0"/>
        <w:spacing w:after="0"/>
        <w:ind w:firstLine="480"/>
        <w:rPr>
          <w:rFonts w:cs="Times New Roman"/>
          <w:kern w:val="21"/>
          <w:szCs w:val="24"/>
        </w:rPr>
      </w:pPr>
      <w:r>
        <w:rPr>
          <w:rFonts w:cs="Times New Roman"/>
          <w:kern w:val="21"/>
          <w:szCs w:val="24"/>
        </w:rPr>
        <w:t>限制切割机、电锯、电刨等高噪声建筑机械在夜间工作，在高噪声设备附近，加设可移动的简易隔声屏；</w:t>
      </w:r>
    </w:p>
    <w:p w14:paraId="3FDB15FD" w14:textId="77777777" w:rsidR="00544649" w:rsidRDefault="00000000">
      <w:pPr>
        <w:numPr>
          <w:ilvl w:val="0"/>
          <w:numId w:val="32"/>
        </w:numPr>
        <w:adjustRightInd w:val="0"/>
        <w:snapToGrid w:val="0"/>
        <w:spacing w:after="0"/>
        <w:ind w:firstLine="480"/>
        <w:rPr>
          <w:rFonts w:cs="Times New Roman"/>
          <w:kern w:val="21"/>
          <w:szCs w:val="24"/>
        </w:rPr>
      </w:pPr>
      <w:r>
        <w:rPr>
          <w:rFonts w:cs="Times New Roman"/>
          <w:kern w:val="21"/>
          <w:szCs w:val="24"/>
        </w:rPr>
        <w:t>工程设计应当包含施工期间噪声污染的防治措施，编制工程预算应当包含施工期间噪声污染防治措施专项费用。建设单位和施工单位应当根据建设项目工程施工需要，安排噪声污染的防治费用，建设单位应当督促施工单位达标排放施工噪声。</w:t>
      </w:r>
    </w:p>
    <w:p w14:paraId="52E76F8A" w14:textId="77777777" w:rsidR="00544649" w:rsidRDefault="00000000">
      <w:pPr>
        <w:numPr>
          <w:ilvl w:val="0"/>
          <w:numId w:val="32"/>
        </w:numPr>
        <w:adjustRightInd w:val="0"/>
        <w:snapToGrid w:val="0"/>
        <w:spacing w:after="0"/>
        <w:ind w:firstLine="480"/>
        <w:rPr>
          <w:rFonts w:cs="Times New Roman"/>
          <w:kern w:val="21"/>
          <w:szCs w:val="24"/>
        </w:rPr>
      </w:pPr>
      <w:r>
        <w:rPr>
          <w:rFonts w:cs="Times New Roman" w:hint="eastAsia"/>
          <w:kern w:val="21"/>
          <w:szCs w:val="24"/>
        </w:rPr>
        <w:t>合理进行施工总平面布置，将高噪声设备、钢筋加工车间、木工棚等布置在场地内，最大限度远离周边农户。</w:t>
      </w:r>
    </w:p>
    <w:p w14:paraId="13AED8CD" w14:textId="77777777" w:rsidR="00544649" w:rsidRDefault="00000000">
      <w:pPr>
        <w:numPr>
          <w:ilvl w:val="0"/>
          <w:numId w:val="32"/>
        </w:numPr>
        <w:adjustRightInd w:val="0"/>
        <w:snapToGrid w:val="0"/>
        <w:spacing w:after="0"/>
        <w:ind w:firstLine="480"/>
        <w:rPr>
          <w:rFonts w:cs="Times New Roman"/>
          <w:kern w:val="21"/>
          <w:szCs w:val="24"/>
        </w:rPr>
      </w:pPr>
      <w:r>
        <w:rPr>
          <w:rFonts w:cs="Times New Roman" w:hint="eastAsia"/>
          <w:kern w:val="21"/>
          <w:szCs w:val="24"/>
        </w:rPr>
        <w:t>施工区域两侧应加装施工围挡。为了最大限度地降低噪声影响，环</w:t>
      </w:r>
      <w:proofErr w:type="gramStart"/>
      <w:r>
        <w:rPr>
          <w:rFonts w:cs="Times New Roman" w:hint="eastAsia"/>
          <w:kern w:val="21"/>
          <w:szCs w:val="24"/>
        </w:rPr>
        <w:t>评建议</w:t>
      </w:r>
      <w:proofErr w:type="gramEnd"/>
      <w:r>
        <w:rPr>
          <w:rFonts w:cs="Times New Roman" w:hint="eastAsia"/>
          <w:kern w:val="21"/>
          <w:szCs w:val="24"/>
        </w:rPr>
        <w:t>施工单位可适当增加围挡高度以降低施工建设对敏感点的影响。</w:t>
      </w:r>
    </w:p>
    <w:p w14:paraId="35BFF7E1" w14:textId="77777777" w:rsidR="00544649" w:rsidRDefault="00000000">
      <w:pPr>
        <w:adjustRightInd w:val="0"/>
        <w:snapToGrid w:val="0"/>
        <w:spacing w:after="0"/>
        <w:ind w:firstLine="480"/>
        <w:rPr>
          <w:rFonts w:cs="Times New Roman"/>
          <w:kern w:val="21"/>
          <w:szCs w:val="24"/>
        </w:rPr>
      </w:pPr>
      <w:r>
        <w:rPr>
          <w:rFonts w:cs="Times New Roman"/>
          <w:kern w:val="21"/>
          <w:szCs w:val="24"/>
        </w:rPr>
        <w:t>本项目采取的施工期噪声治理措施为施工场地常用的处置措施，可确保项目施工噪声对周围环境影响较小，</w:t>
      </w:r>
      <w:proofErr w:type="gramStart"/>
      <w:r>
        <w:rPr>
          <w:rFonts w:cs="Times New Roman"/>
          <w:kern w:val="21"/>
          <w:szCs w:val="24"/>
        </w:rPr>
        <w:t>故项目</w:t>
      </w:r>
      <w:proofErr w:type="gramEnd"/>
      <w:r>
        <w:rPr>
          <w:rFonts w:cs="Times New Roman"/>
          <w:kern w:val="21"/>
          <w:szCs w:val="24"/>
        </w:rPr>
        <w:t>施工噪声治理措施技术合理可行。</w:t>
      </w:r>
    </w:p>
    <w:p w14:paraId="2095508D"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382" w:name="_Toc8650"/>
      <w:bookmarkStart w:id="383" w:name="_Toc195009918"/>
      <w:r>
        <w:rPr>
          <w:rFonts w:cs="Times New Roman"/>
          <w:b/>
          <w:bCs/>
          <w:kern w:val="21"/>
          <w:sz w:val="28"/>
          <w:szCs w:val="24"/>
        </w:rPr>
        <w:t>固体废物治理措施分析</w:t>
      </w:r>
      <w:bookmarkEnd w:id="382"/>
      <w:bookmarkEnd w:id="383"/>
    </w:p>
    <w:p w14:paraId="1B3FF496" w14:textId="77777777" w:rsidR="00544649" w:rsidRDefault="00000000">
      <w:pPr>
        <w:adjustRightInd w:val="0"/>
        <w:snapToGrid w:val="0"/>
        <w:spacing w:after="0"/>
        <w:ind w:firstLine="480"/>
        <w:rPr>
          <w:rFonts w:ascii="宋体" w:hAnsi="宋体" w:cs="宋体" w:hint="eastAsia"/>
          <w:kern w:val="21"/>
          <w:szCs w:val="24"/>
        </w:rPr>
      </w:pPr>
      <w:r>
        <w:rPr>
          <w:rFonts w:ascii="宋体" w:hAnsi="宋体" w:cs="宋体" w:hint="eastAsia"/>
          <w:kern w:val="21"/>
          <w:szCs w:val="24"/>
        </w:rPr>
        <w:t>施工期固体废弃物主要是建筑垃圾、施工人员的生活垃圾和施工土石方。建设单位要求施工单位规范处理，首先将建筑垃圾分类，尽量回收其中尚可利用的部分建筑材料，对没有利用价值的废弃物应妥善堆放、及时厂区回填，运输起尘物料时，必须采用毡布覆盖，不允许超载，出场前一律清洗轮胎，沿途不要随路散落，也不要随意倾倒建筑垃圾，制造新的“垃圾堆场”；生活垃圾收集后运至场镇垃圾点交由当地环卫部门清运处理；项目场地具有一定坡度，开挖土石方量全部用于场内平整回填及绿化，无外运弃土产生。</w:t>
      </w:r>
    </w:p>
    <w:p w14:paraId="7F96DD47" w14:textId="77777777" w:rsidR="00544649" w:rsidRDefault="00000000">
      <w:pPr>
        <w:adjustRightInd w:val="0"/>
        <w:snapToGrid w:val="0"/>
        <w:spacing w:after="0"/>
        <w:ind w:firstLine="480"/>
        <w:rPr>
          <w:rFonts w:cs="Times New Roman"/>
          <w:kern w:val="21"/>
          <w:szCs w:val="24"/>
        </w:rPr>
      </w:pPr>
      <w:r>
        <w:rPr>
          <w:rFonts w:cs="Times New Roman"/>
          <w:kern w:val="21"/>
          <w:szCs w:val="24"/>
        </w:rPr>
        <w:t>本项目采取的固体废物处置措施为施工场地常用的固废处置措施，可确保项目固体废物得到合理有效的处置，</w:t>
      </w:r>
      <w:proofErr w:type="gramStart"/>
      <w:r>
        <w:rPr>
          <w:rFonts w:cs="Times New Roman"/>
          <w:kern w:val="21"/>
          <w:szCs w:val="24"/>
        </w:rPr>
        <w:t>故项目</w:t>
      </w:r>
      <w:proofErr w:type="gramEnd"/>
      <w:r>
        <w:rPr>
          <w:rFonts w:cs="Times New Roman"/>
          <w:kern w:val="21"/>
          <w:szCs w:val="24"/>
        </w:rPr>
        <w:t>施工期固体废物处置措施可行。</w:t>
      </w:r>
    </w:p>
    <w:p w14:paraId="59B3F53C"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384" w:name="_Toc195009919"/>
      <w:r>
        <w:rPr>
          <w:rFonts w:cs="Times New Roman" w:hint="eastAsia"/>
          <w:b/>
          <w:bCs/>
          <w:kern w:val="21"/>
          <w:sz w:val="28"/>
          <w:szCs w:val="24"/>
        </w:rPr>
        <w:t>生态防护措施分析</w:t>
      </w:r>
      <w:bookmarkEnd w:id="384"/>
    </w:p>
    <w:p w14:paraId="67D3F628"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项目施工期对生态环境的影响主要为植被的破坏以及可能造成的水土流失。</w:t>
      </w:r>
    </w:p>
    <w:p w14:paraId="499743EF"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w:t>
      </w:r>
      <w:r>
        <w:rPr>
          <w:rFonts w:cs="Times New Roman" w:hint="eastAsia"/>
          <w:kern w:val="21"/>
          <w:szCs w:val="24"/>
        </w:rPr>
        <w:t>1</w:t>
      </w:r>
      <w:r>
        <w:rPr>
          <w:rFonts w:cs="Times New Roman" w:hint="eastAsia"/>
          <w:kern w:val="21"/>
          <w:szCs w:val="24"/>
        </w:rPr>
        <w:t>）植被破坏</w:t>
      </w:r>
    </w:p>
    <w:p w14:paraId="4B15F4C6"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1</w:t>
      </w:r>
      <w:r>
        <w:rPr>
          <w:rFonts w:cs="Times New Roman" w:hint="eastAsia"/>
          <w:kern w:val="21"/>
          <w:szCs w:val="24"/>
        </w:rPr>
        <w:t>）在施工作业过程中，不得随意开挖，强化生态环境保护意识，严格控制施工作业区，不得随意扩大范围，尽量减少对植被的破坏。</w:t>
      </w:r>
    </w:p>
    <w:p w14:paraId="245C3EAD"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2</w:t>
      </w:r>
      <w:r>
        <w:rPr>
          <w:rFonts w:cs="Times New Roman" w:hint="eastAsia"/>
          <w:kern w:val="21"/>
          <w:szCs w:val="24"/>
        </w:rPr>
        <w:t>）合理利用场地内原有树林植被设置绿化带，尽量保留可利用植被，降低生态影响。</w:t>
      </w:r>
    </w:p>
    <w:p w14:paraId="01DD3829"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3</w:t>
      </w:r>
      <w:r>
        <w:rPr>
          <w:rFonts w:cs="Times New Roman" w:hint="eastAsia"/>
          <w:kern w:val="21"/>
          <w:szCs w:val="24"/>
        </w:rPr>
        <w:t>）项目实施后，对厂区内进行绿化，种植花草树木，尽量恢复区域绿化。</w:t>
      </w:r>
    </w:p>
    <w:p w14:paraId="1EC0310C"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lastRenderedPageBreak/>
        <w:t>（</w:t>
      </w:r>
      <w:r>
        <w:rPr>
          <w:rFonts w:cs="Times New Roman" w:hint="eastAsia"/>
          <w:kern w:val="21"/>
          <w:szCs w:val="24"/>
        </w:rPr>
        <w:t>2</w:t>
      </w:r>
      <w:r>
        <w:rPr>
          <w:rFonts w:cs="Times New Roman" w:hint="eastAsia"/>
          <w:kern w:val="21"/>
          <w:szCs w:val="24"/>
        </w:rPr>
        <w:t>）水土流失</w:t>
      </w:r>
    </w:p>
    <w:p w14:paraId="4E265D05"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1</w:t>
      </w:r>
      <w:r>
        <w:rPr>
          <w:rFonts w:cs="Times New Roman" w:hint="eastAsia"/>
          <w:kern w:val="21"/>
          <w:szCs w:val="24"/>
        </w:rPr>
        <w:t>）整个施工过程中尽可能避开雨天开挖施工；</w:t>
      </w:r>
    </w:p>
    <w:p w14:paraId="30CB7A7C"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2</w:t>
      </w:r>
      <w:r>
        <w:rPr>
          <w:rFonts w:cs="Times New Roman" w:hint="eastAsia"/>
          <w:kern w:val="21"/>
          <w:szCs w:val="24"/>
        </w:rPr>
        <w:t>）在施工作业过程中，不得随意开挖，强化生态环境保护意识，严格控制施工作业区，不得随意扩大范围，尽量减少对植被的破坏，保护水土资源；</w:t>
      </w:r>
    </w:p>
    <w:p w14:paraId="0926AF95"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3</w:t>
      </w:r>
      <w:r>
        <w:rPr>
          <w:rFonts w:cs="Times New Roman" w:hint="eastAsia"/>
          <w:kern w:val="21"/>
          <w:szCs w:val="24"/>
        </w:rPr>
        <w:t>）对于开挖土石方，减少临时堆放和不必要的转运过程，应尽快回填剩余用于场区内土地平整。环</w:t>
      </w:r>
      <w:proofErr w:type="gramStart"/>
      <w:r>
        <w:rPr>
          <w:rFonts w:cs="Times New Roman" w:hint="eastAsia"/>
          <w:kern w:val="21"/>
          <w:szCs w:val="24"/>
        </w:rPr>
        <w:t>评要求</w:t>
      </w:r>
      <w:proofErr w:type="gramEnd"/>
      <w:r>
        <w:rPr>
          <w:rFonts w:cs="Times New Roman" w:hint="eastAsia"/>
          <w:kern w:val="21"/>
          <w:szCs w:val="24"/>
        </w:rPr>
        <w:t>挖方时对土方进行剥离，可用土进行单独保存。</w:t>
      </w:r>
    </w:p>
    <w:p w14:paraId="2C2A9403"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4</w:t>
      </w:r>
      <w:r>
        <w:rPr>
          <w:rFonts w:cs="Times New Roman" w:hint="eastAsia"/>
          <w:kern w:val="21"/>
          <w:szCs w:val="24"/>
        </w:rPr>
        <w:t>）在基础清理开挖时，为防止开挖土方进入施工区外，在开挖线外缘一侧用编织袋装清理表层</w:t>
      </w:r>
      <w:proofErr w:type="gramStart"/>
      <w:r>
        <w:rPr>
          <w:rFonts w:cs="Times New Roman" w:hint="eastAsia"/>
          <w:kern w:val="21"/>
          <w:szCs w:val="24"/>
        </w:rPr>
        <w:t>土临时</w:t>
      </w:r>
      <w:proofErr w:type="gramEnd"/>
      <w:r>
        <w:rPr>
          <w:rFonts w:cs="Times New Roman" w:hint="eastAsia"/>
          <w:kern w:val="21"/>
          <w:szCs w:val="24"/>
        </w:rPr>
        <w:t>拦挡；</w:t>
      </w:r>
    </w:p>
    <w:p w14:paraId="787D095C"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5</w:t>
      </w:r>
      <w:r>
        <w:rPr>
          <w:rFonts w:cs="Times New Roman" w:hint="eastAsia"/>
          <w:kern w:val="21"/>
          <w:szCs w:val="24"/>
        </w:rPr>
        <w:t>）临时堆场周边设置围挡，并采用防雨布进行覆盖。</w:t>
      </w:r>
    </w:p>
    <w:p w14:paraId="6FDCF931"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6</w:t>
      </w:r>
      <w:r>
        <w:rPr>
          <w:rFonts w:cs="Times New Roman" w:hint="eastAsia"/>
          <w:kern w:val="21"/>
          <w:szCs w:val="24"/>
        </w:rPr>
        <w:t>）尽快完善在施工场地四周雨水排水沟，防止雨水冲刷场地，并在排水沟出口设临时沉淀池，使雨水经沉淀后排放，尽力减少施工期水土流失。</w:t>
      </w:r>
    </w:p>
    <w:p w14:paraId="0B50C6DD"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采取上述措施可减小植被的破坏，并对破坏的植被进行一定绿化补偿。同时能够有效减小水土流失。经济技术可行。</w:t>
      </w:r>
    </w:p>
    <w:p w14:paraId="34E9BBB7" w14:textId="77777777" w:rsidR="00544649" w:rsidRDefault="00000000">
      <w:pPr>
        <w:keepNext/>
        <w:keepLines/>
        <w:numPr>
          <w:ilvl w:val="1"/>
          <w:numId w:val="9"/>
        </w:numPr>
        <w:adjustRightInd w:val="0"/>
        <w:snapToGrid w:val="0"/>
        <w:spacing w:after="0"/>
        <w:ind w:firstLineChars="0"/>
        <w:outlineLvl w:val="1"/>
        <w:rPr>
          <w:rFonts w:cs="Times New Roman"/>
          <w:kern w:val="21"/>
        </w:rPr>
      </w:pPr>
      <w:bookmarkStart w:id="385" w:name="_Toc552"/>
      <w:bookmarkStart w:id="386" w:name="_Toc195009920"/>
      <w:r>
        <w:rPr>
          <w:rFonts w:cs="Times New Roman"/>
          <w:b/>
          <w:bCs/>
          <w:kern w:val="21"/>
          <w:sz w:val="32"/>
          <w:szCs w:val="28"/>
        </w:rPr>
        <w:t>运营</w:t>
      </w:r>
      <w:proofErr w:type="gramStart"/>
      <w:r>
        <w:rPr>
          <w:rFonts w:cs="Times New Roman"/>
          <w:b/>
          <w:bCs/>
          <w:kern w:val="21"/>
          <w:sz w:val="32"/>
          <w:szCs w:val="28"/>
        </w:rPr>
        <w:t>期污染</w:t>
      </w:r>
      <w:proofErr w:type="gramEnd"/>
      <w:r>
        <w:rPr>
          <w:rFonts w:cs="Times New Roman"/>
          <w:b/>
          <w:bCs/>
          <w:kern w:val="21"/>
          <w:sz w:val="32"/>
          <w:szCs w:val="28"/>
        </w:rPr>
        <w:t>防治措施及可行性分析</w:t>
      </w:r>
      <w:bookmarkEnd w:id="385"/>
      <w:bookmarkEnd w:id="386"/>
    </w:p>
    <w:p w14:paraId="05D33480"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387" w:name="_Toc195009921"/>
      <w:r>
        <w:rPr>
          <w:rFonts w:cs="Times New Roman"/>
          <w:b/>
          <w:bCs/>
          <w:kern w:val="21"/>
          <w:sz w:val="28"/>
          <w:szCs w:val="24"/>
        </w:rPr>
        <w:t>大气污染防治措施</w:t>
      </w:r>
      <w:r>
        <w:rPr>
          <w:rFonts w:cs="Times New Roman" w:hint="eastAsia"/>
          <w:b/>
          <w:bCs/>
          <w:kern w:val="21"/>
          <w:sz w:val="28"/>
          <w:szCs w:val="24"/>
        </w:rPr>
        <w:t>及可行性分析</w:t>
      </w:r>
      <w:bookmarkEnd w:id="387"/>
    </w:p>
    <w:p w14:paraId="1291BDE3" w14:textId="77777777" w:rsidR="00544649" w:rsidRDefault="00000000">
      <w:pPr>
        <w:pStyle w:val="aff2"/>
        <w:adjustRightInd w:val="0"/>
        <w:snapToGrid w:val="0"/>
        <w:spacing w:after="0"/>
        <w:rPr>
          <w:rFonts w:ascii="Times New Roman" w:hAnsi="Times New Roman" w:cs="Times New Roman"/>
          <w:kern w:val="21"/>
        </w:rPr>
      </w:pPr>
      <w:r>
        <w:rPr>
          <w:rFonts w:ascii="Times New Roman" w:hAnsi="Times New Roman" w:cs="Times New Roman"/>
          <w:kern w:val="21"/>
        </w:rPr>
        <w:t>根据工程分析</w:t>
      </w:r>
      <w:r>
        <w:rPr>
          <w:rFonts w:ascii="Times New Roman" w:hAnsi="Times New Roman" w:cs="Times New Roman" w:hint="eastAsia"/>
          <w:kern w:val="21"/>
        </w:rPr>
        <w:t>，</w:t>
      </w:r>
      <w:r>
        <w:rPr>
          <w:rFonts w:ascii="Times New Roman" w:hAnsi="Times New Roman" w:cs="Times New Roman"/>
          <w:kern w:val="21"/>
        </w:rPr>
        <w:t>项目运营</w:t>
      </w:r>
      <w:r>
        <w:rPr>
          <w:rFonts w:ascii="Times New Roman" w:hAnsi="Times New Roman" w:cs="Times New Roman" w:hint="eastAsia"/>
          <w:kern w:val="21"/>
        </w:rPr>
        <w:t>期</w:t>
      </w:r>
      <w:r>
        <w:rPr>
          <w:rFonts w:ascii="Times New Roman" w:hAnsi="Times New Roman" w:cs="Times New Roman"/>
          <w:kern w:val="21"/>
        </w:rPr>
        <w:t>产生的废气主要为鸡舍恶臭</w:t>
      </w:r>
      <w:r>
        <w:rPr>
          <w:rFonts w:ascii="Times New Roman" w:hAnsi="Times New Roman" w:cs="Times New Roman" w:hint="eastAsia"/>
          <w:kern w:val="21"/>
        </w:rPr>
        <w:t>、备用</w:t>
      </w:r>
      <w:r>
        <w:rPr>
          <w:rFonts w:ascii="Times New Roman" w:hAnsi="Times New Roman" w:cs="Times New Roman"/>
          <w:kern w:val="21"/>
        </w:rPr>
        <w:t>柴油发电机废气</w:t>
      </w:r>
      <w:r>
        <w:rPr>
          <w:rFonts w:ascii="Times New Roman" w:hAnsi="Times New Roman" w:cs="Times New Roman" w:hint="eastAsia"/>
          <w:kern w:val="21"/>
        </w:rPr>
        <w:t>、餐饮油烟</w:t>
      </w:r>
      <w:r>
        <w:rPr>
          <w:rFonts w:ascii="Times New Roman" w:hAnsi="Times New Roman" w:cs="Times New Roman"/>
          <w:kern w:val="21"/>
        </w:rPr>
        <w:t>。</w:t>
      </w:r>
    </w:p>
    <w:p w14:paraId="7C2E6775"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鸡舍</w:t>
      </w:r>
      <w:r>
        <w:rPr>
          <w:rFonts w:cs="Times New Roman" w:hint="eastAsia"/>
          <w:b/>
          <w:bCs/>
          <w:kern w:val="21"/>
        </w:rPr>
        <w:t>及污水处理区</w:t>
      </w:r>
      <w:r>
        <w:rPr>
          <w:rFonts w:cs="Times New Roman"/>
          <w:b/>
          <w:bCs/>
          <w:kern w:val="21"/>
        </w:rPr>
        <w:t>恶臭</w:t>
      </w:r>
    </w:p>
    <w:p w14:paraId="1B43E3F9" w14:textId="77777777" w:rsidR="00544649" w:rsidRDefault="00000000">
      <w:pPr>
        <w:adjustRightInd w:val="0"/>
        <w:snapToGrid w:val="0"/>
        <w:spacing w:after="0"/>
        <w:ind w:firstLine="480"/>
        <w:rPr>
          <w:rFonts w:cs="Times New Roman"/>
          <w:kern w:val="21"/>
        </w:rPr>
      </w:pPr>
      <w:r>
        <w:rPr>
          <w:rFonts w:cs="Times New Roman"/>
          <w:kern w:val="21"/>
        </w:rPr>
        <w:t>相比其他废气而言，项目鸡舍的养殖臭气是最主要的废气，养殖臭气由鸡的排泄物厌氧分解产生。畜禽排泄物的有机物主要由碳水化合物和含氮化合物组成，在一定条件下，这些粪便发酵以及含硫蛋白分解产生大量氨气和硫化氢等臭味气体。</w:t>
      </w:r>
    </w:p>
    <w:p w14:paraId="168D93A9" w14:textId="77777777" w:rsidR="00544649" w:rsidRDefault="00000000">
      <w:pPr>
        <w:adjustRightInd w:val="0"/>
        <w:snapToGrid w:val="0"/>
        <w:spacing w:after="0"/>
        <w:ind w:firstLine="482"/>
        <w:rPr>
          <w:rFonts w:cs="Times New Roman"/>
          <w:b/>
          <w:bCs/>
          <w:kern w:val="21"/>
        </w:rPr>
      </w:pPr>
      <w:r>
        <w:rPr>
          <w:rFonts w:cs="Times New Roman"/>
          <w:b/>
          <w:bCs/>
          <w:kern w:val="21"/>
        </w:rPr>
        <w:t>1</w:t>
      </w:r>
      <w:r>
        <w:rPr>
          <w:rFonts w:cs="Times New Roman"/>
          <w:b/>
          <w:bCs/>
          <w:kern w:val="21"/>
        </w:rPr>
        <w:t>、臭气污染防治措施</w:t>
      </w:r>
    </w:p>
    <w:p w14:paraId="506689D1" w14:textId="77777777" w:rsidR="00544649" w:rsidRDefault="00000000">
      <w:pPr>
        <w:adjustRightInd w:val="0"/>
        <w:snapToGrid w:val="0"/>
        <w:spacing w:after="0"/>
        <w:ind w:firstLine="482"/>
        <w:rPr>
          <w:rFonts w:cs="Times New Roman"/>
          <w:kern w:val="21"/>
        </w:rPr>
      </w:pPr>
      <w:r>
        <w:rPr>
          <w:rFonts w:cs="Times New Roman" w:hint="eastAsia"/>
          <w:b/>
          <w:bCs/>
          <w:kern w:val="21"/>
        </w:rPr>
        <w:t>①加强鸡舍管理。</w:t>
      </w:r>
      <w:r>
        <w:rPr>
          <w:rFonts w:cs="Times New Roman" w:hint="eastAsia"/>
          <w:kern w:val="21"/>
        </w:rPr>
        <w:t>本项目</w:t>
      </w:r>
      <w:r>
        <w:rPr>
          <w:rFonts w:cs="Times New Roman"/>
          <w:kern w:val="21"/>
        </w:rPr>
        <w:t>采用干清粪工艺，鸡粪日产日清，蛋鸡舍产生的鸡粪用自动刮粪机清粪，</w:t>
      </w:r>
      <w:r>
        <w:rPr>
          <w:rFonts w:cs="Times New Roman" w:hint="eastAsia"/>
          <w:kern w:val="21"/>
        </w:rPr>
        <w:t>鸡粪</w:t>
      </w:r>
      <w:r>
        <w:rPr>
          <w:rFonts w:cs="Times New Roman"/>
          <w:kern w:val="21"/>
        </w:rPr>
        <w:t>直接刮至输送机皮带</w:t>
      </w:r>
      <w:r>
        <w:rPr>
          <w:rFonts w:cs="Times New Roman" w:hint="eastAsia"/>
          <w:kern w:val="21"/>
        </w:rPr>
        <w:t>，由密闭皮带输送机转运</w:t>
      </w:r>
      <w:r>
        <w:rPr>
          <w:rFonts w:cs="Times New Roman"/>
          <w:kern w:val="21"/>
        </w:rPr>
        <w:t>至密闭转运车，</w:t>
      </w:r>
      <w:r>
        <w:rPr>
          <w:rFonts w:ascii="宋体" w:hAnsi="宋体" w:cs="宋体"/>
          <w:kern w:val="21"/>
          <w:szCs w:val="24"/>
        </w:rPr>
        <w:t>通过减少粪便的停留时间，大大降低了鸡舍废气的产生；加强鸡舍消毒杀菌，减少微生物发酵，防止恶臭产生。</w:t>
      </w:r>
    </w:p>
    <w:p w14:paraId="1657BD2F" w14:textId="77777777" w:rsidR="00544649" w:rsidRDefault="00000000">
      <w:pPr>
        <w:adjustRightInd w:val="0"/>
        <w:snapToGrid w:val="0"/>
        <w:spacing w:after="0"/>
        <w:ind w:firstLine="482"/>
        <w:rPr>
          <w:rFonts w:ascii="宋体" w:hAnsi="宋体" w:cs="宋体" w:hint="eastAsia"/>
          <w:kern w:val="21"/>
          <w:szCs w:val="24"/>
        </w:rPr>
      </w:pPr>
      <w:r>
        <w:rPr>
          <w:rFonts w:cs="Times New Roman" w:hint="eastAsia"/>
          <w:b/>
          <w:bCs/>
          <w:kern w:val="21"/>
        </w:rPr>
        <w:t>②加强鸡舍通风</w:t>
      </w:r>
      <w:r>
        <w:rPr>
          <w:rFonts w:ascii="宋体" w:hAnsi="宋体" w:cs="宋体"/>
          <w:b/>
          <w:bCs/>
          <w:kern w:val="21"/>
          <w:szCs w:val="24"/>
        </w:rPr>
        <w:t>。</w:t>
      </w:r>
      <w:r>
        <w:rPr>
          <w:rFonts w:ascii="宋体" w:hAnsi="宋体" w:cs="宋体"/>
          <w:kern w:val="21"/>
          <w:szCs w:val="24"/>
        </w:rPr>
        <w:t>鸡舍墙面设置通风设备，安装风机，加强舍内通风；同时，保持鸡舍的清洁和干燥。</w:t>
      </w:r>
    </w:p>
    <w:p w14:paraId="3F017496" w14:textId="77777777" w:rsidR="00544649" w:rsidRDefault="00000000">
      <w:pPr>
        <w:adjustRightInd w:val="0"/>
        <w:snapToGrid w:val="0"/>
        <w:spacing w:after="0"/>
        <w:ind w:firstLine="482"/>
        <w:rPr>
          <w:rFonts w:cs="Times New Roman"/>
          <w:kern w:val="21"/>
        </w:rPr>
      </w:pPr>
      <w:r>
        <w:rPr>
          <w:rFonts w:cs="Times New Roman" w:hint="eastAsia"/>
          <w:b/>
          <w:bCs/>
          <w:kern w:val="21"/>
        </w:rPr>
        <w:t>③</w:t>
      </w:r>
      <w:r>
        <w:rPr>
          <w:rFonts w:cs="Times New Roman"/>
          <w:b/>
          <w:bCs/>
          <w:kern w:val="21"/>
        </w:rPr>
        <w:t>科学设计日粮，</w:t>
      </w:r>
      <w:r>
        <w:rPr>
          <w:rFonts w:ascii="宋体" w:hAnsi="宋体" w:cs="宋体"/>
          <w:b/>
          <w:bCs/>
          <w:kern w:val="21"/>
          <w:szCs w:val="24"/>
        </w:rPr>
        <w:t>选择优质饲料，合理使用饲料添加剂。</w:t>
      </w:r>
      <w:r>
        <w:rPr>
          <w:rFonts w:ascii="宋体" w:hAnsi="宋体" w:cs="宋体"/>
          <w:kern w:val="21"/>
          <w:szCs w:val="24"/>
        </w:rPr>
        <w:t>提高饲料利用率，提高日粮的消化率、减少干物质</w:t>
      </w:r>
      <w:r>
        <w:rPr>
          <w:rFonts w:cs="Times New Roman"/>
          <w:kern w:val="21"/>
        </w:rPr>
        <w:t>（特别是蛋白质）排出量，既减少肠道臭气的产生，又可</w:t>
      </w:r>
      <w:r>
        <w:rPr>
          <w:rFonts w:cs="Times New Roman"/>
          <w:kern w:val="21"/>
        </w:rPr>
        <w:lastRenderedPageBreak/>
        <w:t>减少粪便排出</w:t>
      </w:r>
      <w:r>
        <w:rPr>
          <w:rFonts w:cs="Times New Roman" w:hint="eastAsia"/>
          <w:kern w:val="21"/>
        </w:rPr>
        <w:t>。</w:t>
      </w:r>
      <w:r>
        <w:rPr>
          <w:rFonts w:cs="Times New Roman"/>
          <w:kern w:val="21"/>
        </w:rPr>
        <w:t>后臭气的产生，这是减少恶臭来源的有效措施。试验证明，日粮消化率由</w:t>
      </w:r>
      <w:r>
        <w:rPr>
          <w:rFonts w:cs="Times New Roman"/>
          <w:kern w:val="21"/>
        </w:rPr>
        <w:t>85%</w:t>
      </w:r>
      <w:r>
        <w:rPr>
          <w:rFonts w:cs="Times New Roman"/>
          <w:kern w:val="21"/>
        </w:rPr>
        <w:t>提高至</w:t>
      </w:r>
      <w:r>
        <w:rPr>
          <w:rFonts w:cs="Times New Roman"/>
          <w:kern w:val="21"/>
        </w:rPr>
        <w:t>90%</w:t>
      </w:r>
      <w:r>
        <w:rPr>
          <w:rFonts w:cs="Times New Roman"/>
          <w:kern w:val="21"/>
        </w:rPr>
        <w:t>，粪便干物质排出量就减少三分之一；日粮蛋白质减少</w:t>
      </w:r>
      <w:r>
        <w:rPr>
          <w:rFonts w:cs="Times New Roman"/>
          <w:kern w:val="21"/>
        </w:rPr>
        <w:t>2%</w:t>
      </w:r>
      <w:r>
        <w:rPr>
          <w:rFonts w:cs="Times New Roman"/>
          <w:kern w:val="21"/>
        </w:rPr>
        <w:t>，粪便排泄量就降低</w:t>
      </w:r>
      <w:r>
        <w:rPr>
          <w:rFonts w:cs="Times New Roman"/>
          <w:kern w:val="21"/>
        </w:rPr>
        <w:t>20%</w:t>
      </w:r>
      <w:r>
        <w:rPr>
          <w:rFonts w:cs="Times New Roman"/>
          <w:kern w:val="21"/>
        </w:rPr>
        <w:t>。可采用氨基酸平衡的低蛋白日粮和采用稀饲喂</w:t>
      </w:r>
      <w:proofErr w:type="gramStart"/>
      <w:r>
        <w:rPr>
          <w:rFonts w:cs="Times New Roman"/>
          <w:kern w:val="21"/>
        </w:rPr>
        <w:t>养方式</w:t>
      </w:r>
      <w:proofErr w:type="gramEnd"/>
      <w:r>
        <w:rPr>
          <w:rFonts w:cs="Times New Roman"/>
          <w:kern w:val="21"/>
        </w:rPr>
        <w:t>减少恶臭的产生。优质的饲料原料是生产高效饲料和提高动物对饲料养分利用率的先决条件，高质量的原料具有适口性好、消化率高的特点，能提高动物对其的利用，减少粪便的排出量。降低粪尿中的恶臭物质及其前体物，减少恶臭气体的产生，选用高消化率的饲料可以使粪尿中的</w:t>
      </w:r>
      <w:proofErr w:type="gramStart"/>
      <w:r>
        <w:rPr>
          <w:rFonts w:cs="Times New Roman"/>
          <w:kern w:val="21"/>
        </w:rPr>
        <w:t>氮减少</w:t>
      </w:r>
      <w:proofErr w:type="gramEnd"/>
      <w:r>
        <w:rPr>
          <w:rFonts w:cs="Times New Roman"/>
          <w:kern w:val="21"/>
        </w:rPr>
        <w:t>5%</w:t>
      </w:r>
      <w:r>
        <w:rPr>
          <w:rFonts w:cs="Times New Roman"/>
          <w:kern w:val="21"/>
        </w:rPr>
        <w:t>以上。选择硫含量低的饲料可降低硫的排泄量，减少硫化氢的产生。</w:t>
      </w:r>
    </w:p>
    <w:p w14:paraId="35E28765" w14:textId="77777777" w:rsidR="00544649" w:rsidRDefault="00000000">
      <w:pPr>
        <w:adjustRightInd w:val="0"/>
        <w:snapToGrid w:val="0"/>
        <w:spacing w:after="0"/>
        <w:ind w:firstLine="482"/>
        <w:rPr>
          <w:rFonts w:cs="Times New Roman"/>
          <w:kern w:val="21"/>
        </w:rPr>
      </w:pPr>
      <w:r>
        <w:rPr>
          <w:rFonts w:cs="Times New Roman" w:hint="eastAsia"/>
          <w:b/>
          <w:bCs/>
          <w:kern w:val="21"/>
        </w:rPr>
        <w:t>④</w:t>
      </w:r>
      <w:r>
        <w:rPr>
          <w:rFonts w:cs="Times New Roman"/>
          <w:b/>
          <w:bCs/>
          <w:kern w:val="21"/>
        </w:rPr>
        <w:t>合理种植绿化隔离带。</w:t>
      </w:r>
      <w:r>
        <w:rPr>
          <w:rFonts w:ascii="宋体" w:hAnsi="宋体" w:cs="宋体"/>
          <w:kern w:val="21"/>
          <w:szCs w:val="24"/>
        </w:rPr>
        <w:t>种植绿色植物，通过光合作用吸收部分二氧化碳，并吸收部分空气中的有毒有害气体，达到净化空气的目的。绿化植物具有一定的吸收有害气体，减轻恶臭异味的作用。此外，场内还应尽可能多种花草、果树。各季的果树花和花卉香味可以降低或减轻恶臭味在空气中的浓度，达到防护的目的。</w:t>
      </w:r>
    </w:p>
    <w:p w14:paraId="4E70EC8E" w14:textId="77777777" w:rsidR="00544649" w:rsidRDefault="00000000">
      <w:pPr>
        <w:widowControl/>
        <w:adjustRightInd w:val="0"/>
        <w:snapToGrid w:val="0"/>
        <w:spacing w:after="0"/>
        <w:ind w:firstLine="482"/>
        <w:rPr>
          <w:rFonts w:cs="Times New Roman"/>
          <w:kern w:val="21"/>
        </w:rPr>
      </w:pPr>
      <w:r>
        <w:rPr>
          <w:rFonts w:cs="Times New Roman" w:hint="eastAsia"/>
          <w:b/>
          <w:bCs/>
          <w:kern w:val="21"/>
        </w:rPr>
        <w:t>⑤</w:t>
      </w:r>
      <w:r>
        <w:rPr>
          <w:rFonts w:ascii="宋体" w:hAnsi="宋体" w:cs="宋体" w:hint="eastAsia"/>
          <w:b/>
          <w:bCs/>
          <w:kern w:val="21"/>
          <w:szCs w:val="24"/>
          <w:lang w:bidi="ar"/>
        </w:rPr>
        <w:t>喷洒除臭剂。</w:t>
      </w:r>
      <w:r>
        <w:rPr>
          <w:rFonts w:cs="Times New Roman"/>
          <w:kern w:val="21"/>
        </w:rPr>
        <w:t>每</w:t>
      </w:r>
      <w:r>
        <w:rPr>
          <w:rFonts w:cs="Times New Roman" w:hint="eastAsia"/>
          <w:kern w:val="21"/>
        </w:rPr>
        <w:t>日定时在鸡舍内部、鸡舍周围及污水处理区</w:t>
      </w:r>
      <w:r>
        <w:rPr>
          <w:rFonts w:cs="Times New Roman"/>
          <w:kern w:val="21"/>
        </w:rPr>
        <w:t>喷洒除臭剂，减少恶臭污染。</w:t>
      </w:r>
    </w:p>
    <w:p w14:paraId="5D2FECA2" w14:textId="77777777" w:rsidR="00544649" w:rsidRDefault="00000000">
      <w:pPr>
        <w:adjustRightInd w:val="0"/>
        <w:snapToGrid w:val="0"/>
        <w:spacing w:after="0"/>
        <w:ind w:firstLine="482"/>
        <w:rPr>
          <w:rFonts w:cs="Times New Roman"/>
          <w:kern w:val="21"/>
        </w:rPr>
      </w:pPr>
      <w:r>
        <w:rPr>
          <w:rFonts w:cs="Times New Roman" w:hint="eastAsia"/>
          <w:b/>
          <w:bCs/>
          <w:kern w:val="21"/>
        </w:rPr>
        <w:t>⑥</w:t>
      </w:r>
      <w:r>
        <w:rPr>
          <w:rFonts w:ascii="宋体" w:hAnsi="宋体" w:cs="宋体"/>
          <w:b/>
          <w:bCs/>
          <w:kern w:val="21"/>
          <w:szCs w:val="24"/>
        </w:rPr>
        <w:t>严格划定卫生防护距离。</w:t>
      </w:r>
      <w:r>
        <w:rPr>
          <w:rFonts w:ascii="宋体" w:hAnsi="宋体" w:cs="宋体"/>
          <w:kern w:val="21"/>
          <w:szCs w:val="24"/>
        </w:rPr>
        <w:t>以鸡舍、</w:t>
      </w:r>
      <w:r>
        <w:rPr>
          <w:rFonts w:cs="Times New Roman" w:hint="eastAsia"/>
          <w:kern w:val="21"/>
        </w:rPr>
        <w:t>污水处理区</w:t>
      </w:r>
      <w:r>
        <w:rPr>
          <w:rFonts w:cs="Times New Roman"/>
          <w:kern w:val="21"/>
        </w:rPr>
        <w:t>设置</w:t>
      </w:r>
      <w:r>
        <w:rPr>
          <w:rFonts w:cs="Times New Roman"/>
          <w:kern w:val="21"/>
        </w:rPr>
        <w:t>200m</w:t>
      </w:r>
      <w:r>
        <w:rPr>
          <w:rFonts w:cs="Times New Roman"/>
          <w:kern w:val="21"/>
        </w:rPr>
        <w:t>卫生防护距离；同时，禁止卫生防护距离内新建居民住宅、医院、学校等民用设施和食品、医药等对大气环境质量要求较</w:t>
      </w:r>
      <w:r>
        <w:rPr>
          <w:rFonts w:cs="Times New Roman" w:hint="eastAsia"/>
          <w:kern w:val="21"/>
        </w:rPr>
        <w:t>高的</w:t>
      </w:r>
      <w:r>
        <w:rPr>
          <w:rFonts w:cs="Times New Roman"/>
          <w:kern w:val="21"/>
        </w:rPr>
        <w:t>企业，最大程度减少臭气的影响。</w:t>
      </w:r>
    </w:p>
    <w:p w14:paraId="1295F605"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经采取场区消毒、微生物除臭剂除臭、养殖舍通风及区绿化带隔离等除臭方法后，养殖舍氨去除率可达</w:t>
      </w:r>
      <w:r>
        <w:rPr>
          <w:rFonts w:cs="Times New Roman" w:hint="eastAsia"/>
          <w:kern w:val="21"/>
          <w:szCs w:val="24"/>
        </w:rPr>
        <w:t>41%</w:t>
      </w:r>
      <w:r>
        <w:rPr>
          <w:rFonts w:cs="Times New Roman" w:hint="eastAsia"/>
          <w:kern w:val="21"/>
          <w:szCs w:val="24"/>
        </w:rPr>
        <w:t>、硫化氢的去除率可达</w:t>
      </w:r>
      <w:r>
        <w:rPr>
          <w:rFonts w:cs="Times New Roman" w:hint="eastAsia"/>
          <w:kern w:val="21"/>
          <w:szCs w:val="24"/>
        </w:rPr>
        <w:t>76%</w:t>
      </w:r>
      <w:r>
        <w:rPr>
          <w:rFonts w:cs="Times New Roman" w:hint="eastAsia"/>
          <w:kern w:val="21"/>
          <w:szCs w:val="24"/>
        </w:rPr>
        <w:t>。</w:t>
      </w:r>
    </w:p>
    <w:p w14:paraId="1E0BD843" w14:textId="77777777" w:rsidR="00544649" w:rsidRDefault="00000000">
      <w:pPr>
        <w:adjustRightInd w:val="0"/>
        <w:snapToGrid w:val="0"/>
        <w:spacing w:after="0"/>
        <w:ind w:firstLine="482"/>
        <w:rPr>
          <w:rFonts w:cs="Times New Roman"/>
          <w:b/>
          <w:bCs/>
          <w:kern w:val="21"/>
        </w:rPr>
      </w:pPr>
      <w:r>
        <w:rPr>
          <w:rFonts w:cs="Times New Roman" w:hint="eastAsia"/>
          <w:b/>
          <w:bCs/>
          <w:kern w:val="21"/>
        </w:rPr>
        <w:t>2</w:t>
      </w:r>
      <w:r>
        <w:rPr>
          <w:rFonts w:cs="Times New Roman"/>
          <w:b/>
          <w:bCs/>
          <w:kern w:val="21"/>
        </w:rPr>
        <w:t>、臭气防治措施可行性分析</w:t>
      </w:r>
    </w:p>
    <w:p w14:paraId="47744FE4" w14:textId="77777777" w:rsidR="00544649" w:rsidRDefault="00000000">
      <w:pPr>
        <w:adjustRightInd w:val="0"/>
        <w:snapToGrid w:val="0"/>
        <w:spacing w:after="0"/>
        <w:ind w:firstLine="482"/>
        <w:rPr>
          <w:rFonts w:cs="Times New Roman"/>
          <w:b/>
          <w:bCs/>
          <w:kern w:val="21"/>
        </w:rPr>
      </w:pPr>
      <w:r>
        <w:rPr>
          <w:rFonts w:cs="Times New Roman"/>
          <w:b/>
          <w:bCs/>
          <w:kern w:val="21"/>
        </w:rPr>
        <w:t>（</w:t>
      </w:r>
      <w:r>
        <w:rPr>
          <w:rFonts w:cs="Times New Roman"/>
          <w:b/>
          <w:bCs/>
          <w:kern w:val="21"/>
        </w:rPr>
        <w:t>1</w:t>
      </w:r>
      <w:r>
        <w:rPr>
          <w:rFonts w:cs="Times New Roman"/>
          <w:b/>
          <w:bCs/>
          <w:kern w:val="21"/>
        </w:rPr>
        <w:t>）源头控制</w:t>
      </w:r>
    </w:p>
    <w:p w14:paraId="5429B797" w14:textId="77777777" w:rsidR="00544649" w:rsidRDefault="00000000">
      <w:pPr>
        <w:adjustRightInd w:val="0"/>
        <w:snapToGrid w:val="0"/>
        <w:spacing w:after="0"/>
        <w:ind w:firstLine="480"/>
        <w:rPr>
          <w:rFonts w:cs="Times New Roman"/>
          <w:kern w:val="21"/>
        </w:rPr>
      </w:pPr>
      <w:r>
        <w:rPr>
          <w:rFonts w:hint="eastAsia"/>
          <w:kern w:val="21"/>
        </w:rPr>
        <w:t>提高鸡对饲料的消化和利用率。日粮中各种营养物质不完全吸收是鸡舍恶臭和有害气体产生的主要原因。提高日粮营养物质消化率，尤其是提高饲料中氮和磷的利用率，降低粪便中氮和磷的排出，是解决养殖场恶臭的关键所在。具体的做法为提高饲料质量，外购优质饲料。</w:t>
      </w:r>
    </w:p>
    <w:p w14:paraId="5F750CEC" w14:textId="77777777" w:rsidR="00544649" w:rsidRDefault="00000000">
      <w:pPr>
        <w:adjustRightInd w:val="0"/>
        <w:snapToGrid w:val="0"/>
        <w:spacing w:after="0"/>
        <w:ind w:firstLine="482"/>
        <w:rPr>
          <w:rFonts w:cs="Times New Roman"/>
          <w:b/>
          <w:bCs/>
          <w:kern w:val="21"/>
        </w:rPr>
      </w:pPr>
      <w:r>
        <w:rPr>
          <w:rFonts w:cs="Times New Roman"/>
          <w:b/>
          <w:bCs/>
          <w:kern w:val="21"/>
        </w:rPr>
        <w:t>（</w:t>
      </w:r>
      <w:r>
        <w:rPr>
          <w:rFonts w:cs="Times New Roman"/>
          <w:b/>
          <w:bCs/>
          <w:kern w:val="21"/>
        </w:rPr>
        <w:t>2</w:t>
      </w:r>
      <w:r>
        <w:rPr>
          <w:rFonts w:cs="Times New Roman"/>
          <w:b/>
          <w:bCs/>
          <w:kern w:val="21"/>
        </w:rPr>
        <w:t>）优化鸡舍设计</w:t>
      </w:r>
    </w:p>
    <w:p w14:paraId="752019BC" w14:textId="77777777" w:rsidR="00544649" w:rsidRDefault="00000000">
      <w:pPr>
        <w:adjustRightInd w:val="0"/>
        <w:snapToGrid w:val="0"/>
        <w:spacing w:after="0"/>
        <w:ind w:firstLine="480"/>
        <w:rPr>
          <w:rFonts w:cs="Times New Roman"/>
          <w:kern w:val="21"/>
        </w:rPr>
      </w:pPr>
      <w:r>
        <w:rPr>
          <w:rFonts w:cs="Times New Roman"/>
          <w:kern w:val="21"/>
        </w:rPr>
        <w:t>鸡舍采用密闭设计，新风由侧墙进入，另一侧排出。鸡舍内设置先进的自动环境控制系统，调节鸡舍内温度和湿度，避免不良环境因素的产生。当鸡舍温度超过预设温度时，系统首先通过控制风机来进行通风降温，根据舍内和舍外温度高度选择合适的通风模式，并决定是否</w:t>
      </w:r>
      <w:proofErr w:type="gramStart"/>
      <w:r>
        <w:rPr>
          <w:rFonts w:cs="Times New Roman"/>
          <w:kern w:val="21"/>
        </w:rPr>
        <w:t>开启湿帘降温</w:t>
      </w:r>
      <w:proofErr w:type="gramEnd"/>
      <w:r>
        <w:rPr>
          <w:rFonts w:cs="Times New Roman"/>
          <w:kern w:val="21"/>
        </w:rPr>
        <w:t>系统。本项目每个鸡舍设有风机，风机的启动、关闭及运行状态均由系统根据鸡舍内温度、湿度等条件控制。一般夏季温度较高时，</w:t>
      </w:r>
      <w:r>
        <w:rPr>
          <w:rFonts w:cs="Times New Roman"/>
          <w:kern w:val="21"/>
        </w:rPr>
        <w:lastRenderedPageBreak/>
        <w:t>约</w:t>
      </w:r>
      <w:r>
        <w:rPr>
          <w:rFonts w:cs="Times New Roman"/>
          <w:kern w:val="21"/>
        </w:rPr>
        <w:t>80%</w:t>
      </w:r>
      <w:r>
        <w:rPr>
          <w:rFonts w:cs="Times New Roman"/>
          <w:kern w:val="21"/>
        </w:rPr>
        <w:t>的风机处于运行状态，冬季则只运行</w:t>
      </w:r>
      <w:r>
        <w:rPr>
          <w:rFonts w:cs="Times New Roman"/>
          <w:kern w:val="21"/>
        </w:rPr>
        <w:t>10%</w:t>
      </w:r>
      <w:r>
        <w:rPr>
          <w:rFonts w:cs="Times New Roman"/>
          <w:kern w:val="21"/>
        </w:rPr>
        <w:t>的风机，用于通风换气。《畜禽养殖污染防治最佳可行技术指南（试行）编制说明》中指出，合理设计的鸡舍可对</w:t>
      </w:r>
      <w:r>
        <w:rPr>
          <w:rFonts w:cs="Times New Roman"/>
          <w:kern w:val="21"/>
        </w:rPr>
        <w:t>67%</w:t>
      </w:r>
      <w:r>
        <w:rPr>
          <w:rFonts w:cs="Times New Roman"/>
          <w:kern w:val="21"/>
        </w:rPr>
        <w:t>的</w:t>
      </w:r>
      <w:proofErr w:type="gramStart"/>
      <w:r>
        <w:rPr>
          <w:rFonts w:cs="Times New Roman"/>
          <w:kern w:val="21"/>
        </w:rPr>
        <w:t>氨产生</w:t>
      </w:r>
      <w:proofErr w:type="gramEnd"/>
      <w:r>
        <w:rPr>
          <w:rFonts w:cs="Times New Roman"/>
          <w:kern w:val="21"/>
        </w:rPr>
        <w:t>影响。侧墙排风处安装自动喷雾消毒装置，鸡舍内臭气经降温消毒处理后排出厂房</w:t>
      </w:r>
    </w:p>
    <w:p w14:paraId="6B8836EF" w14:textId="77777777" w:rsidR="00544649" w:rsidRDefault="00000000">
      <w:pPr>
        <w:adjustRightInd w:val="0"/>
        <w:snapToGrid w:val="0"/>
        <w:spacing w:after="0"/>
        <w:ind w:firstLine="482"/>
        <w:rPr>
          <w:rFonts w:cs="Times New Roman"/>
          <w:b/>
          <w:bCs/>
          <w:kern w:val="21"/>
        </w:rPr>
      </w:pPr>
      <w:r>
        <w:rPr>
          <w:rFonts w:cs="Times New Roman"/>
          <w:b/>
          <w:bCs/>
          <w:kern w:val="21"/>
        </w:rPr>
        <w:t>（</w:t>
      </w:r>
      <w:r>
        <w:rPr>
          <w:rFonts w:cs="Times New Roman"/>
          <w:b/>
          <w:bCs/>
          <w:kern w:val="21"/>
        </w:rPr>
        <w:t>3</w:t>
      </w:r>
      <w:r>
        <w:rPr>
          <w:rFonts w:cs="Times New Roman"/>
          <w:b/>
          <w:bCs/>
          <w:kern w:val="21"/>
        </w:rPr>
        <w:t>）干清粪技术</w:t>
      </w:r>
    </w:p>
    <w:p w14:paraId="63B04F8E" w14:textId="77777777" w:rsidR="00544649" w:rsidRDefault="00000000">
      <w:pPr>
        <w:adjustRightInd w:val="0"/>
        <w:snapToGrid w:val="0"/>
        <w:spacing w:after="0"/>
        <w:ind w:firstLine="480"/>
        <w:rPr>
          <w:rFonts w:cs="Times New Roman"/>
          <w:kern w:val="21"/>
        </w:rPr>
      </w:pPr>
      <w:r>
        <w:rPr>
          <w:rFonts w:cs="Times New Roman"/>
          <w:kern w:val="21"/>
        </w:rPr>
        <w:t>项目产生的鸡粪每天通过传输带和刮板收集后，实施</w:t>
      </w:r>
      <w:r>
        <w:rPr>
          <w:rFonts w:cs="Times New Roman" w:hint="eastAsia"/>
          <w:kern w:val="21"/>
        </w:rPr>
        <w:t>“</w:t>
      </w:r>
      <w:r>
        <w:rPr>
          <w:rFonts w:cs="Times New Roman"/>
          <w:kern w:val="21"/>
        </w:rPr>
        <w:t>快清快运</w:t>
      </w:r>
      <w:r>
        <w:rPr>
          <w:rFonts w:cs="Times New Roman" w:hint="eastAsia"/>
          <w:kern w:val="21"/>
        </w:rPr>
        <w:t>”</w:t>
      </w:r>
      <w:r>
        <w:rPr>
          <w:rFonts w:cs="Times New Roman"/>
          <w:kern w:val="21"/>
        </w:rPr>
        <w:t>，送入</w:t>
      </w:r>
      <w:r>
        <w:rPr>
          <w:rFonts w:cs="Times New Roman" w:hint="eastAsia"/>
          <w:kern w:val="21"/>
        </w:rPr>
        <w:t>四川省田宝生物科技有限公司</w:t>
      </w:r>
      <w:r>
        <w:rPr>
          <w:rFonts w:cs="Times New Roman"/>
          <w:kern w:val="21"/>
        </w:rPr>
        <w:t>进行</w:t>
      </w:r>
      <w:r>
        <w:rPr>
          <w:rFonts w:cs="Times New Roman" w:hint="eastAsia"/>
          <w:kern w:val="21"/>
        </w:rPr>
        <w:t>“</w:t>
      </w:r>
      <w:r>
        <w:rPr>
          <w:rFonts w:cs="Times New Roman"/>
          <w:kern w:val="21"/>
        </w:rPr>
        <w:t>快速发酵</w:t>
      </w:r>
      <w:r>
        <w:rPr>
          <w:rFonts w:cs="Times New Roman" w:hint="eastAsia"/>
          <w:kern w:val="21"/>
        </w:rPr>
        <w:t>”</w:t>
      </w:r>
      <w:r>
        <w:rPr>
          <w:rFonts w:cs="Times New Roman"/>
          <w:kern w:val="21"/>
        </w:rPr>
        <w:t>，发酵过程中添加专用发酵菌种，在耗氧发酵状态下可有效减少臭气。</w:t>
      </w:r>
    </w:p>
    <w:p w14:paraId="7DE8E79A"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4</w:t>
      </w:r>
      <w:r>
        <w:rPr>
          <w:rFonts w:cs="Times New Roman" w:hint="eastAsia"/>
          <w:b/>
          <w:bCs/>
          <w:kern w:val="21"/>
        </w:rPr>
        <w:t>）喷洒除臭剂</w:t>
      </w:r>
    </w:p>
    <w:p w14:paraId="6B0A0A29" w14:textId="77777777" w:rsidR="00544649" w:rsidRDefault="00000000">
      <w:pPr>
        <w:adjustRightInd w:val="0"/>
        <w:snapToGrid w:val="0"/>
        <w:spacing w:after="0"/>
        <w:ind w:firstLine="480"/>
        <w:rPr>
          <w:kern w:val="21"/>
        </w:rPr>
      </w:pPr>
      <w:r>
        <w:rPr>
          <w:rFonts w:hint="eastAsia"/>
          <w:kern w:val="21"/>
        </w:rPr>
        <w:t>目前，国内比较常用的技术除臭工艺方法主要有物理除臭、化学除臭和生物除臭等方法。根据《畜禽养殖业污染治理工程技术规范》（</w:t>
      </w:r>
      <w:r>
        <w:rPr>
          <w:kern w:val="21"/>
        </w:rPr>
        <w:t>HJ497-2009</w:t>
      </w:r>
      <w:r>
        <w:rPr>
          <w:rFonts w:hint="eastAsia"/>
          <w:kern w:val="21"/>
        </w:rPr>
        <w:t>）中恶臭控制要求，针对本项目不同的恶臭产生区域，拟采取相应的技术除臭工艺。</w:t>
      </w:r>
    </w:p>
    <w:p w14:paraId="7B34B39D" w14:textId="77777777" w:rsidR="00544649" w:rsidRDefault="00000000">
      <w:pPr>
        <w:adjustRightInd w:val="0"/>
        <w:snapToGrid w:val="0"/>
        <w:spacing w:after="0"/>
        <w:ind w:firstLine="480"/>
        <w:rPr>
          <w:rFonts w:ascii="宋体" w:hAnsi="宋体" w:cs="宋体" w:hint="eastAsia"/>
          <w:kern w:val="21"/>
          <w:szCs w:val="24"/>
        </w:rPr>
      </w:pPr>
      <w:r>
        <w:rPr>
          <w:rFonts w:hint="eastAsia"/>
          <w:bCs/>
          <w:kern w:val="21"/>
          <w:szCs w:val="24"/>
        </w:rPr>
        <w:t>根据</w:t>
      </w:r>
      <w:r>
        <w:rPr>
          <w:bCs/>
          <w:kern w:val="21"/>
          <w:szCs w:val="24"/>
        </w:rPr>
        <w:t>《规模</w:t>
      </w:r>
      <w:r>
        <w:rPr>
          <w:rFonts w:hint="eastAsia"/>
          <w:bCs/>
          <w:kern w:val="21"/>
          <w:szCs w:val="24"/>
        </w:rPr>
        <w:t>畜</w:t>
      </w:r>
      <w:r>
        <w:rPr>
          <w:bCs/>
          <w:kern w:val="21"/>
          <w:szCs w:val="24"/>
        </w:rPr>
        <w:t>禽养殖场污染防治最佳可行技术指南（试行）》（</w:t>
      </w:r>
      <w:r>
        <w:rPr>
          <w:bCs/>
          <w:kern w:val="21"/>
          <w:szCs w:val="24"/>
        </w:rPr>
        <w:t>HJ-BAT-10</w:t>
      </w:r>
      <w:r>
        <w:rPr>
          <w:bCs/>
          <w:kern w:val="21"/>
          <w:szCs w:val="24"/>
        </w:rPr>
        <w:t>）</w:t>
      </w:r>
      <w:r>
        <w:rPr>
          <w:rFonts w:hint="eastAsia"/>
          <w:bCs/>
          <w:kern w:val="21"/>
          <w:szCs w:val="24"/>
        </w:rPr>
        <w:t>，</w:t>
      </w:r>
      <w:r>
        <w:rPr>
          <w:rFonts w:ascii="宋体" w:hAnsi="宋体" w:cs="宋体"/>
          <w:kern w:val="21"/>
          <w:szCs w:val="24"/>
        </w:rPr>
        <w:t>养殖场臭气污染控制技术</w:t>
      </w:r>
      <w:r>
        <w:rPr>
          <w:rFonts w:ascii="宋体" w:hAnsi="宋体" w:cs="宋体" w:hint="eastAsia"/>
          <w:kern w:val="21"/>
          <w:szCs w:val="24"/>
        </w:rPr>
        <w:t>包括物理除臭技术、化学除臭技术、生物除臭技术：</w:t>
      </w:r>
    </w:p>
    <w:p w14:paraId="2FDB7D74" w14:textId="77777777" w:rsidR="00544649" w:rsidRDefault="00000000">
      <w:pPr>
        <w:adjustRightInd w:val="0"/>
        <w:snapToGrid w:val="0"/>
        <w:spacing w:after="0"/>
        <w:ind w:firstLine="482"/>
        <w:rPr>
          <w:rFonts w:cs="Times New Roman"/>
          <w:kern w:val="21"/>
          <w:szCs w:val="24"/>
        </w:rPr>
      </w:pPr>
      <w:r>
        <w:rPr>
          <w:rFonts w:cs="Times New Roman"/>
          <w:b/>
          <w:bCs/>
          <w:kern w:val="21"/>
          <w:szCs w:val="24"/>
        </w:rPr>
        <w:t>物理除臭技术</w:t>
      </w:r>
      <w:r>
        <w:rPr>
          <w:rFonts w:cs="Times New Roman" w:hint="eastAsia"/>
          <w:b/>
          <w:bCs/>
          <w:kern w:val="21"/>
          <w:szCs w:val="24"/>
        </w:rPr>
        <w:t>：</w:t>
      </w:r>
      <w:r>
        <w:rPr>
          <w:rFonts w:cs="Times New Roman"/>
          <w:kern w:val="21"/>
          <w:szCs w:val="24"/>
        </w:rPr>
        <w:t>向粪便或舍内投（铺）放吸附剂减少臭气的散发。可采用沸石、锯末、膨润土以及秸秆、泥炭等含纤维素和木质素较多的材料。</w:t>
      </w:r>
    </w:p>
    <w:p w14:paraId="1268A8E1" w14:textId="77777777" w:rsidR="00544649" w:rsidRDefault="00000000">
      <w:pPr>
        <w:adjustRightInd w:val="0"/>
        <w:snapToGrid w:val="0"/>
        <w:spacing w:after="0"/>
        <w:ind w:firstLine="482"/>
        <w:rPr>
          <w:rFonts w:ascii="宋体" w:hAnsi="宋体" w:cs="宋体" w:hint="eastAsia"/>
          <w:kern w:val="21"/>
          <w:szCs w:val="24"/>
        </w:rPr>
      </w:pPr>
      <w:r>
        <w:rPr>
          <w:rFonts w:cs="Times New Roman" w:hint="eastAsia"/>
          <w:b/>
          <w:bCs/>
          <w:kern w:val="21"/>
          <w:szCs w:val="24"/>
        </w:rPr>
        <w:t>化学除臭技术：</w:t>
      </w:r>
      <w:r>
        <w:rPr>
          <w:rFonts w:ascii="宋体" w:hAnsi="宋体" w:cs="宋体"/>
          <w:kern w:val="21"/>
          <w:szCs w:val="24"/>
        </w:rPr>
        <w:t>向养殖场区和粪污处理厂（站）投加或喷洒化学除臭剂防止臭气的产生。可采用双氧水、次氯酸钠、臭氧等不含重金属的化学氧化剂。</w:t>
      </w:r>
    </w:p>
    <w:p w14:paraId="54237C21" w14:textId="77777777" w:rsidR="00544649" w:rsidRDefault="00000000">
      <w:pPr>
        <w:adjustRightInd w:val="0"/>
        <w:snapToGrid w:val="0"/>
        <w:spacing w:after="0"/>
        <w:ind w:firstLine="482"/>
        <w:rPr>
          <w:rFonts w:ascii="宋体" w:hAnsi="宋体" w:cs="宋体" w:hint="eastAsia"/>
          <w:kern w:val="21"/>
          <w:szCs w:val="24"/>
        </w:rPr>
      </w:pPr>
      <w:r>
        <w:rPr>
          <w:rFonts w:ascii="宋体" w:hAnsi="宋体" w:cs="宋体" w:hint="eastAsia"/>
          <w:b/>
          <w:bCs/>
          <w:kern w:val="21"/>
          <w:szCs w:val="24"/>
        </w:rPr>
        <w:t>生物除臭技术：</w:t>
      </w:r>
      <w:r>
        <w:rPr>
          <w:rFonts w:ascii="宋体" w:hAnsi="宋体" w:cs="宋体"/>
          <w:kern w:val="21"/>
          <w:szCs w:val="24"/>
        </w:rPr>
        <w:t>即微生物降解技术，利用生长在滤料上的除臭微生物对硫化氢、二氧化硫、氨气以及其他挥发性恶臭物进行降解。生物除臭包括生物过滤法和生物洗</w:t>
      </w:r>
      <w:r>
        <w:rPr>
          <w:rFonts w:ascii="宋体" w:hAnsi="宋体" w:cs="宋体" w:hint="eastAsia"/>
          <w:kern w:val="21"/>
          <w:szCs w:val="24"/>
        </w:rPr>
        <w:t>涤法等。</w:t>
      </w:r>
    </w:p>
    <w:p w14:paraId="705DE743" w14:textId="77777777" w:rsidR="00544649" w:rsidRDefault="00000000">
      <w:pPr>
        <w:adjustRightInd w:val="0"/>
        <w:snapToGrid w:val="0"/>
        <w:spacing w:after="0"/>
        <w:ind w:firstLine="480"/>
        <w:rPr>
          <w:kern w:val="21"/>
        </w:rPr>
      </w:pPr>
      <w:r>
        <w:rPr>
          <w:rFonts w:hint="eastAsia"/>
          <w:kern w:val="21"/>
        </w:rPr>
        <w:t>结合本项目具体情况，本项目拟在养殖区、鸡粪转运车间周围定期喷洒微生物除臭剂以达到除臭的目的，其除臭原理主要是</w:t>
      </w:r>
      <w:r>
        <w:rPr>
          <w:rFonts w:ascii="宋体" w:hAnsi="宋体" w:cs="宋体"/>
          <w:kern w:val="21"/>
          <w:szCs w:val="24"/>
        </w:rPr>
        <w:t>除臭微生物对</w:t>
      </w:r>
      <w:r>
        <w:rPr>
          <w:rFonts w:hint="eastAsia"/>
          <w:kern w:val="21"/>
        </w:rPr>
        <w:t>恶臭中的氨和硫化氢</w:t>
      </w:r>
      <w:r>
        <w:rPr>
          <w:rFonts w:ascii="宋体" w:hAnsi="宋体" w:cs="宋体"/>
          <w:kern w:val="21"/>
          <w:szCs w:val="24"/>
        </w:rPr>
        <w:t>进行降解</w:t>
      </w:r>
      <w:r>
        <w:rPr>
          <w:rFonts w:hint="eastAsia"/>
          <w:kern w:val="21"/>
        </w:rPr>
        <w:t>，从而起到去除氨和硫化氢的作用，无二次污染，除臭效果较好。同时，本项目采取的恶臭气体防治措施属于</w:t>
      </w:r>
      <w:r>
        <w:rPr>
          <w:rFonts w:ascii="宋体" w:hAnsi="宋体" w:cs="宋体" w:hint="eastAsia"/>
          <w:kern w:val="21"/>
          <w:szCs w:val="24"/>
        </w:rPr>
        <w:t>《</w:t>
      </w:r>
      <w:hyperlink r:id="rId58" w:tgtFrame="https://www.baidu.com/_blank" w:history="1">
        <w:r w:rsidR="00544649">
          <w:rPr>
            <w:kern w:val="21"/>
          </w:rPr>
          <w:t>排污许可证申请与核发技术规范</w:t>
        </w:r>
        <w:r w:rsidR="00544649">
          <w:rPr>
            <w:rFonts w:hint="eastAsia"/>
            <w:kern w:val="21"/>
          </w:rPr>
          <w:t xml:space="preserve"> </w:t>
        </w:r>
        <w:r w:rsidR="00544649">
          <w:rPr>
            <w:kern w:val="21"/>
          </w:rPr>
          <w:t>畜禽养殖行业</w:t>
        </w:r>
      </w:hyperlink>
      <w:r>
        <w:rPr>
          <w:rFonts w:hint="eastAsia"/>
          <w:kern w:val="21"/>
        </w:rPr>
        <w:t>》（</w:t>
      </w:r>
      <w:r>
        <w:rPr>
          <w:rFonts w:hint="eastAsia"/>
          <w:kern w:val="21"/>
        </w:rPr>
        <w:t>HJ1029-2019</w:t>
      </w:r>
      <w:r>
        <w:rPr>
          <w:rFonts w:hint="eastAsia"/>
          <w:kern w:val="21"/>
        </w:rPr>
        <w:t>）中的可行技术。</w:t>
      </w:r>
    </w:p>
    <w:p w14:paraId="5D7DD70B" w14:textId="77777777" w:rsidR="00544649" w:rsidRDefault="00000000">
      <w:pPr>
        <w:adjustRightInd w:val="0"/>
        <w:snapToGrid w:val="0"/>
        <w:spacing w:after="0"/>
        <w:ind w:firstLine="480"/>
        <w:rPr>
          <w:rFonts w:cs="Times New Roman"/>
          <w:kern w:val="21"/>
        </w:rPr>
      </w:pPr>
      <w:r>
        <w:rPr>
          <w:rFonts w:hint="eastAsia"/>
          <w:kern w:val="21"/>
        </w:rPr>
        <w:t>综上所述，采取上述恶臭防治措施，可有效控制恶臭对环境的影响，厂界臭气浓度满足《畜禽养殖业污染物排放标准》（</w:t>
      </w:r>
      <w:r>
        <w:rPr>
          <w:kern w:val="21"/>
        </w:rPr>
        <w:t>GB18596-2001</w:t>
      </w:r>
      <w:r>
        <w:rPr>
          <w:rFonts w:hint="eastAsia"/>
          <w:kern w:val="21"/>
        </w:rPr>
        <w:t>）的规定，恶臭污染防治措施可行。</w:t>
      </w:r>
    </w:p>
    <w:p w14:paraId="3FAFBBCE"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柴油发电机废气</w:t>
      </w:r>
    </w:p>
    <w:p w14:paraId="53C49C82" w14:textId="77777777" w:rsidR="00544649" w:rsidRDefault="00000000">
      <w:pPr>
        <w:adjustRightInd w:val="0"/>
        <w:snapToGrid w:val="0"/>
        <w:spacing w:after="0"/>
        <w:ind w:firstLine="480"/>
        <w:rPr>
          <w:rFonts w:cs="Times New Roman"/>
          <w:kern w:val="21"/>
        </w:rPr>
      </w:pPr>
      <w:r>
        <w:rPr>
          <w:rFonts w:cs="Times New Roman"/>
          <w:kern w:val="21"/>
        </w:rPr>
        <w:t>本项目</w:t>
      </w:r>
      <w:proofErr w:type="gramStart"/>
      <w:r>
        <w:rPr>
          <w:rFonts w:cs="Times New Roman" w:hint="eastAsia"/>
          <w:kern w:val="21"/>
        </w:rPr>
        <w:t>育雏场</w:t>
      </w:r>
      <w:proofErr w:type="gramEnd"/>
      <w:r>
        <w:rPr>
          <w:rFonts w:cs="Times New Roman" w:hint="eastAsia"/>
          <w:kern w:val="21"/>
        </w:rPr>
        <w:t>和蛋鸡场分别设置</w:t>
      </w:r>
      <w:r>
        <w:rPr>
          <w:rFonts w:cs="Times New Roman" w:hint="eastAsia"/>
          <w:kern w:val="21"/>
        </w:rPr>
        <w:t>2</w:t>
      </w:r>
      <w:r>
        <w:rPr>
          <w:rFonts w:cs="Times New Roman"/>
          <w:kern w:val="21"/>
        </w:rPr>
        <w:t>台应急柴油发电机进行发电。柴油发电机在使</w:t>
      </w:r>
      <w:r>
        <w:rPr>
          <w:rFonts w:cs="Times New Roman"/>
          <w:kern w:val="21"/>
        </w:rPr>
        <w:lastRenderedPageBreak/>
        <w:t>用过程中会产生发电机烟气，与汽车尾气相似，其主要成分</w:t>
      </w:r>
      <w:r>
        <w:rPr>
          <w:rFonts w:cs="Times New Roman"/>
          <w:kern w:val="21"/>
        </w:rPr>
        <w:t>CO</w:t>
      </w:r>
      <w:r>
        <w:rPr>
          <w:rFonts w:cs="Times New Roman"/>
          <w:kern w:val="21"/>
        </w:rPr>
        <w:t>、</w:t>
      </w:r>
      <w:r>
        <w:rPr>
          <w:rFonts w:cs="Times New Roman"/>
          <w:kern w:val="21"/>
        </w:rPr>
        <w:t>HC</w:t>
      </w:r>
      <w:r>
        <w:rPr>
          <w:rFonts w:cs="Times New Roman"/>
          <w:kern w:val="21"/>
        </w:rPr>
        <w:t>、</w:t>
      </w:r>
      <w:r>
        <w:rPr>
          <w:rFonts w:cs="Times New Roman"/>
          <w:kern w:val="21"/>
        </w:rPr>
        <w:t>NO</w:t>
      </w:r>
      <w:r>
        <w:rPr>
          <w:rFonts w:cs="Times New Roman"/>
          <w:kern w:val="21"/>
          <w:vertAlign w:val="subscript"/>
        </w:rPr>
        <w:t>2</w:t>
      </w:r>
      <w:r>
        <w:rPr>
          <w:rFonts w:cs="Times New Roman"/>
          <w:kern w:val="21"/>
        </w:rPr>
        <w:t>，发电机房采用机械送、排风的形式，发电机房内保持着良好的通风性，柴油发电机产生的废气先由自身携带的废气净化装置处理，处理后经抽排风系统抽至房顶排放，排风口应朝向绿地，避开鸡舍及生活区。由于应急柴油发电机只有在停电时使用，使用的频率很小、排放量少、排放间断性强，采用上述措施后完全能够做到达标排放，对周围环境影响很小。</w:t>
      </w:r>
    </w:p>
    <w:p w14:paraId="38B51CCA"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食堂油烟治理措施分析</w:t>
      </w:r>
    </w:p>
    <w:p w14:paraId="171E4B00" w14:textId="77777777" w:rsidR="00544649" w:rsidRDefault="00000000">
      <w:pPr>
        <w:adjustRightInd w:val="0"/>
        <w:snapToGrid w:val="0"/>
        <w:spacing w:after="0"/>
        <w:ind w:firstLine="480"/>
        <w:rPr>
          <w:rFonts w:cs="Times New Roman"/>
          <w:kern w:val="21"/>
        </w:rPr>
      </w:pPr>
      <w:r>
        <w:rPr>
          <w:rFonts w:cs="Times New Roman" w:hint="eastAsia"/>
          <w:kern w:val="21"/>
        </w:rPr>
        <w:t>本项目</w:t>
      </w:r>
      <w:proofErr w:type="gramStart"/>
      <w:r>
        <w:rPr>
          <w:rFonts w:cs="Times New Roman" w:hint="eastAsia"/>
          <w:kern w:val="21"/>
        </w:rPr>
        <w:t>育雏场</w:t>
      </w:r>
      <w:proofErr w:type="gramEnd"/>
      <w:r>
        <w:rPr>
          <w:rFonts w:cs="Times New Roman" w:hint="eastAsia"/>
          <w:kern w:val="21"/>
        </w:rPr>
        <w:t>及蛋鸡场分别设置</w:t>
      </w:r>
      <w:r>
        <w:rPr>
          <w:rFonts w:cs="Times New Roman" w:hint="eastAsia"/>
          <w:kern w:val="21"/>
        </w:rPr>
        <w:t>1</w:t>
      </w:r>
      <w:r>
        <w:rPr>
          <w:rFonts w:cs="Times New Roman" w:hint="eastAsia"/>
          <w:kern w:val="21"/>
        </w:rPr>
        <w:t>个食堂，</w:t>
      </w:r>
      <w:r>
        <w:rPr>
          <w:rFonts w:cs="Times New Roman"/>
          <w:kern w:val="21"/>
        </w:rPr>
        <w:t>项目食堂设有</w:t>
      </w:r>
      <w:r>
        <w:rPr>
          <w:rFonts w:cs="Times New Roman"/>
          <w:kern w:val="21"/>
        </w:rPr>
        <w:t>1</w:t>
      </w:r>
      <w:r>
        <w:rPr>
          <w:rFonts w:cs="Times New Roman"/>
          <w:kern w:val="21"/>
        </w:rPr>
        <w:t>个灶头，</w:t>
      </w:r>
      <w:r>
        <w:rPr>
          <w:rFonts w:cs="Times New Roman" w:hint="eastAsia"/>
          <w:kern w:val="21"/>
        </w:rPr>
        <w:t>项目就餐人数较少，总体餐饮油烟产生量较小。</w:t>
      </w:r>
    </w:p>
    <w:p w14:paraId="002FFBC5"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hint="eastAsia"/>
          <w:b/>
          <w:bCs/>
          <w:kern w:val="21"/>
        </w:rPr>
        <w:t>天然气加热设备燃烧废气</w:t>
      </w:r>
    </w:p>
    <w:p w14:paraId="4BDA73F5" w14:textId="77777777" w:rsidR="00544649" w:rsidRDefault="00000000">
      <w:pPr>
        <w:adjustRightInd w:val="0"/>
        <w:snapToGrid w:val="0"/>
        <w:spacing w:after="0"/>
        <w:ind w:firstLine="480"/>
        <w:rPr>
          <w:rFonts w:cs="Times New Roman"/>
          <w:kern w:val="21"/>
        </w:rPr>
      </w:pPr>
      <w:r>
        <w:rPr>
          <w:rFonts w:cs="Times New Roman" w:hint="eastAsia"/>
          <w:kern w:val="21"/>
        </w:rPr>
        <w:t>天然气属于清洁能源，且用量较小，育雏舍天然气加热设备燃烧废气（</w:t>
      </w:r>
      <w:r>
        <w:rPr>
          <w:rFonts w:cs="Times New Roman" w:hint="eastAsia"/>
          <w:kern w:val="21"/>
        </w:rPr>
        <w:t>SO</w:t>
      </w:r>
      <w:r>
        <w:rPr>
          <w:rFonts w:cs="Times New Roman" w:hint="eastAsia"/>
          <w:kern w:val="21"/>
          <w:vertAlign w:val="subscript"/>
        </w:rPr>
        <w:t>2</w:t>
      </w:r>
      <w:r>
        <w:rPr>
          <w:rFonts w:cs="Times New Roman" w:hint="eastAsia"/>
          <w:kern w:val="21"/>
        </w:rPr>
        <w:t>、</w:t>
      </w:r>
      <w:r>
        <w:rPr>
          <w:rFonts w:cs="Times New Roman" w:hint="eastAsia"/>
          <w:kern w:val="21"/>
        </w:rPr>
        <w:t>NOx</w:t>
      </w:r>
      <w:r>
        <w:rPr>
          <w:rFonts w:cs="Times New Roman" w:hint="eastAsia"/>
          <w:kern w:val="21"/>
        </w:rPr>
        <w:t>、烟尘）通过无组织排放，燃烧产生的废气对项目周围大气环境影响较小。</w:t>
      </w:r>
    </w:p>
    <w:p w14:paraId="169F4B1C"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hint="eastAsia"/>
          <w:b/>
          <w:bCs/>
          <w:kern w:val="21"/>
        </w:rPr>
        <w:t>锅炉天然气燃烧废气</w:t>
      </w:r>
    </w:p>
    <w:p w14:paraId="78112F82" w14:textId="77777777" w:rsidR="00544649" w:rsidRDefault="00000000">
      <w:pPr>
        <w:adjustRightInd w:val="0"/>
        <w:snapToGrid w:val="0"/>
        <w:spacing w:after="0"/>
        <w:ind w:firstLine="480"/>
        <w:rPr>
          <w:rFonts w:cs="Times New Roman"/>
          <w:kern w:val="21"/>
        </w:rPr>
      </w:pPr>
      <w:r>
        <w:rPr>
          <w:rFonts w:cs="Times New Roman" w:hint="eastAsia"/>
          <w:kern w:val="21"/>
        </w:rPr>
        <w:t>天然气为清洁能源，且建设单位拟</w:t>
      </w:r>
      <w:proofErr w:type="gramStart"/>
      <w:r>
        <w:rPr>
          <w:rFonts w:cs="Times New Roman" w:hint="eastAsia"/>
          <w:kern w:val="21"/>
        </w:rPr>
        <w:t>采取低氮燃烧器</w:t>
      </w:r>
      <w:proofErr w:type="gramEnd"/>
      <w:r>
        <w:rPr>
          <w:rFonts w:cs="Times New Roman" w:hint="eastAsia"/>
          <w:kern w:val="21"/>
        </w:rPr>
        <w:t>对锅炉废气进行处理后通过排气筒排放。参考《工业锅炉污染防治可行技术指南》（</w:t>
      </w:r>
      <w:r>
        <w:rPr>
          <w:rFonts w:cs="Times New Roman" w:hint="eastAsia"/>
          <w:kern w:val="21"/>
        </w:rPr>
        <w:t>HJ 1178-2021</w:t>
      </w:r>
      <w:r>
        <w:rPr>
          <w:rFonts w:cs="Times New Roman" w:hint="eastAsia"/>
          <w:kern w:val="21"/>
        </w:rPr>
        <w:t>），</w:t>
      </w:r>
      <w:r>
        <w:rPr>
          <w:rFonts w:cs="Times New Roman" w:hint="eastAsia"/>
          <w:kern w:val="21"/>
        </w:rPr>
        <w:t>6.1</w:t>
      </w:r>
      <w:r>
        <w:rPr>
          <w:rFonts w:cs="Times New Roman" w:hint="eastAsia"/>
          <w:kern w:val="21"/>
        </w:rPr>
        <w:t>烟气污染治理技术中“氮氧化物排放控制宜优先采用低氮燃烧技术”，本</w:t>
      </w:r>
      <w:proofErr w:type="gramStart"/>
      <w:r>
        <w:rPr>
          <w:rFonts w:cs="Times New Roman" w:hint="eastAsia"/>
          <w:kern w:val="21"/>
        </w:rPr>
        <w:t>项目低氮燃烧</w:t>
      </w:r>
      <w:proofErr w:type="gramEnd"/>
      <w:r>
        <w:rPr>
          <w:rFonts w:cs="Times New Roman" w:hint="eastAsia"/>
          <w:kern w:val="21"/>
        </w:rPr>
        <w:t>为可行技术。</w:t>
      </w:r>
    </w:p>
    <w:p w14:paraId="46589339"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388" w:name="_Toc195009922"/>
      <w:r>
        <w:rPr>
          <w:rFonts w:cs="Times New Roman"/>
          <w:b/>
          <w:bCs/>
          <w:kern w:val="21"/>
          <w:sz w:val="28"/>
          <w:szCs w:val="24"/>
        </w:rPr>
        <w:t>水污染防治措施及可行性分析</w:t>
      </w:r>
      <w:bookmarkEnd w:id="388"/>
    </w:p>
    <w:p w14:paraId="4F14DB6E" w14:textId="77777777" w:rsidR="00544649" w:rsidRDefault="00000000">
      <w:pPr>
        <w:adjustRightInd w:val="0"/>
        <w:snapToGrid w:val="0"/>
        <w:spacing w:after="0"/>
        <w:ind w:firstLine="480"/>
        <w:rPr>
          <w:rFonts w:cs="Times New Roman"/>
          <w:kern w:val="21"/>
        </w:rPr>
      </w:pPr>
      <w:r>
        <w:rPr>
          <w:rFonts w:cs="Times New Roman" w:hint="eastAsia"/>
          <w:kern w:val="21"/>
        </w:rPr>
        <w:t>根据计算，本项目</w:t>
      </w:r>
      <w:proofErr w:type="gramStart"/>
      <w:r>
        <w:rPr>
          <w:rFonts w:cs="Times New Roman" w:hint="eastAsia"/>
          <w:kern w:val="21"/>
        </w:rPr>
        <w:t>育雏场</w:t>
      </w:r>
      <w:proofErr w:type="gramEnd"/>
      <w:r>
        <w:rPr>
          <w:rFonts w:cs="Times New Roman" w:hint="eastAsia"/>
          <w:kern w:val="21"/>
        </w:rPr>
        <w:t>各类废水产生量为</w:t>
      </w:r>
      <w:r>
        <w:rPr>
          <w:rFonts w:cs="Times New Roman"/>
          <w:kern w:val="21"/>
        </w:rPr>
        <w:t>742.9</w:t>
      </w:r>
      <w:r>
        <w:rPr>
          <w:rFonts w:cs="Times New Roman" w:hint="eastAsia"/>
          <w:kern w:val="21"/>
        </w:rPr>
        <w:t>m</w:t>
      </w:r>
      <w:r>
        <w:rPr>
          <w:rFonts w:cs="Times New Roman" w:hint="eastAsia"/>
          <w:kern w:val="21"/>
        </w:rPr>
        <w:t>³</w:t>
      </w:r>
      <w:r>
        <w:rPr>
          <w:rFonts w:cs="Times New Roman" w:hint="eastAsia"/>
          <w:kern w:val="21"/>
        </w:rPr>
        <w:t>/a</w:t>
      </w:r>
      <w:r>
        <w:rPr>
          <w:rFonts w:cs="Times New Roman" w:hint="eastAsia"/>
          <w:kern w:val="21"/>
        </w:rPr>
        <w:t>；蛋鸡场各类废水产生量为</w:t>
      </w:r>
      <w:r>
        <w:rPr>
          <w:rFonts w:cs="Times New Roman"/>
          <w:kern w:val="21"/>
        </w:rPr>
        <w:t>4259.5</w:t>
      </w:r>
      <w:r>
        <w:rPr>
          <w:rFonts w:cs="Times New Roman" w:hint="eastAsia"/>
          <w:kern w:val="21"/>
        </w:rPr>
        <w:t>m</w:t>
      </w:r>
      <w:r>
        <w:rPr>
          <w:rFonts w:cs="Times New Roman" w:hint="eastAsia"/>
          <w:kern w:val="21"/>
        </w:rPr>
        <w:t>³</w:t>
      </w:r>
      <w:r>
        <w:rPr>
          <w:rFonts w:cs="Times New Roman" w:hint="eastAsia"/>
          <w:kern w:val="21"/>
        </w:rPr>
        <w:t>/a</w:t>
      </w:r>
      <w:r>
        <w:rPr>
          <w:rFonts w:cs="Times New Roman" w:hint="eastAsia"/>
          <w:kern w:val="21"/>
        </w:rPr>
        <w:t>。此类废水可生化性较好，项目生活污水、餐饮废水（隔油处理后）、鸡舍冲洗废水、蛋品清洗废水一般进入污水处理设施处理达《农田灌溉水质标准》（</w:t>
      </w:r>
      <w:r>
        <w:rPr>
          <w:rFonts w:cs="Times New Roman" w:hint="eastAsia"/>
          <w:kern w:val="21"/>
        </w:rPr>
        <w:t>GB5084-2021</w:t>
      </w:r>
      <w:r>
        <w:rPr>
          <w:rFonts w:cs="Times New Roman" w:hint="eastAsia"/>
          <w:kern w:val="21"/>
        </w:rPr>
        <w:t>）后用于林地灌溉</w:t>
      </w:r>
      <w:r>
        <w:rPr>
          <w:rFonts w:cs="Times New Roman"/>
          <w:kern w:val="21"/>
        </w:rPr>
        <w:t>，不外排。</w:t>
      </w:r>
    </w:p>
    <w:p w14:paraId="6E32F01D" w14:textId="77777777" w:rsidR="00544649" w:rsidRDefault="00000000">
      <w:pPr>
        <w:adjustRightInd w:val="0"/>
        <w:snapToGrid w:val="0"/>
        <w:spacing w:after="0"/>
        <w:ind w:firstLine="482"/>
        <w:rPr>
          <w:rFonts w:cs="Times New Roman"/>
          <w:kern w:val="21"/>
        </w:rPr>
      </w:pPr>
      <w:r>
        <w:rPr>
          <w:rFonts w:cs="Times New Roman" w:hint="eastAsia"/>
          <w:b/>
          <w:bCs/>
          <w:kern w:val="21"/>
        </w:rPr>
        <w:t>1</w:t>
      </w:r>
      <w:r>
        <w:rPr>
          <w:rFonts w:cs="Times New Roman" w:hint="eastAsia"/>
          <w:b/>
          <w:bCs/>
          <w:kern w:val="21"/>
        </w:rPr>
        <w:t>、废水处理工艺</w:t>
      </w:r>
      <w:r>
        <w:rPr>
          <w:rFonts w:cs="Times New Roman"/>
          <w:b/>
          <w:bCs/>
          <w:kern w:val="21"/>
        </w:rPr>
        <w:t>可行性分析</w:t>
      </w:r>
    </w:p>
    <w:p w14:paraId="33326A9E" w14:textId="77777777" w:rsidR="00544649" w:rsidRDefault="00000000">
      <w:pPr>
        <w:adjustRightInd w:val="0"/>
        <w:snapToGrid w:val="0"/>
        <w:spacing w:after="0"/>
        <w:ind w:firstLine="482"/>
        <w:rPr>
          <w:rFonts w:cs="Times New Roman"/>
          <w:b/>
          <w:kern w:val="21"/>
        </w:rPr>
      </w:pPr>
      <w:r>
        <w:rPr>
          <w:rFonts w:cs="Times New Roman" w:hint="eastAsia"/>
          <w:b/>
          <w:kern w:val="21"/>
        </w:rPr>
        <w:t>（</w:t>
      </w:r>
      <w:r>
        <w:rPr>
          <w:rFonts w:cs="Times New Roman" w:hint="eastAsia"/>
          <w:b/>
          <w:kern w:val="21"/>
        </w:rPr>
        <w:t>1</w:t>
      </w:r>
      <w:r>
        <w:rPr>
          <w:rFonts w:cs="Times New Roman" w:hint="eastAsia"/>
          <w:b/>
          <w:kern w:val="21"/>
        </w:rPr>
        <w:t>）废水处理工艺</w:t>
      </w:r>
    </w:p>
    <w:p w14:paraId="30310066" w14:textId="77777777" w:rsidR="00544649" w:rsidRDefault="00000000">
      <w:pPr>
        <w:adjustRightInd w:val="0"/>
        <w:snapToGrid w:val="0"/>
        <w:spacing w:after="0"/>
        <w:ind w:firstLine="480"/>
        <w:rPr>
          <w:rFonts w:cs="Times New Roman"/>
          <w:bCs/>
          <w:kern w:val="21"/>
        </w:rPr>
      </w:pPr>
      <w:r>
        <w:rPr>
          <w:rFonts w:cs="Times New Roman" w:hint="eastAsia"/>
          <w:bCs/>
          <w:kern w:val="21"/>
        </w:rPr>
        <w:t>根据《畜禽养殖业污染治理工程技术规范》（</w:t>
      </w:r>
      <w:r>
        <w:rPr>
          <w:rFonts w:cs="Times New Roman" w:hint="eastAsia"/>
          <w:bCs/>
          <w:kern w:val="21"/>
        </w:rPr>
        <w:t>HJ497-2009</w:t>
      </w:r>
      <w:r>
        <w:rPr>
          <w:rFonts w:cs="Times New Roman" w:hint="eastAsia"/>
          <w:bCs/>
          <w:kern w:val="21"/>
        </w:rPr>
        <w:t>）中</w:t>
      </w:r>
      <w:r>
        <w:rPr>
          <w:rFonts w:cs="Times New Roman" w:hint="eastAsia"/>
          <w:bCs/>
          <w:kern w:val="21"/>
        </w:rPr>
        <w:t>6.2.1.2</w:t>
      </w:r>
      <w:r>
        <w:rPr>
          <w:rFonts w:cs="Times New Roman" w:hint="eastAsia"/>
          <w:bCs/>
          <w:kern w:val="21"/>
        </w:rPr>
        <w:t>条：养殖规模在存栏（以猪计）</w:t>
      </w:r>
      <w:r>
        <w:rPr>
          <w:rFonts w:cs="Times New Roman" w:hint="eastAsia"/>
          <w:bCs/>
          <w:kern w:val="21"/>
        </w:rPr>
        <w:t>2000</w:t>
      </w:r>
      <w:r>
        <w:rPr>
          <w:rFonts w:cs="Times New Roman" w:hint="eastAsia"/>
          <w:bCs/>
          <w:kern w:val="21"/>
        </w:rPr>
        <w:t>头及以下的应尽可</w:t>
      </w:r>
      <w:r>
        <w:rPr>
          <w:rFonts w:cs="Times New Roman"/>
          <w:bCs/>
          <w:kern w:val="21"/>
        </w:rPr>
        <w:t>能采用</w:t>
      </w:r>
      <w:r>
        <w:rPr>
          <w:rFonts w:cs="Times New Roman"/>
          <w:bCs/>
          <w:kern w:val="21"/>
        </w:rPr>
        <w:t>6.2.2</w:t>
      </w:r>
      <w:r>
        <w:rPr>
          <w:rFonts w:cs="Times New Roman"/>
          <w:bCs/>
          <w:kern w:val="21"/>
        </w:rPr>
        <w:t>模式</w:t>
      </w:r>
      <w:r>
        <w:rPr>
          <w:rFonts w:cs="Times New Roman"/>
          <w:bCs/>
          <w:kern w:val="21"/>
        </w:rPr>
        <w:t>Ⅰ</w:t>
      </w:r>
      <w:r>
        <w:rPr>
          <w:rFonts w:cs="Times New Roman"/>
          <w:bCs/>
          <w:kern w:val="21"/>
        </w:rPr>
        <w:t>或</w:t>
      </w:r>
      <w:r>
        <w:rPr>
          <w:rFonts w:cs="Times New Roman"/>
          <w:bCs/>
          <w:kern w:val="21"/>
        </w:rPr>
        <w:t>6.2.3</w:t>
      </w:r>
      <w:r>
        <w:rPr>
          <w:rFonts w:cs="Times New Roman"/>
          <w:bCs/>
          <w:kern w:val="21"/>
        </w:rPr>
        <w:t>模式</w:t>
      </w:r>
      <w:r>
        <w:rPr>
          <w:rFonts w:cs="Times New Roman"/>
          <w:bCs/>
          <w:kern w:val="21"/>
        </w:rPr>
        <w:t>Ⅱ</w:t>
      </w:r>
      <w:r>
        <w:rPr>
          <w:rFonts w:cs="Times New Roman"/>
          <w:bCs/>
          <w:kern w:val="21"/>
        </w:rPr>
        <w:t>处理工艺；存栏（以猪</w:t>
      </w:r>
      <w:r>
        <w:rPr>
          <w:rFonts w:cs="Times New Roman" w:hint="eastAsia"/>
          <w:bCs/>
          <w:kern w:val="21"/>
        </w:rPr>
        <w:t>计）</w:t>
      </w:r>
      <w:r>
        <w:rPr>
          <w:rFonts w:cs="Times New Roman" w:hint="eastAsia"/>
          <w:bCs/>
          <w:kern w:val="21"/>
        </w:rPr>
        <w:t>10000</w:t>
      </w:r>
      <w:r>
        <w:rPr>
          <w:rFonts w:cs="Times New Roman" w:hint="eastAsia"/>
          <w:bCs/>
          <w:kern w:val="21"/>
        </w:rPr>
        <w:t>头及以上的，宜采用</w:t>
      </w:r>
      <w:r>
        <w:rPr>
          <w:rFonts w:cs="Times New Roman" w:hint="eastAsia"/>
          <w:bCs/>
          <w:kern w:val="21"/>
        </w:rPr>
        <w:t>6.2.4</w:t>
      </w:r>
      <w:r>
        <w:rPr>
          <w:rFonts w:cs="Times New Roman" w:hint="eastAsia"/>
          <w:bCs/>
          <w:kern w:val="21"/>
        </w:rPr>
        <w:t>模式Ⅲ处理工艺。项目养殖场存栏规模折合大于</w:t>
      </w:r>
      <w:r>
        <w:rPr>
          <w:rFonts w:cs="Times New Roman" w:hint="eastAsia"/>
          <w:bCs/>
          <w:kern w:val="21"/>
        </w:rPr>
        <w:t>10000</w:t>
      </w:r>
      <w:r>
        <w:rPr>
          <w:rFonts w:cs="Times New Roman" w:hint="eastAsia"/>
          <w:bCs/>
          <w:kern w:val="21"/>
        </w:rPr>
        <w:t>头猪，因</w:t>
      </w:r>
      <w:r>
        <w:rPr>
          <w:rFonts w:cs="Times New Roman"/>
          <w:bCs/>
          <w:kern w:val="21"/>
        </w:rPr>
        <w:t>此本项目采用该标准</w:t>
      </w:r>
      <w:proofErr w:type="gramStart"/>
      <w:r>
        <w:rPr>
          <w:rFonts w:cs="Times New Roman"/>
          <w:bCs/>
          <w:kern w:val="21"/>
        </w:rPr>
        <w:t>中模式</w:t>
      </w:r>
      <w:r>
        <w:rPr>
          <w:rFonts w:cs="Times New Roman"/>
          <w:bCs/>
          <w:kern w:val="21"/>
        </w:rPr>
        <w:t>Ⅲ</w:t>
      </w:r>
      <w:proofErr w:type="gramEnd"/>
      <w:r>
        <w:rPr>
          <w:rFonts w:cs="Times New Roman"/>
          <w:bCs/>
          <w:kern w:val="21"/>
        </w:rPr>
        <w:t>处理工艺（人工格栅</w:t>
      </w:r>
      <w:r>
        <w:rPr>
          <w:rFonts w:cs="Times New Roman"/>
          <w:bCs/>
          <w:kern w:val="21"/>
        </w:rPr>
        <w:t>+</w:t>
      </w:r>
      <w:r>
        <w:rPr>
          <w:rFonts w:cs="Times New Roman"/>
          <w:bCs/>
          <w:kern w:val="21"/>
        </w:rPr>
        <w:t>调节池</w:t>
      </w:r>
      <w:r>
        <w:rPr>
          <w:rFonts w:cs="Times New Roman"/>
          <w:bCs/>
          <w:kern w:val="21"/>
        </w:rPr>
        <w:t>+</w:t>
      </w:r>
      <w:r>
        <w:rPr>
          <w:rFonts w:cs="Times New Roman" w:hint="eastAsia"/>
          <w:bCs/>
          <w:kern w:val="21"/>
        </w:rPr>
        <w:t>气浮一体化装置</w:t>
      </w:r>
      <w:r>
        <w:rPr>
          <w:rFonts w:cs="Times New Roman"/>
          <w:bCs/>
          <w:kern w:val="21"/>
        </w:rPr>
        <w:t>+</w:t>
      </w:r>
      <w:r>
        <w:rPr>
          <w:rFonts w:cs="Times New Roman"/>
          <w:bCs/>
          <w:kern w:val="21"/>
        </w:rPr>
        <w:t>水解酸化池</w:t>
      </w:r>
      <w:r>
        <w:rPr>
          <w:rFonts w:cs="Times New Roman"/>
          <w:bCs/>
          <w:kern w:val="21"/>
        </w:rPr>
        <w:t>+</w:t>
      </w:r>
      <w:r>
        <w:rPr>
          <w:rFonts w:cs="Times New Roman" w:hint="eastAsia"/>
          <w:bCs/>
          <w:kern w:val="21"/>
        </w:rPr>
        <w:t>厌氧池</w:t>
      </w:r>
      <w:r>
        <w:rPr>
          <w:rFonts w:cs="Times New Roman" w:hint="eastAsia"/>
          <w:bCs/>
          <w:kern w:val="21"/>
        </w:rPr>
        <w:t>+</w:t>
      </w:r>
      <w:r>
        <w:rPr>
          <w:rFonts w:cs="Times New Roman"/>
          <w:bCs/>
          <w:kern w:val="21"/>
        </w:rPr>
        <w:t>缺氧池</w:t>
      </w:r>
      <w:r>
        <w:rPr>
          <w:rFonts w:cs="Times New Roman" w:hint="eastAsia"/>
          <w:bCs/>
          <w:kern w:val="21"/>
        </w:rPr>
        <w:t>I+</w:t>
      </w:r>
      <w:proofErr w:type="gramStart"/>
      <w:r>
        <w:rPr>
          <w:rFonts w:cs="Times New Roman" w:hint="eastAsia"/>
          <w:bCs/>
          <w:kern w:val="21"/>
        </w:rPr>
        <w:t>好氧池</w:t>
      </w:r>
      <w:proofErr w:type="gramEnd"/>
      <w:r>
        <w:rPr>
          <w:rFonts w:cs="Times New Roman" w:hint="eastAsia"/>
          <w:bCs/>
          <w:kern w:val="21"/>
        </w:rPr>
        <w:t>I+</w:t>
      </w:r>
      <w:r>
        <w:rPr>
          <w:rFonts w:cs="Times New Roman" w:hint="eastAsia"/>
          <w:bCs/>
          <w:kern w:val="21"/>
        </w:rPr>
        <w:t>缺氧池</w:t>
      </w:r>
      <w:r>
        <w:rPr>
          <w:rFonts w:cs="Times New Roman" w:hint="eastAsia"/>
          <w:bCs/>
          <w:kern w:val="21"/>
        </w:rPr>
        <w:t>II+</w:t>
      </w:r>
      <w:proofErr w:type="gramStart"/>
      <w:r>
        <w:rPr>
          <w:rFonts w:cs="Times New Roman" w:hint="eastAsia"/>
          <w:bCs/>
          <w:kern w:val="21"/>
        </w:rPr>
        <w:t>好氧池</w:t>
      </w:r>
      <w:proofErr w:type="gramEnd"/>
      <w:r>
        <w:rPr>
          <w:rFonts w:cs="Times New Roman" w:hint="eastAsia"/>
          <w:bCs/>
          <w:kern w:val="21"/>
        </w:rPr>
        <w:t>II</w:t>
      </w:r>
      <w:r>
        <w:rPr>
          <w:rFonts w:cs="Times New Roman"/>
          <w:bCs/>
          <w:kern w:val="21"/>
        </w:rPr>
        <w:t>+</w:t>
      </w:r>
      <w:proofErr w:type="gramStart"/>
      <w:r>
        <w:rPr>
          <w:rFonts w:cs="Times New Roman"/>
          <w:bCs/>
          <w:kern w:val="21"/>
        </w:rPr>
        <w:t>二沉池</w:t>
      </w:r>
      <w:proofErr w:type="gramEnd"/>
      <w:r>
        <w:rPr>
          <w:rFonts w:cs="Times New Roman"/>
          <w:bCs/>
          <w:kern w:val="21"/>
        </w:rPr>
        <w:t>+</w:t>
      </w:r>
      <w:r>
        <w:rPr>
          <w:rFonts w:cs="Times New Roman" w:hint="eastAsia"/>
          <w:bCs/>
          <w:kern w:val="21"/>
        </w:rPr>
        <w:t>过滤</w:t>
      </w:r>
      <w:r>
        <w:rPr>
          <w:rFonts w:cs="Times New Roman"/>
          <w:bCs/>
          <w:kern w:val="21"/>
        </w:rPr>
        <w:t>池</w:t>
      </w:r>
      <w:r>
        <w:rPr>
          <w:rFonts w:cs="Times New Roman"/>
          <w:bCs/>
          <w:kern w:val="21"/>
        </w:rPr>
        <w:t>+</w:t>
      </w:r>
      <w:r>
        <w:rPr>
          <w:rFonts w:cs="Times New Roman" w:hint="eastAsia"/>
          <w:bCs/>
          <w:kern w:val="21"/>
        </w:rPr>
        <w:t>消毒池）进行处理项目废水。</w:t>
      </w:r>
    </w:p>
    <w:p w14:paraId="62E90A17" w14:textId="77777777" w:rsidR="00544649" w:rsidRDefault="00000000">
      <w:pPr>
        <w:adjustRightInd w:val="0"/>
        <w:snapToGrid w:val="0"/>
        <w:spacing w:after="0"/>
        <w:ind w:firstLine="480"/>
        <w:rPr>
          <w:rFonts w:cs="Times New Roman"/>
          <w:bCs/>
          <w:kern w:val="21"/>
        </w:rPr>
      </w:pPr>
      <w:r>
        <w:rPr>
          <w:rFonts w:cs="Times New Roman" w:hint="eastAsia"/>
          <w:bCs/>
          <w:kern w:val="21"/>
        </w:rPr>
        <w:lastRenderedPageBreak/>
        <w:t>食堂餐厨废水先经隔油池预处理后，与员工生活污水、鸡舍冲洗废水、蛋品清洗废水一并通过污水管道进入污水处理站进一步处理，达到《畜禽养殖业污染物排放标准》（</w:t>
      </w:r>
      <w:r>
        <w:rPr>
          <w:rFonts w:cs="Times New Roman" w:hint="eastAsia"/>
          <w:bCs/>
          <w:kern w:val="21"/>
        </w:rPr>
        <w:t>GB18596-2001</w:t>
      </w:r>
      <w:r>
        <w:rPr>
          <w:rFonts w:cs="Times New Roman" w:hint="eastAsia"/>
          <w:bCs/>
          <w:kern w:val="21"/>
        </w:rPr>
        <w:t>）中的表</w:t>
      </w:r>
      <w:r>
        <w:rPr>
          <w:rFonts w:cs="Times New Roman" w:hint="eastAsia"/>
          <w:bCs/>
          <w:kern w:val="21"/>
        </w:rPr>
        <w:t>5</w:t>
      </w:r>
      <w:r>
        <w:rPr>
          <w:rFonts w:cs="Times New Roman" w:hint="eastAsia"/>
          <w:bCs/>
          <w:kern w:val="21"/>
        </w:rPr>
        <w:t>标准，同时满足《农田灌溉水质标准》（</w:t>
      </w:r>
      <w:r>
        <w:rPr>
          <w:rFonts w:cs="Times New Roman" w:hint="eastAsia"/>
          <w:bCs/>
          <w:kern w:val="21"/>
        </w:rPr>
        <w:t>GB5084-2021</w:t>
      </w:r>
      <w:r>
        <w:rPr>
          <w:rFonts w:cs="Times New Roman" w:hint="eastAsia"/>
          <w:bCs/>
          <w:kern w:val="21"/>
        </w:rPr>
        <w:t>）旱地作物标准后用于场区周边林地灌溉，不外排。</w:t>
      </w:r>
    </w:p>
    <w:p w14:paraId="213507AC" w14:textId="77777777" w:rsidR="00544649" w:rsidRDefault="00000000">
      <w:pPr>
        <w:adjustRightInd w:val="0"/>
        <w:snapToGrid w:val="0"/>
        <w:spacing w:after="0"/>
        <w:ind w:firstLine="482"/>
        <w:rPr>
          <w:b/>
        </w:rPr>
      </w:pPr>
      <w:r>
        <w:rPr>
          <w:rFonts w:cs="Times New Roman" w:hint="eastAsia"/>
          <w:b/>
          <w:kern w:val="21"/>
        </w:rPr>
        <w:t>（</w:t>
      </w:r>
      <w:r>
        <w:rPr>
          <w:rFonts w:cs="Times New Roman" w:hint="eastAsia"/>
          <w:b/>
          <w:kern w:val="21"/>
        </w:rPr>
        <w:t>2</w:t>
      </w:r>
      <w:r>
        <w:rPr>
          <w:rFonts w:cs="Times New Roman" w:hint="eastAsia"/>
          <w:b/>
          <w:kern w:val="21"/>
        </w:rPr>
        <w:t>）</w:t>
      </w:r>
      <w:r>
        <w:rPr>
          <w:b/>
        </w:rPr>
        <w:t>污水处理工艺</w:t>
      </w:r>
      <w:r>
        <w:rPr>
          <w:rFonts w:hint="eastAsia"/>
          <w:b/>
        </w:rPr>
        <w:t>流程</w:t>
      </w:r>
    </w:p>
    <w:p w14:paraId="0A7419DE" w14:textId="77777777" w:rsidR="00544649" w:rsidRDefault="00000000">
      <w:pPr>
        <w:adjustRightInd w:val="0"/>
        <w:snapToGrid w:val="0"/>
        <w:spacing w:after="0"/>
        <w:ind w:firstLine="480"/>
      </w:pPr>
      <w:r>
        <w:t>本项目采用的模式</w:t>
      </w:r>
      <w:r>
        <w:t>Ⅲ</w:t>
      </w:r>
      <w:r>
        <w:t>处理工艺是国内成熟的，应用作为广泛的处理工艺，处理效果好，处理之后水质能够达到《畜禽养殖业污染物排放标准》（</w:t>
      </w:r>
      <w:r>
        <w:t>GB18596-2001</w:t>
      </w:r>
      <w:r>
        <w:t>）中的表</w:t>
      </w:r>
      <w:r>
        <w:t>5</w:t>
      </w:r>
      <w:r>
        <w:rPr>
          <w:rFonts w:hint="eastAsia"/>
        </w:rPr>
        <w:t>标准，同时能够满足《农田灌溉水质标准》（</w:t>
      </w:r>
      <w:r>
        <w:rPr>
          <w:rFonts w:hint="eastAsia"/>
        </w:rPr>
        <w:t>GB5084-2021</w:t>
      </w:r>
      <w:r>
        <w:rPr>
          <w:rFonts w:hint="eastAsia"/>
        </w:rPr>
        <w:t>）旱地作物标准要求。</w:t>
      </w:r>
    </w:p>
    <w:p w14:paraId="23111EF6" w14:textId="77777777" w:rsidR="00544649" w:rsidRDefault="00000000">
      <w:pPr>
        <w:adjustRightInd w:val="0"/>
        <w:snapToGrid w:val="0"/>
        <w:spacing w:after="0"/>
        <w:ind w:firstLine="480"/>
        <w:rPr>
          <w:rFonts w:cs="Times New Roman"/>
          <w:bCs/>
          <w:kern w:val="21"/>
        </w:rPr>
      </w:pPr>
      <w:r>
        <w:rPr>
          <w:rFonts w:cs="Times New Roman"/>
          <w:kern w:val="0"/>
          <w:lang w:bidi="ar"/>
        </w:rPr>
        <w:t>根据《畜禽养殖业污染治理工程技术规范》</w:t>
      </w:r>
      <w:r>
        <w:rPr>
          <w:rFonts w:cs="Times New Roman"/>
          <w:kern w:val="0"/>
          <w:lang w:bidi="ar"/>
        </w:rPr>
        <w:t>(HJ497-2009</w:t>
      </w:r>
      <w:r>
        <w:rPr>
          <w:rFonts w:cs="Times New Roman"/>
          <w:kern w:val="0"/>
          <w:lang w:bidi="ar"/>
        </w:rPr>
        <w:t>）中要求</w:t>
      </w:r>
      <w:r>
        <w:rPr>
          <w:rFonts w:cs="Times New Roman" w:hint="eastAsia"/>
          <w:kern w:val="0"/>
          <w:lang w:bidi="ar"/>
        </w:rPr>
        <w:t>：“</w:t>
      </w:r>
      <w:r>
        <w:rPr>
          <w:rFonts w:cs="Times New Roman"/>
          <w:kern w:val="0"/>
          <w:lang w:bidi="ar"/>
        </w:rPr>
        <w:t>畜禽养殖废水经处理后向水体排放或回用的，应进行消毒处理，宜采用紫外线、臭氧、双氧水等非氯化的消毒处理措施，并不得产生二次污染。</w:t>
      </w:r>
      <w:r>
        <w:rPr>
          <w:rFonts w:cs="Times New Roman" w:hint="eastAsia"/>
          <w:kern w:val="0"/>
          <w:lang w:bidi="ar"/>
        </w:rPr>
        <w:t>”</w:t>
      </w:r>
      <w:r>
        <w:rPr>
          <w:rFonts w:cs="Times New Roman"/>
          <w:kern w:val="0"/>
          <w:lang w:bidi="ar"/>
        </w:rPr>
        <w:t>由于紫外线消毒对尾水的消毒主要通过紫外线的照射，其照射穿透一般在</w:t>
      </w:r>
      <w:r>
        <w:rPr>
          <w:rFonts w:cs="Times New Roman"/>
          <w:kern w:val="0"/>
          <w:lang w:bidi="ar"/>
        </w:rPr>
        <w:t>20cm</w:t>
      </w:r>
      <w:r>
        <w:rPr>
          <w:rFonts w:cs="Times New Roman"/>
          <w:kern w:val="0"/>
          <w:lang w:bidi="ar"/>
        </w:rPr>
        <w:t>左右，但尾</w:t>
      </w:r>
      <w:r>
        <w:rPr>
          <w:rFonts w:ascii="宋体" w:hAnsi="宋体" w:cs="宋体" w:hint="eastAsia"/>
          <w:kern w:val="0"/>
          <w:lang w:bidi="ar"/>
        </w:rPr>
        <w:t>水水位或</w:t>
      </w:r>
      <w:r>
        <w:rPr>
          <w:rFonts w:cs="Times New Roman"/>
          <w:kern w:val="0"/>
          <w:lang w:bidi="ar"/>
        </w:rPr>
        <w:t>液位抬高时，采用紫外线照射时，消毒效果不理想。根据上海市生态环境局发布的《畜禽养殖废水新型污染物末端处置可行技术指南（试行</w:t>
      </w:r>
      <w:r>
        <w:rPr>
          <w:rFonts w:cs="Times New Roman"/>
          <w:kern w:val="0"/>
          <w:lang w:bidi="ar"/>
        </w:rPr>
        <w:t>)</w:t>
      </w:r>
      <w:r>
        <w:rPr>
          <w:rFonts w:cs="Times New Roman"/>
          <w:kern w:val="0"/>
          <w:lang w:bidi="ar"/>
        </w:rPr>
        <w:t>》编制说明，分析了目前上海市乃至长三角地区畜禽养殖抗菌药物的使用类型、使用方式、管理现状等，结果显示，畜禽养殖业常用约</w:t>
      </w:r>
      <w:r>
        <w:rPr>
          <w:rFonts w:cs="Times New Roman"/>
          <w:kern w:val="0"/>
          <w:lang w:bidi="ar"/>
        </w:rPr>
        <w:t>40</w:t>
      </w:r>
      <w:r>
        <w:rPr>
          <w:rFonts w:cs="Times New Roman"/>
          <w:kern w:val="0"/>
          <w:lang w:bidi="ar"/>
        </w:rPr>
        <w:t>余种治疗用抗生素，</w:t>
      </w:r>
      <w:r>
        <w:rPr>
          <w:rFonts w:cs="Times New Roman"/>
          <w:kern w:val="0"/>
          <w:lang w:bidi="ar"/>
        </w:rPr>
        <w:t>10</w:t>
      </w:r>
      <w:r>
        <w:rPr>
          <w:rFonts w:cs="Times New Roman"/>
          <w:kern w:val="0"/>
          <w:lang w:bidi="ar"/>
        </w:rPr>
        <w:t>余种饲料用，无违禁药使用情况。养殖场主要以氨基糖苷类、</w:t>
      </w:r>
      <w:r>
        <w:rPr>
          <w:rFonts w:cs="Times New Roman"/>
          <w:kern w:val="0"/>
          <w:lang w:bidi="ar"/>
        </w:rPr>
        <w:t>β-</w:t>
      </w:r>
      <w:r>
        <w:rPr>
          <w:rFonts w:cs="Times New Roman"/>
          <w:kern w:val="0"/>
          <w:lang w:bidi="ar"/>
        </w:rPr>
        <w:t>内酰胺类和磺胺类为主，针对兽药用量大而导致残留抗生素浓度偏高的问题，开发了</w:t>
      </w:r>
      <w:r>
        <w:rPr>
          <w:rFonts w:cs="Times New Roman"/>
          <w:kern w:val="0"/>
          <w:lang w:bidi="ar"/>
        </w:rPr>
        <w:t>O</w:t>
      </w:r>
      <w:r>
        <w:rPr>
          <w:rFonts w:cs="Times New Roman"/>
          <w:kern w:val="0"/>
          <w:vertAlign w:val="subscript"/>
          <w:lang w:bidi="ar"/>
        </w:rPr>
        <w:t>3</w:t>
      </w:r>
      <w:r>
        <w:rPr>
          <w:rFonts w:cs="Times New Roman"/>
          <w:kern w:val="0"/>
          <w:lang w:bidi="ar"/>
        </w:rPr>
        <w:t>氧化、</w:t>
      </w:r>
      <w:proofErr w:type="gramStart"/>
      <w:r>
        <w:rPr>
          <w:rFonts w:cs="Times New Roman"/>
          <w:kern w:val="0"/>
          <w:lang w:bidi="ar"/>
        </w:rPr>
        <w:t>柠檬酸助类</w:t>
      </w:r>
      <w:proofErr w:type="gramEnd"/>
      <w:r>
        <w:rPr>
          <w:rFonts w:cs="Times New Roman"/>
          <w:kern w:val="0"/>
          <w:lang w:bidi="ar"/>
        </w:rPr>
        <w:t>Fenton</w:t>
      </w:r>
      <w:r>
        <w:rPr>
          <w:rFonts w:cs="Times New Roman"/>
          <w:kern w:val="0"/>
          <w:lang w:bidi="ar"/>
        </w:rPr>
        <w:t>氧化和</w:t>
      </w:r>
      <w:r>
        <w:rPr>
          <w:rFonts w:cs="Times New Roman"/>
          <w:kern w:val="0"/>
          <w:lang w:bidi="ar"/>
        </w:rPr>
        <w:t>UV/H</w:t>
      </w:r>
      <w:r>
        <w:rPr>
          <w:rFonts w:cs="Times New Roman"/>
          <w:kern w:val="0"/>
          <w:vertAlign w:val="subscript"/>
          <w:lang w:bidi="ar"/>
        </w:rPr>
        <w:t>2</w:t>
      </w:r>
      <w:r>
        <w:rPr>
          <w:rFonts w:cs="Times New Roman"/>
          <w:kern w:val="0"/>
          <w:lang w:bidi="ar"/>
        </w:rPr>
        <w:t>O</w:t>
      </w:r>
      <w:r>
        <w:rPr>
          <w:rFonts w:cs="Times New Roman"/>
          <w:kern w:val="0"/>
          <w:vertAlign w:val="subscript"/>
          <w:lang w:bidi="ar"/>
        </w:rPr>
        <w:t>2</w:t>
      </w:r>
      <w:r>
        <w:rPr>
          <w:rFonts w:cs="Times New Roman"/>
          <w:kern w:val="0"/>
          <w:lang w:bidi="ar"/>
        </w:rPr>
        <w:t>高级氧化等二级生化出水深度处理技术。采用上述消毒工艺后，</w:t>
      </w:r>
      <w:proofErr w:type="gramStart"/>
      <w:r>
        <w:rPr>
          <w:rFonts w:cs="Times New Roman"/>
          <w:kern w:val="0"/>
          <w:lang w:bidi="ar"/>
        </w:rPr>
        <w:t>对污废水</w:t>
      </w:r>
      <w:proofErr w:type="gramEnd"/>
      <w:r>
        <w:rPr>
          <w:rFonts w:cs="Times New Roman"/>
          <w:kern w:val="0"/>
          <w:lang w:bidi="ar"/>
        </w:rPr>
        <w:t>中抗生素有较好的去除</w:t>
      </w:r>
      <w:proofErr w:type="gramStart"/>
      <w:r>
        <w:rPr>
          <w:rFonts w:cs="Times New Roman"/>
          <w:kern w:val="0"/>
          <w:lang w:bidi="ar"/>
        </w:rPr>
        <w:t>效</w:t>
      </w:r>
      <w:proofErr w:type="gramEnd"/>
      <w:r>
        <w:rPr>
          <w:rFonts w:cs="Times New Roman"/>
          <w:kern w:val="0"/>
          <w:lang w:bidi="ar"/>
        </w:rPr>
        <w:t>效果。因此，本次评价推荐</w:t>
      </w:r>
      <w:r>
        <w:rPr>
          <w:rFonts w:cs="Times New Roman"/>
          <w:kern w:val="0"/>
          <w:lang w:bidi="ar"/>
        </w:rPr>
        <w:t>“</w:t>
      </w:r>
      <w:r>
        <w:rPr>
          <w:rFonts w:cs="Times New Roman"/>
          <w:kern w:val="0"/>
          <w:lang w:bidi="ar"/>
        </w:rPr>
        <w:t>臭氧消毒</w:t>
      </w:r>
      <w:r>
        <w:rPr>
          <w:rFonts w:cs="Times New Roman"/>
          <w:kern w:val="0"/>
          <w:lang w:bidi="ar"/>
        </w:rPr>
        <w:t>”</w:t>
      </w:r>
      <w:r>
        <w:rPr>
          <w:rFonts w:cs="Times New Roman"/>
          <w:kern w:val="0"/>
          <w:lang w:bidi="ar"/>
        </w:rPr>
        <w:t>技术对尾水进行消毒处理。</w:t>
      </w:r>
    </w:p>
    <w:p w14:paraId="62DD7784" w14:textId="77777777" w:rsidR="00544649" w:rsidRDefault="00000000">
      <w:pPr>
        <w:adjustRightInd w:val="0"/>
        <w:snapToGrid w:val="0"/>
        <w:spacing w:after="0"/>
        <w:ind w:firstLine="482"/>
        <w:rPr>
          <w:rFonts w:cs="Times New Roman"/>
          <w:b/>
          <w:bCs/>
          <w:kern w:val="21"/>
        </w:rPr>
      </w:pPr>
      <w:r>
        <w:rPr>
          <w:rFonts w:cs="Times New Roman" w:hint="eastAsia"/>
          <w:b/>
          <w:bCs/>
          <w:kern w:val="21"/>
        </w:rPr>
        <w:t>（</w:t>
      </w:r>
      <w:r>
        <w:rPr>
          <w:rFonts w:cs="Times New Roman" w:hint="eastAsia"/>
          <w:b/>
          <w:bCs/>
          <w:kern w:val="21"/>
        </w:rPr>
        <w:t>3</w:t>
      </w:r>
      <w:r>
        <w:rPr>
          <w:rFonts w:cs="Times New Roman" w:hint="eastAsia"/>
          <w:b/>
          <w:bCs/>
          <w:kern w:val="21"/>
        </w:rPr>
        <w:t>）废水污染防治措施可行性分析</w:t>
      </w:r>
    </w:p>
    <w:p w14:paraId="653EECFA" w14:textId="77777777" w:rsidR="00544649" w:rsidRDefault="00000000">
      <w:pPr>
        <w:adjustRightInd w:val="0"/>
        <w:snapToGrid w:val="0"/>
        <w:spacing w:after="0"/>
        <w:ind w:firstLine="480"/>
        <w:rPr>
          <w:rFonts w:cs="Times New Roman"/>
          <w:kern w:val="21"/>
        </w:rPr>
      </w:pPr>
      <w:r>
        <w:rPr>
          <w:rFonts w:cs="Times New Roman" w:hint="eastAsia"/>
          <w:kern w:val="21"/>
        </w:rPr>
        <w:t>养殖场污水处理站其设计规模应满足废水测算的基础上留有设计余量，其污水在处理设施内停留时间长、处理水质好，亦保证风险性事故的废水收集处理。同时本项目养殖废水处理站规模设计按照</w:t>
      </w:r>
      <w:r>
        <w:rPr>
          <w:rFonts w:cs="Times New Roman" w:hint="eastAsia"/>
          <w:kern w:val="21"/>
        </w:rPr>
        <w:t>1.37~1.40</w:t>
      </w:r>
      <w:r>
        <w:rPr>
          <w:rFonts w:cs="Times New Roman" w:hint="eastAsia"/>
          <w:kern w:val="21"/>
        </w:rPr>
        <w:t>的污水变化系数考虑，可满足本项目养殖过程中排放废水的处理要求。项目污水处理站调节池容量按照鸡舍冲洗期间高峰期污水量进行考虑。本项目蛋鸡场采用“分批次”出栏方式，每两栋鸡舍为一个更换批次，项目</w:t>
      </w:r>
      <w:r>
        <w:rPr>
          <w:rFonts w:cs="Times New Roman" w:hint="eastAsia"/>
          <w:kern w:val="21"/>
        </w:rPr>
        <w:t>22.5</w:t>
      </w:r>
      <w:r>
        <w:rPr>
          <w:rFonts w:cs="Times New Roman" w:hint="eastAsia"/>
          <w:kern w:val="21"/>
        </w:rPr>
        <w:t>万羽蛋鸡标准化养殖鸡舍共</w:t>
      </w:r>
      <w:r>
        <w:rPr>
          <w:rFonts w:cs="Times New Roman" w:hint="eastAsia"/>
          <w:kern w:val="21"/>
        </w:rPr>
        <w:t>6</w:t>
      </w:r>
      <w:r>
        <w:rPr>
          <w:rFonts w:cs="Times New Roman" w:hint="eastAsia"/>
          <w:kern w:val="21"/>
        </w:rPr>
        <w:t>栋，养殖周期为</w:t>
      </w:r>
      <w:r>
        <w:rPr>
          <w:rFonts w:cs="Times New Roman" w:hint="eastAsia"/>
          <w:kern w:val="21"/>
        </w:rPr>
        <w:t>390</w:t>
      </w:r>
      <w:r>
        <w:rPr>
          <w:rFonts w:cs="Times New Roman" w:hint="eastAsia"/>
          <w:kern w:val="21"/>
        </w:rPr>
        <w:t>天</w:t>
      </w:r>
      <w:r>
        <w:rPr>
          <w:rFonts w:cs="Times New Roman" w:hint="eastAsia"/>
          <w:kern w:val="21"/>
        </w:rPr>
        <w:t>/</w:t>
      </w:r>
      <w:r>
        <w:rPr>
          <w:rFonts w:cs="Times New Roman" w:hint="eastAsia"/>
          <w:kern w:val="21"/>
        </w:rPr>
        <w:t>批次，</w:t>
      </w:r>
      <w:r>
        <w:rPr>
          <w:rFonts w:hint="eastAsia"/>
          <w:bCs/>
        </w:rPr>
        <w:t>蛋鸡场一年最大可淘汰</w:t>
      </w:r>
      <w:r>
        <w:rPr>
          <w:rFonts w:hint="eastAsia"/>
          <w:bCs/>
        </w:rPr>
        <w:t>3</w:t>
      </w:r>
      <w:r>
        <w:rPr>
          <w:rFonts w:hint="eastAsia"/>
          <w:bCs/>
        </w:rPr>
        <w:t>个批次共</w:t>
      </w:r>
      <w:r>
        <w:rPr>
          <w:rFonts w:hint="eastAsia"/>
          <w:bCs/>
        </w:rPr>
        <w:t>6</w:t>
      </w:r>
      <w:r>
        <w:rPr>
          <w:rFonts w:hint="eastAsia"/>
          <w:bCs/>
        </w:rPr>
        <w:t>栋鸡舍，</w:t>
      </w:r>
      <w:r>
        <w:rPr>
          <w:rFonts w:cs="Times New Roman" w:hint="eastAsia"/>
          <w:kern w:val="21"/>
        </w:rPr>
        <w:t>项目鸡舍在一个养殖周期结束后冲洗一次，单个鸡舍单次最大冲洗废水量为</w:t>
      </w:r>
      <w:r>
        <w:rPr>
          <w:rFonts w:cs="Times New Roman"/>
          <w:kern w:val="21"/>
        </w:rPr>
        <w:t>81.192</w:t>
      </w:r>
      <w:r>
        <w:rPr>
          <w:rFonts w:cs="Times New Roman" w:hint="eastAsia"/>
          <w:kern w:val="21"/>
        </w:rPr>
        <w:t>m</w:t>
      </w:r>
      <w:r>
        <w:rPr>
          <w:rFonts w:cs="Times New Roman" w:hint="eastAsia"/>
          <w:kern w:val="21"/>
          <w:vertAlign w:val="superscript"/>
        </w:rPr>
        <w:t>3</w:t>
      </w:r>
      <w:r>
        <w:rPr>
          <w:bCs/>
        </w:rPr>
        <w:t>/</w:t>
      </w:r>
      <w:r>
        <w:rPr>
          <w:bCs/>
        </w:rPr>
        <w:t>栋</w:t>
      </w:r>
      <w:r>
        <w:rPr>
          <w:bCs/>
        </w:rPr>
        <w:t>•</w:t>
      </w:r>
      <w:r>
        <w:rPr>
          <w:bCs/>
        </w:rPr>
        <w:t>次</w:t>
      </w:r>
      <w:r>
        <w:rPr>
          <w:rFonts w:cs="Times New Roman" w:hint="eastAsia"/>
          <w:kern w:val="21"/>
        </w:rPr>
        <w:t>，冲洗水进入调节池，再进入污水处理站处理。本次评价考虑可能存在</w:t>
      </w:r>
      <w:r>
        <w:rPr>
          <w:rFonts w:cs="Times New Roman" w:hint="eastAsia"/>
          <w:kern w:val="21"/>
        </w:rPr>
        <w:t>2</w:t>
      </w:r>
      <w:r>
        <w:rPr>
          <w:rFonts w:cs="Times New Roman" w:hint="eastAsia"/>
          <w:kern w:val="21"/>
        </w:rPr>
        <w:t>个鸡舍同时冲洗的情况，鉴于蛋鸡出栏后有</w:t>
      </w:r>
      <w:r>
        <w:rPr>
          <w:rFonts w:cs="Times New Roman" w:hint="eastAsia"/>
          <w:kern w:val="21"/>
        </w:rPr>
        <w:t>15</w:t>
      </w:r>
      <w:r>
        <w:rPr>
          <w:rFonts w:cs="Times New Roman" w:hint="eastAsia"/>
          <w:kern w:val="21"/>
        </w:rPr>
        <w:t>天清洗消毒期，鸡舍可在保证污水站在</w:t>
      </w:r>
      <w:proofErr w:type="gramStart"/>
      <w:r>
        <w:rPr>
          <w:rFonts w:cs="Times New Roman" w:hint="eastAsia"/>
          <w:kern w:val="21"/>
        </w:rPr>
        <w:t>不</w:t>
      </w:r>
      <w:proofErr w:type="gramEnd"/>
      <w:r>
        <w:rPr>
          <w:rFonts w:cs="Times New Roman" w:hint="eastAsia"/>
          <w:kern w:val="21"/>
        </w:rPr>
        <w:t>超负荷运行的情况下错峰冲洗，</w:t>
      </w:r>
      <w:r>
        <w:rPr>
          <w:rFonts w:cs="Times New Roman" w:hint="eastAsia"/>
          <w:szCs w:val="24"/>
        </w:rPr>
        <w:t>蛋鸡鸡舍每批次冲洗间</w:t>
      </w:r>
      <w:r>
        <w:rPr>
          <w:rFonts w:cs="Times New Roman" w:hint="eastAsia"/>
          <w:szCs w:val="24"/>
        </w:rPr>
        <w:lastRenderedPageBreak/>
        <w:t>隔时间至少为</w:t>
      </w:r>
      <w:r>
        <w:rPr>
          <w:rFonts w:cs="Times New Roman" w:hint="eastAsia"/>
          <w:szCs w:val="24"/>
        </w:rPr>
        <w:t>105</w:t>
      </w:r>
      <w:r>
        <w:rPr>
          <w:rFonts w:cs="Times New Roman" w:hint="eastAsia"/>
          <w:szCs w:val="24"/>
        </w:rPr>
        <w:t>天，</w:t>
      </w:r>
      <w:r>
        <w:rPr>
          <w:rFonts w:cs="Times New Roman" w:hint="eastAsia"/>
          <w:kern w:val="21"/>
        </w:rPr>
        <w:t>即出栏后</w:t>
      </w:r>
      <w:r>
        <w:rPr>
          <w:rFonts w:cs="Times New Roman" w:hint="eastAsia"/>
          <w:kern w:val="21"/>
        </w:rPr>
        <w:t>105</w:t>
      </w:r>
      <w:r>
        <w:rPr>
          <w:rFonts w:cs="Times New Roman" w:hint="eastAsia"/>
          <w:kern w:val="21"/>
        </w:rPr>
        <w:t>天内能处理或暂存</w:t>
      </w:r>
      <w:r>
        <w:rPr>
          <w:rFonts w:hint="eastAsia"/>
          <w:bCs/>
        </w:rPr>
        <w:t>162.384</w:t>
      </w:r>
      <w:r>
        <w:rPr>
          <w:rFonts w:cs="Times New Roman" w:hint="eastAsia"/>
          <w:kern w:val="21"/>
        </w:rPr>
        <w:t>m</w:t>
      </w:r>
      <w:r>
        <w:rPr>
          <w:rFonts w:cs="Times New Roman" w:hint="eastAsia"/>
          <w:kern w:val="21"/>
          <w:vertAlign w:val="superscript"/>
        </w:rPr>
        <w:t>3</w:t>
      </w:r>
      <w:r>
        <w:rPr>
          <w:rFonts w:cs="Times New Roman" w:hint="eastAsia"/>
          <w:kern w:val="21"/>
        </w:rPr>
        <w:t>的鸡舍冲洗废水</w:t>
      </w:r>
      <w:proofErr w:type="gramStart"/>
      <w:r>
        <w:rPr>
          <w:rFonts w:cs="Times New Roman" w:hint="eastAsia"/>
          <w:kern w:val="21"/>
        </w:rPr>
        <w:t>及期间</w:t>
      </w:r>
      <w:proofErr w:type="gramEnd"/>
      <w:r>
        <w:rPr>
          <w:rFonts w:cs="Times New Roman" w:hint="eastAsia"/>
          <w:kern w:val="21"/>
        </w:rPr>
        <w:t>产生的其他污水。因此蛋鸡养殖场污水处理站设计处理能力为</w:t>
      </w:r>
      <w:r>
        <w:rPr>
          <w:rFonts w:cs="Times New Roman" w:hint="eastAsia"/>
          <w:kern w:val="21"/>
        </w:rPr>
        <w:t>15m</w:t>
      </w:r>
      <w:r>
        <w:rPr>
          <w:rFonts w:cs="Times New Roman" w:hint="eastAsia"/>
          <w:kern w:val="21"/>
          <w:vertAlign w:val="superscript"/>
        </w:rPr>
        <w:t>3</w:t>
      </w:r>
      <w:r>
        <w:rPr>
          <w:rFonts w:cs="Times New Roman" w:hint="eastAsia"/>
          <w:kern w:val="21"/>
        </w:rPr>
        <w:t>/d</w:t>
      </w:r>
      <w:r>
        <w:rPr>
          <w:rFonts w:cs="Times New Roman" w:hint="eastAsia"/>
          <w:kern w:val="21"/>
        </w:rPr>
        <w:t>，污水处理站调节</w:t>
      </w:r>
      <w:proofErr w:type="gramStart"/>
      <w:r>
        <w:rPr>
          <w:rFonts w:cs="Times New Roman" w:hint="eastAsia"/>
          <w:kern w:val="21"/>
        </w:rPr>
        <w:t>池规模</w:t>
      </w:r>
      <w:proofErr w:type="gramEnd"/>
      <w:r>
        <w:rPr>
          <w:rFonts w:cs="Times New Roman" w:hint="eastAsia"/>
          <w:kern w:val="21"/>
        </w:rPr>
        <w:t>为</w:t>
      </w:r>
      <w:r>
        <w:rPr>
          <w:rFonts w:cs="Times New Roman" w:hint="eastAsia"/>
          <w:kern w:val="21"/>
        </w:rPr>
        <w:t>200m</w:t>
      </w:r>
      <w:r>
        <w:rPr>
          <w:rFonts w:cs="Times New Roman" w:hint="eastAsia"/>
          <w:kern w:val="21"/>
          <w:vertAlign w:val="superscript"/>
        </w:rPr>
        <w:t>3</w:t>
      </w:r>
      <w:r>
        <w:rPr>
          <w:rFonts w:cs="Times New Roman" w:hint="eastAsia"/>
          <w:kern w:val="21"/>
        </w:rPr>
        <w:t>较为合理，可以有效缓冲鸡舍冲洗、蛋品清洗时产生的冲击性废水。同时可确保污水处理站连续运营。</w:t>
      </w:r>
    </w:p>
    <w:p w14:paraId="3A160D7C"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项目</w:t>
      </w:r>
      <w:r>
        <w:rPr>
          <w:rFonts w:cs="Times New Roman" w:hint="eastAsia"/>
          <w:kern w:val="21"/>
          <w:szCs w:val="24"/>
        </w:rPr>
        <w:t>7.5</w:t>
      </w:r>
      <w:r>
        <w:rPr>
          <w:rFonts w:cs="Times New Roman" w:hint="eastAsia"/>
          <w:kern w:val="21"/>
          <w:szCs w:val="24"/>
        </w:rPr>
        <w:t>万羽育雏鸡场鸡舍为</w:t>
      </w:r>
      <w:r>
        <w:rPr>
          <w:rFonts w:cs="Times New Roman" w:hint="eastAsia"/>
          <w:kern w:val="21"/>
          <w:szCs w:val="24"/>
        </w:rPr>
        <w:t>2</w:t>
      </w:r>
      <w:r>
        <w:rPr>
          <w:rFonts w:cs="Times New Roman" w:hint="eastAsia"/>
          <w:kern w:val="21"/>
          <w:szCs w:val="24"/>
        </w:rPr>
        <w:t>栋，青年鸡养殖周期</w:t>
      </w:r>
      <w:r>
        <w:rPr>
          <w:rFonts w:cs="Times New Roman" w:hint="eastAsia"/>
          <w:kern w:val="21"/>
          <w:szCs w:val="24"/>
        </w:rPr>
        <w:t>105</w:t>
      </w:r>
      <w:r>
        <w:rPr>
          <w:rFonts w:cs="Times New Roman" w:hint="eastAsia"/>
          <w:kern w:val="21"/>
          <w:szCs w:val="24"/>
        </w:rPr>
        <w:t>天</w:t>
      </w:r>
      <w:r>
        <w:rPr>
          <w:rFonts w:cs="Times New Roman" w:hint="eastAsia"/>
          <w:kern w:val="21"/>
          <w:szCs w:val="24"/>
        </w:rPr>
        <w:t>/</w:t>
      </w:r>
      <w:r>
        <w:rPr>
          <w:rFonts w:cs="Times New Roman" w:hint="eastAsia"/>
          <w:kern w:val="21"/>
          <w:szCs w:val="24"/>
        </w:rPr>
        <w:t>批次，另有</w:t>
      </w:r>
      <w:r>
        <w:rPr>
          <w:rFonts w:cs="Times New Roman" w:hint="eastAsia"/>
          <w:kern w:val="21"/>
          <w:szCs w:val="24"/>
        </w:rPr>
        <w:t>30</w:t>
      </w:r>
      <w:r>
        <w:rPr>
          <w:rFonts w:cs="Times New Roman" w:hint="eastAsia"/>
          <w:kern w:val="21"/>
          <w:szCs w:val="24"/>
        </w:rPr>
        <w:t>天防疫期，每</w:t>
      </w:r>
      <w:r>
        <w:rPr>
          <w:rFonts w:cs="Times New Roman" w:hint="eastAsia"/>
          <w:kern w:val="21"/>
          <w:szCs w:val="24"/>
        </w:rPr>
        <w:t>2</w:t>
      </w:r>
      <w:r>
        <w:rPr>
          <w:rFonts w:cs="Times New Roman" w:hint="eastAsia"/>
          <w:kern w:val="21"/>
          <w:szCs w:val="24"/>
        </w:rPr>
        <w:t>年出栏</w:t>
      </w:r>
      <w:r>
        <w:rPr>
          <w:rFonts w:cs="Times New Roman" w:hint="eastAsia"/>
          <w:kern w:val="21"/>
          <w:szCs w:val="24"/>
        </w:rPr>
        <w:t>5</w:t>
      </w:r>
      <w:r>
        <w:rPr>
          <w:rFonts w:cs="Times New Roman" w:hint="eastAsia"/>
          <w:kern w:val="21"/>
          <w:szCs w:val="24"/>
        </w:rPr>
        <w:t>批次，</w:t>
      </w:r>
      <w:r>
        <w:rPr>
          <w:rFonts w:hint="eastAsia"/>
          <w:szCs w:val="24"/>
        </w:rPr>
        <w:t>则一年内最大出栏批次为</w:t>
      </w:r>
      <w:r>
        <w:rPr>
          <w:rFonts w:hint="eastAsia"/>
          <w:szCs w:val="24"/>
        </w:rPr>
        <w:t>3</w:t>
      </w:r>
      <w:r>
        <w:rPr>
          <w:rFonts w:hint="eastAsia"/>
          <w:szCs w:val="24"/>
        </w:rPr>
        <w:t>批次，本次评价以最不利情况，取一年出栏</w:t>
      </w:r>
      <w:r>
        <w:rPr>
          <w:rFonts w:hint="eastAsia"/>
          <w:szCs w:val="24"/>
        </w:rPr>
        <w:t>3</w:t>
      </w:r>
      <w:r>
        <w:rPr>
          <w:rFonts w:hint="eastAsia"/>
          <w:szCs w:val="24"/>
        </w:rPr>
        <w:t>批次核算鸡舍冲洗用水量。</w:t>
      </w:r>
      <w:r>
        <w:rPr>
          <w:rFonts w:cs="Times New Roman" w:hint="eastAsia"/>
          <w:kern w:val="21"/>
          <w:szCs w:val="24"/>
        </w:rPr>
        <w:t>项目鸡舍在一个养殖周期结束后冲洗一次，单个鸡舍单次最大冲洗废水水量为</w:t>
      </w:r>
      <w:r>
        <w:rPr>
          <w:rFonts w:hint="eastAsia"/>
          <w:bCs/>
          <w:szCs w:val="24"/>
        </w:rPr>
        <w:t>17.918</w:t>
      </w:r>
      <w:r>
        <w:rPr>
          <w:bCs/>
          <w:szCs w:val="24"/>
        </w:rPr>
        <w:t>m</w:t>
      </w:r>
      <w:r>
        <w:rPr>
          <w:bCs/>
          <w:szCs w:val="24"/>
          <w:vertAlign w:val="superscript"/>
        </w:rPr>
        <w:t>3</w:t>
      </w:r>
      <w:r>
        <w:rPr>
          <w:bCs/>
          <w:szCs w:val="24"/>
        </w:rPr>
        <w:t>/</w:t>
      </w:r>
      <w:r>
        <w:rPr>
          <w:bCs/>
          <w:szCs w:val="24"/>
        </w:rPr>
        <w:t>栋</w:t>
      </w:r>
      <w:r>
        <w:rPr>
          <w:bCs/>
          <w:szCs w:val="24"/>
        </w:rPr>
        <w:t>•</w:t>
      </w:r>
      <w:r>
        <w:rPr>
          <w:bCs/>
          <w:szCs w:val="24"/>
        </w:rPr>
        <w:t>次</w:t>
      </w:r>
      <w:r>
        <w:rPr>
          <w:rFonts w:cs="Times New Roman" w:hint="eastAsia"/>
          <w:kern w:val="21"/>
          <w:szCs w:val="24"/>
        </w:rPr>
        <w:t>，本次评价考虑最不利情况下，养殖区内所有鸡舍均出栏时清洗一次鸡舍（即考虑全进全出进行鸡舍冲洗）来进行调节池的设置，全进全出进行鸡舍冲洗废水产生量为</w:t>
      </w:r>
      <w:r>
        <w:rPr>
          <w:rFonts w:cs="Times New Roman" w:hint="eastAsia"/>
          <w:kern w:val="21"/>
          <w:szCs w:val="24"/>
        </w:rPr>
        <w:t>35.836m</w:t>
      </w:r>
      <w:r>
        <w:rPr>
          <w:rFonts w:cs="Times New Roman" w:hint="eastAsia"/>
          <w:kern w:val="21"/>
          <w:szCs w:val="24"/>
          <w:vertAlign w:val="superscript"/>
        </w:rPr>
        <w:t>3</w:t>
      </w:r>
      <w:r>
        <w:rPr>
          <w:rFonts w:cs="Times New Roman" w:hint="eastAsia"/>
          <w:kern w:val="21"/>
          <w:szCs w:val="24"/>
        </w:rPr>
        <w:t>/</w:t>
      </w:r>
      <w:r>
        <w:rPr>
          <w:rFonts w:cs="Times New Roman" w:hint="eastAsia"/>
          <w:kern w:val="21"/>
          <w:szCs w:val="24"/>
        </w:rPr>
        <w:t>次，冲洗水进入调节池，再进入污水处理站处理。鉴于有</w:t>
      </w:r>
      <w:r>
        <w:rPr>
          <w:rFonts w:cs="Times New Roman" w:hint="eastAsia"/>
          <w:kern w:val="21"/>
          <w:szCs w:val="24"/>
        </w:rPr>
        <w:t>30</w:t>
      </w:r>
      <w:r>
        <w:rPr>
          <w:rFonts w:cs="Times New Roman" w:hint="eastAsia"/>
          <w:kern w:val="21"/>
          <w:szCs w:val="24"/>
        </w:rPr>
        <w:t>天防疫期，鸡舍可在保证污水站在</w:t>
      </w:r>
      <w:proofErr w:type="gramStart"/>
      <w:r>
        <w:rPr>
          <w:rFonts w:cs="Times New Roman" w:hint="eastAsia"/>
          <w:kern w:val="21"/>
          <w:szCs w:val="24"/>
        </w:rPr>
        <w:t>不</w:t>
      </w:r>
      <w:proofErr w:type="gramEnd"/>
      <w:r>
        <w:rPr>
          <w:rFonts w:cs="Times New Roman" w:hint="eastAsia"/>
          <w:kern w:val="21"/>
          <w:szCs w:val="24"/>
        </w:rPr>
        <w:t>超负荷运行的情况下错峰冲洗，</w:t>
      </w:r>
      <w:r>
        <w:rPr>
          <w:rFonts w:cs="Times New Roman" w:hint="eastAsia"/>
          <w:szCs w:val="24"/>
        </w:rPr>
        <w:t>育雏鸡舍每批次冲洗间隔时间至少为</w:t>
      </w:r>
      <w:r>
        <w:rPr>
          <w:rFonts w:cs="Times New Roman" w:hint="eastAsia"/>
          <w:szCs w:val="24"/>
        </w:rPr>
        <w:t>105</w:t>
      </w:r>
      <w:r>
        <w:rPr>
          <w:rFonts w:cs="Times New Roman" w:hint="eastAsia"/>
          <w:szCs w:val="24"/>
        </w:rPr>
        <w:t>天，</w:t>
      </w:r>
      <w:r>
        <w:rPr>
          <w:rFonts w:cs="Times New Roman" w:hint="eastAsia"/>
          <w:kern w:val="21"/>
          <w:szCs w:val="24"/>
        </w:rPr>
        <w:t>即出栏后</w:t>
      </w:r>
      <w:r>
        <w:rPr>
          <w:rFonts w:cs="Times New Roman" w:hint="eastAsia"/>
          <w:kern w:val="21"/>
          <w:szCs w:val="24"/>
        </w:rPr>
        <w:t>105</w:t>
      </w:r>
      <w:r>
        <w:rPr>
          <w:rFonts w:cs="Times New Roman" w:hint="eastAsia"/>
          <w:kern w:val="21"/>
          <w:szCs w:val="24"/>
        </w:rPr>
        <w:t>天内能处理或暂存</w:t>
      </w:r>
      <w:r>
        <w:rPr>
          <w:rFonts w:cs="Times New Roman" w:hint="eastAsia"/>
          <w:kern w:val="21"/>
          <w:szCs w:val="24"/>
        </w:rPr>
        <w:t>35.836m</w:t>
      </w:r>
      <w:r>
        <w:rPr>
          <w:rFonts w:cs="Times New Roman" w:hint="eastAsia"/>
          <w:kern w:val="21"/>
          <w:szCs w:val="24"/>
          <w:vertAlign w:val="superscript"/>
        </w:rPr>
        <w:t>3</w:t>
      </w:r>
      <w:r>
        <w:rPr>
          <w:rFonts w:cs="Times New Roman" w:hint="eastAsia"/>
          <w:kern w:val="21"/>
          <w:szCs w:val="24"/>
        </w:rPr>
        <w:t>的鸡舍冲洗废水</w:t>
      </w:r>
      <w:proofErr w:type="gramStart"/>
      <w:r>
        <w:rPr>
          <w:rFonts w:cs="Times New Roman" w:hint="eastAsia"/>
          <w:kern w:val="21"/>
          <w:szCs w:val="24"/>
        </w:rPr>
        <w:t>及期间</w:t>
      </w:r>
      <w:proofErr w:type="gramEnd"/>
      <w:r>
        <w:rPr>
          <w:rFonts w:cs="Times New Roman" w:hint="eastAsia"/>
          <w:kern w:val="21"/>
          <w:szCs w:val="24"/>
        </w:rPr>
        <w:t>产生的其他污水。因此</w:t>
      </w:r>
      <w:proofErr w:type="gramStart"/>
      <w:r>
        <w:rPr>
          <w:rFonts w:cs="Times New Roman" w:hint="eastAsia"/>
          <w:kern w:val="21"/>
          <w:szCs w:val="24"/>
        </w:rPr>
        <w:t>育雏场</w:t>
      </w:r>
      <w:proofErr w:type="gramEnd"/>
      <w:r>
        <w:rPr>
          <w:rFonts w:cs="Times New Roman" w:hint="eastAsia"/>
          <w:kern w:val="21"/>
          <w:szCs w:val="24"/>
        </w:rPr>
        <w:t>污水处理站设计处理能力为</w:t>
      </w:r>
      <w:r>
        <w:rPr>
          <w:rFonts w:cs="Times New Roman" w:hint="eastAsia"/>
          <w:kern w:val="21"/>
          <w:szCs w:val="24"/>
        </w:rPr>
        <w:t>5m</w:t>
      </w:r>
      <w:r>
        <w:rPr>
          <w:rFonts w:cs="Times New Roman" w:hint="eastAsia"/>
          <w:kern w:val="21"/>
          <w:szCs w:val="24"/>
          <w:vertAlign w:val="superscript"/>
        </w:rPr>
        <w:t>3</w:t>
      </w:r>
      <w:r>
        <w:rPr>
          <w:rFonts w:cs="Times New Roman" w:hint="eastAsia"/>
          <w:kern w:val="21"/>
          <w:szCs w:val="24"/>
        </w:rPr>
        <w:t>/d</w:t>
      </w:r>
      <w:r>
        <w:rPr>
          <w:rFonts w:cs="Times New Roman" w:hint="eastAsia"/>
          <w:kern w:val="21"/>
          <w:szCs w:val="24"/>
        </w:rPr>
        <w:t>，污水处理站调节</w:t>
      </w:r>
      <w:proofErr w:type="gramStart"/>
      <w:r>
        <w:rPr>
          <w:rFonts w:cs="Times New Roman" w:hint="eastAsia"/>
          <w:kern w:val="21"/>
          <w:szCs w:val="24"/>
        </w:rPr>
        <w:t>池规模</w:t>
      </w:r>
      <w:proofErr w:type="gramEnd"/>
      <w:r>
        <w:rPr>
          <w:rFonts w:cs="Times New Roman" w:hint="eastAsia"/>
          <w:kern w:val="21"/>
          <w:szCs w:val="24"/>
        </w:rPr>
        <w:t>为</w:t>
      </w:r>
      <w:r>
        <w:rPr>
          <w:rFonts w:cs="Times New Roman" w:hint="eastAsia"/>
          <w:kern w:val="21"/>
          <w:szCs w:val="24"/>
        </w:rPr>
        <w:t>50m</w:t>
      </w:r>
      <w:r>
        <w:rPr>
          <w:rFonts w:cs="Times New Roman" w:hint="eastAsia"/>
          <w:kern w:val="21"/>
          <w:szCs w:val="24"/>
          <w:vertAlign w:val="superscript"/>
        </w:rPr>
        <w:t>3</w:t>
      </w:r>
      <w:r>
        <w:rPr>
          <w:rFonts w:cs="Times New Roman" w:hint="eastAsia"/>
          <w:kern w:val="21"/>
          <w:szCs w:val="24"/>
        </w:rPr>
        <w:t>较为合理，可以有效缓冲鸡舍冲洗时产生的冲击性废水。同时可确保污水处理站连续运营。</w:t>
      </w:r>
    </w:p>
    <w:p w14:paraId="7B101FA4"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项目采取的处理工艺较为成熟，由上表可以看出，项目污水处理站处理后的废水水质能够达到《畜禽养殖业污染物排放标准》（</w:t>
      </w:r>
      <w:r>
        <w:rPr>
          <w:rFonts w:cs="Times New Roman" w:hint="eastAsia"/>
          <w:kern w:val="21"/>
          <w:szCs w:val="24"/>
        </w:rPr>
        <w:t>GB18596-2001</w:t>
      </w:r>
      <w:r>
        <w:rPr>
          <w:rFonts w:cs="Times New Roman" w:hint="eastAsia"/>
          <w:kern w:val="21"/>
          <w:szCs w:val="24"/>
        </w:rPr>
        <w:t>）中的表</w:t>
      </w:r>
      <w:r>
        <w:rPr>
          <w:rFonts w:cs="Times New Roman" w:hint="eastAsia"/>
          <w:kern w:val="21"/>
          <w:szCs w:val="24"/>
        </w:rPr>
        <w:t>5</w:t>
      </w:r>
      <w:r>
        <w:rPr>
          <w:rFonts w:cs="Times New Roman" w:hint="eastAsia"/>
          <w:kern w:val="21"/>
          <w:szCs w:val="24"/>
        </w:rPr>
        <w:t>标准，同时也能够满足《农田灌溉水质标准》（</w:t>
      </w:r>
      <w:r>
        <w:rPr>
          <w:rFonts w:cs="Times New Roman" w:hint="eastAsia"/>
          <w:kern w:val="21"/>
          <w:szCs w:val="24"/>
        </w:rPr>
        <w:t>GB5084-2021</w:t>
      </w:r>
      <w:r>
        <w:rPr>
          <w:rFonts w:cs="Times New Roman" w:hint="eastAsia"/>
          <w:kern w:val="21"/>
          <w:szCs w:val="24"/>
        </w:rPr>
        <w:t>）旱地作物标准要求，废水经处理达标后全部用于周边林地灌溉，不外排。项目污水处理方式及工艺为《排污许可证申请与核发技术规范</w:t>
      </w:r>
      <w:r>
        <w:rPr>
          <w:rFonts w:cs="Times New Roman" w:hint="eastAsia"/>
          <w:kern w:val="21"/>
          <w:szCs w:val="24"/>
        </w:rPr>
        <w:t xml:space="preserve"> </w:t>
      </w:r>
      <w:r>
        <w:rPr>
          <w:rFonts w:cs="Times New Roman" w:hint="eastAsia"/>
          <w:kern w:val="21"/>
          <w:szCs w:val="24"/>
        </w:rPr>
        <w:t>畜禽养殖行业》（</w:t>
      </w:r>
      <w:r>
        <w:rPr>
          <w:rFonts w:cs="Times New Roman" w:hint="eastAsia"/>
          <w:kern w:val="21"/>
          <w:szCs w:val="24"/>
        </w:rPr>
        <w:t>HJ1029-2019</w:t>
      </w:r>
      <w:r>
        <w:rPr>
          <w:rFonts w:cs="Times New Roman" w:hint="eastAsia"/>
          <w:kern w:val="21"/>
          <w:szCs w:val="24"/>
        </w:rPr>
        <w:t>）推荐方式和工艺。</w:t>
      </w:r>
    </w:p>
    <w:p w14:paraId="3B8C98D4" w14:textId="77777777" w:rsidR="00544649" w:rsidRDefault="00000000">
      <w:pPr>
        <w:adjustRightInd w:val="0"/>
        <w:snapToGrid w:val="0"/>
        <w:spacing w:after="0"/>
        <w:ind w:firstLine="480"/>
        <w:rPr>
          <w:kern w:val="21"/>
        </w:rPr>
      </w:pPr>
      <w:r>
        <w:rPr>
          <w:kern w:val="21"/>
        </w:rPr>
        <w:t>综上所述，从技术角度分析，本项目采取的废水治理措施处理废水达标后全部用于</w:t>
      </w:r>
      <w:r>
        <w:rPr>
          <w:rFonts w:hint="eastAsia"/>
          <w:kern w:val="21"/>
        </w:rPr>
        <w:t>林地灌溉</w:t>
      </w:r>
      <w:r>
        <w:rPr>
          <w:kern w:val="21"/>
        </w:rPr>
        <w:t>是可行的。</w:t>
      </w:r>
    </w:p>
    <w:p w14:paraId="1BCFE3F8"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389" w:name="_Toc195009923"/>
      <w:r>
        <w:rPr>
          <w:rFonts w:cs="Times New Roman"/>
          <w:b/>
          <w:bCs/>
          <w:kern w:val="21"/>
          <w:sz w:val="28"/>
          <w:szCs w:val="24"/>
        </w:rPr>
        <w:t>噪声污染防治措施</w:t>
      </w:r>
      <w:r>
        <w:rPr>
          <w:rFonts w:cs="Times New Roman" w:hint="eastAsia"/>
          <w:b/>
          <w:bCs/>
          <w:kern w:val="21"/>
          <w:sz w:val="28"/>
          <w:szCs w:val="24"/>
        </w:rPr>
        <w:t>及可行性分析</w:t>
      </w:r>
      <w:bookmarkEnd w:id="389"/>
    </w:p>
    <w:p w14:paraId="11696A9A" w14:textId="77777777" w:rsidR="00544649" w:rsidRDefault="00000000">
      <w:pPr>
        <w:adjustRightInd w:val="0"/>
        <w:snapToGrid w:val="0"/>
        <w:spacing w:after="0"/>
        <w:ind w:firstLine="480"/>
        <w:rPr>
          <w:rFonts w:cs="Times New Roman"/>
          <w:kern w:val="21"/>
        </w:rPr>
      </w:pPr>
      <w:r>
        <w:rPr>
          <w:rFonts w:cs="Times New Roman"/>
          <w:kern w:val="21"/>
        </w:rPr>
        <w:t>本项目为蛋鸡养殖场，项目投产后噪声主要来源于鸡舍的鸡叫声、风机</w:t>
      </w:r>
      <w:r>
        <w:rPr>
          <w:rFonts w:cs="Times New Roman" w:hint="eastAsia"/>
          <w:kern w:val="21"/>
        </w:rPr>
        <w:t>、</w:t>
      </w:r>
      <w:proofErr w:type="gramStart"/>
      <w:r>
        <w:rPr>
          <w:rFonts w:cs="Times New Roman" w:hint="eastAsia"/>
          <w:kern w:val="21"/>
        </w:rPr>
        <w:t>泵以及</w:t>
      </w:r>
      <w:proofErr w:type="gramEnd"/>
      <w:r>
        <w:rPr>
          <w:rFonts w:cs="Times New Roman" w:hint="eastAsia"/>
          <w:kern w:val="21"/>
        </w:rPr>
        <w:t>备用发电机</w:t>
      </w:r>
      <w:r>
        <w:rPr>
          <w:rFonts w:cs="Times New Roman"/>
          <w:kern w:val="21"/>
        </w:rPr>
        <w:t>等设备，噪声级在</w:t>
      </w:r>
      <w:r>
        <w:rPr>
          <w:rFonts w:cs="Times New Roman" w:hint="eastAsia"/>
          <w:kern w:val="21"/>
        </w:rPr>
        <w:t>70-90</w:t>
      </w:r>
      <w:r>
        <w:rPr>
          <w:rFonts w:cs="Times New Roman"/>
          <w:kern w:val="21"/>
        </w:rPr>
        <w:t>dB</w:t>
      </w:r>
      <w:r>
        <w:rPr>
          <w:rFonts w:cs="Times New Roman"/>
          <w:kern w:val="21"/>
        </w:rPr>
        <w:t>之间。针对本项目噪声</w:t>
      </w:r>
      <w:proofErr w:type="gramStart"/>
      <w:r>
        <w:rPr>
          <w:rFonts w:cs="Times New Roman"/>
          <w:kern w:val="21"/>
        </w:rPr>
        <w:t>源产生</w:t>
      </w:r>
      <w:proofErr w:type="gramEnd"/>
      <w:r>
        <w:rPr>
          <w:rFonts w:cs="Times New Roman"/>
          <w:kern w:val="21"/>
        </w:rPr>
        <w:t>情况，项目将采取以下防噪降噪措施：</w:t>
      </w:r>
    </w:p>
    <w:p w14:paraId="142B50B1" w14:textId="77777777" w:rsidR="00544649" w:rsidRDefault="00000000">
      <w:pPr>
        <w:adjustRightInd w:val="0"/>
        <w:snapToGrid w:val="0"/>
        <w:spacing w:after="0"/>
        <w:ind w:firstLine="482"/>
        <w:rPr>
          <w:rFonts w:cs="Times New Roman"/>
          <w:b/>
          <w:bCs/>
          <w:kern w:val="21"/>
        </w:rPr>
      </w:pPr>
      <w:r>
        <w:rPr>
          <w:rFonts w:cs="Times New Roman" w:hint="eastAsia"/>
          <w:b/>
          <w:bCs/>
          <w:kern w:val="21"/>
        </w:rPr>
        <w:t>1</w:t>
      </w:r>
      <w:r>
        <w:rPr>
          <w:rFonts w:cs="Times New Roman" w:hint="eastAsia"/>
          <w:b/>
          <w:bCs/>
          <w:kern w:val="21"/>
        </w:rPr>
        <w:t>、</w:t>
      </w:r>
      <w:r>
        <w:rPr>
          <w:rFonts w:cs="Times New Roman"/>
          <w:b/>
          <w:bCs/>
          <w:kern w:val="21"/>
        </w:rPr>
        <w:t>鸡舍鸡鸣降噪措施</w:t>
      </w:r>
    </w:p>
    <w:p w14:paraId="5CC3595C" w14:textId="77777777" w:rsidR="00544649" w:rsidRDefault="00000000">
      <w:pPr>
        <w:adjustRightInd w:val="0"/>
        <w:snapToGrid w:val="0"/>
        <w:spacing w:after="0"/>
        <w:ind w:firstLine="480"/>
        <w:rPr>
          <w:rFonts w:cs="Times New Roman"/>
          <w:kern w:val="21"/>
        </w:rPr>
      </w:pPr>
      <w:r>
        <w:rPr>
          <w:rFonts w:hint="eastAsia"/>
          <w:kern w:val="21"/>
        </w:rPr>
        <w:t>鸡叫声属于间断性噪声源，养殖场通过合理安排饲养时间、注意管理。为了减少鸡只叫声对操作工人及周围环境的影响，尽可能地满足鸡只饮食需要，避免因饥饿或口渴而发出叫声；同时应减少外界噪声等对鸡舍的干扰，避免因惊吓而产生不安，使</w:t>
      </w:r>
      <w:r>
        <w:rPr>
          <w:rFonts w:hint="eastAsia"/>
          <w:kern w:val="21"/>
        </w:rPr>
        <w:lastRenderedPageBreak/>
        <w:t>鸡只保持安定平和的气氛，以缓解鸡只的不安情绪。将鸡只运进和运出的时间安排在昼间，尽可能地减少鸡叫噪声对周围居民的影响。</w:t>
      </w:r>
    </w:p>
    <w:p w14:paraId="4D480E11" w14:textId="77777777" w:rsidR="00544649" w:rsidRDefault="00000000">
      <w:pPr>
        <w:adjustRightInd w:val="0"/>
        <w:snapToGrid w:val="0"/>
        <w:spacing w:after="0"/>
        <w:ind w:firstLine="482"/>
        <w:rPr>
          <w:rFonts w:cs="Times New Roman"/>
          <w:b/>
          <w:bCs/>
          <w:kern w:val="21"/>
        </w:rPr>
      </w:pPr>
      <w:r>
        <w:rPr>
          <w:rFonts w:cs="Times New Roman" w:hint="eastAsia"/>
          <w:b/>
          <w:bCs/>
          <w:kern w:val="21"/>
        </w:rPr>
        <w:t>2</w:t>
      </w:r>
      <w:r>
        <w:rPr>
          <w:rFonts w:cs="Times New Roman" w:hint="eastAsia"/>
          <w:b/>
          <w:bCs/>
          <w:kern w:val="21"/>
        </w:rPr>
        <w:t>、设备</w:t>
      </w:r>
      <w:r>
        <w:rPr>
          <w:rFonts w:cs="Times New Roman"/>
          <w:b/>
          <w:bCs/>
          <w:kern w:val="21"/>
        </w:rPr>
        <w:t>降噪措施</w:t>
      </w:r>
    </w:p>
    <w:p w14:paraId="60506E60"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w:t>
      </w:r>
      <w:r>
        <w:rPr>
          <w:rFonts w:cs="Times New Roman" w:hint="eastAsia"/>
          <w:kern w:val="21"/>
          <w:szCs w:val="24"/>
        </w:rPr>
        <w:t>1</w:t>
      </w:r>
      <w:r>
        <w:rPr>
          <w:rFonts w:cs="Times New Roman" w:hint="eastAsia"/>
          <w:kern w:val="21"/>
          <w:szCs w:val="24"/>
        </w:rPr>
        <w:t>）水泵加装减振器，进水管道</w:t>
      </w:r>
      <w:proofErr w:type="gramStart"/>
      <w:r>
        <w:rPr>
          <w:rFonts w:cs="Times New Roman" w:hint="eastAsia"/>
          <w:kern w:val="21"/>
          <w:szCs w:val="24"/>
        </w:rPr>
        <w:t>设可曲</w:t>
      </w:r>
      <w:proofErr w:type="gramEnd"/>
      <w:r>
        <w:rPr>
          <w:rFonts w:cs="Times New Roman" w:hint="eastAsia"/>
          <w:kern w:val="21"/>
          <w:szCs w:val="24"/>
        </w:rPr>
        <w:t>挠管道橡胶伸缩接头以减小水锤冲击和水泵振动产生的噪声，连接水泵进出口的水管、进出机房隔墙处与运转设备连接的管道均采用减震吊架。</w:t>
      </w:r>
    </w:p>
    <w:p w14:paraId="08A74EAA"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w:t>
      </w:r>
      <w:r>
        <w:rPr>
          <w:rFonts w:cs="Times New Roman" w:hint="eastAsia"/>
          <w:kern w:val="21"/>
          <w:szCs w:val="24"/>
        </w:rPr>
        <w:t>2</w:t>
      </w:r>
      <w:r>
        <w:rPr>
          <w:rFonts w:cs="Times New Roman" w:hint="eastAsia"/>
          <w:kern w:val="21"/>
          <w:szCs w:val="24"/>
        </w:rPr>
        <w:t>）污水处理设施污泥泵、风机等均设置于地下池体内，污水处理设施池体隔声降噪，产生噪声影响较小。</w:t>
      </w:r>
    </w:p>
    <w:p w14:paraId="158197EB"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w:t>
      </w:r>
      <w:r>
        <w:rPr>
          <w:rFonts w:cs="Times New Roman" w:hint="eastAsia"/>
          <w:kern w:val="21"/>
          <w:szCs w:val="24"/>
        </w:rPr>
        <w:t>3</w:t>
      </w:r>
      <w:r>
        <w:rPr>
          <w:rFonts w:cs="Times New Roman" w:hint="eastAsia"/>
          <w:kern w:val="21"/>
          <w:szCs w:val="24"/>
        </w:rPr>
        <w:t>）应急柴油发电机，采用低噪声设备、对发电机组采取减振措施、发电机房采取隔声、吸声等降噪措施，出风口设置消声器。</w:t>
      </w:r>
    </w:p>
    <w:p w14:paraId="27ADC2C7" w14:textId="77777777" w:rsidR="00544649" w:rsidRDefault="00000000">
      <w:pPr>
        <w:adjustRightInd w:val="0"/>
        <w:snapToGrid w:val="0"/>
        <w:spacing w:after="0"/>
        <w:ind w:firstLine="480"/>
        <w:rPr>
          <w:rFonts w:cs="Times New Roman"/>
          <w:kern w:val="21"/>
        </w:rPr>
      </w:pPr>
      <w:r>
        <w:rPr>
          <w:rFonts w:cs="Times New Roman" w:hint="eastAsia"/>
          <w:kern w:val="21"/>
          <w:szCs w:val="24"/>
        </w:rPr>
        <w:t>（</w:t>
      </w:r>
      <w:r>
        <w:rPr>
          <w:rFonts w:cs="Times New Roman" w:hint="eastAsia"/>
          <w:kern w:val="21"/>
          <w:szCs w:val="24"/>
        </w:rPr>
        <w:t>4</w:t>
      </w:r>
      <w:r>
        <w:rPr>
          <w:rFonts w:cs="Times New Roman" w:hint="eastAsia"/>
          <w:kern w:val="21"/>
          <w:szCs w:val="24"/>
        </w:rPr>
        <w:t>）风机通风设备采用低噪声型，且其吊装设备采用减振吊装、落地式安装设备采用弹簧减振器或橡胶减振垫，</w:t>
      </w:r>
      <w:proofErr w:type="gramStart"/>
      <w:r>
        <w:rPr>
          <w:rFonts w:cs="Times New Roman" w:hint="eastAsia"/>
          <w:kern w:val="21"/>
          <w:szCs w:val="24"/>
        </w:rPr>
        <w:t>进出口设软接头</w:t>
      </w:r>
      <w:proofErr w:type="gramEnd"/>
      <w:r>
        <w:rPr>
          <w:rFonts w:cs="Times New Roman" w:hint="eastAsia"/>
          <w:kern w:val="21"/>
          <w:szCs w:val="24"/>
        </w:rPr>
        <w:t>，风机进出口风管处安装消声设备，四周设置隔声墙。</w:t>
      </w:r>
    </w:p>
    <w:p w14:paraId="50160CCE"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w:t>
      </w:r>
      <w:r>
        <w:rPr>
          <w:rFonts w:cs="Times New Roman" w:hint="eastAsia"/>
          <w:kern w:val="21"/>
          <w:szCs w:val="24"/>
        </w:rPr>
        <w:t>5</w:t>
      </w:r>
      <w:r>
        <w:rPr>
          <w:rFonts w:cs="Times New Roman" w:hint="eastAsia"/>
          <w:kern w:val="21"/>
          <w:szCs w:val="24"/>
        </w:rPr>
        <w:t>）场内对车辆采取限速、禁鸣的要求，可以有效降低车辆运输带来的噪声；另外，运输车辆沿途必须按规范操作，尽量少鸣笛，以免因鸣笛使鸡只受到惊吓而鸣叫，从而产生扰民。</w:t>
      </w:r>
    </w:p>
    <w:p w14:paraId="78F623BB" w14:textId="77777777" w:rsidR="00544649" w:rsidRDefault="00000000">
      <w:pPr>
        <w:adjustRightInd w:val="0"/>
        <w:snapToGrid w:val="0"/>
        <w:spacing w:after="0"/>
        <w:ind w:firstLine="480"/>
        <w:rPr>
          <w:rFonts w:cs="Times New Roman"/>
          <w:kern w:val="21"/>
        </w:rPr>
      </w:pPr>
      <w:r>
        <w:rPr>
          <w:rFonts w:cs="Times New Roman" w:hint="eastAsia"/>
          <w:kern w:val="21"/>
          <w:szCs w:val="24"/>
        </w:rPr>
        <w:t>（</w:t>
      </w:r>
      <w:r>
        <w:rPr>
          <w:rFonts w:cs="Times New Roman" w:hint="eastAsia"/>
          <w:kern w:val="21"/>
          <w:szCs w:val="24"/>
        </w:rPr>
        <w:t>6</w:t>
      </w:r>
      <w:r>
        <w:rPr>
          <w:rFonts w:cs="Times New Roman" w:hint="eastAsia"/>
          <w:kern w:val="21"/>
          <w:szCs w:val="24"/>
        </w:rPr>
        <w:t>）加强场区内绿化，</w:t>
      </w:r>
      <w:r>
        <w:t>建立立体隔离绿化带，充分利用建筑物、绿化带阻隔声音传播。</w:t>
      </w:r>
    </w:p>
    <w:p w14:paraId="15C5C887" w14:textId="77777777" w:rsidR="00544649" w:rsidRDefault="00000000">
      <w:pPr>
        <w:adjustRightInd w:val="0"/>
        <w:snapToGrid w:val="0"/>
        <w:spacing w:after="0"/>
        <w:ind w:firstLine="480"/>
        <w:rPr>
          <w:rFonts w:cs="Times New Roman"/>
          <w:kern w:val="21"/>
        </w:rPr>
      </w:pPr>
      <w:r>
        <w:rPr>
          <w:rFonts w:cs="Times New Roman"/>
          <w:kern w:val="21"/>
        </w:rPr>
        <w:t>在满足工艺设计的前提下，采取以上措施后，各设备噪声级大大降低，项目场界昼夜间噪声能够满足《工业企业厂界环境噪声排放标准》（</w:t>
      </w:r>
      <w:r>
        <w:rPr>
          <w:rFonts w:cs="Times New Roman"/>
          <w:kern w:val="21"/>
        </w:rPr>
        <w:t>GB12348-2008</w:t>
      </w:r>
      <w:r>
        <w:rPr>
          <w:rFonts w:cs="Times New Roman"/>
          <w:kern w:val="21"/>
        </w:rPr>
        <w:t>）</w:t>
      </w:r>
      <w:r>
        <w:rPr>
          <w:rFonts w:cs="Times New Roman"/>
          <w:kern w:val="21"/>
        </w:rPr>
        <w:t>2</w:t>
      </w:r>
      <w:r>
        <w:rPr>
          <w:rFonts w:cs="Times New Roman"/>
          <w:kern w:val="21"/>
        </w:rPr>
        <w:t>类功能区标准要求，对</w:t>
      </w:r>
      <w:proofErr w:type="gramStart"/>
      <w:r>
        <w:rPr>
          <w:rFonts w:cs="Times New Roman"/>
          <w:kern w:val="21"/>
        </w:rPr>
        <w:t>周围声</w:t>
      </w:r>
      <w:proofErr w:type="gramEnd"/>
      <w:r>
        <w:rPr>
          <w:rFonts w:cs="Times New Roman"/>
          <w:kern w:val="21"/>
        </w:rPr>
        <w:t>环境质量影响较小。</w:t>
      </w:r>
    </w:p>
    <w:p w14:paraId="5FAAA5CD"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rPr>
      </w:pPr>
      <w:bookmarkStart w:id="390" w:name="_Toc32739"/>
      <w:bookmarkStart w:id="391" w:name="_Toc195009924"/>
      <w:r>
        <w:rPr>
          <w:rFonts w:hint="eastAsia"/>
          <w:b/>
          <w:bCs/>
          <w:kern w:val="21"/>
          <w:sz w:val="28"/>
          <w:szCs w:val="21"/>
        </w:rPr>
        <w:t>固体废物处置</w:t>
      </w:r>
      <w:r>
        <w:rPr>
          <w:b/>
          <w:bCs/>
          <w:kern w:val="21"/>
          <w:sz w:val="28"/>
          <w:szCs w:val="21"/>
        </w:rPr>
        <w:t>措施及可行性分析</w:t>
      </w:r>
      <w:bookmarkEnd w:id="390"/>
      <w:bookmarkEnd w:id="391"/>
    </w:p>
    <w:p w14:paraId="30A7A39B"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固废产生、处置情况</w:t>
      </w:r>
    </w:p>
    <w:p w14:paraId="2A3C4DFF" w14:textId="77777777" w:rsidR="00544649" w:rsidRDefault="00000000">
      <w:pPr>
        <w:adjustRightInd w:val="0"/>
        <w:snapToGrid w:val="0"/>
        <w:spacing w:after="0"/>
        <w:ind w:firstLine="480"/>
        <w:rPr>
          <w:rFonts w:cs="Times New Roman"/>
          <w:kern w:val="21"/>
        </w:rPr>
      </w:pPr>
      <w:r>
        <w:rPr>
          <w:rFonts w:cs="Times New Roman" w:hint="eastAsia"/>
          <w:kern w:val="21"/>
        </w:rPr>
        <w:t>本</w:t>
      </w:r>
      <w:r>
        <w:rPr>
          <w:rFonts w:cs="Times New Roman"/>
          <w:kern w:val="21"/>
        </w:rPr>
        <w:t>项目运营期产生的固体废物主要为鸡粪、饲料残渣及散落羽毛、</w:t>
      </w:r>
      <w:r>
        <w:rPr>
          <w:rFonts w:cs="Times New Roman" w:hint="eastAsia"/>
          <w:kern w:val="21"/>
        </w:rPr>
        <w:t>废垫料、不合格鸡蛋</w:t>
      </w:r>
      <w:r>
        <w:rPr>
          <w:rFonts w:cs="Times New Roman"/>
          <w:kern w:val="21"/>
        </w:rPr>
        <w:t>、病死鸡、</w:t>
      </w:r>
      <w:r>
        <w:rPr>
          <w:rFonts w:cs="Times New Roman" w:hint="eastAsia"/>
          <w:kern w:val="21"/>
        </w:rPr>
        <w:t>畜禽医疗废物</w:t>
      </w:r>
      <w:r>
        <w:rPr>
          <w:rFonts w:cs="Times New Roman"/>
          <w:kern w:val="21"/>
        </w:rPr>
        <w:t>、</w:t>
      </w:r>
      <w:r>
        <w:rPr>
          <w:rFonts w:cs="Times New Roman" w:hint="eastAsia"/>
          <w:kern w:val="21"/>
        </w:rPr>
        <w:t>废包装材料、废润滑油、废润滑油桶、含油抹布及手套、废紫外线灯管、</w:t>
      </w:r>
      <w:r>
        <w:rPr>
          <w:rFonts w:cs="Times New Roman"/>
          <w:kern w:val="21"/>
        </w:rPr>
        <w:t>生活垃圾及餐厨垃圾。</w:t>
      </w:r>
    </w:p>
    <w:p w14:paraId="6688FD8F" w14:textId="77777777" w:rsidR="00544649" w:rsidRDefault="00000000">
      <w:pPr>
        <w:adjustRightInd w:val="0"/>
        <w:snapToGrid w:val="0"/>
        <w:spacing w:after="0"/>
        <w:ind w:firstLine="482"/>
        <w:rPr>
          <w:rFonts w:cs="Times New Roman"/>
          <w:kern w:val="21"/>
        </w:rPr>
      </w:pPr>
      <w:r>
        <w:rPr>
          <w:rFonts w:cs="Times New Roman"/>
          <w:b/>
          <w:bCs/>
          <w:kern w:val="21"/>
        </w:rPr>
        <w:t>（</w:t>
      </w:r>
      <w:r>
        <w:rPr>
          <w:rFonts w:cs="Times New Roman"/>
          <w:b/>
          <w:bCs/>
          <w:kern w:val="21"/>
        </w:rPr>
        <w:t>1</w:t>
      </w:r>
      <w:r>
        <w:rPr>
          <w:rFonts w:cs="Times New Roman"/>
          <w:b/>
          <w:bCs/>
          <w:kern w:val="21"/>
        </w:rPr>
        <w:t>）鸡粪</w:t>
      </w:r>
      <w:r>
        <w:rPr>
          <w:rFonts w:cs="Times New Roman" w:hint="eastAsia"/>
          <w:b/>
          <w:bCs/>
          <w:kern w:val="21"/>
        </w:rPr>
        <w:t>：</w:t>
      </w:r>
      <w:r>
        <w:rPr>
          <w:rFonts w:cs="Times New Roman"/>
          <w:kern w:val="21"/>
        </w:rPr>
        <w:t>本项目鸡粪日产日清，采用干清粪工艺，清粪过程不进行水冲洗，鸡舍下设置鸡粪输送带，每天用刮粪机清理粪便，刮板采用软性橡胶刮板，粪便直接刮至封闭的输送机皮带，然后经输送带输送至密闭转运车，交由</w:t>
      </w:r>
      <w:r>
        <w:rPr>
          <w:rFonts w:cs="Times New Roman" w:hint="eastAsia"/>
          <w:kern w:val="21"/>
        </w:rPr>
        <w:t>四川省田宝生物科技有限公司</w:t>
      </w:r>
      <w:r>
        <w:rPr>
          <w:rFonts w:cs="Times New Roman"/>
          <w:kern w:val="21"/>
        </w:rPr>
        <w:t>进行统一有机肥生产处理，鸡粪不在场区内暂存，实行日产日清。</w:t>
      </w:r>
    </w:p>
    <w:p w14:paraId="3074538E" w14:textId="77777777" w:rsidR="00544649" w:rsidRDefault="00000000">
      <w:pPr>
        <w:adjustRightInd w:val="0"/>
        <w:snapToGrid w:val="0"/>
        <w:spacing w:after="0"/>
        <w:ind w:firstLine="482"/>
        <w:rPr>
          <w:rFonts w:cs="Times New Roman"/>
          <w:kern w:val="21"/>
        </w:rPr>
      </w:pPr>
      <w:r>
        <w:rPr>
          <w:rFonts w:cs="Times New Roman"/>
          <w:b/>
          <w:bCs/>
          <w:kern w:val="21"/>
        </w:rPr>
        <w:lastRenderedPageBreak/>
        <w:t>（</w:t>
      </w:r>
      <w:r>
        <w:rPr>
          <w:rFonts w:cs="Times New Roman"/>
          <w:b/>
          <w:bCs/>
          <w:kern w:val="21"/>
        </w:rPr>
        <w:t>2</w:t>
      </w:r>
      <w:r>
        <w:rPr>
          <w:rFonts w:cs="Times New Roman"/>
          <w:b/>
          <w:bCs/>
          <w:kern w:val="21"/>
        </w:rPr>
        <w:t>）饲料残渣及散落羽毛</w:t>
      </w:r>
      <w:r>
        <w:rPr>
          <w:rFonts w:cs="Times New Roman" w:hint="eastAsia"/>
          <w:b/>
          <w:bCs/>
          <w:kern w:val="21"/>
        </w:rPr>
        <w:t>：</w:t>
      </w:r>
      <w:r>
        <w:rPr>
          <w:rFonts w:cs="Times New Roman"/>
          <w:kern w:val="21"/>
        </w:rPr>
        <w:t>饲料残渣及散落羽</w:t>
      </w:r>
      <w:r>
        <w:rPr>
          <w:rFonts w:cs="Times New Roman" w:hint="eastAsia"/>
          <w:kern w:val="21"/>
        </w:rPr>
        <w:t>毛</w:t>
      </w:r>
      <w:r>
        <w:rPr>
          <w:rFonts w:cs="Times New Roman"/>
          <w:kern w:val="21"/>
        </w:rPr>
        <w:t>收集后</w:t>
      </w:r>
      <w:r>
        <w:rPr>
          <w:rFonts w:cs="Times New Roman" w:hint="eastAsia"/>
          <w:kern w:val="21"/>
        </w:rPr>
        <w:t>交由有处理能力的有机肥生产公司进行有机肥生产</w:t>
      </w:r>
      <w:r>
        <w:rPr>
          <w:rFonts w:cs="Times New Roman"/>
          <w:kern w:val="21"/>
        </w:rPr>
        <w:t>。</w:t>
      </w:r>
    </w:p>
    <w:p w14:paraId="79B64B0B" w14:textId="77777777" w:rsidR="00544649" w:rsidRDefault="00000000">
      <w:pPr>
        <w:adjustRightInd w:val="0"/>
        <w:snapToGrid w:val="0"/>
        <w:spacing w:after="0"/>
        <w:ind w:firstLine="482"/>
        <w:rPr>
          <w:rFonts w:cs="Times New Roman"/>
          <w:kern w:val="21"/>
        </w:rPr>
      </w:pPr>
      <w:r>
        <w:rPr>
          <w:rFonts w:cs="Times New Roman"/>
          <w:b/>
          <w:bCs/>
          <w:kern w:val="21"/>
        </w:rPr>
        <w:t>（</w:t>
      </w:r>
      <w:r>
        <w:rPr>
          <w:rFonts w:cs="Times New Roman"/>
          <w:b/>
          <w:bCs/>
          <w:kern w:val="21"/>
        </w:rPr>
        <w:t>3</w:t>
      </w:r>
      <w:r>
        <w:rPr>
          <w:rFonts w:cs="Times New Roman"/>
          <w:b/>
          <w:bCs/>
          <w:kern w:val="21"/>
        </w:rPr>
        <w:t>）病死鸡</w:t>
      </w:r>
      <w:r>
        <w:rPr>
          <w:rFonts w:cs="Times New Roman" w:hint="eastAsia"/>
          <w:b/>
          <w:bCs/>
          <w:kern w:val="21"/>
        </w:rPr>
        <w:t>：</w:t>
      </w:r>
      <w:r>
        <w:rPr>
          <w:rFonts w:cs="Times New Roman"/>
          <w:kern w:val="21"/>
        </w:rPr>
        <w:t>本项目病死鸡</w:t>
      </w:r>
      <w:r>
        <w:rPr>
          <w:rFonts w:cs="Times New Roman" w:hint="eastAsia"/>
          <w:kern w:val="21"/>
        </w:rPr>
        <w:t>暂存于病检室内放置的冰柜中（有效容积</w:t>
      </w:r>
      <w:r>
        <w:rPr>
          <w:rFonts w:cs="Times New Roman" w:hint="eastAsia"/>
          <w:kern w:val="21"/>
        </w:rPr>
        <w:t>1.5m</w:t>
      </w:r>
      <w:r>
        <w:rPr>
          <w:rFonts w:cs="Times New Roman" w:hint="eastAsia"/>
          <w:kern w:val="21"/>
          <w:vertAlign w:val="superscript"/>
        </w:rPr>
        <w:t>3</w:t>
      </w:r>
      <w:r>
        <w:rPr>
          <w:rFonts w:cs="Times New Roman" w:hint="eastAsia"/>
          <w:kern w:val="21"/>
        </w:rPr>
        <w:t>），产生当日由广元</w:t>
      </w:r>
      <w:proofErr w:type="gramStart"/>
      <w:r>
        <w:rPr>
          <w:rFonts w:cs="Times New Roman" w:hint="eastAsia"/>
          <w:kern w:val="21"/>
        </w:rPr>
        <w:t>市朗坤环保</w:t>
      </w:r>
      <w:proofErr w:type="gramEnd"/>
      <w:r>
        <w:rPr>
          <w:rFonts w:cs="Times New Roman" w:hint="eastAsia"/>
          <w:kern w:val="21"/>
        </w:rPr>
        <w:t>有限公司清运后进行无害化处理。</w:t>
      </w:r>
    </w:p>
    <w:p w14:paraId="7777740D" w14:textId="77777777" w:rsidR="00544649" w:rsidRDefault="00000000">
      <w:pPr>
        <w:adjustRightInd w:val="0"/>
        <w:snapToGrid w:val="0"/>
        <w:spacing w:after="0"/>
        <w:ind w:firstLine="482"/>
        <w:rPr>
          <w:rFonts w:cs="Times New Roman"/>
          <w:kern w:val="21"/>
        </w:rPr>
      </w:pPr>
      <w:r>
        <w:rPr>
          <w:rFonts w:cs="Times New Roman"/>
          <w:b/>
          <w:bCs/>
          <w:kern w:val="21"/>
        </w:rPr>
        <w:t>（</w:t>
      </w:r>
      <w:r>
        <w:rPr>
          <w:rFonts w:cs="Times New Roman"/>
          <w:b/>
          <w:bCs/>
          <w:kern w:val="21"/>
        </w:rPr>
        <w:t>4</w:t>
      </w:r>
      <w:r>
        <w:rPr>
          <w:rFonts w:cs="Times New Roman"/>
          <w:b/>
          <w:bCs/>
          <w:kern w:val="21"/>
        </w:rPr>
        <w:t>）</w:t>
      </w:r>
      <w:r>
        <w:rPr>
          <w:rFonts w:cs="Times New Roman" w:hint="eastAsia"/>
          <w:b/>
          <w:bCs/>
          <w:kern w:val="21"/>
        </w:rPr>
        <w:t>不合格鸡蛋：</w:t>
      </w:r>
      <w:r>
        <w:rPr>
          <w:rFonts w:cs="Times New Roman"/>
          <w:kern w:val="21"/>
        </w:rPr>
        <w:t>单独</w:t>
      </w:r>
      <w:r>
        <w:rPr>
          <w:rFonts w:cs="Times New Roman" w:hint="eastAsia"/>
          <w:kern w:val="21"/>
        </w:rPr>
        <w:t>收集后交由有处理能力的公司进行有机肥生产</w:t>
      </w:r>
      <w:r>
        <w:rPr>
          <w:rFonts w:cs="Times New Roman"/>
          <w:kern w:val="21"/>
        </w:rPr>
        <w:t>。</w:t>
      </w:r>
    </w:p>
    <w:p w14:paraId="3CAC16ED" w14:textId="77777777" w:rsidR="00544649" w:rsidRDefault="00000000">
      <w:pPr>
        <w:adjustRightInd w:val="0"/>
        <w:snapToGrid w:val="0"/>
        <w:spacing w:after="0"/>
        <w:ind w:firstLine="482"/>
        <w:rPr>
          <w:rFonts w:cs="Times New Roman"/>
          <w:kern w:val="21"/>
        </w:rPr>
      </w:pPr>
      <w:r>
        <w:rPr>
          <w:rFonts w:cs="Times New Roman"/>
          <w:b/>
          <w:bCs/>
          <w:kern w:val="21"/>
        </w:rPr>
        <w:t>（</w:t>
      </w:r>
      <w:r>
        <w:rPr>
          <w:rFonts w:cs="Times New Roman"/>
          <w:b/>
          <w:bCs/>
          <w:kern w:val="21"/>
        </w:rPr>
        <w:t>5</w:t>
      </w:r>
      <w:r>
        <w:rPr>
          <w:rFonts w:cs="Times New Roman"/>
          <w:b/>
          <w:bCs/>
          <w:kern w:val="21"/>
        </w:rPr>
        <w:t>）</w:t>
      </w:r>
      <w:r>
        <w:rPr>
          <w:rFonts w:cs="Times New Roman" w:hint="eastAsia"/>
          <w:b/>
          <w:bCs/>
          <w:kern w:val="21"/>
        </w:rPr>
        <w:t>废垫料：</w:t>
      </w:r>
      <w:r>
        <w:rPr>
          <w:rFonts w:cs="Times New Roman" w:hint="eastAsia"/>
          <w:kern w:val="21"/>
        </w:rPr>
        <w:t>蛋鸡场产生的</w:t>
      </w:r>
      <w:proofErr w:type="gramStart"/>
      <w:r>
        <w:rPr>
          <w:rFonts w:cs="Times New Roman" w:hint="eastAsia"/>
          <w:kern w:val="21"/>
        </w:rPr>
        <w:t>废垫料定期清理</w:t>
      </w:r>
      <w:proofErr w:type="gramEnd"/>
      <w:r>
        <w:rPr>
          <w:rFonts w:cs="Times New Roman" w:hint="eastAsia"/>
          <w:kern w:val="21"/>
        </w:rPr>
        <w:t>后收集后交由有处理能力的公司进行有机肥生产</w:t>
      </w:r>
      <w:r>
        <w:rPr>
          <w:rFonts w:cs="Times New Roman"/>
          <w:kern w:val="21"/>
        </w:rPr>
        <w:t>。</w:t>
      </w:r>
    </w:p>
    <w:p w14:paraId="30F853D8" w14:textId="77777777" w:rsidR="00544649" w:rsidRDefault="00000000">
      <w:pPr>
        <w:adjustRightInd w:val="0"/>
        <w:snapToGrid w:val="0"/>
        <w:spacing w:after="0"/>
        <w:ind w:firstLine="482"/>
        <w:rPr>
          <w:rFonts w:cs="Times New Roman"/>
          <w:kern w:val="21"/>
        </w:rPr>
      </w:pPr>
      <w:r>
        <w:rPr>
          <w:rFonts w:cs="Times New Roman" w:hint="eastAsia"/>
          <w:b/>
          <w:bCs/>
          <w:kern w:val="21"/>
        </w:rPr>
        <w:t>（</w:t>
      </w:r>
      <w:r>
        <w:rPr>
          <w:rFonts w:cs="Times New Roman" w:hint="eastAsia"/>
          <w:b/>
          <w:bCs/>
          <w:kern w:val="21"/>
        </w:rPr>
        <w:t>6</w:t>
      </w:r>
      <w:r>
        <w:rPr>
          <w:rFonts w:cs="Times New Roman" w:hint="eastAsia"/>
          <w:b/>
          <w:bCs/>
          <w:kern w:val="21"/>
        </w:rPr>
        <w:t>）</w:t>
      </w:r>
      <w:r>
        <w:rPr>
          <w:rFonts w:cs="Times New Roman"/>
          <w:b/>
          <w:bCs/>
          <w:kern w:val="21"/>
        </w:rPr>
        <w:t>废包装材料</w:t>
      </w:r>
      <w:r>
        <w:rPr>
          <w:rFonts w:cs="Times New Roman" w:hint="eastAsia"/>
          <w:b/>
          <w:bCs/>
          <w:kern w:val="21"/>
        </w:rPr>
        <w:t>：</w:t>
      </w:r>
      <w:r>
        <w:rPr>
          <w:rFonts w:cs="Times New Roman" w:hint="eastAsia"/>
          <w:kern w:val="21"/>
        </w:rPr>
        <w:t>收集后外售废品回收站</w:t>
      </w:r>
      <w:r>
        <w:rPr>
          <w:rFonts w:cs="Times New Roman"/>
          <w:kern w:val="21"/>
        </w:rPr>
        <w:t>。</w:t>
      </w:r>
    </w:p>
    <w:p w14:paraId="41B565D4" w14:textId="77777777" w:rsidR="00544649" w:rsidRDefault="00000000">
      <w:pPr>
        <w:adjustRightInd w:val="0"/>
        <w:snapToGrid w:val="0"/>
        <w:spacing w:after="0"/>
        <w:ind w:firstLine="482"/>
        <w:rPr>
          <w:rFonts w:cs="Times New Roman"/>
          <w:kern w:val="21"/>
        </w:rPr>
      </w:pPr>
      <w:r>
        <w:rPr>
          <w:rFonts w:cs="Times New Roman"/>
          <w:b/>
          <w:bCs/>
          <w:kern w:val="21"/>
        </w:rPr>
        <w:t>（</w:t>
      </w:r>
      <w:r>
        <w:rPr>
          <w:rFonts w:cs="Times New Roman" w:hint="eastAsia"/>
          <w:b/>
          <w:bCs/>
          <w:kern w:val="21"/>
        </w:rPr>
        <w:t>7</w:t>
      </w:r>
      <w:r>
        <w:rPr>
          <w:rFonts w:cs="Times New Roman"/>
          <w:b/>
          <w:bCs/>
          <w:kern w:val="21"/>
        </w:rPr>
        <w:t>）职工生活垃圾</w:t>
      </w:r>
      <w:r>
        <w:rPr>
          <w:rFonts w:cs="Times New Roman" w:hint="eastAsia"/>
          <w:b/>
          <w:bCs/>
          <w:kern w:val="21"/>
        </w:rPr>
        <w:t>：</w:t>
      </w:r>
      <w:r>
        <w:rPr>
          <w:rFonts w:cs="Times New Roman"/>
          <w:kern w:val="21"/>
        </w:rPr>
        <w:t>及时收集后转运至垃圾中转站，由环卫部门统一处理。</w:t>
      </w:r>
    </w:p>
    <w:p w14:paraId="6710401E" w14:textId="77777777" w:rsidR="00544649" w:rsidRDefault="00000000">
      <w:pPr>
        <w:adjustRightInd w:val="0"/>
        <w:snapToGrid w:val="0"/>
        <w:spacing w:after="0"/>
        <w:ind w:firstLine="482"/>
        <w:rPr>
          <w:rFonts w:cs="Times New Roman"/>
          <w:kern w:val="21"/>
        </w:rPr>
      </w:pPr>
      <w:r>
        <w:rPr>
          <w:rFonts w:cs="Times New Roman"/>
          <w:b/>
          <w:bCs/>
          <w:kern w:val="21"/>
        </w:rPr>
        <w:t>（</w:t>
      </w:r>
      <w:r>
        <w:rPr>
          <w:rFonts w:cs="Times New Roman" w:hint="eastAsia"/>
          <w:b/>
          <w:bCs/>
          <w:kern w:val="21"/>
        </w:rPr>
        <w:t>8</w:t>
      </w:r>
      <w:r>
        <w:rPr>
          <w:rFonts w:cs="Times New Roman"/>
          <w:b/>
          <w:bCs/>
          <w:kern w:val="21"/>
        </w:rPr>
        <w:t>）餐厨垃圾</w:t>
      </w:r>
      <w:r>
        <w:rPr>
          <w:rFonts w:cs="Times New Roman" w:hint="eastAsia"/>
          <w:b/>
          <w:bCs/>
          <w:kern w:val="21"/>
        </w:rPr>
        <w:t>：</w:t>
      </w:r>
      <w:r>
        <w:rPr>
          <w:rFonts w:cs="Times New Roman"/>
          <w:kern w:val="21"/>
        </w:rPr>
        <w:t>本项目产生的餐厨垃圾交由餐厨垃圾处理资质单位处置。</w:t>
      </w:r>
    </w:p>
    <w:p w14:paraId="7578B163" w14:textId="77777777" w:rsidR="00544649" w:rsidRDefault="00544649">
      <w:pPr>
        <w:adjustRightInd w:val="0"/>
        <w:snapToGrid w:val="0"/>
        <w:spacing w:after="0"/>
        <w:ind w:firstLine="482"/>
        <w:rPr>
          <w:rFonts w:cs="Times New Roman"/>
          <w:b/>
          <w:bCs/>
          <w:kern w:val="21"/>
        </w:rPr>
      </w:pPr>
    </w:p>
    <w:p w14:paraId="323A11C9" w14:textId="77777777" w:rsidR="00544649" w:rsidRDefault="00000000">
      <w:pPr>
        <w:adjustRightInd w:val="0"/>
        <w:snapToGrid w:val="0"/>
        <w:spacing w:after="0"/>
        <w:ind w:firstLine="482"/>
        <w:rPr>
          <w:rFonts w:cs="Times New Roman"/>
          <w:kern w:val="21"/>
        </w:rPr>
      </w:pPr>
      <w:r>
        <w:rPr>
          <w:rFonts w:cs="Times New Roman" w:hint="eastAsia"/>
          <w:b/>
          <w:bCs/>
          <w:kern w:val="21"/>
        </w:rPr>
        <w:t>（</w:t>
      </w:r>
      <w:r>
        <w:rPr>
          <w:rFonts w:cs="Times New Roman" w:hint="eastAsia"/>
          <w:b/>
          <w:bCs/>
          <w:kern w:val="21"/>
        </w:rPr>
        <w:t>9</w:t>
      </w:r>
      <w:r>
        <w:rPr>
          <w:rFonts w:cs="Times New Roman" w:hint="eastAsia"/>
          <w:b/>
          <w:bCs/>
          <w:kern w:val="21"/>
        </w:rPr>
        <w:t>）鸡蛋喷油废油桶：</w:t>
      </w:r>
      <w:r>
        <w:rPr>
          <w:rFonts w:cs="Times New Roman" w:hint="eastAsia"/>
          <w:kern w:val="21"/>
        </w:rPr>
        <w:t>收集后交由环卫部门清运处理。</w:t>
      </w:r>
    </w:p>
    <w:p w14:paraId="78C9185E" w14:textId="77777777" w:rsidR="00544649" w:rsidRDefault="00000000">
      <w:pPr>
        <w:adjustRightInd w:val="0"/>
        <w:snapToGrid w:val="0"/>
        <w:spacing w:after="0"/>
        <w:ind w:firstLine="482"/>
        <w:rPr>
          <w:rFonts w:cs="Times New Roman"/>
          <w:kern w:val="21"/>
        </w:rPr>
      </w:pPr>
      <w:r>
        <w:rPr>
          <w:rFonts w:cs="Times New Roman" w:hint="eastAsia"/>
          <w:b/>
          <w:bCs/>
          <w:kern w:val="21"/>
        </w:rPr>
        <w:t>（</w:t>
      </w:r>
      <w:r>
        <w:rPr>
          <w:rFonts w:cs="Times New Roman" w:hint="eastAsia"/>
          <w:b/>
          <w:bCs/>
          <w:kern w:val="21"/>
        </w:rPr>
        <w:t>10</w:t>
      </w:r>
      <w:r>
        <w:rPr>
          <w:rFonts w:cs="Times New Roman" w:hint="eastAsia"/>
          <w:b/>
          <w:bCs/>
          <w:kern w:val="21"/>
        </w:rPr>
        <w:t>）</w:t>
      </w:r>
      <w:r>
        <w:rPr>
          <w:rFonts w:cs="Times New Roman"/>
          <w:b/>
          <w:bCs/>
          <w:kern w:val="21"/>
        </w:rPr>
        <w:t>畜禽医疗废物</w:t>
      </w:r>
      <w:r>
        <w:rPr>
          <w:rFonts w:cs="Times New Roman" w:hint="eastAsia"/>
          <w:b/>
          <w:bCs/>
          <w:kern w:val="21"/>
        </w:rPr>
        <w:t>：</w:t>
      </w:r>
      <w:r>
        <w:rPr>
          <w:rFonts w:cs="Times New Roman" w:hint="eastAsia"/>
          <w:kern w:val="21"/>
        </w:rPr>
        <w:t>项目鸡防疫及疾病治疗过程会产生针头、棉纱、废药品等医疗废物，产生的畜禽医疗废物收集后暂存于</w:t>
      </w:r>
      <w:proofErr w:type="gramStart"/>
      <w:r>
        <w:rPr>
          <w:rFonts w:cs="Times New Roman" w:hint="eastAsia"/>
          <w:kern w:val="21"/>
        </w:rPr>
        <w:t>场内危废暂存</w:t>
      </w:r>
      <w:proofErr w:type="gramEnd"/>
      <w:r>
        <w:rPr>
          <w:rFonts w:cs="Times New Roman" w:hint="eastAsia"/>
          <w:kern w:val="21"/>
        </w:rPr>
        <w:t>间，定期交由有相关资质的医疗废物处置单位进行集中处理。</w:t>
      </w:r>
    </w:p>
    <w:p w14:paraId="55B8D1DF" w14:textId="77777777" w:rsidR="00544649" w:rsidRDefault="00000000">
      <w:pPr>
        <w:adjustRightInd w:val="0"/>
        <w:snapToGrid w:val="0"/>
        <w:spacing w:after="0"/>
        <w:ind w:firstLine="482"/>
        <w:rPr>
          <w:rFonts w:cs="Times New Roman"/>
          <w:kern w:val="21"/>
        </w:rPr>
      </w:pPr>
      <w:r>
        <w:rPr>
          <w:rFonts w:cs="Times New Roman"/>
          <w:b/>
          <w:bCs/>
          <w:kern w:val="21"/>
        </w:rPr>
        <w:t>（</w:t>
      </w:r>
      <w:r>
        <w:rPr>
          <w:rFonts w:cs="Times New Roman" w:hint="eastAsia"/>
          <w:b/>
          <w:bCs/>
          <w:kern w:val="21"/>
        </w:rPr>
        <w:t>11</w:t>
      </w:r>
      <w:r>
        <w:rPr>
          <w:rFonts w:cs="Times New Roman"/>
          <w:b/>
          <w:bCs/>
          <w:kern w:val="21"/>
        </w:rPr>
        <w:t>）废</w:t>
      </w:r>
      <w:r>
        <w:rPr>
          <w:rFonts w:cs="Times New Roman" w:hint="eastAsia"/>
          <w:b/>
          <w:bCs/>
          <w:kern w:val="21"/>
        </w:rPr>
        <w:t>润滑油：</w:t>
      </w:r>
      <w:proofErr w:type="gramStart"/>
      <w:r>
        <w:rPr>
          <w:rFonts w:cs="Times New Roman"/>
          <w:kern w:val="21"/>
        </w:rPr>
        <w:t>暂存于危废暂存</w:t>
      </w:r>
      <w:proofErr w:type="gramEnd"/>
      <w:r>
        <w:rPr>
          <w:rFonts w:cs="Times New Roman"/>
          <w:kern w:val="21"/>
        </w:rPr>
        <w:t>间，定期交有</w:t>
      </w:r>
      <w:proofErr w:type="gramStart"/>
      <w:r>
        <w:rPr>
          <w:rFonts w:cs="Times New Roman"/>
          <w:kern w:val="21"/>
        </w:rPr>
        <w:t>相应危废处置</w:t>
      </w:r>
      <w:proofErr w:type="gramEnd"/>
      <w:r>
        <w:rPr>
          <w:rFonts w:cs="Times New Roman"/>
          <w:kern w:val="21"/>
        </w:rPr>
        <w:t>资质单位处置。</w:t>
      </w:r>
    </w:p>
    <w:p w14:paraId="2E583E71" w14:textId="77777777" w:rsidR="00544649" w:rsidRDefault="00000000">
      <w:pPr>
        <w:adjustRightInd w:val="0"/>
        <w:snapToGrid w:val="0"/>
        <w:spacing w:after="0"/>
        <w:ind w:firstLine="482"/>
        <w:rPr>
          <w:rFonts w:cs="Times New Roman"/>
          <w:b/>
          <w:bCs/>
          <w:kern w:val="21"/>
        </w:rPr>
      </w:pPr>
      <w:r>
        <w:rPr>
          <w:rFonts w:cs="Times New Roman"/>
          <w:b/>
          <w:bCs/>
          <w:kern w:val="21"/>
        </w:rPr>
        <w:t>（</w:t>
      </w:r>
      <w:r>
        <w:rPr>
          <w:rFonts w:cs="Times New Roman" w:hint="eastAsia"/>
          <w:b/>
          <w:bCs/>
          <w:kern w:val="21"/>
        </w:rPr>
        <w:t>12</w:t>
      </w:r>
      <w:r>
        <w:rPr>
          <w:rFonts w:cs="Times New Roman"/>
          <w:b/>
          <w:bCs/>
          <w:kern w:val="21"/>
        </w:rPr>
        <w:t>）</w:t>
      </w:r>
      <w:r>
        <w:rPr>
          <w:rFonts w:cs="Times New Roman" w:hint="eastAsia"/>
          <w:b/>
          <w:bCs/>
          <w:kern w:val="21"/>
        </w:rPr>
        <w:t>废润滑油桶：</w:t>
      </w:r>
      <w:proofErr w:type="gramStart"/>
      <w:r>
        <w:rPr>
          <w:rFonts w:cs="Times New Roman"/>
          <w:kern w:val="21"/>
        </w:rPr>
        <w:t>暂存于危废暂存</w:t>
      </w:r>
      <w:proofErr w:type="gramEnd"/>
      <w:r>
        <w:rPr>
          <w:rFonts w:cs="Times New Roman"/>
          <w:kern w:val="21"/>
        </w:rPr>
        <w:t>间，定期交有</w:t>
      </w:r>
      <w:proofErr w:type="gramStart"/>
      <w:r>
        <w:rPr>
          <w:rFonts w:cs="Times New Roman"/>
          <w:kern w:val="21"/>
        </w:rPr>
        <w:t>相应危废处置</w:t>
      </w:r>
      <w:proofErr w:type="gramEnd"/>
      <w:r>
        <w:rPr>
          <w:rFonts w:cs="Times New Roman"/>
          <w:kern w:val="21"/>
        </w:rPr>
        <w:t>资质单位处置。</w:t>
      </w:r>
    </w:p>
    <w:p w14:paraId="0A603425" w14:textId="77777777" w:rsidR="00544649" w:rsidRDefault="00000000">
      <w:pPr>
        <w:adjustRightInd w:val="0"/>
        <w:snapToGrid w:val="0"/>
        <w:spacing w:after="0"/>
        <w:ind w:firstLine="482"/>
        <w:rPr>
          <w:rFonts w:cs="Times New Roman"/>
          <w:kern w:val="21"/>
          <w:szCs w:val="21"/>
        </w:rPr>
      </w:pPr>
      <w:r>
        <w:rPr>
          <w:rFonts w:cs="Times New Roman" w:hint="eastAsia"/>
          <w:b/>
          <w:bCs/>
          <w:kern w:val="21"/>
        </w:rPr>
        <w:t>（</w:t>
      </w:r>
      <w:r>
        <w:rPr>
          <w:rFonts w:cs="Times New Roman" w:hint="eastAsia"/>
          <w:b/>
          <w:bCs/>
          <w:kern w:val="21"/>
        </w:rPr>
        <w:t>13</w:t>
      </w:r>
      <w:r>
        <w:rPr>
          <w:rFonts w:cs="Times New Roman" w:hint="eastAsia"/>
          <w:b/>
          <w:bCs/>
          <w:kern w:val="21"/>
        </w:rPr>
        <w:t>）</w:t>
      </w:r>
      <w:r>
        <w:rPr>
          <w:rFonts w:cs="Times New Roman" w:hint="eastAsia"/>
          <w:b/>
          <w:bCs/>
          <w:kern w:val="21"/>
          <w:szCs w:val="21"/>
        </w:rPr>
        <w:t>废含油抹布及手套：</w:t>
      </w:r>
      <w:r>
        <w:rPr>
          <w:rFonts w:cs="Times New Roman" w:hint="eastAsia"/>
          <w:kern w:val="21"/>
          <w:szCs w:val="21"/>
        </w:rPr>
        <w:t>收集</w:t>
      </w:r>
      <w:proofErr w:type="gramStart"/>
      <w:r>
        <w:rPr>
          <w:rFonts w:cs="Times New Roman" w:hint="eastAsia"/>
          <w:kern w:val="21"/>
          <w:szCs w:val="21"/>
        </w:rPr>
        <w:t>暂存于危废暂存</w:t>
      </w:r>
      <w:proofErr w:type="gramEnd"/>
      <w:r>
        <w:rPr>
          <w:rFonts w:cs="Times New Roman" w:hint="eastAsia"/>
          <w:kern w:val="21"/>
          <w:szCs w:val="21"/>
        </w:rPr>
        <w:t>间，定期交由有资质单位处置。</w:t>
      </w:r>
    </w:p>
    <w:p w14:paraId="27BD20AC" w14:textId="77777777" w:rsidR="00544649" w:rsidRDefault="00000000">
      <w:pPr>
        <w:adjustRightInd w:val="0"/>
        <w:snapToGrid w:val="0"/>
        <w:spacing w:after="0"/>
        <w:ind w:firstLine="480"/>
        <w:rPr>
          <w:rFonts w:cs="Times New Roman"/>
          <w:b/>
          <w:bCs/>
          <w:kern w:val="21"/>
        </w:rPr>
      </w:pPr>
      <w:r>
        <w:rPr>
          <w:rFonts w:cs="Times New Roman" w:hint="eastAsia"/>
          <w:kern w:val="21"/>
          <w:szCs w:val="21"/>
        </w:rPr>
        <w:t>（</w:t>
      </w:r>
      <w:r>
        <w:rPr>
          <w:rFonts w:cs="Times New Roman" w:hint="eastAsia"/>
          <w:b/>
          <w:bCs/>
          <w:kern w:val="21"/>
          <w:szCs w:val="21"/>
        </w:rPr>
        <w:t>14</w:t>
      </w:r>
      <w:r>
        <w:rPr>
          <w:rFonts w:cs="Times New Roman" w:hint="eastAsia"/>
          <w:b/>
          <w:bCs/>
          <w:kern w:val="21"/>
          <w:szCs w:val="21"/>
        </w:rPr>
        <w:t>）废紫外线灯管：</w:t>
      </w:r>
      <w:proofErr w:type="gramStart"/>
      <w:r>
        <w:rPr>
          <w:rFonts w:cs="Times New Roman"/>
          <w:kern w:val="21"/>
        </w:rPr>
        <w:t>暂存于危废暂存</w:t>
      </w:r>
      <w:proofErr w:type="gramEnd"/>
      <w:r>
        <w:rPr>
          <w:rFonts w:cs="Times New Roman"/>
          <w:kern w:val="21"/>
        </w:rPr>
        <w:t>间，定期交有</w:t>
      </w:r>
      <w:proofErr w:type="gramStart"/>
      <w:r>
        <w:rPr>
          <w:rFonts w:cs="Times New Roman"/>
          <w:kern w:val="21"/>
        </w:rPr>
        <w:t>相应危废处置</w:t>
      </w:r>
      <w:proofErr w:type="gramEnd"/>
      <w:r>
        <w:rPr>
          <w:rFonts w:cs="Times New Roman"/>
          <w:kern w:val="21"/>
        </w:rPr>
        <w:t>资质单位处置</w:t>
      </w:r>
      <w:r>
        <w:rPr>
          <w:rFonts w:cs="Times New Roman" w:hint="eastAsia"/>
          <w:kern w:val="21"/>
        </w:rPr>
        <w:t>。</w:t>
      </w:r>
    </w:p>
    <w:p w14:paraId="1D9B26ED" w14:textId="77777777" w:rsidR="00544649" w:rsidRDefault="00000000">
      <w:pPr>
        <w:adjustRightInd w:val="0"/>
        <w:snapToGrid w:val="0"/>
        <w:spacing w:after="0"/>
        <w:ind w:firstLine="480"/>
        <w:rPr>
          <w:rFonts w:cs="Times New Roman"/>
          <w:kern w:val="21"/>
        </w:rPr>
      </w:pPr>
      <w:r>
        <w:rPr>
          <w:rFonts w:cs="Times New Roman" w:hint="eastAsia"/>
          <w:kern w:val="21"/>
          <w:szCs w:val="24"/>
        </w:rPr>
        <w:t>本项目固体废物处理处置将遵循环境健康风险预防、安全无害以及固体废物“减量化、资源化、无害化及生态化”的原则，有效的解决集约化养殖场的环境污染问题。达到变废为宝、化害为利、综合利用的目的。</w:t>
      </w:r>
    </w:p>
    <w:p w14:paraId="64310DAA" w14:textId="77777777" w:rsidR="00544649" w:rsidRDefault="00000000">
      <w:pPr>
        <w:numPr>
          <w:ilvl w:val="3"/>
          <w:numId w:val="9"/>
        </w:numPr>
        <w:adjustRightInd w:val="0"/>
        <w:snapToGrid w:val="0"/>
        <w:spacing w:after="0"/>
        <w:ind w:firstLineChars="0"/>
        <w:outlineLvl w:val="3"/>
        <w:rPr>
          <w:rFonts w:cs="Times New Roman"/>
          <w:b/>
          <w:bCs/>
          <w:kern w:val="21"/>
        </w:rPr>
      </w:pPr>
      <w:proofErr w:type="gramStart"/>
      <w:r>
        <w:rPr>
          <w:rFonts w:cs="Times New Roman"/>
          <w:b/>
          <w:bCs/>
          <w:kern w:val="21"/>
        </w:rPr>
        <w:t>危废暂存</w:t>
      </w:r>
      <w:proofErr w:type="gramEnd"/>
      <w:r>
        <w:rPr>
          <w:rFonts w:cs="Times New Roman"/>
          <w:b/>
          <w:bCs/>
          <w:kern w:val="21"/>
        </w:rPr>
        <w:t>可行性</w:t>
      </w:r>
    </w:p>
    <w:p w14:paraId="48E61C1B" w14:textId="77777777" w:rsidR="00544649" w:rsidRDefault="00000000">
      <w:pPr>
        <w:adjustRightInd w:val="0"/>
        <w:snapToGrid w:val="0"/>
        <w:spacing w:after="0"/>
        <w:ind w:firstLine="480"/>
        <w:rPr>
          <w:rFonts w:cs="Times New Roman"/>
          <w:kern w:val="21"/>
        </w:rPr>
      </w:pPr>
      <w:r>
        <w:rPr>
          <w:rFonts w:cs="Times New Roman"/>
          <w:kern w:val="21"/>
        </w:rPr>
        <w:t>建设单位应严格按照《环境保护图形标志</w:t>
      </w:r>
      <w:r>
        <w:rPr>
          <w:rFonts w:cs="Times New Roman" w:hint="eastAsia"/>
          <w:kern w:val="21"/>
        </w:rPr>
        <w:t>-</w:t>
      </w:r>
      <w:r>
        <w:rPr>
          <w:rFonts w:cs="Times New Roman"/>
          <w:kern w:val="21"/>
        </w:rPr>
        <w:t>固体废物贮存（处置场）》（</w:t>
      </w:r>
      <w:r>
        <w:rPr>
          <w:rFonts w:cs="Times New Roman"/>
          <w:kern w:val="21"/>
        </w:rPr>
        <w:t>GB15562.2-1995</w:t>
      </w:r>
      <w:r>
        <w:rPr>
          <w:rFonts w:cs="Times New Roman"/>
          <w:kern w:val="21"/>
        </w:rPr>
        <w:t>）、《危险废物贮存污染控制标准》（</w:t>
      </w:r>
      <w:r>
        <w:rPr>
          <w:rFonts w:cs="Times New Roman"/>
          <w:kern w:val="21"/>
        </w:rPr>
        <w:t>GB18597-2023</w:t>
      </w:r>
      <w:r>
        <w:rPr>
          <w:rFonts w:cs="Times New Roman"/>
          <w:kern w:val="21"/>
        </w:rPr>
        <w:t>）等规定的要求，对危险废物进行分类收集贮存。</w:t>
      </w:r>
    </w:p>
    <w:p w14:paraId="3ED1207C" w14:textId="77777777" w:rsidR="00544649" w:rsidRDefault="00000000">
      <w:pPr>
        <w:adjustRightInd w:val="0"/>
        <w:snapToGrid w:val="0"/>
        <w:spacing w:after="0"/>
        <w:ind w:firstLine="480"/>
        <w:rPr>
          <w:rFonts w:cs="Times New Roman"/>
          <w:kern w:val="21"/>
        </w:rPr>
      </w:pPr>
      <w:r>
        <w:rPr>
          <w:rFonts w:cs="Times New Roman"/>
          <w:kern w:val="21"/>
        </w:rPr>
        <w:t>本项目</w:t>
      </w:r>
      <w:proofErr w:type="gramStart"/>
      <w:r>
        <w:rPr>
          <w:rFonts w:cs="Times New Roman" w:hint="eastAsia"/>
          <w:kern w:val="21"/>
        </w:rPr>
        <w:t>育雏场</w:t>
      </w:r>
      <w:proofErr w:type="gramEnd"/>
      <w:r>
        <w:rPr>
          <w:rFonts w:cs="Times New Roman" w:hint="eastAsia"/>
          <w:kern w:val="21"/>
        </w:rPr>
        <w:t>和蛋鸡场分别</w:t>
      </w:r>
      <w:proofErr w:type="gramStart"/>
      <w:r>
        <w:rPr>
          <w:rFonts w:cs="Times New Roman"/>
          <w:kern w:val="21"/>
        </w:rPr>
        <w:t>设有危废暂存</w:t>
      </w:r>
      <w:proofErr w:type="gramEnd"/>
      <w:r>
        <w:rPr>
          <w:rFonts w:cs="Times New Roman" w:hint="eastAsia"/>
          <w:kern w:val="21"/>
        </w:rPr>
        <w:t>间</w:t>
      </w:r>
      <w:r>
        <w:rPr>
          <w:rFonts w:cs="Times New Roman"/>
          <w:kern w:val="21"/>
        </w:rPr>
        <w:t>10m</w:t>
      </w:r>
      <w:r>
        <w:rPr>
          <w:rFonts w:cs="Times New Roman"/>
          <w:kern w:val="21"/>
          <w:vertAlign w:val="superscript"/>
        </w:rPr>
        <w:t>2</w:t>
      </w:r>
      <w:r>
        <w:rPr>
          <w:rFonts w:cs="Times New Roman"/>
          <w:kern w:val="21"/>
        </w:rPr>
        <w:t>，</w:t>
      </w:r>
      <w:proofErr w:type="gramStart"/>
      <w:r>
        <w:rPr>
          <w:rFonts w:cs="Times New Roman"/>
          <w:kern w:val="21"/>
        </w:rPr>
        <w:t>危废暂存</w:t>
      </w:r>
      <w:proofErr w:type="gramEnd"/>
      <w:r>
        <w:rPr>
          <w:rFonts w:cs="Times New Roman" w:hint="eastAsia"/>
          <w:kern w:val="21"/>
        </w:rPr>
        <w:t>间</w:t>
      </w:r>
      <w:r>
        <w:rPr>
          <w:rFonts w:cs="Times New Roman"/>
          <w:kern w:val="21"/>
        </w:rPr>
        <w:t>需按《危险废物贮存污染控制标准》（</w:t>
      </w:r>
      <w:r>
        <w:rPr>
          <w:rFonts w:cs="Times New Roman"/>
          <w:kern w:val="21"/>
        </w:rPr>
        <w:t>GB18597-2023</w:t>
      </w:r>
      <w:r>
        <w:rPr>
          <w:rFonts w:cs="Times New Roman"/>
          <w:kern w:val="21"/>
        </w:rPr>
        <w:t>）和《危险废物收集贮存运输技术规范》（</w:t>
      </w:r>
      <w:r>
        <w:rPr>
          <w:rFonts w:cs="Times New Roman"/>
          <w:kern w:val="21"/>
        </w:rPr>
        <w:t>HJ2025-2012</w:t>
      </w:r>
      <w:r>
        <w:rPr>
          <w:rFonts w:cs="Times New Roman"/>
          <w:kern w:val="21"/>
        </w:rPr>
        <w:t>）中要求设置，并做到以下几点：</w:t>
      </w:r>
    </w:p>
    <w:p w14:paraId="77D8055E" w14:textId="77777777" w:rsidR="00544649" w:rsidRDefault="00000000">
      <w:pPr>
        <w:adjustRightInd w:val="0"/>
        <w:snapToGrid w:val="0"/>
        <w:spacing w:after="0"/>
        <w:ind w:firstLine="480"/>
        <w:rPr>
          <w:rFonts w:cs="Times New Roman"/>
          <w:kern w:val="21"/>
          <w:szCs w:val="24"/>
        </w:rPr>
      </w:pPr>
      <w:r>
        <w:rPr>
          <w:rFonts w:cs="Times New Roman"/>
          <w:kern w:val="21"/>
        </w:rPr>
        <w:t>（</w:t>
      </w:r>
      <w:r>
        <w:rPr>
          <w:rFonts w:cs="Times New Roman"/>
          <w:kern w:val="21"/>
        </w:rPr>
        <w:t>1</w:t>
      </w:r>
      <w:r>
        <w:rPr>
          <w:rFonts w:cs="Times New Roman"/>
          <w:kern w:val="21"/>
        </w:rPr>
        <w:t>）</w:t>
      </w:r>
      <w:r>
        <w:rPr>
          <w:rFonts w:cs="Times New Roman" w:hint="eastAsia"/>
          <w:kern w:val="21"/>
        </w:rPr>
        <w:t>设置</w:t>
      </w:r>
      <w:r>
        <w:rPr>
          <w:rFonts w:cs="Times New Roman"/>
          <w:kern w:val="21"/>
        </w:rPr>
        <w:t>重</w:t>
      </w:r>
      <w:r>
        <w:rPr>
          <w:rFonts w:cs="Times New Roman"/>
          <w:kern w:val="21"/>
          <w:szCs w:val="24"/>
        </w:rPr>
        <w:t>点防渗</w:t>
      </w:r>
      <w:r>
        <w:rPr>
          <w:rFonts w:cs="Times New Roman" w:hint="eastAsia"/>
          <w:kern w:val="21"/>
          <w:szCs w:val="24"/>
        </w:rPr>
        <w:t>，</w:t>
      </w:r>
      <w:r>
        <w:rPr>
          <w:kern w:val="21"/>
          <w:szCs w:val="24"/>
        </w:rPr>
        <w:t>采用</w:t>
      </w:r>
      <w:proofErr w:type="gramStart"/>
      <w:r>
        <w:rPr>
          <w:rFonts w:cs="Times New Roman" w:hint="eastAsia"/>
          <w:kern w:val="21"/>
          <w:szCs w:val="24"/>
        </w:rPr>
        <w:t>渗</w:t>
      </w:r>
      <w:proofErr w:type="gramEnd"/>
      <w:r>
        <w:rPr>
          <w:rFonts w:cs="Times New Roman" w:hint="eastAsia"/>
          <w:kern w:val="21"/>
          <w:szCs w:val="24"/>
        </w:rPr>
        <w:t>混凝土</w:t>
      </w:r>
      <w:r>
        <w:rPr>
          <w:rFonts w:cs="Times New Roman" w:hint="eastAsia"/>
          <w:kern w:val="21"/>
          <w:szCs w:val="24"/>
        </w:rPr>
        <w:t>+2mm</w:t>
      </w:r>
      <w:r>
        <w:rPr>
          <w:rFonts w:cs="Times New Roman" w:hint="eastAsia"/>
          <w:kern w:val="21"/>
          <w:szCs w:val="24"/>
        </w:rPr>
        <w:t>厚高密度聚乙烯膜进行防渗处理</w:t>
      </w:r>
      <w:r>
        <w:rPr>
          <w:rStyle w:val="aff"/>
          <w:rFonts w:cs="Times New Roman"/>
          <w:kern w:val="21"/>
          <w:sz w:val="24"/>
          <w:szCs w:val="24"/>
        </w:rPr>
        <w:t>，</w:t>
      </w:r>
      <w:r>
        <w:rPr>
          <w:rFonts w:cs="Times New Roman"/>
          <w:kern w:val="21"/>
          <w:szCs w:val="24"/>
        </w:rPr>
        <w:t>等效黏土防渗层</w:t>
      </w:r>
      <w:r>
        <w:rPr>
          <w:rFonts w:cs="Times New Roman"/>
          <w:kern w:val="21"/>
          <w:szCs w:val="24"/>
        </w:rPr>
        <w:t>Mb≥6.0m</w:t>
      </w:r>
      <w:r>
        <w:rPr>
          <w:rFonts w:cs="Times New Roman"/>
          <w:kern w:val="21"/>
          <w:szCs w:val="24"/>
        </w:rPr>
        <w:t>，</w:t>
      </w:r>
      <w:r>
        <w:rPr>
          <w:rFonts w:cs="Times New Roman"/>
          <w:kern w:val="21"/>
          <w:szCs w:val="24"/>
        </w:rPr>
        <w:t>K≤1×10</w:t>
      </w:r>
      <w:r>
        <w:rPr>
          <w:rFonts w:cs="Times New Roman"/>
          <w:kern w:val="21"/>
          <w:szCs w:val="24"/>
          <w:vertAlign w:val="superscript"/>
        </w:rPr>
        <w:t>-7</w:t>
      </w:r>
      <w:r>
        <w:rPr>
          <w:rFonts w:cs="Times New Roman"/>
          <w:kern w:val="21"/>
          <w:szCs w:val="24"/>
        </w:rPr>
        <w:t>cm/s</w:t>
      </w:r>
      <w:r>
        <w:rPr>
          <w:rFonts w:cs="Times New Roman"/>
          <w:kern w:val="21"/>
          <w:szCs w:val="24"/>
        </w:rPr>
        <w:t>；（</w:t>
      </w:r>
      <w:r>
        <w:rPr>
          <w:rFonts w:cs="Times New Roman" w:hint="eastAsia"/>
          <w:kern w:val="21"/>
          <w:szCs w:val="24"/>
        </w:rPr>
        <w:t>危险废物暂存间增设防渗托盘，防渗要求</w:t>
      </w:r>
      <w:r>
        <w:rPr>
          <w:rFonts w:cs="Times New Roman"/>
          <w:kern w:val="21"/>
          <w:szCs w:val="24"/>
        </w:rPr>
        <w:t>满</w:t>
      </w:r>
      <w:r>
        <w:rPr>
          <w:rFonts w:cs="Times New Roman"/>
          <w:kern w:val="21"/>
          <w:szCs w:val="24"/>
        </w:rPr>
        <w:lastRenderedPageBreak/>
        <w:t>足</w:t>
      </w:r>
      <w:r>
        <w:rPr>
          <w:rFonts w:cs="Times New Roman"/>
          <w:kern w:val="21"/>
          <w:szCs w:val="24"/>
        </w:rPr>
        <w:t>K≤1.0×10</w:t>
      </w:r>
      <w:r>
        <w:rPr>
          <w:rFonts w:cs="Times New Roman"/>
          <w:kern w:val="21"/>
          <w:szCs w:val="24"/>
          <w:vertAlign w:val="superscript"/>
        </w:rPr>
        <w:t>-10</w:t>
      </w:r>
      <w:r>
        <w:rPr>
          <w:rFonts w:cs="Times New Roman"/>
          <w:kern w:val="21"/>
          <w:szCs w:val="24"/>
        </w:rPr>
        <w:t>cm/s</w:t>
      </w:r>
      <w:r>
        <w:rPr>
          <w:rFonts w:cs="Times New Roman"/>
          <w:kern w:val="21"/>
          <w:szCs w:val="24"/>
        </w:rPr>
        <w:t>）。</w:t>
      </w:r>
    </w:p>
    <w:p w14:paraId="3552DC90"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2</w:t>
      </w:r>
      <w:r>
        <w:rPr>
          <w:rFonts w:cs="Times New Roman"/>
          <w:kern w:val="21"/>
          <w:szCs w:val="24"/>
        </w:rPr>
        <w:t>）危险废物贮存装入防渗防漏容器内存放。</w:t>
      </w:r>
    </w:p>
    <w:p w14:paraId="46E44C11"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3</w:t>
      </w:r>
      <w:r>
        <w:rPr>
          <w:rFonts w:cs="Times New Roman"/>
          <w:kern w:val="21"/>
        </w:rPr>
        <w:t>）禁止将不相容（相互反应）的危险废物在同一容器内混装。</w:t>
      </w:r>
    </w:p>
    <w:p w14:paraId="3F46F427"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4</w:t>
      </w:r>
      <w:r>
        <w:rPr>
          <w:rFonts w:cs="Times New Roman"/>
          <w:kern w:val="21"/>
        </w:rPr>
        <w:t>）装载危险废物的容器内预留足够空间，容器顶部与液体表面之间保留</w:t>
      </w:r>
      <w:r>
        <w:rPr>
          <w:rFonts w:cs="Times New Roman"/>
          <w:kern w:val="21"/>
        </w:rPr>
        <w:t>100</w:t>
      </w:r>
      <w:r>
        <w:rPr>
          <w:rFonts w:cs="Times New Roman"/>
          <w:kern w:val="21"/>
        </w:rPr>
        <w:t>毫米以上的空间。</w:t>
      </w:r>
    </w:p>
    <w:p w14:paraId="20115D0D"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5</w:t>
      </w:r>
      <w:r>
        <w:rPr>
          <w:rFonts w:cs="Times New Roman"/>
          <w:kern w:val="21"/>
        </w:rPr>
        <w:t>）</w:t>
      </w:r>
      <w:proofErr w:type="gramStart"/>
      <w:r>
        <w:rPr>
          <w:rFonts w:cs="Times New Roman"/>
          <w:kern w:val="21"/>
        </w:rPr>
        <w:t>危废暂存</w:t>
      </w:r>
      <w:proofErr w:type="gramEnd"/>
      <w:r>
        <w:rPr>
          <w:rFonts w:cs="Times New Roman"/>
          <w:kern w:val="21"/>
        </w:rPr>
        <w:t>间、盛装危险废物的容器上必须粘贴符合《危险废物贮存污染控制标准》（</w:t>
      </w:r>
      <w:r>
        <w:rPr>
          <w:rFonts w:cs="Times New Roman"/>
          <w:kern w:val="21"/>
        </w:rPr>
        <w:t>GB18597-2023</w:t>
      </w:r>
      <w:r>
        <w:rPr>
          <w:rFonts w:cs="Times New Roman"/>
          <w:kern w:val="21"/>
        </w:rPr>
        <w:t>）附录</w:t>
      </w:r>
      <w:r>
        <w:rPr>
          <w:rFonts w:cs="Times New Roman"/>
          <w:kern w:val="21"/>
        </w:rPr>
        <w:t>A</w:t>
      </w:r>
      <w:r>
        <w:rPr>
          <w:rFonts w:cs="Times New Roman"/>
          <w:kern w:val="21"/>
        </w:rPr>
        <w:t>所示的标签。</w:t>
      </w:r>
    </w:p>
    <w:p w14:paraId="552B903E"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6</w:t>
      </w:r>
      <w:r>
        <w:rPr>
          <w:rFonts w:cs="Times New Roman"/>
          <w:kern w:val="21"/>
        </w:rPr>
        <w:t>）应当使用符合标准的容器盛装危险废物；</w:t>
      </w:r>
    </w:p>
    <w:p w14:paraId="0349702C"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7</w:t>
      </w:r>
      <w:r>
        <w:rPr>
          <w:rFonts w:cs="Times New Roman"/>
          <w:kern w:val="21"/>
        </w:rPr>
        <w:t>）装载危险废物的容器及材质要满足相应的强度要求；</w:t>
      </w:r>
    </w:p>
    <w:p w14:paraId="3360ECB3"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8</w:t>
      </w:r>
      <w:r>
        <w:rPr>
          <w:rFonts w:cs="Times New Roman"/>
          <w:kern w:val="21"/>
        </w:rPr>
        <w:t>）装载危险废物的容器必须完好无损；</w:t>
      </w:r>
    </w:p>
    <w:p w14:paraId="28656905"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9</w:t>
      </w:r>
      <w:r>
        <w:rPr>
          <w:rFonts w:cs="Times New Roman"/>
          <w:kern w:val="21"/>
        </w:rPr>
        <w:t>）盛装危险废物的容器材质和衬里要与危险废物相容（不相互反应）；</w:t>
      </w:r>
    </w:p>
    <w:p w14:paraId="557AB510"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10</w:t>
      </w:r>
      <w:r>
        <w:rPr>
          <w:rFonts w:cs="Times New Roman"/>
          <w:kern w:val="21"/>
        </w:rPr>
        <w:t>）液体危险废物可注入开孔直径不超过</w:t>
      </w:r>
      <w:r>
        <w:rPr>
          <w:rFonts w:cs="Times New Roman"/>
          <w:kern w:val="21"/>
        </w:rPr>
        <w:t>70</w:t>
      </w:r>
      <w:r>
        <w:rPr>
          <w:rFonts w:cs="Times New Roman"/>
          <w:kern w:val="21"/>
        </w:rPr>
        <w:t>毫米并有放气孔的桶中。</w:t>
      </w:r>
    </w:p>
    <w:p w14:paraId="5F811541"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危险废物管理措施</w:t>
      </w:r>
    </w:p>
    <w:p w14:paraId="761954C6"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1</w:t>
      </w:r>
      <w:r>
        <w:rPr>
          <w:rFonts w:cs="Times New Roman"/>
          <w:kern w:val="21"/>
        </w:rPr>
        <w:t>）危险废物的收集、贮存、转移、利用、处置活动必须遵守国家和地方的有关规定。</w:t>
      </w:r>
    </w:p>
    <w:p w14:paraId="44D61AED"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2</w:t>
      </w:r>
      <w:r>
        <w:rPr>
          <w:rFonts w:cs="Times New Roman"/>
          <w:kern w:val="21"/>
        </w:rPr>
        <w:t>）禁止向环境倾倒、堆置危险废物。</w:t>
      </w:r>
    </w:p>
    <w:p w14:paraId="64D3DE9F"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3</w:t>
      </w:r>
      <w:r>
        <w:rPr>
          <w:rFonts w:cs="Times New Roman"/>
          <w:kern w:val="21"/>
        </w:rPr>
        <w:t>）禁止将危险废物混入非危险废物中收集、贮存、转移、处置。</w:t>
      </w:r>
    </w:p>
    <w:p w14:paraId="2F106283"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4</w:t>
      </w:r>
      <w:r>
        <w:rPr>
          <w:rFonts w:cs="Times New Roman"/>
          <w:kern w:val="21"/>
        </w:rPr>
        <w:t>）危险废物的收集、贮存、转移应当使用符合标准的容器和包装物。</w:t>
      </w:r>
    </w:p>
    <w:p w14:paraId="22A012E2"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5</w:t>
      </w:r>
      <w:r>
        <w:rPr>
          <w:rFonts w:cs="Times New Roman"/>
          <w:kern w:val="21"/>
        </w:rPr>
        <w:t>）危险废物的容器和包装物以及收集、贮存、转移、处置危险废物的设施、场所，必须设置危险废物识别标志。</w:t>
      </w:r>
    </w:p>
    <w:p w14:paraId="72013307"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6</w:t>
      </w:r>
      <w:r>
        <w:rPr>
          <w:rFonts w:cs="Times New Roman"/>
          <w:kern w:val="21"/>
        </w:rPr>
        <w:t>）危险废物的贮存时间不得超过一年；法律、法规另有规定的除外。</w:t>
      </w:r>
    </w:p>
    <w:p w14:paraId="330F85F6"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7</w:t>
      </w:r>
      <w:r>
        <w:rPr>
          <w:rFonts w:cs="Times New Roman"/>
          <w:kern w:val="21"/>
        </w:rPr>
        <w:t>）在搬迁、转产、终止之前，必须对已经产生尚没有处置的危险废物和危险废物贮存、处置设施场所按照有关规定进行安全处置；对产生的危险废物对周围环境的影响进行综合评估并消除可能产生的污染，将评估报告报质量安全部门备案。</w:t>
      </w:r>
    </w:p>
    <w:p w14:paraId="7592EFED"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8</w:t>
      </w:r>
      <w:r>
        <w:rPr>
          <w:rFonts w:cs="Times New Roman"/>
          <w:kern w:val="21"/>
        </w:rPr>
        <w:t>）应当制定危险废物污染事故防范措施和应急预案。如果发生危险废物污染事故或者其他突发性事件，应当按照应急预案消除或者减轻对环境的污染危害，及时通知可能受到危害的单位和个人，并及时向事故发生地环境保护行政主管部门报告，接受调查处理。</w:t>
      </w:r>
    </w:p>
    <w:p w14:paraId="210B54D4"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392" w:name="_Toc195009925"/>
      <w:r>
        <w:rPr>
          <w:rFonts w:cs="Times New Roman"/>
          <w:b/>
          <w:bCs/>
          <w:kern w:val="21"/>
          <w:sz w:val="28"/>
          <w:szCs w:val="24"/>
        </w:rPr>
        <w:t>地下水污染防治措施</w:t>
      </w:r>
      <w:r>
        <w:rPr>
          <w:rFonts w:cs="Times New Roman" w:hint="eastAsia"/>
          <w:b/>
          <w:bCs/>
          <w:kern w:val="21"/>
          <w:sz w:val="28"/>
          <w:szCs w:val="24"/>
        </w:rPr>
        <w:t>及可行性分析</w:t>
      </w:r>
      <w:bookmarkEnd w:id="392"/>
    </w:p>
    <w:p w14:paraId="4AC21B10" w14:textId="77777777" w:rsidR="00544649" w:rsidRDefault="00000000">
      <w:pPr>
        <w:adjustRightInd w:val="0"/>
        <w:snapToGrid w:val="0"/>
        <w:spacing w:after="0"/>
        <w:ind w:firstLine="480"/>
        <w:rPr>
          <w:rFonts w:cs="Times New Roman"/>
          <w:kern w:val="21"/>
        </w:rPr>
      </w:pPr>
      <w:r>
        <w:rPr>
          <w:rFonts w:cs="Times New Roman" w:hint="eastAsia"/>
          <w:kern w:val="21"/>
          <w:szCs w:val="24"/>
        </w:rPr>
        <w:t>针对厂区可能发生的地下水污染，地下水污染防治措施应按照“源头控制、末端</w:t>
      </w:r>
      <w:r>
        <w:rPr>
          <w:rFonts w:cs="Times New Roman" w:hint="eastAsia"/>
          <w:kern w:val="21"/>
          <w:szCs w:val="24"/>
        </w:rPr>
        <w:lastRenderedPageBreak/>
        <w:t>防治、污染监控、应急响应”相结合的原则，从污染物的产生、入渗、扩散、应急</w:t>
      </w:r>
      <w:proofErr w:type="gramStart"/>
      <w:r>
        <w:rPr>
          <w:rFonts w:cs="Times New Roman" w:hint="eastAsia"/>
          <w:kern w:val="21"/>
          <w:szCs w:val="24"/>
        </w:rPr>
        <w:t>响应全阶段</w:t>
      </w:r>
      <w:proofErr w:type="gramEnd"/>
      <w:r>
        <w:rPr>
          <w:rFonts w:cs="Times New Roman" w:hint="eastAsia"/>
          <w:kern w:val="21"/>
          <w:szCs w:val="24"/>
        </w:rPr>
        <w:t>进行控制。本厂区应以主动防渗漏措施为主，被动防渗漏措施为辅，人工防渗措施和自然防渗条件保护相结合，防止地下水受到污染。</w:t>
      </w:r>
    </w:p>
    <w:p w14:paraId="13950AAF" w14:textId="77777777" w:rsidR="00544649" w:rsidRDefault="00000000">
      <w:pPr>
        <w:adjustRightInd w:val="0"/>
        <w:snapToGrid w:val="0"/>
        <w:spacing w:after="0"/>
        <w:ind w:firstLine="480"/>
        <w:rPr>
          <w:rFonts w:cs="Times New Roman"/>
          <w:kern w:val="21"/>
        </w:rPr>
      </w:pPr>
      <w:r>
        <w:rPr>
          <w:rFonts w:cs="Times New Roman"/>
          <w:kern w:val="21"/>
        </w:rPr>
        <w:t>1</w:t>
      </w:r>
      <w:r>
        <w:rPr>
          <w:rFonts w:cs="Times New Roman"/>
          <w:kern w:val="21"/>
        </w:rPr>
        <w:t>、防渗方案设计非污染区不进行防渗处理，只进行水泥硬化；重点污染源除了水泥铺设外，还应采取其他措施进行防渗处理。</w:t>
      </w:r>
    </w:p>
    <w:p w14:paraId="57C79531" w14:textId="77777777" w:rsidR="00544649" w:rsidRDefault="00000000">
      <w:pPr>
        <w:adjustRightInd w:val="0"/>
        <w:snapToGrid w:val="0"/>
        <w:spacing w:after="0"/>
        <w:ind w:firstLine="480"/>
        <w:rPr>
          <w:rFonts w:cs="Times New Roman"/>
          <w:kern w:val="21"/>
        </w:rPr>
      </w:pPr>
      <w:r>
        <w:rPr>
          <w:rFonts w:cs="Times New Roman"/>
          <w:kern w:val="21"/>
        </w:rPr>
        <w:t>2</w:t>
      </w:r>
      <w:r>
        <w:rPr>
          <w:rFonts w:cs="Times New Roman"/>
          <w:kern w:val="21"/>
        </w:rPr>
        <w:t>、工程防渗措施本项目针对不同生产环节的污染防治要求有针对性的采取不同的防渗工程措施。</w:t>
      </w:r>
    </w:p>
    <w:p w14:paraId="1EB36CCB" w14:textId="77777777" w:rsidR="00544649" w:rsidRDefault="00000000">
      <w:pPr>
        <w:adjustRightInd w:val="0"/>
        <w:snapToGrid w:val="0"/>
        <w:spacing w:after="0"/>
        <w:ind w:firstLine="480"/>
        <w:rPr>
          <w:rFonts w:cs="Times New Roman"/>
          <w:kern w:val="21"/>
        </w:rPr>
      </w:pPr>
      <w:r>
        <w:rPr>
          <w:rFonts w:cs="Times New Roman"/>
          <w:kern w:val="21"/>
        </w:rPr>
        <w:t>3</w:t>
      </w:r>
      <w:r>
        <w:rPr>
          <w:rFonts w:cs="Times New Roman"/>
          <w:kern w:val="21"/>
        </w:rPr>
        <w:t>、防渗防腐施工管理混凝土施工过程中要特别加强含水量、施工缝密实质的质量控制，在回填时注意按规范施工、配比、错层设置，加强养护管理，及时取样检验压路机碾压或夯实密度，若有问题及时整改。在项目运营时，加强现场巡查，下雨地面水量较大时，重点检查有无渗漏情况，若发现问题，及时分析原因，找到渗漏</w:t>
      </w:r>
      <w:proofErr w:type="gramStart"/>
      <w:r>
        <w:rPr>
          <w:rFonts w:cs="Times New Roman"/>
          <w:kern w:val="21"/>
        </w:rPr>
        <w:t>点制定</w:t>
      </w:r>
      <w:proofErr w:type="gramEnd"/>
      <w:r>
        <w:rPr>
          <w:rFonts w:cs="Times New Roman"/>
          <w:kern w:val="21"/>
        </w:rPr>
        <w:t>整改措施，尽快修补，确保防腐防渗层的完整性。</w:t>
      </w:r>
    </w:p>
    <w:p w14:paraId="6461621D" w14:textId="77777777" w:rsidR="00544649" w:rsidRDefault="00000000">
      <w:pPr>
        <w:adjustRightInd w:val="0"/>
        <w:snapToGrid w:val="0"/>
        <w:spacing w:after="0"/>
        <w:ind w:firstLine="480"/>
        <w:rPr>
          <w:rFonts w:cs="Times New Roman"/>
          <w:kern w:val="21"/>
        </w:rPr>
      </w:pPr>
      <w:r>
        <w:rPr>
          <w:rFonts w:cs="Times New Roman" w:hint="eastAsia"/>
          <w:kern w:val="21"/>
        </w:rPr>
        <w:t>根据本项目工程建设情况，本项目提出如下分区防渗措施：</w:t>
      </w:r>
    </w:p>
    <w:p w14:paraId="06FDDF7C" w14:textId="77777777" w:rsidR="00544649" w:rsidRDefault="00000000">
      <w:pPr>
        <w:adjustRightInd w:val="0"/>
        <w:snapToGrid w:val="0"/>
        <w:spacing w:after="0"/>
        <w:ind w:firstLine="482"/>
        <w:rPr>
          <w:rFonts w:cs="Times New Roman"/>
          <w:kern w:val="21"/>
          <w:szCs w:val="24"/>
        </w:rPr>
      </w:pPr>
      <w:r>
        <w:rPr>
          <w:rFonts w:cs="Times New Roman"/>
          <w:b/>
          <w:bCs/>
          <w:kern w:val="21"/>
          <w:szCs w:val="24"/>
        </w:rPr>
        <w:t>重点防渗区：</w:t>
      </w:r>
      <w:r>
        <w:rPr>
          <w:rFonts w:cs="Times New Roman" w:hint="eastAsia"/>
          <w:kern w:val="21"/>
          <w:szCs w:val="24"/>
        </w:rPr>
        <w:t>危险废物暂存间、病检室、消毒池、消毒间、车辆消毒棚、备用发电机房、储油间、污水处理区、淸粪坑</w:t>
      </w:r>
      <w:r>
        <w:rPr>
          <w:rFonts w:cs="Times New Roman"/>
          <w:kern w:val="21"/>
          <w:szCs w:val="24"/>
        </w:rPr>
        <w:t>设置</w:t>
      </w:r>
      <w:r>
        <w:rPr>
          <w:rFonts w:cs="Times New Roman" w:hint="eastAsia"/>
          <w:kern w:val="21"/>
          <w:szCs w:val="24"/>
        </w:rPr>
        <w:t>防渗混凝土</w:t>
      </w:r>
      <w:r>
        <w:rPr>
          <w:rFonts w:cs="Times New Roman" w:hint="eastAsia"/>
          <w:kern w:val="21"/>
          <w:szCs w:val="24"/>
        </w:rPr>
        <w:t>+2mm</w:t>
      </w:r>
      <w:r>
        <w:rPr>
          <w:rFonts w:cs="Times New Roman" w:hint="eastAsia"/>
          <w:kern w:val="21"/>
          <w:szCs w:val="24"/>
        </w:rPr>
        <w:t>厚高密度聚乙烯膜进行防渗处理</w:t>
      </w:r>
      <w:r>
        <w:rPr>
          <w:rStyle w:val="aff"/>
          <w:rFonts w:cs="Times New Roman"/>
          <w:kern w:val="21"/>
          <w:sz w:val="24"/>
          <w:szCs w:val="24"/>
        </w:rPr>
        <w:t>，</w:t>
      </w:r>
      <w:r>
        <w:rPr>
          <w:rFonts w:cs="Times New Roman"/>
          <w:kern w:val="21"/>
          <w:szCs w:val="24"/>
        </w:rPr>
        <w:t>等效黏土防渗层</w:t>
      </w:r>
      <w:r>
        <w:rPr>
          <w:rFonts w:cs="Times New Roman"/>
          <w:kern w:val="21"/>
          <w:szCs w:val="24"/>
        </w:rPr>
        <w:t>Mb≥6.0m</w:t>
      </w:r>
      <w:r>
        <w:rPr>
          <w:rFonts w:cs="Times New Roman"/>
          <w:kern w:val="21"/>
          <w:szCs w:val="24"/>
        </w:rPr>
        <w:t>，</w:t>
      </w:r>
      <w:r>
        <w:rPr>
          <w:rFonts w:cs="Times New Roman"/>
          <w:kern w:val="21"/>
          <w:szCs w:val="24"/>
        </w:rPr>
        <w:t>K≤1×10</w:t>
      </w:r>
      <w:r>
        <w:rPr>
          <w:rFonts w:cs="Times New Roman"/>
          <w:kern w:val="21"/>
          <w:szCs w:val="24"/>
          <w:vertAlign w:val="superscript"/>
        </w:rPr>
        <w:t>-7</w:t>
      </w:r>
      <w:r>
        <w:rPr>
          <w:rFonts w:cs="Times New Roman"/>
          <w:kern w:val="21"/>
          <w:szCs w:val="24"/>
        </w:rPr>
        <w:t>cm/s</w:t>
      </w:r>
      <w:r>
        <w:rPr>
          <w:rFonts w:cs="Times New Roman"/>
          <w:kern w:val="21"/>
          <w:szCs w:val="24"/>
        </w:rPr>
        <w:t>（</w:t>
      </w:r>
      <w:proofErr w:type="gramStart"/>
      <w:r>
        <w:rPr>
          <w:rFonts w:cs="Times New Roman"/>
          <w:kern w:val="21"/>
          <w:szCs w:val="24"/>
        </w:rPr>
        <w:t>危废暂存间满足</w:t>
      </w:r>
      <w:proofErr w:type="gramEnd"/>
      <w:r>
        <w:rPr>
          <w:rFonts w:cs="Times New Roman"/>
          <w:kern w:val="21"/>
          <w:szCs w:val="24"/>
        </w:rPr>
        <w:t>K≤1.0×10</w:t>
      </w:r>
      <w:r>
        <w:rPr>
          <w:rFonts w:cs="Times New Roman"/>
          <w:kern w:val="21"/>
          <w:szCs w:val="24"/>
          <w:vertAlign w:val="superscript"/>
        </w:rPr>
        <w:t>-10</w:t>
      </w:r>
      <w:r>
        <w:rPr>
          <w:rFonts w:cs="Times New Roman"/>
          <w:kern w:val="21"/>
          <w:szCs w:val="24"/>
        </w:rPr>
        <w:t>cm/s</w:t>
      </w:r>
      <w:r>
        <w:rPr>
          <w:rFonts w:cs="Times New Roman"/>
          <w:kern w:val="21"/>
          <w:szCs w:val="24"/>
        </w:rPr>
        <w:t>）；</w:t>
      </w:r>
    </w:p>
    <w:p w14:paraId="54734F91" w14:textId="77777777" w:rsidR="00544649" w:rsidRDefault="00000000">
      <w:pPr>
        <w:adjustRightInd w:val="0"/>
        <w:snapToGrid w:val="0"/>
        <w:spacing w:after="0"/>
        <w:ind w:firstLine="482"/>
        <w:rPr>
          <w:rFonts w:cs="Times New Roman"/>
          <w:kern w:val="21"/>
          <w:szCs w:val="24"/>
        </w:rPr>
      </w:pPr>
      <w:r>
        <w:rPr>
          <w:rFonts w:cs="Times New Roman" w:hint="eastAsia"/>
          <w:b/>
          <w:bCs/>
          <w:kern w:val="21"/>
          <w:szCs w:val="24"/>
        </w:rPr>
        <w:t>一般防渗区：</w:t>
      </w:r>
      <w:r>
        <w:rPr>
          <w:rFonts w:cs="Times New Roman"/>
          <w:kern w:val="21"/>
          <w:szCs w:val="24"/>
        </w:rPr>
        <w:t>鸡舍</w:t>
      </w:r>
      <w:r>
        <w:rPr>
          <w:rFonts w:cs="Times New Roman" w:hint="eastAsia"/>
          <w:kern w:val="21"/>
          <w:szCs w:val="24"/>
        </w:rPr>
        <w:t>、蛋品车间、蓄水池、临时库房、污水暂存池、初期雨水池、事故应急</w:t>
      </w:r>
      <w:proofErr w:type="gramStart"/>
      <w:r>
        <w:rPr>
          <w:rFonts w:cs="Times New Roman" w:hint="eastAsia"/>
          <w:kern w:val="21"/>
          <w:szCs w:val="24"/>
        </w:rPr>
        <w:t>池</w:t>
      </w:r>
      <w:r>
        <w:rPr>
          <w:rFonts w:cs="Times New Roman"/>
          <w:kern w:val="21"/>
          <w:szCs w:val="24"/>
        </w:rPr>
        <w:t>采取</w:t>
      </w:r>
      <w:proofErr w:type="gramEnd"/>
      <w:r>
        <w:rPr>
          <w:rFonts w:cs="Times New Roman" w:hint="eastAsia"/>
          <w:kern w:val="21"/>
          <w:szCs w:val="24"/>
        </w:rPr>
        <w:t>防渗</w:t>
      </w:r>
      <w:r>
        <w:rPr>
          <w:rFonts w:cs="Times New Roman"/>
          <w:kern w:val="21"/>
          <w:szCs w:val="24"/>
        </w:rPr>
        <w:t>混凝土</w:t>
      </w:r>
      <w:r>
        <w:rPr>
          <w:rFonts w:cs="Times New Roman" w:hint="eastAsia"/>
          <w:kern w:val="21"/>
          <w:szCs w:val="24"/>
        </w:rPr>
        <w:t>进行防渗处理</w:t>
      </w:r>
      <w:r>
        <w:rPr>
          <w:rFonts w:cs="Times New Roman"/>
          <w:kern w:val="21"/>
          <w:szCs w:val="24"/>
        </w:rPr>
        <w:t>，等效黏土防渗层</w:t>
      </w:r>
      <w:r>
        <w:rPr>
          <w:rFonts w:cs="Times New Roman"/>
          <w:kern w:val="21"/>
          <w:szCs w:val="24"/>
        </w:rPr>
        <w:t>Mb&gt;1.5m</w:t>
      </w:r>
      <w:r>
        <w:rPr>
          <w:rFonts w:cs="Times New Roman"/>
          <w:kern w:val="21"/>
          <w:szCs w:val="24"/>
        </w:rPr>
        <w:t>，</w:t>
      </w:r>
      <w:r>
        <w:rPr>
          <w:rFonts w:cs="Times New Roman"/>
          <w:kern w:val="21"/>
          <w:szCs w:val="24"/>
        </w:rPr>
        <w:t>K≤1×10</w:t>
      </w:r>
      <w:r>
        <w:rPr>
          <w:rFonts w:cs="Times New Roman"/>
          <w:kern w:val="21"/>
          <w:szCs w:val="24"/>
          <w:vertAlign w:val="superscript"/>
        </w:rPr>
        <w:t>-7</w:t>
      </w:r>
      <w:r>
        <w:rPr>
          <w:rFonts w:cs="Times New Roman"/>
          <w:kern w:val="21"/>
          <w:szCs w:val="24"/>
        </w:rPr>
        <w:t>cm/s</w:t>
      </w:r>
      <w:r>
        <w:rPr>
          <w:rFonts w:cs="Times New Roman"/>
          <w:kern w:val="21"/>
          <w:szCs w:val="24"/>
        </w:rPr>
        <w:t>；</w:t>
      </w:r>
    </w:p>
    <w:p w14:paraId="66C05E5E" w14:textId="77777777" w:rsidR="00544649" w:rsidRDefault="00000000">
      <w:pPr>
        <w:adjustRightInd w:val="0"/>
        <w:snapToGrid w:val="0"/>
        <w:spacing w:after="0"/>
        <w:ind w:firstLine="482"/>
        <w:rPr>
          <w:rFonts w:cs="Times New Roman"/>
          <w:kern w:val="21"/>
          <w:szCs w:val="24"/>
        </w:rPr>
      </w:pPr>
      <w:r>
        <w:rPr>
          <w:rFonts w:cs="Times New Roman"/>
          <w:b/>
          <w:bCs/>
          <w:kern w:val="21"/>
          <w:szCs w:val="24"/>
        </w:rPr>
        <w:t>简单防渗区：</w:t>
      </w:r>
      <w:r>
        <w:rPr>
          <w:rFonts w:cs="Times New Roman" w:hint="eastAsia"/>
          <w:kern w:val="21"/>
          <w:szCs w:val="24"/>
        </w:rPr>
        <w:t>办公生活区及场内道路</w:t>
      </w:r>
      <w:r>
        <w:rPr>
          <w:rFonts w:cs="Times New Roman"/>
          <w:kern w:val="21"/>
          <w:szCs w:val="24"/>
        </w:rPr>
        <w:t>等场内其他区域采取一般地面硬化。</w:t>
      </w:r>
    </w:p>
    <w:p w14:paraId="7CF11D2D" w14:textId="77777777" w:rsidR="00544649" w:rsidRDefault="00000000">
      <w:pPr>
        <w:pStyle w:val="aff2"/>
        <w:adjustRightInd w:val="0"/>
        <w:snapToGrid w:val="0"/>
        <w:spacing w:after="0"/>
        <w:rPr>
          <w:rFonts w:ascii="Times New Roman" w:hAnsi="Times New Roman" w:cs="Times New Roman"/>
          <w:kern w:val="21"/>
        </w:rPr>
      </w:pPr>
      <w:r>
        <w:rPr>
          <w:rFonts w:ascii="Times New Roman" w:hAnsi="Times New Roman" w:cs="Times New Roman"/>
          <w:kern w:val="21"/>
        </w:rPr>
        <w:t>本项目</w:t>
      </w:r>
      <w:r>
        <w:rPr>
          <w:rFonts w:ascii="Times New Roman" w:hAnsi="Times New Roman" w:cs="Times New Roman" w:hint="eastAsia"/>
          <w:kern w:val="21"/>
        </w:rPr>
        <w:t>全场</w:t>
      </w:r>
      <w:r>
        <w:rPr>
          <w:rFonts w:ascii="Times New Roman" w:hAnsi="Times New Roman" w:cs="Times New Roman"/>
          <w:kern w:val="21"/>
        </w:rPr>
        <w:t>防渗工程污染防治措施分区情况见下表。</w:t>
      </w:r>
    </w:p>
    <w:p w14:paraId="48F9502B" w14:textId="77777777" w:rsidR="00544649" w:rsidRDefault="00000000">
      <w:pPr>
        <w:numPr>
          <w:ilvl w:val="0"/>
          <w:numId w:val="33"/>
        </w:numPr>
        <w:adjustRightInd w:val="0"/>
        <w:snapToGrid w:val="0"/>
        <w:spacing w:beforeLines="20" w:before="62" w:afterLines="20" w:after="62" w:line="240" w:lineRule="auto"/>
        <w:ind w:left="0" w:firstLineChars="0" w:firstLine="0"/>
        <w:jc w:val="center"/>
        <w:rPr>
          <w:rFonts w:cs="Times New Roman"/>
          <w:b/>
          <w:bCs/>
          <w:kern w:val="21"/>
          <w:sz w:val="21"/>
          <w:szCs w:val="21"/>
        </w:rPr>
      </w:pPr>
      <w:r>
        <w:rPr>
          <w:rFonts w:cs="Times New Roman"/>
          <w:b/>
          <w:bCs/>
          <w:kern w:val="21"/>
          <w:sz w:val="21"/>
          <w:szCs w:val="21"/>
        </w:rPr>
        <w:t>本项目</w:t>
      </w:r>
      <w:r>
        <w:rPr>
          <w:rFonts w:cs="Times New Roman" w:hint="eastAsia"/>
          <w:b/>
          <w:bCs/>
          <w:kern w:val="21"/>
          <w:sz w:val="21"/>
          <w:szCs w:val="21"/>
        </w:rPr>
        <w:t>全场</w:t>
      </w:r>
      <w:r>
        <w:rPr>
          <w:rFonts w:cs="Times New Roman"/>
          <w:b/>
          <w:bCs/>
          <w:kern w:val="21"/>
          <w:sz w:val="21"/>
          <w:szCs w:val="21"/>
        </w:rPr>
        <w:t>防渗措施一览表</w:t>
      </w:r>
    </w:p>
    <w:tbl>
      <w:tblPr>
        <w:tblStyle w:val="afc"/>
        <w:tblW w:w="9060" w:type="dxa"/>
        <w:tblLayout w:type="fixed"/>
        <w:tblLook w:val="04A0" w:firstRow="1" w:lastRow="0" w:firstColumn="1" w:lastColumn="0" w:noHBand="0" w:noVBand="1"/>
      </w:tblPr>
      <w:tblGrid>
        <w:gridCol w:w="1344"/>
        <w:gridCol w:w="2031"/>
        <w:gridCol w:w="3184"/>
        <w:gridCol w:w="2501"/>
      </w:tblGrid>
      <w:tr w:rsidR="00544649" w14:paraId="7EB67B84" w14:textId="77777777">
        <w:tc>
          <w:tcPr>
            <w:tcW w:w="1344" w:type="dxa"/>
            <w:vAlign w:val="center"/>
          </w:tcPr>
          <w:p w14:paraId="1F854F2D"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分类</w:t>
            </w:r>
          </w:p>
        </w:tc>
        <w:tc>
          <w:tcPr>
            <w:tcW w:w="2031" w:type="dxa"/>
            <w:vAlign w:val="center"/>
          </w:tcPr>
          <w:p w14:paraId="583B24BF"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内容</w:t>
            </w:r>
          </w:p>
        </w:tc>
        <w:tc>
          <w:tcPr>
            <w:tcW w:w="3184" w:type="dxa"/>
            <w:vAlign w:val="center"/>
          </w:tcPr>
          <w:p w14:paraId="6FFDA473"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防渗措施及要求</w:t>
            </w:r>
          </w:p>
        </w:tc>
        <w:tc>
          <w:tcPr>
            <w:tcW w:w="2501" w:type="dxa"/>
            <w:vAlign w:val="center"/>
          </w:tcPr>
          <w:p w14:paraId="709AD3A6" w14:textId="77777777" w:rsidR="00544649" w:rsidRDefault="00000000">
            <w:pPr>
              <w:pStyle w:val="aff7"/>
              <w:adjustRightInd w:val="0"/>
              <w:snapToGrid w:val="0"/>
              <w:spacing w:before="62" w:after="62"/>
              <w:rPr>
                <w:rFonts w:cs="Times New Roman"/>
                <w:b/>
                <w:bCs/>
                <w:kern w:val="21"/>
                <w:szCs w:val="21"/>
              </w:rPr>
            </w:pPr>
            <w:r>
              <w:rPr>
                <w:rFonts w:cs="Times New Roman"/>
                <w:b/>
                <w:bCs/>
                <w:kern w:val="21"/>
                <w:szCs w:val="21"/>
              </w:rPr>
              <w:t>防渗要求</w:t>
            </w:r>
          </w:p>
        </w:tc>
      </w:tr>
      <w:tr w:rsidR="00544649" w14:paraId="1E3A36E6" w14:textId="77777777">
        <w:tc>
          <w:tcPr>
            <w:tcW w:w="1344" w:type="dxa"/>
            <w:vAlign w:val="center"/>
          </w:tcPr>
          <w:p w14:paraId="39AD6CAB"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重点防渗区</w:t>
            </w:r>
          </w:p>
        </w:tc>
        <w:tc>
          <w:tcPr>
            <w:tcW w:w="2031" w:type="dxa"/>
            <w:vAlign w:val="center"/>
          </w:tcPr>
          <w:p w14:paraId="4D2E9D62"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危险废物暂存间、病检室、消毒池、消毒间、车辆消毒棚、备用发电机房、储油间、污水处理区、淸粪坑</w:t>
            </w:r>
          </w:p>
        </w:tc>
        <w:tc>
          <w:tcPr>
            <w:tcW w:w="3184" w:type="dxa"/>
            <w:vAlign w:val="center"/>
          </w:tcPr>
          <w:p w14:paraId="10589A76"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4"/>
              </w:rPr>
              <w:t>防渗混凝土</w:t>
            </w:r>
            <w:r>
              <w:rPr>
                <w:rFonts w:cs="Times New Roman" w:hint="eastAsia"/>
                <w:kern w:val="21"/>
                <w:szCs w:val="24"/>
              </w:rPr>
              <w:t>+2mm</w:t>
            </w:r>
            <w:r>
              <w:rPr>
                <w:rFonts w:cs="Times New Roman" w:hint="eastAsia"/>
                <w:kern w:val="21"/>
                <w:szCs w:val="24"/>
              </w:rPr>
              <w:t>厚高密度聚乙烯膜</w:t>
            </w:r>
          </w:p>
        </w:tc>
        <w:tc>
          <w:tcPr>
            <w:tcW w:w="2501" w:type="dxa"/>
            <w:vAlign w:val="center"/>
          </w:tcPr>
          <w:p w14:paraId="322A5CE3"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等效黏土防渗层</w:t>
            </w:r>
            <w:r>
              <w:rPr>
                <w:rFonts w:cs="Times New Roman"/>
                <w:kern w:val="21"/>
                <w:szCs w:val="21"/>
              </w:rPr>
              <w:t>Mb≥6.0m</w:t>
            </w:r>
            <w:r>
              <w:rPr>
                <w:rFonts w:cs="Times New Roman"/>
                <w:kern w:val="21"/>
                <w:szCs w:val="21"/>
              </w:rPr>
              <w:t>，</w:t>
            </w:r>
            <w:r>
              <w:rPr>
                <w:rFonts w:cs="Times New Roman"/>
                <w:kern w:val="21"/>
                <w:szCs w:val="21"/>
              </w:rPr>
              <w:t>K≤1×10</w:t>
            </w:r>
            <w:r>
              <w:rPr>
                <w:rFonts w:cs="Times New Roman"/>
                <w:kern w:val="21"/>
                <w:szCs w:val="21"/>
                <w:vertAlign w:val="superscript"/>
              </w:rPr>
              <w:t>-7</w:t>
            </w:r>
            <w:r>
              <w:rPr>
                <w:rFonts w:cs="Times New Roman"/>
                <w:kern w:val="21"/>
                <w:szCs w:val="21"/>
              </w:rPr>
              <w:t>cm/s</w:t>
            </w:r>
            <w:r>
              <w:rPr>
                <w:rFonts w:cs="Times New Roman"/>
                <w:kern w:val="21"/>
                <w:szCs w:val="21"/>
              </w:rPr>
              <w:t>；（</w:t>
            </w:r>
            <w:proofErr w:type="gramStart"/>
            <w:r>
              <w:rPr>
                <w:rFonts w:cs="Times New Roman"/>
                <w:kern w:val="21"/>
                <w:szCs w:val="21"/>
              </w:rPr>
              <w:t>危废暂存间满足</w:t>
            </w:r>
            <w:proofErr w:type="gramEnd"/>
            <w:r>
              <w:rPr>
                <w:rFonts w:cs="Times New Roman"/>
                <w:kern w:val="21"/>
                <w:szCs w:val="21"/>
              </w:rPr>
              <w:t>K≤1.0×10</w:t>
            </w:r>
            <w:r>
              <w:rPr>
                <w:rFonts w:cs="Times New Roman"/>
                <w:kern w:val="21"/>
                <w:szCs w:val="21"/>
                <w:vertAlign w:val="superscript"/>
              </w:rPr>
              <w:t>-10</w:t>
            </w:r>
            <w:r>
              <w:rPr>
                <w:rFonts w:cs="Times New Roman"/>
                <w:kern w:val="21"/>
                <w:szCs w:val="21"/>
              </w:rPr>
              <w:t>cm/s</w:t>
            </w:r>
            <w:r>
              <w:rPr>
                <w:rFonts w:cs="Times New Roman"/>
                <w:kern w:val="21"/>
                <w:szCs w:val="21"/>
              </w:rPr>
              <w:t>）或参照</w:t>
            </w:r>
            <w:r>
              <w:rPr>
                <w:rFonts w:cs="Times New Roman"/>
                <w:kern w:val="21"/>
                <w:szCs w:val="21"/>
              </w:rPr>
              <w:t>GB18598</w:t>
            </w:r>
            <w:r>
              <w:rPr>
                <w:rFonts w:cs="Times New Roman"/>
                <w:kern w:val="21"/>
                <w:szCs w:val="21"/>
              </w:rPr>
              <w:t>执行</w:t>
            </w:r>
          </w:p>
        </w:tc>
      </w:tr>
      <w:tr w:rsidR="00544649" w14:paraId="37753652" w14:textId="77777777">
        <w:tc>
          <w:tcPr>
            <w:tcW w:w="1344" w:type="dxa"/>
            <w:vAlign w:val="center"/>
          </w:tcPr>
          <w:p w14:paraId="3A58E581"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一般防渗区</w:t>
            </w:r>
          </w:p>
        </w:tc>
        <w:tc>
          <w:tcPr>
            <w:tcW w:w="2031" w:type="dxa"/>
            <w:vAlign w:val="center"/>
          </w:tcPr>
          <w:p w14:paraId="7F69586E"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hint="eastAsia"/>
                <w:kern w:val="21"/>
                <w:sz w:val="21"/>
                <w:szCs w:val="21"/>
              </w:rPr>
              <w:t>鸡舍、蛋品车间、蓄水池、临时库房、污水暂存池、初期雨水池、事故应急池</w:t>
            </w:r>
          </w:p>
        </w:tc>
        <w:tc>
          <w:tcPr>
            <w:tcW w:w="3184" w:type="dxa"/>
            <w:vAlign w:val="center"/>
          </w:tcPr>
          <w:p w14:paraId="07727A9C" w14:textId="77777777" w:rsidR="00544649" w:rsidRDefault="00000000">
            <w:pPr>
              <w:pStyle w:val="aff7"/>
              <w:adjustRightInd w:val="0"/>
              <w:snapToGrid w:val="0"/>
              <w:spacing w:before="62" w:after="62"/>
              <w:rPr>
                <w:rFonts w:cs="Times New Roman"/>
                <w:kern w:val="21"/>
                <w:szCs w:val="21"/>
              </w:rPr>
            </w:pPr>
            <w:r>
              <w:rPr>
                <w:rFonts w:cs="Times New Roman" w:hint="eastAsia"/>
                <w:kern w:val="21"/>
                <w:szCs w:val="24"/>
              </w:rPr>
              <w:t>防渗混凝土</w:t>
            </w:r>
          </w:p>
        </w:tc>
        <w:tc>
          <w:tcPr>
            <w:tcW w:w="2501" w:type="dxa"/>
            <w:vAlign w:val="center"/>
          </w:tcPr>
          <w:p w14:paraId="4DD675E2"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等效黏土防渗层</w:t>
            </w:r>
            <w:r>
              <w:rPr>
                <w:rFonts w:cs="Times New Roman"/>
                <w:kern w:val="21"/>
                <w:szCs w:val="21"/>
              </w:rPr>
              <w:t>Mb&gt;1.5m</w:t>
            </w:r>
            <w:r>
              <w:rPr>
                <w:rFonts w:cs="Times New Roman"/>
                <w:kern w:val="21"/>
                <w:szCs w:val="21"/>
              </w:rPr>
              <w:t>，</w:t>
            </w:r>
            <w:r>
              <w:rPr>
                <w:rFonts w:cs="Times New Roman"/>
                <w:kern w:val="21"/>
                <w:szCs w:val="21"/>
              </w:rPr>
              <w:t>K≤1</w:t>
            </w:r>
            <w:r>
              <w:rPr>
                <w:rFonts w:cs="Times New Roman" w:hint="eastAsia"/>
                <w:kern w:val="21"/>
                <w:szCs w:val="21"/>
              </w:rPr>
              <w:t>×</w:t>
            </w:r>
            <w:r>
              <w:rPr>
                <w:rFonts w:cs="Times New Roman"/>
                <w:kern w:val="21"/>
                <w:szCs w:val="21"/>
              </w:rPr>
              <w:t>10</w:t>
            </w:r>
            <w:r>
              <w:rPr>
                <w:rFonts w:cs="Times New Roman"/>
                <w:kern w:val="21"/>
                <w:szCs w:val="21"/>
                <w:vertAlign w:val="superscript"/>
              </w:rPr>
              <w:t>-7</w:t>
            </w:r>
            <w:r>
              <w:rPr>
                <w:rFonts w:cs="Times New Roman"/>
                <w:kern w:val="21"/>
                <w:szCs w:val="21"/>
              </w:rPr>
              <w:t>cm/s</w:t>
            </w:r>
          </w:p>
        </w:tc>
      </w:tr>
      <w:tr w:rsidR="00544649" w14:paraId="49858264" w14:textId="77777777">
        <w:tc>
          <w:tcPr>
            <w:tcW w:w="1344" w:type="dxa"/>
            <w:vAlign w:val="center"/>
          </w:tcPr>
          <w:p w14:paraId="26B1ABC0"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简单防渗区</w:t>
            </w:r>
          </w:p>
        </w:tc>
        <w:tc>
          <w:tcPr>
            <w:tcW w:w="2031" w:type="dxa"/>
            <w:vAlign w:val="center"/>
          </w:tcPr>
          <w:p w14:paraId="0916B4ED"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办公</w:t>
            </w:r>
            <w:r>
              <w:rPr>
                <w:rFonts w:cs="Times New Roman" w:hint="eastAsia"/>
                <w:kern w:val="21"/>
                <w:sz w:val="21"/>
                <w:szCs w:val="21"/>
              </w:rPr>
              <w:t>生活</w:t>
            </w:r>
            <w:r>
              <w:rPr>
                <w:rFonts w:cs="Times New Roman"/>
                <w:kern w:val="21"/>
                <w:sz w:val="21"/>
                <w:szCs w:val="21"/>
              </w:rPr>
              <w:t>区</w:t>
            </w:r>
            <w:r>
              <w:rPr>
                <w:rFonts w:cs="Times New Roman" w:hint="eastAsia"/>
                <w:kern w:val="21"/>
                <w:sz w:val="21"/>
                <w:szCs w:val="21"/>
              </w:rPr>
              <w:t>及场内</w:t>
            </w:r>
            <w:r>
              <w:rPr>
                <w:rFonts w:cs="Times New Roman" w:hint="eastAsia"/>
                <w:kern w:val="21"/>
                <w:sz w:val="21"/>
                <w:szCs w:val="21"/>
              </w:rPr>
              <w:lastRenderedPageBreak/>
              <w:t>道路</w:t>
            </w:r>
            <w:r>
              <w:rPr>
                <w:rFonts w:cs="Times New Roman"/>
                <w:kern w:val="21"/>
                <w:sz w:val="21"/>
                <w:szCs w:val="21"/>
              </w:rPr>
              <w:t>等场内其他区域</w:t>
            </w:r>
          </w:p>
        </w:tc>
        <w:tc>
          <w:tcPr>
            <w:tcW w:w="3184" w:type="dxa"/>
            <w:vAlign w:val="center"/>
          </w:tcPr>
          <w:p w14:paraId="4727A936"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lastRenderedPageBreak/>
              <w:t>一般地面硬化</w:t>
            </w:r>
          </w:p>
        </w:tc>
        <w:tc>
          <w:tcPr>
            <w:tcW w:w="2501" w:type="dxa"/>
            <w:vAlign w:val="center"/>
          </w:tcPr>
          <w:p w14:paraId="57935089" w14:textId="77777777" w:rsidR="00544649" w:rsidRDefault="00000000">
            <w:pPr>
              <w:pStyle w:val="aff7"/>
              <w:adjustRightInd w:val="0"/>
              <w:snapToGrid w:val="0"/>
              <w:spacing w:before="62" w:after="62"/>
              <w:rPr>
                <w:rFonts w:cs="Times New Roman"/>
                <w:kern w:val="21"/>
                <w:szCs w:val="21"/>
              </w:rPr>
            </w:pPr>
            <w:r>
              <w:rPr>
                <w:rFonts w:cs="Times New Roman"/>
                <w:kern w:val="21"/>
                <w:szCs w:val="21"/>
              </w:rPr>
              <w:t>一般地面硬化</w:t>
            </w:r>
          </w:p>
        </w:tc>
      </w:tr>
    </w:tbl>
    <w:p w14:paraId="21E82260" w14:textId="77777777" w:rsidR="00544649" w:rsidRDefault="00000000">
      <w:pPr>
        <w:adjustRightInd w:val="0"/>
        <w:snapToGrid w:val="0"/>
        <w:spacing w:after="0"/>
        <w:ind w:firstLine="480"/>
        <w:rPr>
          <w:rFonts w:cs="Times New Roman"/>
          <w:kern w:val="21"/>
        </w:rPr>
      </w:pPr>
      <w:r>
        <w:rPr>
          <w:rFonts w:cs="Times New Roman"/>
          <w:kern w:val="21"/>
        </w:rPr>
        <w:t>此外，为预防地下水体污染，应建立地下水污染预警系统，在本项目场区内设置监控井，定期对地下水进行监测，防止本项目对地下水产生不利影响。</w:t>
      </w:r>
    </w:p>
    <w:p w14:paraId="617B93DD" w14:textId="77777777" w:rsidR="00544649" w:rsidRDefault="00000000">
      <w:pPr>
        <w:numPr>
          <w:ilvl w:val="0"/>
          <w:numId w:val="33"/>
        </w:numPr>
        <w:adjustRightInd w:val="0"/>
        <w:snapToGrid w:val="0"/>
        <w:spacing w:beforeLines="20" w:before="62" w:afterLines="20" w:after="62" w:line="240" w:lineRule="auto"/>
        <w:ind w:left="0" w:firstLineChars="0" w:firstLine="0"/>
        <w:jc w:val="center"/>
        <w:rPr>
          <w:rFonts w:cs="Times New Roman"/>
          <w:b/>
          <w:bCs/>
          <w:kern w:val="21"/>
          <w:sz w:val="21"/>
          <w:szCs w:val="21"/>
        </w:rPr>
      </w:pPr>
      <w:r>
        <w:rPr>
          <w:rFonts w:cs="Times New Roman"/>
          <w:b/>
          <w:bCs/>
          <w:kern w:val="21"/>
          <w:sz w:val="21"/>
          <w:szCs w:val="21"/>
        </w:rPr>
        <w:t>本项目</w:t>
      </w:r>
      <w:r>
        <w:rPr>
          <w:rFonts w:cs="Times New Roman" w:hint="eastAsia"/>
          <w:b/>
          <w:bCs/>
          <w:kern w:val="21"/>
          <w:sz w:val="21"/>
          <w:szCs w:val="21"/>
        </w:rPr>
        <w:t>监测计划要求</w:t>
      </w:r>
    </w:p>
    <w:tbl>
      <w:tblPr>
        <w:tblStyle w:val="afc"/>
        <w:tblW w:w="9060" w:type="dxa"/>
        <w:jc w:val="center"/>
        <w:tblLayout w:type="fixed"/>
        <w:tblLook w:val="04A0" w:firstRow="1" w:lastRow="0" w:firstColumn="1" w:lastColumn="0" w:noHBand="0" w:noVBand="1"/>
      </w:tblPr>
      <w:tblGrid>
        <w:gridCol w:w="960"/>
        <w:gridCol w:w="2551"/>
        <w:gridCol w:w="2125"/>
        <w:gridCol w:w="1294"/>
        <w:gridCol w:w="2130"/>
      </w:tblGrid>
      <w:tr w:rsidR="00544649" w14:paraId="7757EA3F" w14:textId="77777777">
        <w:trPr>
          <w:jc w:val="center"/>
        </w:trPr>
        <w:tc>
          <w:tcPr>
            <w:tcW w:w="960" w:type="dxa"/>
            <w:vAlign w:val="center"/>
          </w:tcPr>
          <w:p w14:paraId="5CE48111" w14:textId="77777777" w:rsidR="00544649" w:rsidRDefault="00000000">
            <w:pPr>
              <w:adjustRightInd w:val="0"/>
              <w:snapToGrid w:val="0"/>
              <w:spacing w:beforeLines="20" w:before="62" w:afterLines="20" w:after="62" w:line="240" w:lineRule="auto"/>
              <w:ind w:firstLineChars="0" w:firstLine="0"/>
              <w:jc w:val="center"/>
              <w:rPr>
                <w:b/>
                <w:bCs/>
                <w:sz w:val="21"/>
                <w:szCs w:val="21"/>
              </w:rPr>
            </w:pPr>
            <w:r>
              <w:rPr>
                <w:rFonts w:hint="eastAsia"/>
                <w:b/>
                <w:bCs/>
                <w:sz w:val="21"/>
                <w:szCs w:val="21"/>
              </w:rPr>
              <w:t>项目</w:t>
            </w:r>
          </w:p>
        </w:tc>
        <w:tc>
          <w:tcPr>
            <w:tcW w:w="2551" w:type="dxa"/>
            <w:vAlign w:val="center"/>
          </w:tcPr>
          <w:p w14:paraId="453845B6" w14:textId="77777777" w:rsidR="00544649" w:rsidRDefault="00000000">
            <w:pPr>
              <w:adjustRightInd w:val="0"/>
              <w:snapToGrid w:val="0"/>
              <w:spacing w:beforeLines="20" w:before="62" w:afterLines="20" w:after="62" w:line="240" w:lineRule="auto"/>
              <w:ind w:firstLineChars="0" w:firstLine="0"/>
              <w:jc w:val="center"/>
              <w:rPr>
                <w:b/>
                <w:bCs/>
                <w:sz w:val="21"/>
                <w:szCs w:val="21"/>
              </w:rPr>
            </w:pPr>
            <w:r>
              <w:rPr>
                <w:rFonts w:hint="eastAsia"/>
                <w:b/>
                <w:bCs/>
                <w:sz w:val="21"/>
                <w:szCs w:val="21"/>
              </w:rPr>
              <w:t>监测点位</w:t>
            </w:r>
          </w:p>
        </w:tc>
        <w:tc>
          <w:tcPr>
            <w:tcW w:w="2125" w:type="dxa"/>
            <w:vAlign w:val="center"/>
          </w:tcPr>
          <w:p w14:paraId="1AD73D79" w14:textId="77777777" w:rsidR="00544649" w:rsidRDefault="00000000">
            <w:pPr>
              <w:adjustRightInd w:val="0"/>
              <w:snapToGrid w:val="0"/>
              <w:spacing w:beforeLines="20" w:before="62" w:afterLines="20" w:after="62" w:line="240" w:lineRule="auto"/>
              <w:ind w:firstLineChars="0" w:firstLine="0"/>
              <w:jc w:val="center"/>
              <w:rPr>
                <w:b/>
                <w:bCs/>
                <w:sz w:val="21"/>
                <w:szCs w:val="21"/>
              </w:rPr>
            </w:pPr>
            <w:r>
              <w:rPr>
                <w:rFonts w:hint="eastAsia"/>
                <w:b/>
                <w:bCs/>
                <w:sz w:val="21"/>
                <w:szCs w:val="21"/>
              </w:rPr>
              <w:t>监测指标</w:t>
            </w:r>
          </w:p>
        </w:tc>
        <w:tc>
          <w:tcPr>
            <w:tcW w:w="1294" w:type="dxa"/>
            <w:vAlign w:val="center"/>
          </w:tcPr>
          <w:p w14:paraId="4E5E0314" w14:textId="77777777" w:rsidR="00544649" w:rsidRDefault="00000000">
            <w:pPr>
              <w:adjustRightInd w:val="0"/>
              <w:snapToGrid w:val="0"/>
              <w:spacing w:beforeLines="20" w:before="62" w:afterLines="20" w:after="62" w:line="240" w:lineRule="auto"/>
              <w:ind w:firstLineChars="0" w:firstLine="0"/>
              <w:jc w:val="center"/>
              <w:rPr>
                <w:b/>
                <w:bCs/>
                <w:sz w:val="21"/>
                <w:szCs w:val="21"/>
              </w:rPr>
            </w:pPr>
            <w:r>
              <w:rPr>
                <w:rFonts w:hint="eastAsia"/>
                <w:b/>
                <w:bCs/>
                <w:sz w:val="21"/>
                <w:szCs w:val="21"/>
              </w:rPr>
              <w:t>监测频次</w:t>
            </w:r>
          </w:p>
        </w:tc>
        <w:tc>
          <w:tcPr>
            <w:tcW w:w="2130" w:type="dxa"/>
            <w:vAlign w:val="center"/>
          </w:tcPr>
          <w:p w14:paraId="07A8F1FB" w14:textId="77777777" w:rsidR="00544649" w:rsidRDefault="00000000">
            <w:pPr>
              <w:adjustRightInd w:val="0"/>
              <w:snapToGrid w:val="0"/>
              <w:spacing w:beforeLines="20" w:before="62" w:afterLines="20" w:after="62" w:line="240" w:lineRule="auto"/>
              <w:ind w:firstLineChars="0" w:firstLine="0"/>
              <w:jc w:val="center"/>
              <w:rPr>
                <w:b/>
                <w:bCs/>
                <w:sz w:val="21"/>
                <w:szCs w:val="21"/>
              </w:rPr>
            </w:pPr>
            <w:r>
              <w:rPr>
                <w:rFonts w:hint="eastAsia"/>
                <w:b/>
                <w:bCs/>
                <w:sz w:val="21"/>
                <w:szCs w:val="21"/>
              </w:rPr>
              <w:t>执行标准</w:t>
            </w:r>
          </w:p>
        </w:tc>
      </w:tr>
      <w:tr w:rsidR="00544649" w14:paraId="71F30E3A" w14:textId="77777777">
        <w:trPr>
          <w:jc w:val="center"/>
        </w:trPr>
        <w:tc>
          <w:tcPr>
            <w:tcW w:w="960" w:type="dxa"/>
            <w:vAlign w:val="center"/>
          </w:tcPr>
          <w:p w14:paraId="02C25858" w14:textId="77777777" w:rsidR="00544649" w:rsidRDefault="00000000">
            <w:pPr>
              <w:adjustRightInd w:val="0"/>
              <w:snapToGrid w:val="0"/>
              <w:spacing w:beforeLines="20" w:before="62" w:afterLines="20" w:after="62" w:line="240" w:lineRule="auto"/>
              <w:ind w:firstLineChars="0" w:firstLine="0"/>
              <w:jc w:val="center"/>
              <w:rPr>
                <w:sz w:val="21"/>
                <w:szCs w:val="21"/>
              </w:rPr>
            </w:pPr>
            <w:r>
              <w:rPr>
                <w:rFonts w:hint="eastAsia"/>
                <w:sz w:val="21"/>
                <w:szCs w:val="21"/>
              </w:rPr>
              <w:t>地下水</w:t>
            </w:r>
          </w:p>
        </w:tc>
        <w:tc>
          <w:tcPr>
            <w:tcW w:w="2551" w:type="dxa"/>
            <w:vAlign w:val="center"/>
          </w:tcPr>
          <w:p w14:paraId="74C3D958" w14:textId="77777777" w:rsidR="00544649" w:rsidRDefault="00000000">
            <w:pPr>
              <w:adjustRightInd w:val="0"/>
              <w:snapToGrid w:val="0"/>
              <w:spacing w:beforeLines="20" w:before="62" w:afterLines="20" w:after="62" w:line="240" w:lineRule="auto"/>
              <w:ind w:firstLineChars="0" w:firstLine="0"/>
              <w:jc w:val="center"/>
              <w:rPr>
                <w:sz w:val="21"/>
                <w:szCs w:val="21"/>
              </w:rPr>
            </w:pPr>
            <w:proofErr w:type="gramStart"/>
            <w:r>
              <w:rPr>
                <w:rFonts w:hint="eastAsia"/>
                <w:sz w:val="21"/>
                <w:szCs w:val="21"/>
              </w:rPr>
              <w:t>育雏场</w:t>
            </w:r>
            <w:proofErr w:type="gramEnd"/>
            <w:r>
              <w:rPr>
                <w:rFonts w:hint="eastAsia"/>
                <w:sz w:val="21"/>
                <w:szCs w:val="21"/>
              </w:rPr>
              <w:t>下游</w:t>
            </w:r>
            <w:r>
              <w:rPr>
                <w:rFonts w:hint="eastAsia"/>
                <w:sz w:val="21"/>
                <w:szCs w:val="21"/>
              </w:rPr>
              <w:t>1#</w:t>
            </w:r>
            <w:r>
              <w:rPr>
                <w:rFonts w:hint="eastAsia"/>
                <w:sz w:val="21"/>
                <w:szCs w:val="21"/>
              </w:rPr>
              <w:t>水井（</w:t>
            </w:r>
            <w:r>
              <w:rPr>
                <w:rFonts w:hint="eastAsia"/>
                <w:sz w:val="21"/>
                <w:szCs w:val="21"/>
              </w:rPr>
              <w:t>E</w:t>
            </w:r>
            <w:r>
              <w:rPr>
                <w:sz w:val="21"/>
                <w:szCs w:val="21"/>
              </w:rPr>
              <w:t>105.6</w:t>
            </w:r>
            <w:r>
              <w:rPr>
                <w:rFonts w:hint="eastAsia"/>
                <w:sz w:val="21"/>
                <w:szCs w:val="21"/>
              </w:rPr>
              <w:t>0872</w:t>
            </w:r>
            <w:r>
              <w:rPr>
                <w:sz w:val="21"/>
                <w:szCs w:val="21"/>
              </w:rPr>
              <w:t>4</w:t>
            </w:r>
            <w:r>
              <w:rPr>
                <w:kern w:val="21"/>
                <w:sz w:val="21"/>
                <w:szCs w:val="21"/>
                <w:lang w:bidi="ar"/>
              </w:rPr>
              <w:t>°</w:t>
            </w:r>
            <w:r>
              <w:rPr>
                <w:rFonts w:hint="eastAsia"/>
                <w:sz w:val="21"/>
                <w:szCs w:val="21"/>
              </w:rPr>
              <w:t>，</w:t>
            </w:r>
            <w:r>
              <w:rPr>
                <w:rFonts w:hint="eastAsia"/>
                <w:sz w:val="21"/>
                <w:szCs w:val="21"/>
              </w:rPr>
              <w:t>N</w:t>
            </w:r>
            <w:r>
              <w:rPr>
                <w:sz w:val="21"/>
                <w:szCs w:val="21"/>
              </w:rPr>
              <w:t>32.16</w:t>
            </w:r>
            <w:r>
              <w:rPr>
                <w:rFonts w:hint="eastAsia"/>
                <w:sz w:val="21"/>
                <w:szCs w:val="21"/>
              </w:rPr>
              <w:t>5419</w:t>
            </w:r>
            <w:r>
              <w:rPr>
                <w:kern w:val="21"/>
                <w:sz w:val="21"/>
                <w:szCs w:val="21"/>
                <w:lang w:bidi="ar"/>
              </w:rPr>
              <w:t>°</w:t>
            </w:r>
            <w:r>
              <w:rPr>
                <w:rFonts w:hint="eastAsia"/>
                <w:sz w:val="21"/>
                <w:szCs w:val="21"/>
              </w:rPr>
              <w:t>）；</w:t>
            </w:r>
          </w:p>
          <w:p w14:paraId="1875F9B6" w14:textId="77777777" w:rsidR="00544649" w:rsidRDefault="00000000">
            <w:pPr>
              <w:adjustRightInd w:val="0"/>
              <w:snapToGrid w:val="0"/>
              <w:spacing w:beforeLines="20" w:before="62" w:afterLines="20" w:after="62" w:line="240" w:lineRule="auto"/>
              <w:ind w:firstLineChars="0" w:firstLine="0"/>
              <w:jc w:val="center"/>
              <w:rPr>
                <w:sz w:val="21"/>
                <w:szCs w:val="21"/>
              </w:rPr>
            </w:pPr>
            <w:r>
              <w:rPr>
                <w:rFonts w:hint="eastAsia"/>
                <w:sz w:val="21"/>
                <w:szCs w:val="21"/>
              </w:rPr>
              <w:t>蛋鸡场下游</w:t>
            </w:r>
            <w:r>
              <w:rPr>
                <w:rFonts w:hint="eastAsia"/>
                <w:sz w:val="21"/>
                <w:szCs w:val="21"/>
              </w:rPr>
              <w:t>2#</w:t>
            </w:r>
            <w:r>
              <w:rPr>
                <w:rFonts w:hint="eastAsia"/>
                <w:sz w:val="21"/>
                <w:szCs w:val="21"/>
              </w:rPr>
              <w:t>水井（</w:t>
            </w:r>
            <w:r>
              <w:rPr>
                <w:rFonts w:hint="eastAsia"/>
                <w:sz w:val="21"/>
                <w:szCs w:val="21"/>
              </w:rPr>
              <w:t>E</w:t>
            </w:r>
            <w:r>
              <w:rPr>
                <w:sz w:val="21"/>
                <w:szCs w:val="21"/>
              </w:rPr>
              <w:t>105.6</w:t>
            </w:r>
            <w:r>
              <w:rPr>
                <w:rFonts w:hint="eastAsia"/>
                <w:sz w:val="21"/>
                <w:szCs w:val="21"/>
              </w:rPr>
              <w:t>1222</w:t>
            </w:r>
            <w:r>
              <w:rPr>
                <w:sz w:val="21"/>
                <w:szCs w:val="21"/>
              </w:rPr>
              <w:t>4</w:t>
            </w:r>
            <w:r>
              <w:rPr>
                <w:kern w:val="21"/>
                <w:sz w:val="21"/>
                <w:szCs w:val="21"/>
                <w:lang w:bidi="ar"/>
              </w:rPr>
              <w:t>°</w:t>
            </w:r>
            <w:r>
              <w:rPr>
                <w:rFonts w:hint="eastAsia"/>
                <w:sz w:val="21"/>
                <w:szCs w:val="21"/>
              </w:rPr>
              <w:t>，</w:t>
            </w:r>
            <w:r>
              <w:rPr>
                <w:rFonts w:hint="eastAsia"/>
                <w:sz w:val="21"/>
                <w:szCs w:val="21"/>
              </w:rPr>
              <w:t>N</w:t>
            </w:r>
            <w:r>
              <w:rPr>
                <w:sz w:val="21"/>
                <w:szCs w:val="21"/>
              </w:rPr>
              <w:t>32.16</w:t>
            </w:r>
            <w:r>
              <w:rPr>
                <w:rFonts w:hint="eastAsia"/>
                <w:sz w:val="21"/>
                <w:szCs w:val="21"/>
              </w:rPr>
              <w:t>1073</w:t>
            </w:r>
            <w:r>
              <w:rPr>
                <w:kern w:val="21"/>
                <w:sz w:val="21"/>
                <w:szCs w:val="21"/>
                <w:lang w:bidi="ar"/>
              </w:rPr>
              <w:t>°</w:t>
            </w:r>
            <w:r>
              <w:rPr>
                <w:rFonts w:hint="eastAsia"/>
                <w:sz w:val="21"/>
                <w:szCs w:val="21"/>
              </w:rPr>
              <w:t>）</w:t>
            </w:r>
          </w:p>
        </w:tc>
        <w:tc>
          <w:tcPr>
            <w:tcW w:w="2125" w:type="dxa"/>
            <w:vAlign w:val="center"/>
          </w:tcPr>
          <w:p w14:paraId="00F98586" w14:textId="77777777" w:rsidR="00544649" w:rsidRDefault="00000000">
            <w:pPr>
              <w:adjustRightInd w:val="0"/>
              <w:snapToGrid w:val="0"/>
              <w:spacing w:beforeLines="20" w:before="62" w:afterLines="20" w:after="62" w:line="240" w:lineRule="auto"/>
              <w:ind w:firstLineChars="0" w:firstLine="0"/>
              <w:jc w:val="center"/>
              <w:rPr>
                <w:sz w:val="21"/>
                <w:szCs w:val="21"/>
              </w:rPr>
            </w:pPr>
            <w:r>
              <w:rPr>
                <w:rFonts w:cs="Times New Roman"/>
                <w:kern w:val="21"/>
                <w:sz w:val="21"/>
                <w:szCs w:val="21"/>
              </w:rPr>
              <w:t>K</w:t>
            </w:r>
            <w:r>
              <w:rPr>
                <w:rFonts w:cs="Times New Roman"/>
                <w:kern w:val="21"/>
                <w:sz w:val="21"/>
                <w:szCs w:val="21"/>
                <w:vertAlign w:val="superscript"/>
              </w:rPr>
              <w:t>+</w:t>
            </w:r>
            <w:r>
              <w:rPr>
                <w:rFonts w:cs="Times New Roman"/>
                <w:kern w:val="21"/>
                <w:sz w:val="21"/>
                <w:szCs w:val="21"/>
              </w:rPr>
              <w:t>、</w:t>
            </w:r>
            <w:r>
              <w:rPr>
                <w:rFonts w:cs="Times New Roman"/>
                <w:kern w:val="21"/>
                <w:sz w:val="21"/>
                <w:szCs w:val="21"/>
              </w:rPr>
              <w:t>Na</w:t>
            </w:r>
            <w:r>
              <w:rPr>
                <w:rFonts w:cs="Times New Roman"/>
                <w:kern w:val="21"/>
                <w:sz w:val="21"/>
                <w:szCs w:val="21"/>
                <w:vertAlign w:val="superscript"/>
              </w:rPr>
              <w:t>+</w:t>
            </w:r>
            <w:r>
              <w:rPr>
                <w:rFonts w:cs="Times New Roman"/>
                <w:kern w:val="21"/>
                <w:sz w:val="21"/>
                <w:szCs w:val="21"/>
              </w:rPr>
              <w:t>、</w:t>
            </w:r>
            <w:r>
              <w:rPr>
                <w:rFonts w:cs="Times New Roman"/>
                <w:kern w:val="21"/>
                <w:sz w:val="21"/>
                <w:szCs w:val="21"/>
              </w:rPr>
              <w:t>Ca</w:t>
            </w:r>
            <w:r>
              <w:rPr>
                <w:rFonts w:cs="Times New Roman"/>
                <w:kern w:val="21"/>
                <w:sz w:val="21"/>
                <w:szCs w:val="21"/>
                <w:vertAlign w:val="superscript"/>
              </w:rPr>
              <w:t>2+</w:t>
            </w:r>
            <w:r>
              <w:rPr>
                <w:rFonts w:cs="Times New Roman"/>
                <w:kern w:val="21"/>
                <w:sz w:val="21"/>
                <w:szCs w:val="21"/>
              </w:rPr>
              <w:t>、</w:t>
            </w:r>
            <w:r>
              <w:rPr>
                <w:rFonts w:cs="Times New Roman"/>
                <w:kern w:val="21"/>
                <w:sz w:val="21"/>
                <w:szCs w:val="21"/>
              </w:rPr>
              <w:t>Mg</w:t>
            </w:r>
            <w:r>
              <w:rPr>
                <w:rFonts w:cs="Times New Roman"/>
                <w:kern w:val="21"/>
                <w:sz w:val="21"/>
                <w:szCs w:val="21"/>
                <w:vertAlign w:val="superscript"/>
              </w:rPr>
              <w:t>2+</w:t>
            </w:r>
            <w:r>
              <w:rPr>
                <w:rFonts w:cs="Times New Roman"/>
                <w:kern w:val="21"/>
                <w:sz w:val="21"/>
                <w:szCs w:val="21"/>
              </w:rPr>
              <w:t>、</w:t>
            </w:r>
            <w:r>
              <w:rPr>
                <w:rFonts w:cs="Times New Roman"/>
                <w:kern w:val="21"/>
                <w:sz w:val="21"/>
                <w:szCs w:val="21"/>
              </w:rPr>
              <w:t>CO</w:t>
            </w:r>
            <w:r>
              <w:rPr>
                <w:rFonts w:cs="Times New Roman"/>
                <w:kern w:val="21"/>
                <w:sz w:val="21"/>
                <w:szCs w:val="21"/>
                <w:vertAlign w:val="subscript"/>
              </w:rPr>
              <w:t>3</w:t>
            </w:r>
            <w:r>
              <w:rPr>
                <w:rFonts w:cs="Times New Roman"/>
                <w:kern w:val="21"/>
                <w:sz w:val="21"/>
                <w:szCs w:val="21"/>
                <w:vertAlign w:val="superscript"/>
              </w:rPr>
              <w:t>2-</w:t>
            </w:r>
            <w:r>
              <w:rPr>
                <w:rFonts w:cs="Times New Roman"/>
                <w:kern w:val="21"/>
                <w:sz w:val="21"/>
                <w:szCs w:val="21"/>
              </w:rPr>
              <w:t>、</w:t>
            </w:r>
            <w:r>
              <w:rPr>
                <w:rFonts w:cs="Times New Roman"/>
                <w:kern w:val="21"/>
                <w:sz w:val="21"/>
                <w:szCs w:val="21"/>
              </w:rPr>
              <w:t>HCO</w:t>
            </w:r>
            <w:r>
              <w:rPr>
                <w:rFonts w:cs="Times New Roman"/>
                <w:kern w:val="21"/>
                <w:sz w:val="21"/>
                <w:szCs w:val="21"/>
                <w:vertAlign w:val="subscript"/>
              </w:rPr>
              <w:t>3</w:t>
            </w:r>
            <w:r>
              <w:rPr>
                <w:rFonts w:cs="Times New Roman"/>
                <w:kern w:val="21"/>
                <w:sz w:val="21"/>
                <w:szCs w:val="21"/>
                <w:vertAlign w:val="superscript"/>
              </w:rPr>
              <w:t>-</w:t>
            </w:r>
            <w:r>
              <w:rPr>
                <w:rFonts w:cs="Times New Roman"/>
                <w:kern w:val="21"/>
                <w:sz w:val="21"/>
                <w:szCs w:val="21"/>
              </w:rPr>
              <w:t>、</w:t>
            </w:r>
            <w:r>
              <w:rPr>
                <w:rFonts w:cs="Times New Roman"/>
                <w:kern w:val="21"/>
                <w:sz w:val="21"/>
                <w:szCs w:val="21"/>
              </w:rPr>
              <w:t>Cl</w:t>
            </w:r>
            <w:r>
              <w:rPr>
                <w:rFonts w:cs="Times New Roman"/>
                <w:kern w:val="21"/>
                <w:sz w:val="21"/>
                <w:szCs w:val="21"/>
                <w:vertAlign w:val="superscript"/>
              </w:rPr>
              <w:t>-</w:t>
            </w:r>
            <w:r>
              <w:rPr>
                <w:rFonts w:cs="Times New Roman"/>
                <w:kern w:val="21"/>
                <w:sz w:val="21"/>
                <w:szCs w:val="21"/>
              </w:rPr>
              <w:t>、</w:t>
            </w:r>
            <w:r>
              <w:rPr>
                <w:rFonts w:cs="Times New Roman"/>
                <w:kern w:val="21"/>
                <w:sz w:val="21"/>
                <w:szCs w:val="21"/>
              </w:rPr>
              <w:t>SO</w:t>
            </w:r>
            <w:r>
              <w:rPr>
                <w:rFonts w:cs="Times New Roman"/>
                <w:kern w:val="21"/>
                <w:sz w:val="21"/>
                <w:szCs w:val="21"/>
                <w:vertAlign w:val="subscript"/>
              </w:rPr>
              <w:t>4</w:t>
            </w:r>
            <w:r>
              <w:rPr>
                <w:rFonts w:cs="Times New Roman"/>
                <w:kern w:val="21"/>
                <w:sz w:val="21"/>
                <w:szCs w:val="21"/>
                <w:vertAlign w:val="superscript"/>
              </w:rPr>
              <w:t>2-</w:t>
            </w:r>
            <w:r>
              <w:rPr>
                <w:rFonts w:cs="Times New Roman"/>
                <w:kern w:val="21"/>
                <w:sz w:val="21"/>
                <w:szCs w:val="21"/>
              </w:rPr>
              <w:t>浓度、</w:t>
            </w:r>
            <w:r>
              <w:rPr>
                <w:rFonts w:cs="Times New Roman"/>
                <w:kern w:val="21"/>
                <w:sz w:val="21"/>
                <w:szCs w:val="21"/>
              </w:rPr>
              <w:t>pH</w:t>
            </w:r>
            <w:r>
              <w:rPr>
                <w:rFonts w:cs="Times New Roman"/>
                <w:kern w:val="21"/>
                <w:sz w:val="21"/>
                <w:szCs w:val="21"/>
              </w:rPr>
              <w:t>、氨氮、硝酸盐、总硬度、亚硝酸盐、溶解性总固体、耗氧量、总大肠菌群</w:t>
            </w:r>
          </w:p>
        </w:tc>
        <w:tc>
          <w:tcPr>
            <w:tcW w:w="1294" w:type="dxa"/>
            <w:vAlign w:val="center"/>
          </w:tcPr>
          <w:p w14:paraId="7F842750" w14:textId="77777777" w:rsidR="00544649" w:rsidRDefault="00000000">
            <w:pPr>
              <w:adjustRightInd w:val="0"/>
              <w:snapToGrid w:val="0"/>
              <w:spacing w:beforeLines="20" w:before="62" w:afterLines="20" w:after="62" w:line="240" w:lineRule="auto"/>
              <w:ind w:firstLineChars="0" w:firstLine="0"/>
              <w:jc w:val="center"/>
              <w:rPr>
                <w:sz w:val="21"/>
                <w:szCs w:val="21"/>
              </w:rPr>
            </w:pPr>
            <w:r>
              <w:rPr>
                <w:rFonts w:cs="Times New Roman"/>
                <w:kern w:val="21"/>
                <w:sz w:val="21"/>
                <w:szCs w:val="21"/>
              </w:rPr>
              <w:t>每年</w:t>
            </w:r>
            <w:r>
              <w:rPr>
                <w:rFonts w:cs="Times New Roman"/>
                <w:kern w:val="21"/>
                <w:sz w:val="21"/>
                <w:szCs w:val="21"/>
              </w:rPr>
              <w:t>1</w:t>
            </w:r>
            <w:r>
              <w:rPr>
                <w:rFonts w:cs="Times New Roman"/>
                <w:kern w:val="21"/>
                <w:sz w:val="21"/>
                <w:szCs w:val="21"/>
              </w:rPr>
              <w:t>次</w:t>
            </w:r>
          </w:p>
        </w:tc>
        <w:tc>
          <w:tcPr>
            <w:tcW w:w="2130" w:type="dxa"/>
            <w:vAlign w:val="center"/>
          </w:tcPr>
          <w:p w14:paraId="0BE52CC4" w14:textId="77777777" w:rsidR="00544649" w:rsidRDefault="00000000">
            <w:pPr>
              <w:adjustRightInd w:val="0"/>
              <w:snapToGrid w:val="0"/>
              <w:spacing w:beforeLines="20" w:before="62" w:afterLines="20" w:after="62" w:line="240" w:lineRule="auto"/>
              <w:ind w:firstLineChars="0" w:firstLine="0"/>
              <w:jc w:val="center"/>
              <w:rPr>
                <w:sz w:val="21"/>
                <w:szCs w:val="21"/>
              </w:rPr>
            </w:pPr>
            <w:r>
              <w:rPr>
                <w:rFonts w:cs="Times New Roman"/>
                <w:kern w:val="21"/>
                <w:sz w:val="21"/>
                <w:szCs w:val="21"/>
              </w:rPr>
              <w:t>《地下水质量标准》（</w:t>
            </w:r>
            <w:r>
              <w:rPr>
                <w:rFonts w:cs="Times New Roman"/>
                <w:kern w:val="21"/>
                <w:sz w:val="21"/>
                <w:szCs w:val="21"/>
              </w:rPr>
              <w:t>GB/T14848-2017</w:t>
            </w:r>
            <w:r>
              <w:rPr>
                <w:rFonts w:cs="Times New Roman"/>
                <w:kern w:val="21"/>
                <w:sz w:val="21"/>
                <w:szCs w:val="21"/>
              </w:rPr>
              <w:t>）中</w:t>
            </w:r>
            <w:r>
              <w:rPr>
                <w:rFonts w:cs="Times New Roman"/>
                <w:kern w:val="21"/>
                <w:sz w:val="21"/>
                <w:szCs w:val="21"/>
              </w:rPr>
              <w:t>III</w:t>
            </w:r>
            <w:r>
              <w:rPr>
                <w:rFonts w:cs="Times New Roman"/>
                <w:kern w:val="21"/>
                <w:sz w:val="21"/>
                <w:szCs w:val="21"/>
              </w:rPr>
              <w:t>类标准</w:t>
            </w:r>
          </w:p>
        </w:tc>
      </w:tr>
    </w:tbl>
    <w:p w14:paraId="1475BBA9" w14:textId="77777777" w:rsidR="00544649" w:rsidRDefault="00000000">
      <w:pPr>
        <w:adjustRightInd w:val="0"/>
        <w:snapToGrid w:val="0"/>
        <w:spacing w:after="0"/>
        <w:ind w:firstLine="480"/>
        <w:rPr>
          <w:rFonts w:cs="Times New Roman"/>
          <w:kern w:val="21"/>
        </w:rPr>
      </w:pPr>
      <w:r>
        <w:rPr>
          <w:rFonts w:cs="Times New Roman" w:hint="eastAsia"/>
          <w:kern w:val="21"/>
        </w:rPr>
        <w:t>综上分析，评价认为在上述相关措施得到切实落实的前提下，项目实施对</w:t>
      </w:r>
      <w:proofErr w:type="gramStart"/>
      <w:r>
        <w:rPr>
          <w:rFonts w:cs="Times New Roman" w:hint="eastAsia"/>
          <w:kern w:val="21"/>
        </w:rPr>
        <w:t>评价区</w:t>
      </w:r>
      <w:proofErr w:type="gramEnd"/>
      <w:r>
        <w:rPr>
          <w:rFonts w:cs="Times New Roman" w:hint="eastAsia"/>
          <w:kern w:val="21"/>
        </w:rPr>
        <w:t>地下水环境不会造成污染影响，不改变其现有水环境现状和功能。</w:t>
      </w:r>
      <w:r>
        <w:rPr>
          <w:rFonts w:cs="Times New Roman"/>
          <w:kern w:val="21"/>
        </w:rPr>
        <w:t>项目地下水污染防治措施有效，经济技术可行。</w:t>
      </w:r>
    </w:p>
    <w:p w14:paraId="03AD0E27"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393" w:name="_Toc195009926"/>
      <w:r>
        <w:rPr>
          <w:rFonts w:cs="Times New Roman"/>
          <w:b/>
          <w:bCs/>
          <w:kern w:val="21"/>
          <w:sz w:val="28"/>
          <w:szCs w:val="24"/>
        </w:rPr>
        <w:t>生态环境保护措施论证</w:t>
      </w:r>
      <w:bookmarkEnd w:id="393"/>
    </w:p>
    <w:p w14:paraId="210493C9" w14:textId="77777777" w:rsidR="00544649" w:rsidRDefault="00000000">
      <w:pPr>
        <w:adjustRightInd w:val="0"/>
        <w:snapToGrid w:val="0"/>
        <w:spacing w:after="0"/>
        <w:ind w:firstLine="482"/>
        <w:rPr>
          <w:rFonts w:cs="Times New Roman"/>
          <w:b/>
          <w:bCs/>
          <w:kern w:val="21"/>
        </w:rPr>
      </w:pPr>
      <w:r>
        <w:rPr>
          <w:rFonts w:cs="Times New Roman" w:hint="eastAsia"/>
          <w:b/>
          <w:bCs/>
          <w:kern w:val="21"/>
        </w:rPr>
        <w:t>1</w:t>
      </w:r>
      <w:r>
        <w:rPr>
          <w:rFonts w:cs="Times New Roman" w:hint="eastAsia"/>
          <w:b/>
          <w:bCs/>
          <w:kern w:val="21"/>
        </w:rPr>
        <w:t>、生态环境保护措施</w:t>
      </w:r>
    </w:p>
    <w:p w14:paraId="47A6408A" w14:textId="77777777" w:rsidR="00544649" w:rsidRDefault="00000000">
      <w:pPr>
        <w:adjustRightInd w:val="0"/>
        <w:snapToGrid w:val="0"/>
        <w:spacing w:after="0"/>
        <w:ind w:firstLine="480"/>
        <w:rPr>
          <w:rFonts w:cs="Times New Roman"/>
          <w:kern w:val="21"/>
        </w:rPr>
      </w:pPr>
      <w:r>
        <w:rPr>
          <w:rFonts w:cs="Times New Roman"/>
          <w:kern w:val="21"/>
        </w:rPr>
        <w:t>为进一步降低工程排污对环境的影响，充分发挥绿化带的作用和功能，结合本工程平面布置特点，评价提出以下要求和措施：</w:t>
      </w:r>
    </w:p>
    <w:p w14:paraId="5006C2A7"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1</w:t>
      </w:r>
      <w:r>
        <w:rPr>
          <w:rFonts w:cs="Times New Roman"/>
          <w:kern w:val="21"/>
        </w:rPr>
        <w:t>）针对工程主要运输路线，要求企业对道路实施绿化，以高大树冠及乔木结合形成隔离带以</w:t>
      </w:r>
      <w:r>
        <w:rPr>
          <w:rFonts w:cs="Times New Roman" w:hint="eastAsia"/>
          <w:kern w:val="21"/>
        </w:rPr>
        <w:t>遮阴</w:t>
      </w:r>
      <w:r>
        <w:rPr>
          <w:rFonts w:cs="Times New Roman"/>
          <w:kern w:val="21"/>
        </w:rPr>
        <w:t>、抑尘。</w:t>
      </w:r>
    </w:p>
    <w:p w14:paraId="2E665650"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2</w:t>
      </w:r>
      <w:r>
        <w:rPr>
          <w:rFonts w:cs="Times New Roman"/>
          <w:kern w:val="21"/>
        </w:rPr>
        <w:t>）生活管理区应以绿化美化为主。绿化方式为灌、乔、草立体植物种植为主，并结合四季花卉植物形成良好景观。鸡舍四周空闲地带以灌木绿篱、草皮种植结合代替裸地。</w:t>
      </w:r>
    </w:p>
    <w:p w14:paraId="270A0624"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3</w:t>
      </w:r>
      <w:r>
        <w:rPr>
          <w:rFonts w:cs="Times New Roman"/>
          <w:kern w:val="21"/>
        </w:rPr>
        <w:t>）植物物种以适宜当地生长的土生物种。</w:t>
      </w:r>
    </w:p>
    <w:p w14:paraId="469A6D11"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4</w:t>
      </w:r>
      <w:r>
        <w:rPr>
          <w:rFonts w:cs="Times New Roman"/>
          <w:kern w:val="21"/>
        </w:rPr>
        <w:t>）采取严格的运营</w:t>
      </w:r>
      <w:proofErr w:type="gramStart"/>
      <w:r>
        <w:rPr>
          <w:rFonts w:cs="Times New Roman"/>
          <w:kern w:val="21"/>
        </w:rPr>
        <w:t>期污染</w:t>
      </w:r>
      <w:proofErr w:type="gramEnd"/>
      <w:r>
        <w:rPr>
          <w:rFonts w:cs="Times New Roman"/>
          <w:kern w:val="21"/>
        </w:rPr>
        <w:t>控制方案，减少工程污染排放对生态的影响。</w:t>
      </w:r>
    </w:p>
    <w:p w14:paraId="2D5704C9"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5</w:t>
      </w:r>
      <w:r>
        <w:rPr>
          <w:rFonts w:cs="Times New Roman"/>
          <w:kern w:val="21"/>
        </w:rPr>
        <w:t>）从区域生态状况和有关的政策要求出发，评价要求企业应树立</w:t>
      </w:r>
      <w:r>
        <w:rPr>
          <w:rFonts w:cs="Times New Roman" w:hint="eastAsia"/>
          <w:kern w:val="21"/>
        </w:rPr>
        <w:t>“</w:t>
      </w:r>
      <w:r>
        <w:rPr>
          <w:rFonts w:cs="Times New Roman"/>
          <w:kern w:val="21"/>
        </w:rPr>
        <w:t>建设本地区生态模范企业</w:t>
      </w:r>
      <w:r>
        <w:rPr>
          <w:rFonts w:cs="Times New Roman" w:hint="eastAsia"/>
          <w:kern w:val="21"/>
        </w:rPr>
        <w:t>”</w:t>
      </w:r>
      <w:r>
        <w:rPr>
          <w:rFonts w:cs="Times New Roman"/>
          <w:kern w:val="21"/>
        </w:rPr>
        <w:t>为目标，将环境保护与生态建设放在与经营利益同等重要的位置，进行绿化、美化及协调性的景观设计，为区域生态建设</w:t>
      </w:r>
      <w:proofErr w:type="gramStart"/>
      <w:r>
        <w:rPr>
          <w:rFonts w:cs="Times New Roman"/>
          <w:kern w:val="21"/>
        </w:rPr>
        <w:t>作出</w:t>
      </w:r>
      <w:proofErr w:type="gramEnd"/>
      <w:r>
        <w:rPr>
          <w:rFonts w:cs="Times New Roman"/>
          <w:kern w:val="21"/>
        </w:rPr>
        <w:t>典范。</w:t>
      </w:r>
    </w:p>
    <w:p w14:paraId="7E5F642A" w14:textId="77777777" w:rsidR="00544649" w:rsidRDefault="00000000">
      <w:pPr>
        <w:widowControl/>
        <w:adjustRightInd w:val="0"/>
        <w:snapToGrid w:val="0"/>
        <w:spacing w:after="0"/>
        <w:ind w:firstLine="482"/>
        <w:jc w:val="left"/>
        <w:rPr>
          <w:kern w:val="21"/>
        </w:rPr>
      </w:pPr>
      <w:r>
        <w:rPr>
          <w:rFonts w:cs="Times New Roman" w:hint="eastAsia"/>
          <w:b/>
          <w:bCs/>
          <w:kern w:val="21"/>
          <w:szCs w:val="24"/>
          <w:lang w:bidi="ar"/>
        </w:rPr>
        <w:t>2</w:t>
      </w:r>
      <w:r>
        <w:rPr>
          <w:rFonts w:ascii="宋体" w:hAnsi="宋体" w:cs="宋体" w:hint="eastAsia"/>
          <w:b/>
          <w:bCs/>
          <w:kern w:val="21"/>
          <w:szCs w:val="24"/>
          <w:lang w:bidi="ar"/>
        </w:rPr>
        <w:t>、服务期满后土地复垦要求</w:t>
      </w:r>
    </w:p>
    <w:p w14:paraId="2C929499" w14:textId="77777777" w:rsidR="00544649" w:rsidRDefault="00000000">
      <w:pPr>
        <w:adjustRightInd w:val="0"/>
        <w:snapToGrid w:val="0"/>
        <w:spacing w:after="0"/>
        <w:ind w:firstLine="480"/>
        <w:rPr>
          <w:kern w:val="21"/>
        </w:rPr>
      </w:pPr>
      <w:r>
        <w:rPr>
          <w:rFonts w:hint="eastAsia"/>
          <w:kern w:val="21"/>
        </w:rPr>
        <w:t>（</w:t>
      </w:r>
      <w:r>
        <w:rPr>
          <w:kern w:val="21"/>
        </w:rPr>
        <w:t>1</w:t>
      </w:r>
      <w:r>
        <w:rPr>
          <w:rFonts w:hint="eastAsia"/>
          <w:kern w:val="21"/>
        </w:rPr>
        <w:t>）所占地的用途为修建养鸡场，硬化区域有鸡舍、蛋库、配电室、备用发电机房、储油间、污水处理区、生活区等，工程完工后即可恢复到原使用要求，不会对现</w:t>
      </w:r>
      <w:r>
        <w:rPr>
          <w:rFonts w:hint="eastAsia"/>
          <w:kern w:val="21"/>
        </w:rPr>
        <w:lastRenderedPageBreak/>
        <w:t>有土地改变原貌、损毁。复垦过程没有难度，对自然环境不会造成破。</w:t>
      </w:r>
    </w:p>
    <w:p w14:paraId="0E5B7672" w14:textId="77777777" w:rsidR="00544649" w:rsidRDefault="00000000">
      <w:pPr>
        <w:adjustRightInd w:val="0"/>
        <w:snapToGrid w:val="0"/>
        <w:spacing w:after="0"/>
        <w:ind w:firstLine="480"/>
        <w:rPr>
          <w:kern w:val="21"/>
        </w:rPr>
      </w:pPr>
      <w:r>
        <w:rPr>
          <w:rFonts w:hint="eastAsia"/>
          <w:kern w:val="21"/>
        </w:rPr>
        <w:t>（</w:t>
      </w:r>
      <w:r>
        <w:rPr>
          <w:kern w:val="21"/>
        </w:rPr>
        <w:t>2</w:t>
      </w:r>
      <w:r>
        <w:rPr>
          <w:rFonts w:hint="eastAsia"/>
          <w:kern w:val="21"/>
        </w:rPr>
        <w:t>）项目在生产建设活动中，因挖损、塌陷、压占等造成破坏土地的，必须根据《中华人民共和国土地管理法》和《土地复垦条例》采取整治措施，使其复垦到原用途。</w:t>
      </w:r>
    </w:p>
    <w:p w14:paraId="65DBA41E" w14:textId="77777777" w:rsidR="00544649" w:rsidRDefault="00000000">
      <w:pPr>
        <w:adjustRightInd w:val="0"/>
        <w:snapToGrid w:val="0"/>
        <w:spacing w:after="0"/>
        <w:ind w:firstLine="480"/>
        <w:rPr>
          <w:kern w:val="21"/>
        </w:rPr>
      </w:pPr>
      <w:r>
        <w:rPr>
          <w:rFonts w:hint="eastAsia"/>
          <w:kern w:val="21"/>
        </w:rPr>
        <w:t>（</w:t>
      </w:r>
      <w:r>
        <w:rPr>
          <w:kern w:val="21"/>
        </w:rPr>
        <w:t>3</w:t>
      </w:r>
      <w:r>
        <w:rPr>
          <w:rFonts w:hint="eastAsia"/>
          <w:kern w:val="21"/>
        </w:rPr>
        <w:t>）在拆除彩钢房、砖墙建筑及地下建构筑物后，必须用机械把地面的混凝土层清除，再用犁地机械将土地翻整，以保证其原始用途。</w:t>
      </w:r>
    </w:p>
    <w:p w14:paraId="3633EF49" w14:textId="77777777" w:rsidR="00544649" w:rsidRDefault="00000000">
      <w:pPr>
        <w:adjustRightInd w:val="0"/>
        <w:snapToGrid w:val="0"/>
        <w:spacing w:after="0"/>
        <w:ind w:firstLine="480"/>
        <w:rPr>
          <w:kern w:val="21"/>
        </w:rPr>
      </w:pPr>
      <w:r>
        <w:rPr>
          <w:rFonts w:hint="eastAsia"/>
          <w:kern w:val="21"/>
        </w:rPr>
        <w:t>（</w:t>
      </w:r>
      <w:r>
        <w:rPr>
          <w:kern w:val="21"/>
        </w:rPr>
        <w:t>4</w:t>
      </w:r>
      <w:r>
        <w:rPr>
          <w:rFonts w:hint="eastAsia"/>
          <w:kern w:val="21"/>
        </w:rPr>
        <w:t>）复垦的目标是使所占土地达到可耕种的要求，不会改变现有的土地样貌、格局或原本具有的生产能力，项目服务期满后恢复至原有的地形地貌或比原有更改善的状况；恢复原有土地功能，与周围地形地貌相符。</w:t>
      </w:r>
    </w:p>
    <w:p w14:paraId="016F9BF0" w14:textId="77777777" w:rsidR="00544649" w:rsidRDefault="00000000">
      <w:pPr>
        <w:adjustRightInd w:val="0"/>
        <w:snapToGrid w:val="0"/>
        <w:spacing w:after="0"/>
        <w:ind w:firstLine="480"/>
        <w:rPr>
          <w:kern w:val="21"/>
        </w:rPr>
      </w:pPr>
      <w:r>
        <w:rPr>
          <w:rFonts w:hint="eastAsia"/>
          <w:kern w:val="21"/>
        </w:rPr>
        <w:t>（</w:t>
      </w:r>
      <w:r>
        <w:rPr>
          <w:kern w:val="21"/>
        </w:rPr>
        <w:t>5</w:t>
      </w:r>
      <w:r>
        <w:rPr>
          <w:rFonts w:hint="eastAsia"/>
          <w:kern w:val="21"/>
        </w:rPr>
        <w:t>）建设单位在组织复垦时，必须报所占用土地的村委会实施监督。达到原耕作条件或恢复到原用途，报经县级国土资源局验收合格后，应将土地复垦费交还原承包户。</w:t>
      </w:r>
    </w:p>
    <w:p w14:paraId="31BE068D"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394" w:name="_Toc26310"/>
      <w:bookmarkStart w:id="395" w:name="_Toc195009927"/>
      <w:r>
        <w:rPr>
          <w:rFonts w:cs="Times New Roman"/>
          <w:b/>
          <w:bCs/>
          <w:kern w:val="21"/>
          <w:sz w:val="32"/>
          <w:szCs w:val="32"/>
        </w:rPr>
        <w:t>环保投资</w:t>
      </w:r>
      <w:bookmarkEnd w:id="394"/>
      <w:bookmarkEnd w:id="395"/>
    </w:p>
    <w:p w14:paraId="5475460C" w14:textId="77777777" w:rsidR="00544649" w:rsidRDefault="00000000">
      <w:pPr>
        <w:adjustRightInd w:val="0"/>
        <w:snapToGrid w:val="0"/>
        <w:spacing w:beforeLines="20" w:before="62" w:afterLines="20" w:after="62" w:line="240" w:lineRule="auto"/>
        <w:ind w:firstLineChars="0" w:firstLine="0"/>
        <w:rPr>
          <w:rFonts w:cs="Times New Roman"/>
          <w:kern w:val="21"/>
        </w:rPr>
      </w:pPr>
      <w:r>
        <w:rPr>
          <w:rFonts w:cs="Times New Roman" w:hint="eastAsia"/>
          <w:kern w:val="21"/>
        </w:rPr>
        <w:t>略</w:t>
      </w:r>
    </w:p>
    <w:p w14:paraId="7828D27C"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396" w:name="_Toc31228"/>
      <w:bookmarkStart w:id="397" w:name="_Toc195009928"/>
      <w:r>
        <w:rPr>
          <w:b/>
          <w:bCs/>
          <w:kern w:val="21"/>
          <w:sz w:val="32"/>
          <w:szCs w:val="32"/>
        </w:rPr>
        <w:t>环保治理措施技术、经济评述结论</w:t>
      </w:r>
      <w:bookmarkEnd w:id="396"/>
      <w:bookmarkEnd w:id="397"/>
    </w:p>
    <w:p w14:paraId="511FDEA6"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在经过对建设单位提出的三废治理措施进行技术经济分析之后，建设单位提出的三废治理措施总体上是可行的。</w:t>
      </w:r>
    </w:p>
    <w:p w14:paraId="6E3CA6DE"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总结前面各章节的分析结果，可以认为，本项目所采取的“三废”污染源治理措施，从同类型污水处理厂的长期运行效果看，其“三废”治理措施技术是先进的，治理效果是好的，操作管理和维护维修是方便的，运行费用低廉，所获得的环境效益和经济效益较好。只要建设单位在今后的运行过程中，强化环境保护管理工作，尤其是做好废水、废气和废渣治理设施的管理工作，本项目所采取的环境保护措施经济合理，它既能达到发展生产的目的，又能达到设计要求做到达标排放和保护好环境的目的。</w:t>
      </w:r>
    </w:p>
    <w:p w14:paraId="27DA801F" w14:textId="77777777" w:rsidR="00544649" w:rsidRDefault="00544649">
      <w:pPr>
        <w:pStyle w:val="aff2"/>
        <w:adjustRightInd w:val="0"/>
        <w:snapToGrid w:val="0"/>
        <w:spacing w:after="0"/>
        <w:rPr>
          <w:rFonts w:ascii="Times New Roman" w:hAnsi="Times New Roman" w:cs="Times New Roman"/>
          <w:kern w:val="21"/>
        </w:rPr>
      </w:pPr>
    </w:p>
    <w:p w14:paraId="0471E747" w14:textId="77777777" w:rsidR="00544649" w:rsidRDefault="00000000">
      <w:pPr>
        <w:keepNext/>
        <w:keepLines/>
        <w:pageBreakBefore/>
        <w:numPr>
          <w:ilvl w:val="0"/>
          <w:numId w:val="9"/>
        </w:numPr>
        <w:adjustRightInd w:val="0"/>
        <w:snapToGrid w:val="0"/>
        <w:spacing w:after="0"/>
        <w:ind w:firstLineChars="0"/>
        <w:outlineLvl w:val="0"/>
        <w:rPr>
          <w:rFonts w:cs="Times New Roman"/>
          <w:b/>
          <w:bCs/>
          <w:kern w:val="21"/>
          <w:sz w:val="36"/>
          <w:szCs w:val="36"/>
        </w:rPr>
      </w:pPr>
      <w:bookmarkStart w:id="398" w:name="_Toc17951"/>
      <w:bookmarkStart w:id="399" w:name="_Toc11304"/>
      <w:bookmarkStart w:id="400" w:name="_Toc8506"/>
      <w:bookmarkStart w:id="401" w:name="_Toc195009929"/>
      <w:r>
        <w:rPr>
          <w:rFonts w:cs="Times New Roman"/>
          <w:b/>
          <w:bCs/>
          <w:kern w:val="21"/>
          <w:sz w:val="36"/>
          <w:szCs w:val="36"/>
        </w:rPr>
        <w:lastRenderedPageBreak/>
        <w:t>环境影响经济损益分析</w:t>
      </w:r>
      <w:bookmarkEnd w:id="398"/>
      <w:bookmarkEnd w:id="399"/>
      <w:bookmarkEnd w:id="400"/>
      <w:bookmarkEnd w:id="401"/>
    </w:p>
    <w:p w14:paraId="20C2433F" w14:textId="77777777" w:rsidR="00544649" w:rsidRDefault="00000000">
      <w:pPr>
        <w:adjustRightInd w:val="0"/>
        <w:snapToGrid w:val="0"/>
        <w:spacing w:after="0"/>
        <w:ind w:firstLine="480"/>
        <w:rPr>
          <w:rFonts w:cs="Times New Roman"/>
          <w:kern w:val="21"/>
          <w:szCs w:val="24"/>
        </w:rPr>
      </w:pPr>
      <w:r>
        <w:rPr>
          <w:rFonts w:cs="Times New Roman"/>
          <w:kern w:val="21"/>
          <w:szCs w:val="24"/>
        </w:rPr>
        <w:t>环境影响经济损益分析主要是衡量项目的环保投资所能收到的环境效益和经济效益，建设项目应力争达到社会效益、环境效益、经济效益的统一，这样才能符合可持续发展的要求，实现经济的持续发展和环境质量的不断改善。该项目建设在一定程度上给周围环境质量带来一些负面影响，特别是对生态</w:t>
      </w:r>
      <w:r>
        <w:rPr>
          <w:rFonts w:cs="Times New Roman"/>
          <w:kern w:val="21"/>
        </w:rPr>
        <w:t>环境</w:t>
      </w:r>
      <w:r>
        <w:rPr>
          <w:rFonts w:cs="Times New Roman"/>
          <w:kern w:val="21"/>
          <w:szCs w:val="24"/>
        </w:rPr>
        <w:t>所造成的影响，因此有必要进行经济效益、社会效益、环境效益的综合分析，使项目的建设论证更加充分可靠，工程的设计和实施更加完善，以实现社会的良性发展、经济的持续增长和环境质量的保持与改善。</w:t>
      </w:r>
    </w:p>
    <w:p w14:paraId="579A810E"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28"/>
        </w:rPr>
      </w:pPr>
      <w:bookmarkStart w:id="402" w:name="_Toc101794711"/>
      <w:bookmarkStart w:id="403" w:name="_Toc9319"/>
      <w:bookmarkStart w:id="404" w:name="_Toc195009930"/>
      <w:r>
        <w:rPr>
          <w:rFonts w:cs="Times New Roman"/>
          <w:b/>
          <w:bCs/>
          <w:kern w:val="21"/>
          <w:sz w:val="32"/>
          <w:szCs w:val="28"/>
        </w:rPr>
        <w:t>环境影响经济损益分析方法</w:t>
      </w:r>
      <w:bookmarkEnd w:id="402"/>
      <w:bookmarkEnd w:id="403"/>
      <w:bookmarkEnd w:id="404"/>
    </w:p>
    <w:p w14:paraId="5D55E6A0" w14:textId="77777777" w:rsidR="00544649" w:rsidRDefault="00000000">
      <w:pPr>
        <w:adjustRightInd w:val="0"/>
        <w:snapToGrid w:val="0"/>
        <w:spacing w:after="0"/>
        <w:ind w:firstLine="480"/>
        <w:rPr>
          <w:rFonts w:cs="Times New Roman"/>
          <w:kern w:val="21"/>
          <w:szCs w:val="24"/>
        </w:rPr>
      </w:pPr>
      <w:r>
        <w:rPr>
          <w:rFonts w:cs="Times New Roman"/>
          <w:kern w:val="21"/>
          <w:szCs w:val="24"/>
        </w:rPr>
        <w:t>环境经济损益分析是建设项目环境影响评价的一个重要组成部分，它是综合评价判断建设项目的环保投资是否能够补偿或多大程度上补偿了由此可能造成的环境损失的重要依据。环境经济损益分析与工程经济分析不同，除了需计算用于治理、控制污染所需的投资和费用外，还要同时核算可能收到的环境经济效益、社会环境效益和环境污染损失，通过对建设项目环境的</w:t>
      </w:r>
      <w:r>
        <w:rPr>
          <w:rFonts w:cs="Times New Roman"/>
          <w:kern w:val="21"/>
        </w:rPr>
        <w:t>经济</w:t>
      </w:r>
      <w:r>
        <w:rPr>
          <w:rFonts w:cs="Times New Roman"/>
          <w:kern w:val="21"/>
          <w:szCs w:val="24"/>
        </w:rPr>
        <w:t>损益分析，综合反映项目开发建设的社会环境效益和环境经济效益。</w:t>
      </w:r>
    </w:p>
    <w:p w14:paraId="437D8195"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9.1.1</w:t>
      </w:r>
      <w:r>
        <w:rPr>
          <w:rFonts w:cs="Times New Roman" w:hint="eastAsia"/>
          <w:b/>
          <w:bCs/>
          <w:kern w:val="21"/>
          <w:szCs w:val="24"/>
        </w:rPr>
        <w:t>噪声影响经济损失</w:t>
      </w:r>
    </w:p>
    <w:p w14:paraId="40E11BD4"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有关噪声影响的人群调查以及流行病学研究发现，在我国，生活在</w:t>
      </w:r>
      <w:r>
        <w:rPr>
          <w:rFonts w:cs="Times New Roman" w:hint="eastAsia"/>
          <w:kern w:val="21"/>
          <w:szCs w:val="24"/>
        </w:rPr>
        <w:t>70dB</w:t>
      </w:r>
      <w:r>
        <w:rPr>
          <w:rFonts w:cs="Times New Roman" w:hint="eastAsia"/>
          <w:kern w:val="21"/>
          <w:szCs w:val="24"/>
        </w:rPr>
        <w:t>（</w:t>
      </w:r>
      <w:r>
        <w:rPr>
          <w:rFonts w:cs="Times New Roman" w:hint="eastAsia"/>
          <w:kern w:val="21"/>
          <w:szCs w:val="24"/>
        </w:rPr>
        <w:t>A</w:t>
      </w:r>
      <w:r>
        <w:rPr>
          <w:rFonts w:cs="Times New Roman" w:hint="eastAsia"/>
          <w:kern w:val="21"/>
          <w:szCs w:val="24"/>
        </w:rPr>
        <w:t>）以上环境中居民的人均医疗费用比</w:t>
      </w:r>
      <w:r>
        <w:rPr>
          <w:rFonts w:cs="Times New Roman" w:hint="eastAsia"/>
          <w:kern w:val="21"/>
          <w:szCs w:val="24"/>
        </w:rPr>
        <w:t>70dB</w:t>
      </w:r>
      <w:r>
        <w:rPr>
          <w:rFonts w:cs="Times New Roman" w:hint="eastAsia"/>
          <w:kern w:val="21"/>
          <w:szCs w:val="24"/>
        </w:rPr>
        <w:t>（</w:t>
      </w:r>
      <w:r>
        <w:rPr>
          <w:rFonts w:cs="Times New Roman" w:hint="eastAsia"/>
          <w:kern w:val="21"/>
          <w:szCs w:val="24"/>
        </w:rPr>
        <w:t>A</w:t>
      </w:r>
      <w:r>
        <w:rPr>
          <w:rFonts w:cs="Times New Roman" w:hint="eastAsia"/>
          <w:kern w:val="21"/>
          <w:szCs w:val="24"/>
        </w:rPr>
        <w:t>）以下的同类地方高；噪声级在</w:t>
      </w:r>
      <w:r>
        <w:rPr>
          <w:rFonts w:cs="Times New Roman" w:hint="eastAsia"/>
          <w:kern w:val="21"/>
          <w:szCs w:val="24"/>
        </w:rPr>
        <w:t>70dB</w:t>
      </w:r>
      <w:r>
        <w:rPr>
          <w:rFonts w:cs="Times New Roman" w:hint="eastAsia"/>
          <w:kern w:val="21"/>
          <w:szCs w:val="24"/>
        </w:rPr>
        <w:t>（</w:t>
      </w:r>
      <w:r>
        <w:rPr>
          <w:rFonts w:cs="Times New Roman" w:hint="eastAsia"/>
          <w:kern w:val="21"/>
          <w:szCs w:val="24"/>
        </w:rPr>
        <w:t>A</w:t>
      </w:r>
      <w:r>
        <w:rPr>
          <w:rFonts w:cs="Times New Roman" w:hint="eastAsia"/>
          <w:kern w:val="21"/>
          <w:szCs w:val="24"/>
        </w:rPr>
        <w:t>）以上环境的居民有</w:t>
      </w:r>
      <w:r>
        <w:rPr>
          <w:rFonts w:cs="Times New Roman" w:hint="eastAsia"/>
          <w:kern w:val="21"/>
          <w:szCs w:val="24"/>
        </w:rPr>
        <w:t>66.7%</w:t>
      </w:r>
      <w:r>
        <w:rPr>
          <w:rFonts w:cs="Times New Roman" w:hint="eastAsia"/>
          <w:kern w:val="21"/>
          <w:szCs w:val="24"/>
        </w:rPr>
        <w:t>睡眠受到干扰，而睡眠受到干扰的职工会表现出生产效率有所下降。根据前面的噪声预测结果，在采取降噪措施后，本项目昼夜间噪声值均能达标排放，因此本项目的建设不会引起噪声影响经济损失。</w:t>
      </w:r>
    </w:p>
    <w:p w14:paraId="16F560AC"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9.1.2</w:t>
      </w:r>
      <w:r>
        <w:rPr>
          <w:rFonts w:cs="Times New Roman" w:hint="eastAsia"/>
          <w:b/>
          <w:bCs/>
          <w:kern w:val="21"/>
          <w:szCs w:val="24"/>
        </w:rPr>
        <w:t>环境空气影响经济损失</w:t>
      </w:r>
    </w:p>
    <w:p w14:paraId="5E8A52FE"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营运</w:t>
      </w:r>
      <w:proofErr w:type="gramStart"/>
      <w:r>
        <w:rPr>
          <w:rFonts w:cs="Times New Roman" w:hint="eastAsia"/>
          <w:kern w:val="21"/>
          <w:szCs w:val="24"/>
        </w:rPr>
        <w:t>期项目</w:t>
      </w:r>
      <w:proofErr w:type="gramEnd"/>
      <w:r>
        <w:rPr>
          <w:rFonts w:cs="Times New Roman" w:hint="eastAsia"/>
          <w:kern w:val="21"/>
          <w:szCs w:val="24"/>
        </w:rPr>
        <w:t>的环境空气影响主要表现在场区产生的恶臭气体使周围居民的空气环境质量有所下降，有可能对居民健康产生一定的影响。但是目前尚无环境空气影响经济损失的定量计算方法，环境空气影响造成的损失还难以直接用货币衡量，因此，以下将对环境空气影响损失进行定性分析。</w:t>
      </w:r>
    </w:p>
    <w:p w14:paraId="7B9EB010"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恶臭的成分十分复杂，因家畜的种类、清粪方式、日粮组成、粪便和污水处理等不同而异，有机成分是硫醇类、胺类、吲哚、挥发性有机酸、酚类、醛类、酮类、醇类以及含氮杂环化合物等，无机成分主要是</w:t>
      </w:r>
      <w:r>
        <w:rPr>
          <w:rFonts w:cs="Times New Roman" w:hint="eastAsia"/>
          <w:kern w:val="21"/>
          <w:szCs w:val="24"/>
        </w:rPr>
        <w:t>NH</w:t>
      </w:r>
      <w:r>
        <w:rPr>
          <w:rFonts w:cs="Times New Roman" w:hint="eastAsia"/>
          <w:kern w:val="21"/>
          <w:szCs w:val="24"/>
          <w:vertAlign w:val="subscript"/>
        </w:rPr>
        <w:t>3</w:t>
      </w:r>
      <w:r>
        <w:rPr>
          <w:rFonts w:cs="Times New Roman" w:hint="eastAsia"/>
          <w:kern w:val="21"/>
          <w:szCs w:val="24"/>
        </w:rPr>
        <w:t>和</w:t>
      </w:r>
      <w:r>
        <w:rPr>
          <w:rFonts w:cs="Times New Roman" w:hint="eastAsia"/>
          <w:kern w:val="21"/>
          <w:szCs w:val="24"/>
        </w:rPr>
        <w:t>H</w:t>
      </w:r>
      <w:r>
        <w:rPr>
          <w:rFonts w:cs="Times New Roman" w:hint="eastAsia"/>
          <w:kern w:val="21"/>
          <w:szCs w:val="24"/>
          <w:vertAlign w:val="subscript"/>
        </w:rPr>
        <w:t>2</w:t>
      </w:r>
      <w:r>
        <w:rPr>
          <w:rFonts w:cs="Times New Roman" w:hint="eastAsia"/>
          <w:kern w:val="21"/>
          <w:szCs w:val="24"/>
        </w:rPr>
        <w:t>S</w:t>
      </w:r>
      <w:r>
        <w:rPr>
          <w:rFonts w:cs="Times New Roman" w:hint="eastAsia"/>
          <w:kern w:val="21"/>
          <w:szCs w:val="24"/>
        </w:rPr>
        <w:t>。</w:t>
      </w:r>
    </w:p>
    <w:p w14:paraId="11D55532"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本项目建设后，鸡舍养殖、粪污处理等过程会产生恶臭气体，通过注意场区卫生、</w:t>
      </w:r>
      <w:r>
        <w:rPr>
          <w:rFonts w:cs="Times New Roman" w:hint="eastAsia"/>
          <w:kern w:val="21"/>
          <w:szCs w:val="24"/>
        </w:rPr>
        <w:lastRenderedPageBreak/>
        <w:t>及时冲洗、添加除臭剂等措施可最大限度的减少恶臭气体的排放，另外利用场区内绿化植物及场区外大面积的林地吸收，对周围居民的影响可降至最低。</w:t>
      </w:r>
    </w:p>
    <w:p w14:paraId="3D2F7344"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9.1.3</w:t>
      </w:r>
      <w:r>
        <w:rPr>
          <w:rFonts w:cs="Times New Roman" w:hint="eastAsia"/>
          <w:b/>
          <w:bCs/>
          <w:kern w:val="21"/>
          <w:szCs w:val="24"/>
        </w:rPr>
        <w:t>水环境影响经济损失</w:t>
      </w:r>
    </w:p>
    <w:p w14:paraId="5ACB7D37"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营运期本项目产生的污水主要是养殖废水和职工生活污水，养殖场废水特点为浓度高，废水量大，如若治理不当将对地表水环境造成污染。项目养殖废水经一套污水处理设施处理后用于林地灌溉，该工艺能够有效分解降低养殖废水中的各污染物，且处理后还田不外排，对地表水环境影响较小，同时节约了资源。该污水处理设施投资可有效解决养殖场废水污染问题。</w:t>
      </w:r>
    </w:p>
    <w:p w14:paraId="4B8F9773"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9.1.4</w:t>
      </w:r>
      <w:r>
        <w:rPr>
          <w:rFonts w:cs="Times New Roman" w:hint="eastAsia"/>
          <w:b/>
          <w:bCs/>
          <w:kern w:val="21"/>
          <w:szCs w:val="24"/>
        </w:rPr>
        <w:t>生态环境影响经济损失</w:t>
      </w:r>
    </w:p>
    <w:p w14:paraId="5EB1E2E7"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本项目的建设将破坏现有林地生态系统，铲除场区现有植被，使得现有植被的经济能力消失，但是项目建成后，新的系统会产生更好的经济效益，对原有生态环境的经济损失做出补偿。</w:t>
      </w:r>
    </w:p>
    <w:p w14:paraId="695AA6BC" w14:textId="77777777" w:rsidR="00544649" w:rsidRDefault="00000000">
      <w:pPr>
        <w:adjustRightInd w:val="0"/>
        <w:snapToGrid w:val="0"/>
        <w:spacing w:after="0"/>
        <w:ind w:firstLine="482"/>
        <w:rPr>
          <w:rFonts w:cs="Times New Roman"/>
          <w:b/>
          <w:bCs/>
          <w:kern w:val="21"/>
          <w:szCs w:val="24"/>
        </w:rPr>
      </w:pPr>
      <w:r>
        <w:rPr>
          <w:rFonts w:cs="Times New Roman" w:hint="eastAsia"/>
          <w:b/>
          <w:bCs/>
          <w:kern w:val="21"/>
          <w:szCs w:val="24"/>
        </w:rPr>
        <w:t>9.1.5</w:t>
      </w:r>
      <w:r>
        <w:rPr>
          <w:rFonts w:cs="Times New Roman" w:hint="eastAsia"/>
          <w:b/>
          <w:bCs/>
          <w:kern w:val="21"/>
          <w:szCs w:val="24"/>
        </w:rPr>
        <w:t>环保设备运行费用</w:t>
      </w:r>
    </w:p>
    <w:p w14:paraId="55BB6CF0" w14:textId="77777777" w:rsidR="00544649" w:rsidRDefault="00000000">
      <w:pPr>
        <w:adjustRightInd w:val="0"/>
        <w:snapToGrid w:val="0"/>
        <w:spacing w:after="0"/>
        <w:ind w:firstLine="480"/>
        <w:rPr>
          <w:rFonts w:cs="Times New Roman"/>
          <w:kern w:val="21"/>
          <w:szCs w:val="24"/>
        </w:rPr>
      </w:pPr>
      <w:r>
        <w:rPr>
          <w:rFonts w:cs="Times New Roman" w:hint="eastAsia"/>
          <w:kern w:val="21"/>
          <w:szCs w:val="24"/>
        </w:rPr>
        <w:t>本项目环保设施运行费用包括：电费，环保人员工资及设备折旧、维护费用。预计费用在</w:t>
      </w:r>
      <w:r>
        <w:rPr>
          <w:rFonts w:cs="Times New Roman" w:hint="eastAsia"/>
          <w:kern w:val="21"/>
          <w:szCs w:val="24"/>
        </w:rPr>
        <w:t>20</w:t>
      </w:r>
      <w:r>
        <w:rPr>
          <w:rFonts w:cs="Times New Roman" w:hint="eastAsia"/>
          <w:kern w:val="21"/>
          <w:szCs w:val="24"/>
        </w:rPr>
        <w:t>万左右。本项目预计年毛利为</w:t>
      </w:r>
      <w:r>
        <w:rPr>
          <w:rFonts w:cs="Times New Roman" w:hint="eastAsia"/>
          <w:kern w:val="21"/>
          <w:szCs w:val="24"/>
        </w:rPr>
        <w:t>2000</w:t>
      </w:r>
      <w:r>
        <w:rPr>
          <w:rFonts w:cs="Times New Roman" w:hint="eastAsia"/>
          <w:kern w:val="21"/>
          <w:szCs w:val="24"/>
        </w:rPr>
        <w:t>万元，环保设施运行年费用占年利润总额的</w:t>
      </w:r>
      <w:r>
        <w:rPr>
          <w:rFonts w:cs="Times New Roman" w:hint="eastAsia"/>
          <w:kern w:val="21"/>
          <w:szCs w:val="24"/>
        </w:rPr>
        <w:t>1%</w:t>
      </w:r>
      <w:r>
        <w:rPr>
          <w:rFonts w:cs="Times New Roman" w:hint="eastAsia"/>
          <w:kern w:val="21"/>
          <w:szCs w:val="24"/>
        </w:rPr>
        <w:t>，本项目环保设施运行费用合理。</w:t>
      </w:r>
    </w:p>
    <w:p w14:paraId="124F0995"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28"/>
        </w:rPr>
      </w:pPr>
      <w:bookmarkStart w:id="405" w:name="_Toc101794712"/>
      <w:bookmarkStart w:id="406" w:name="_Toc22736"/>
      <w:bookmarkStart w:id="407" w:name="_Toc195009931"/>
      <w:r>
        <w:rPr>
          <w:rFonts w:cs="Times New Roman"/>
          <w:b/>
          <w:bCs/>
          <w:kern w:val="21"/>
          <w:sz w:val="32"/>
          <w:szCs w:val="28"/>
        </w:rPr>
        <w:t>环境效益</w:t>
      </w:r>
      <w:bookmarkEnd w:id="405"/>
      <w:r>
        <w:rPr>
          <w:rFonts w:cs="Times New Roman"/>
          <w:b/>
          <w:bCs/>
          <w:kern w:val="21"/>
          <w:sz w:val="32"/>
          <w:szCs w:val="28"/>
        </w:rPr>
        <w:t>分析</w:t>
      </w:r>
      <w:bookmarkEnd w:id="406"/>
      <w:bookmarkEnd w:id="407"/>
    </w:p>
    <w:p w14:paraId="7D2F5D29" w14:textId="77777777" w:rsidR="00544649" w:rsidRDefault="00000000">
      <w:pPr>
        <w:adjustRightInd w:val="0"/>
        <w:snapToGrid w:val="0"/>
        <w:spacing w:after="0"/>
        <w:ind w:firstLine="480"/>
        <w:rPr>
          <w:rFonts w:cs="Times New Roman"/>
          <w:kern w:val="21"/>
        </w:rPr>
      </w:pPr>
      <w:r>
        <w:rPr>
          <w:rFonts w:cs="Times New Roman"/>
          <w:kern w:val="21"/>
        </w:rPr>
        <w:t>项目环保措施主要是体现国家环保政策，贯彻</w:t>
      </w:r>
      <w:r>
        <w:rPr>
          <w:rFonts w:cs="Times New Roman" w:hint="eastAsia"/>
          <w:kern w:val="21"/>
        </w:rPr>
        <w:t>“</w:t>
      </w:r>
      <w:r>
        <w:rPr>
          <w:rFonts w:cs="Times New Roman"/>
          <w:kern w:val="21"/>
        </w:rPr>
        <w:t>总量控制</w:t>
      </w:r>
      <w:r>
        <w:rPr>
          <w:rFonts w:cs="Times New Roman" w:hint="eastAsia"/>
          <w:kern w:val="21"/>
        </w:rPr>
        <w:t>”</w:t>
      </w:r>
      <w:r>
        <w:rPr>
          <w:rFonts w:cs="Times New Roman"/>
          <w:kern w:val="21"/>
        </w:rPr>
        <w:t>和</w:t>
      </w:r>
      <w:r>
        <w:rPr>
          <w:rFonts w:cs="Times New Roman" w:hint="eastAsia"/>
          <w:kern w:val="21"/>
        </w:rPr>
        <w:t>“</w:t>
      </w:r>
      <w:r>
        <w:rPr>
          <w:rFonts w:cs="Times New Roman"/>
          <w:kern w:val="21"/>
        </w:rPr>
        <w:t>污染物达标排放</w:t>
      </w:r>
      <w:r>
        <w:rPr>
          <w:rFonts w:cs="Times New Roman" w:hint="eastAsia"/>
          <w:kern w:val="21"/>
        </w:rPr>
        <w:t>”</w:t>
      </w:r>
      <w:r>
        <w:rPr>
          <w:rFonts w:cs="Times New Roman"/>
          <w:kern w:val="21"/>
        </w:rPr>
        <w:t>的原则，达到保护环境的目的。本项目采用的废气、废水等污染治理措施，达到了有效控制污染和保护环境的目的。环境保护投资的环境效益表现在以下方面：</w:t>
      </w:r>
    </w:p>
    <w:p w14:paraId="1D15EB67"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1</w:t>
      </w:r>
      <w:r>
        <w:rPr>
          <w:rFonts w:cs="Times New Roman"/>
          <w:kern w:val="21"/>
        </w:rPr>
        <w:t>）</w:t>
      </w:r>
      <w:r>
        <w:rPr>
          <w:rFonts w:cs="Times New Roman" w:hint="eastAsia"/>
          <w:kern w:val="21"/>
        </w:rPr>
        <w:t>场内废水</w:t>
      </w:r>
      <w:r>
        <w:rPr>
          <w:rFonts w:cs="Times New Roman"/>
          <w:kern w:val="21"/>
        </w:rPr>
        <w:t>得到妥善处置，不外排，实现了废水的零排放及节约用水。</w:t>
      </w:r>
    </w:p>
    <w:p w14:paraId="6CF48B7B"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2</w:t>
      </w:r>
      <w:r>
        <w:rPr>
          <w:rFonts w:cs="Times New Roman"/>
          <w:kern w:val="21"/>
        </w:rPr>
        <w:t>）降低恶臭污染物产生及排放量。</w:t>
      </w:r>
    </w:p>
    <w:p w14:paraId="7C97EF4E"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3</w:t>
      </w:r>
      <w:r>
        <w:rPr>
          <w:rFonts w:cs="Times New Roman"/>
          <w:kern w:val="21"/>
        </w:rPr>
        <w:t>）场区进行绿化后，可以在一定程度上削减恶臭及噪声的排放，还可以美化环境。</w:t>
      </w:r>
    </w:p>
    <w:p w14:paraId="6BC48CD4"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4</w:t>
      </w:r>
      <w:r>
        <w:rPr>
          <w:rFonts w:cs="Times New Roman"/>
          <w:kern w:val="21"/>
        </w:rPr>
        <w:t>）场区实施雨污分流，设置雨水沟渠、废水和粪便收集系统，避免雨季雨水进入污水系统，降低环境污染风险。</w:t>
      </w:r>
    </w:p>
    <w:p w14:paraId="6E5B86D7" w14:textId="77777777" w:rsidR="00544649" w:rsidRDefault="00000000">
      <w:pPr>
        <w:adjustRightInd w:val="0"/>
        <w:snapToGrid w:val="0"/>
        <w:spacing w:after="0"/>
        <w:ind w:firstLine="480"/>
        <w:rPr>
          <w:rFonts w:cs="Times New Roman"/>
          <w:kern w:val="21"/>
        </w:rPr>
      </w:pPr>
      <w:r>
        <w:rPr>
          <w:rFonts w:cs="Times New Roman"/>
          <w:kern w:val="21"/>
        </w:rPr>
        <w:t>（</w:t>
      </w:r>
      <w:r>
        <w:rPr>
          <w:rFonts w:cs="Times New Roman"/>
          <w:kern w:val="21"/>
        </w:rPr>
        <w:t>5</w:t>
      </w:r>
      <w:r>
        <w:rPr>
          <w:rFonts w:cs="Times New Roman"/>
          <w:kern w:val="21"/>
        </w:rPr>
        <w:t>）病死</w:t>
      </w:r>
      <w:proofErr w:type="gramStart"/>
      <w:r>
        <w:rPr>
          <w:rFonts w:cs="Times New Roman"/>
          <w:kern w:val="21"/>
        </w:rPr>
        <w:t>鸡委托</w:t>
      </w:r>
      <w:proofErr w:type="gramEnd"/>
      <w:r>
        <w:rPr>
          <w:rFonts w:cs="Times New Roman" w:hint="eastAsia"/>
          <w:kern w:val="21"/>
        </w:rPr>
        <w:t>广元</w:t>
      </w:r>
      <w:proofErr w:type="gramStart"/>
      <w:r>
        <w:rPr>
          <w:rFonts w:cs="Times New Roman" w:hint="eastAsia"/>
          <w:kern w:val="21"/>
        </w:rPr>
        <w:t>市朗坤环保</w:t>
      </w:r>
      <w:proofErr w:type="gramEnd"/>
      <w:r>
        <w:rPr>
          <w:rFonts w:cs="Times New Roman" w:hint="eastAsia"/>
          <w:kern w:val="21"/>
        </w:rPr>
        <w:t>科技有限公司</w:t>
      </w:r>
      <w:r>
        <w:rPr>
          <w:rFonts w:cs="Times New Roman"/>
          <w:kern w:val="21"/>
        </w:rPr>
        <w:t>进行统一无害化处理，得到妥善处置。</w:t>
      </w:r>
    </w:p>
    <w:p w14:paraId="4850E09D" w14:textId="77777777" w:rsidR="00544649" w:rsidRDefault="00000000">
      <w:pPr>
        <w:adjustRightInd w:val="0"/>
        <w:snapToGrid w:val="0"/>
        <w:spacing w:after="0"/>
        <w:ind w:firstLine="480"/>
        <w:rPr>
          <w:rFonts w:cs="Times New Roman"/>
          <w:kern w:val="21"/>
        </w:rPr>
      </w:pPr>
      <w:r>
        <w:rPr>
          <w:rFonts w:cs="Times New Roman" w:hint="eastAsia"/>
          <w:kern w:val="21"/>
        </w:rPr>
        <w:t>（</w:t>
      </w:r>
      <w:r>
        <w:rPr>
          <w:rFonts w:cs="Times New Roman" w:hint="eastAsia"/>
          <w:kern w:val="21"/>
        </w:rPr>
        <w:t>6</w:t>
      </w:r>
      <w:r>
        <w:rPr>
          <w:rFonts w:cs="Times New Roman" w:hint="eastAsia"/>
          <w:kern w:val="21"/>
        </w:rPr>
        <w:t>）鸡粪日产日清交由四川省田宝生物科技有限公司，用于有机肥生产，达到变废为宝的目的。</w:t>
      </w:r>
    </w:p>
    <w:p w14:paraId="61C5C046" w14:textId="77777777" w:rsidR="00544649" w:rsidRDefault="00000000">
      <w:pPr>
        <w:adjustRightInd w:val="0"/>
        <w:snapToGrid w:val="0"/>
        <w:spacing w:after="0"/>
        <w:ind w:firstLine="480"/>
        <w:rPr>
          <w:kern w:val="21"/>
        </w:rPr>
      </w:pPr>
      <w:bookmarkStart w:id="408" w:name="_Toc12867"/>
      <w:r>
        <w:rPr>
          <w:kern w:val="21"/>
        </w:rPr>
        <w:lastRenderedPageBreak/>
        <w:t>本项目通过贯彻清洁生产的宗旨，采用清洁原料，生产清洁的产品，通过采用成熟先进生产工艺和设备，加强生产过程中资源的有效利用和消耗控制，达到资源消耗最少、污染物产生最少的目的。项目通过环保治理设施的投入，使废水、废气、噪声经处理后达标排放，固体废弃物进行有效的综合利用等处理处置措施，使得本项目实施后污染物排放量得到有效控制，使其对环境的影响降至最低。</w:t>
      </w:r>
    </w:p>
    <w:p w14:paraId="7A6E2414"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28"/>
        </w:rPr>
      </w:pPr>
      <w:bookmarkStart w:id="409" w:name="_Toc195009932"/>
      <w:r>
        <w:rPr>
          <w:rFonts w:cs="Times New Roman" w:hint="eastAsia"/>
          <w:b/>
          <w:bCs/>
          <w:kern w:val="21"/>
          <w:sz w:val="32"/>
          <w:szCs w:val="28"/>
        </w:rPr>
        <w:t>经济</w:t>
      </w:r>
      <w:r>
        <w:rPr>
          <w:rFonts w:cs="Times New Roman"/>
          <w:b/>
          <w:bCs/>
          <w:kern w:val="21"/>
          <w:sz w:val="32"/>
          <w:szCs w:val="28"/>
        </w:rPr>
        <w:t>效益分析</w:t>
      </w:r>
      <w:bookmarkEnd w:id="408"/>
      <w:bookmarkEnd w:id="409"/>
    </w:p>
    <w:p w14:paraId="6E6B0D9F" w14:textId="77777777" w:rsidR="00544649" w:rsidRDefault="00000000">
      <w:pPr>
        <w:adjustRightInd w:val="0"/>
        <w:snapToGrid w:val="0"/>
        <w:spacing w:after="0"/>
        <w:ind w:firstLine="480"/>
        <w:rPr>
          <w:kern w:val="21"/>
        </w:rPr>
      </w:pPr>
      <w:r>
        <w:rPr>
          <w:rFonts w:hint="eastAsia"/>
          <w:kern w:val="21"/>
        </w:rPr>
        <w:t>本项目的实施不仅可以大大增加当地的财政收入，同时，还可以为当地提供若干就业机会，增加居民的人均收入，促进社会稳定和经济繁荣。这不仅解决了部分剩余劳动力的就业问题，同时还可为周边农户提供就业的场地，缓解了社会就业压力，为辖区社会稳定起到积极的作用。</w:t>
      </w:r>
    </w:p>
    <w:p w14:paraId="1BF67E6E" w14:textId="77777777" w:rsidR="00544649" w:rsidRDefault="00000000">
      <w:pPr>
        <w:adjustRightInd w:val="0"/>
        <w:snapToGrid w:val="0"/>
        <w:spacing w:after="0"/>
        <w:ind w:firstLine="480"/>
        <w:rPr>
          <w:kern w:val="21"/>
        </w:rPr>
      </w:pPr>
      <w:r>
        <w:rPr>
          <w:rFonts w:hint="eastAsia"/>
          <w:kern w:val="21"/>
        </w:rPr>
        <w:t>本项目依托现有的地理优势，位置优越、交通便捷，水、电等设施良好，为本项目建设打下了较好的基础。项目建成后，有利于促进当地社会稳定，有利于剑阁县的经济发展，同时对促进和带动就业具有积极的作用。</w:t>
      </w:r>
    </w:p>
    <w:p w14:paraId="5A5D0A91" w14:textId="77777777" w:rsidR="00544649" w:rsidRDefault="00000000">
      <w:pPr>
        <w:adjustRightInd w:val="0"/>
        <w:snapToGrid w:val="0"/>
        <w:spacing w:after="0"/>
        <w:ind w:firstLine="480"/>
        <w:rPr>
          <w:kern w:val="21"/>
        </w:rPr>
      </w:pPr>
      <w:r>
        <w:rPr>
          <w:rFonts w:hint="eastAsia"/>
          <w:kern w:val="21"/>
        </w:rPr>
        <w:t>本项目运营期间，有利于拉动当地经济的发展，提供就业机会，此外，本工程的建设具有产业链效益，能够带动一方经济的快速发展，并能促进饲料加工、种植业、养殖业等相关行业的发展，有明显的社会效益。</w:t>
      </w:r>
    </w:p>
    <w:p w14:paraId="3E6B36E4"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28"/>
        </w:rPr>
      </w:pPr>
      <w:bookmarkStart w:id="410" w:name="_Toc195009933"/>
      <w:r>
        <w:rPr>
          <w:rFonts w:cs="Times New Roman" w:hint="eastAsia"/>
          <w:b/>
          <w:bCs/>
          <w:kern w:val="21"/>
          <w:sz w:val="32"/>
          <w:szCs w:val="28"/>
        </w:rPr>
        <w:t>社会</w:t>
      </w:r>
      <w:r>
        <w:rPr>
          <w:rFonts w:cs="Times New Roman"/>
          <w:b/>
          <w:bCs/>
          <w:kern w:val="21"/>
          <w:sz w:val="32"/>
          <w:szCs w:val="28"/>
        </w:rPr>
        <w:t>效益分析</w:t>
      </w:r>
      <w:bookmarkEnd w:id="410"/>
    </w:p>
    <w:p w14:paraId="322596FB" w14:textId="77777777" w:rsidR="00544649" w:rsidRDefault="00000000">
      <w:pPr>
        <w:adjustRightInd w:val="0"/>
        <w:snapToGrid w:val="0"/>
        <w:spacing w:after="0"/>
        <w:ind w:firstLine="480"/>
        <w:rPr>
          <w:kern w:val="21"/>
        </w:rPr>
      </w:pPr>
      <w:r>
        <w:rPr>
          <w:rFonts w:hint="eastAsia"/>
          <w:kern w:val="21"/>
        </w:rPr>
        <w:t>本项目的社会效益主要表现在以下几个方面：</w:t>
      </w:r>
    </w:p>
    <w:p w14:paraId="671DDFF7" w14:textId="77777777" w:rsidR="00544649" w:rsidRDefault="00000000">
      <w:pPr>
        <w:numPr>
          <w:ilvl w:val="0"/>
          <w:numId w:val="34"/>
        </w:numPr>
        <w:adjustRightInd w:val="0"/>
        <w:snapToGrid w:val="0"/>
        <w:spacing w:after="0"/>
        <w:ind w:firstLine="480"/>
        <w:rPr>
          <w:kern w:val="21"/>
        </w:rPr>
      </w:pPr>
      <w:r>
        <w:rPr>
          <w:rFonts w:hint="eastAsia"/>
          <w:kern w:val="21"/>
        </w:rPr>
        <w:t>畜牧业是农村经济的重要组成部分，也是农民增收的重要来源。本项目的投资建设，以及后续的种植养殖循环系列项目体系，将进一步促进剑阁县畜牧业、农业的发展，进而促进地方经济，具有良好的正效应。</w:t>
      </w:r>
    </w:p>
    <w:p w14:paraId="0025FD32" w14:textId="77777777" w:rsidR="00544649" w:rsidRDefault="00000000">
      <w:pPr>
        <w:numPr>
          <w:ilvl w:val="0"/>
          <w:numId w:val="34"/>
        </w:numPr>
        <w:adjustRightInd w:val="0"/>
        <w:snapToGrid w:val="0"/>
        <w:spacing w:after="0"/>
        <w:ind w:firstLine="480"/>
        <w:rPr>
          <w:kern w:val="21"/>
        </w:rPr>
      </w:pPr>
      <w:r>
        <w:rPr>
          <w:rFonts w:hint="eastAsia"/>
          <w:kern w:val="21"/>
        </w:rPr>
        <w:t>项目的清洁生产措施，很大程度上节约了资源和能源，起到了“节能、降耗、减污、增效”的作用，符合国家产业政策和环保治理要求。</w:t>
      </w:r>
    </w:p>
    <w:p w14:paraId="4C6F214F" w14:textId="77777777" w:rsidR="00544649" w:rsidRDefault="00000000">
      <w:pPr>
        <w:numPr>
          <w:ilvl w:val="0"/>
          <w:numId w:val="34"/>
        </w:numPr>
        <w:adjustRightInd w:val="0"/>
        <w:snapToGrid w:val="0"/>
        <w:spacing w:after="0"/>
        <w:ind w:firstLine="480"/>
        <w:rPr>
          <w:kern w:val="21"/>
        </w:rPr>
      </w:pPr>
      <w:r>
        <w:rPr>
          <w:rFonts w:hint="eastAsia"/>
          <w:kern w:val="21"/>
        </w:rPr>
        <w:t>该项目未来的标准化、规模化建设将形成农村能源产业，由此所需的技术、管理队伍可就地吸纳农村剩余劳动力，有利于维护农村社会稳定，对提高人民生活水平起到积极作用。</w:t>
      </w:r>
    </w:p>
    <w:p w14:paraId="5E5DABBD" w14:textId="77777777" w:rsidR="00544649" w:rsidRDefault="00000000">
      <w:pPr>
        <w:numPr>
          <w:ilvl w:val="0"/>
          <w:numId w:val="34"/>
        </w:numPr>
        <w:adjustRightInd w:val="0"/>
        <w:snapToGrid w:val="0"/>
        <w:spacing w:after="0"/>
        <w:ind w:firstLine="480"/>
        <w:rPr>
          <w:kern w:val="21"/>
        </w:rPr>
      </w:pPr>
      <w:r>
        <w:rPr>
          <w:rFonts w:hint="eastAsia"/>
          <w:kern w:val="21"/>
        </w:rPr>
        <w:t>项目的建设可拉动周边畜禽养殖业、蛋制品加工业、饲料加工业等行业的快速发展，为无公害农产品生产提供了有利条件，有利于促进周围农村产业结构调整。</w:t>
      </w:r>
    </w:p>
    <w:p w14:paraId="4A926A4B" w14:textId="77777777" w:rsidR="00544649" w:rsidRDefault="00000000">
      <w:pPr>
        <w:adjustRightInd w:val="0"/>
        <w:snapToGrid w:val="0"/>
        <w:spacing w:after="0"/>
        <w:ind w:firstLine="480"/>
        <w:rPr>
          <w:kern w:val="21"/>
        </w:rPr>
      </w:pPr>
      <w:r>
        <w:rPr>
          <w:rFonts w:hint="eastAsia"/>
          <w:kern w:val="21"/>
        </w:rPr>
        <w:t>（</w:t>
      </w:r>
      <w:r>
        <w:rPr>
          <w:rFonts w:hint="eastAsia"/>
          <w:kern w:val="21"/>
        </w:rPr>
        <w:t>5</w:t>
      </w:r>
      <w:r>
        <w:rPr>
          <w:rFonts w:hint="eastAsia"/>
          <w:kern w:val="21"/>
        </w:rPr>
        <w:t>）项目投产后，可增加当地财政收入，提高当地社会经济发展水平，对区域社会稳定发挥了较强作用。综合以上分析，项目的实施有较好的社会效益。</w:t>
      </w:r>
    </w:p>
    <w:p w14:paraId="6E04AA04" w14:textId="77777777" w:rsidR="00544649" w:rsidRDefault="00000000">
      <w:pPr>
        <w:adjustRightInd w:val="0"/>
        <w:snapToGrid w:val="0"/>
        <w:spacing w:after="0"/>
        <w:ind w:firstLine="480"/>
        <w:rPr>
          <w:rFonts w:cs="Times New Roman"/>
          <w:kern w:val="21"/>
        </w:rPr>
        <w:sectPr w:rsidR="00544649">
          <w:pgSz w:w="11906" w:h="16838"/>
          <w:pgMar w:top="1134" w:right="1531" w:bottom="1134" w:left="1531" w:header="851" w:footer="794" w:gutter="0"/>
          <w:cols w:space="425"/>
          <w:docGrid w:type="lines" w:linePitch="312"/>
        </w:sectPr>
      </w:pPr>
      <w:r>
        <w:rPr>
          <w:rFonts w:cs="Times New Roman"/>
          <w:kern w:val="21"/>
        </w:rPr>
        <w:lastRenderedPageBreak/>
        <w:t>综上所述，本项目的建设不但具有良好的环境效益和社会效益，同时也具有一定的经济效益。</w:t>
      </w:r>
    </w:p>
    <w:p w14:paraId="43FB5570" w14:textId="77777777" w:rsidR="00544649" w:rsidRDefault="00000000">
      <w:pPr>
        <w:keepNext/>
        <w:keepLines/>
        <w:pageBreakBefore/>
        <w:numPr>
          <w:ilvl w:val="0"/>
          <w:numId w:val="9"/>
        </w:numPr>
        <w:adjustRightInd w:val="0"/>
        <w:snapToGrid w:val="0"/>
        <w:spacing w:after="0"/>
        <w:ind w:firstLineChars="0"/>
        <w:outlineLvl w:val="0"/>
        <w:rPr>
          <w:rFonts w:cs="Times New Roman"/>
          <w:b/>
          <w:bCs/>
          <w:kern w:val="21"/>
          <w:sz w:val="36"/>
          <w:szCs w:val="36"/>
        </w:rPr>
      </w:pPr>
      <w:bookmarkStart w:id="411" w:name="_Toc26261"/>
      <w:bookmarkStart w:id="412" w:name="_Toc5195"/>
      <w:bookmarkStart w:id="413" w:name="_Toc23321"/>
      <w:bookmarkStart w:id="414" w:name="_Toc195009934"/>
      <w:r>
        <w:rPr>
          <w:rFonts w:cs="Times New Roman"/>
          <w:b/>
          <w:bCs/>
          <w:kern w:val="21"/>
          <w:sz w:val="36"/>
          <w:szCs w:val="36"/>
        </w:rPr>
        <w:lastRenderedPageBreak/>
        <w:t>环境管理与环境监测计划</w:t>
      </w:r>
      <w:bookmarkEnd w:id="411"/>
      <w:bookmarkEnd w:id="412"/>
      <w:bookmarkEnd w:id="413"/>
      <w:bookmarkEnd w:id="414"/>
    </w:p>
    <w:p w14:paraId="1C097871"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28"/>
        </w:rPr>
      </w:pPr>
      <w:bookmarkStart w:id="415" w:name="_Toc27229"/>
      <w:bookmarkStart w:id="416" w:name="_Toc23540"/>
      <w:bookmarkStart w:id="417" w:name="_Toc14422"/>
      <w:bookmarkStart w:id="418" w:name="_Toc195009935"/>
      <w:r>
        <w:rPr>
          <w:rFonts w:cs="Times New Roman"/>
          <w:b/>
          <w:bCs/>
          <w:kern w:val="21"/>
          <w:sz w:val="32"/>
          <w:szCs w:val="28"/>
        </w:rPr>
        <w:t>环境管理的目的和意义</w:t>
      </w:r>
      <w:bookmarkEnd w:id="415"/>
      <w:bookmarkEnd w:id="416"/>
      <w:bookmarkEnd w:id="417"/>
      <w:bookmarkEnd w:id="418"/>
    </w:p>
    <w:p w14:paraId="325E36DB" w14:textId="77777777" w:rsidR="00544649" w:rsidRDefault="00000000">
      <w:pPr>
        <w:adjustRightInd w:val="0"/>
        <w:snapToGrid w:val="0"/>
        <w:spacing w:after="0"/>
        <w:ind w:firstLine="480"/>
        <w:rPr>
          <w:rFonts w:cs="Times New Roman"/>
          <w:kern w:val="21"/>
          <w:szCs w:val="24"/>
        </w:rPr>
      </w:pPr>
      <w:r>
        <w:rPr>
          <w:rFonts w:cs="Times New Roman"/>
          <w:kern w:val="21"/>
          <w:szCs w:val="24"/>
        </w:rPr>
        <w:t>环境管理的目的是对损坏环境质量的人为活动施加影响，以协调经济与环境的关系，既达到发展经济满足人类的需要，又不超出环境容量的限制。本项目对环境的影响主要来自施工期、运行期的各种作业活动及运行期的风险事故。无论是各种作业活动，还是事故事件，都将会给自然环境和人们的生产生活带来较大的影响，为最大限度地减轻施工作业及生产过程中对环境的影响，确保生产过程环境安全和高效生产，建立科学有效的环境管理体制，落实各项环保和安全措施显得尤为重要。通过建立环境管理体系，增强员工环保意识、规范企业管理、推行清洁生产，实现污染预防，以实现环境效益、社会效益、经济效益的统一。</w:t>
      </w:r>
    </w:p>
    <w:p w14:paraId="636B450D"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28"/>
        </w:rPr>
      </w:pPr>
      <w:bookmarkStart w:id="419" w:name="_Toc19687"/>
      <w:bookmarkStart w:id="420" w:name="_Toc26047"/>
      <w:bookmarkStart w:id="421" w:name="_Toc21838"/>
      <w:bookmarkStart w:id="422" w:name="_Toc195009936"/>
      <w:r>
        <w:rPr>
          <w:rFonts w:cs="Times New Roman"/>
          <w:b/>
          <w:bCs/>
          <w:kern w:val="21"/>
          <w:sz w:val="32"/>
          <w:szCs w:val="28"/>
        </w:rPr>
        <w:t>环境管理机构及职责</w:t>
      </w:r>
      <w:bookmarkEnd w:id="419"/>
      <w:bookmarkEnd w:id="420"/>
      <w:bookmarkEnd w:id="421"/>
      <w:bookmarkEnd w:id="422"/>
    </w:p>
    <w:p w14:paraId="2544E73B"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23" w:name="_Toc28072"/>
      <w:bookmarkStart w:id="424" w:name="_Toc5752"/>
      <w:bookmarkStart w:id="425" w:name="_Toc6196"/>
      <w:bookmarkStart w:id="426" w:name="_Toc195009937"/>
      <w:r>
        <w:rPr>
          <w:rFonts w:cs="Times New Roman"/>
          <w:b/>
          <w:bCs/>
          <w:kern w:val="21"/>
          <w:sz w:val="28"/>
          <w:szCs w:val="24"/>
        </w:rPr>
        <w:t>环境管理机构</w:t>
      </w:r>
      <w:bookmarkEnd w:id="423"/>
      <w:bookmarkEnd w:id="424"/>
      <w:bookmarkEnd w:id="425"/>
      <w:bookmarkEnd w:id="426"/>
    </w:p>
    <w:p w14:paraId="5F677E4D" w14:textId="77777777" w:rsidR="00544649" w:rsidRDefault="00000000">
      <w:pPr>
        <w:adjustRightInd w:val="0"/>
        <w:snapToGrid w:val="0"/>
        <w:spacing w:after="0"/>
        <w:ind w:firstLine="480"/>
        <w:rPr>
          <w:rFonts w:cs="Times New Roman"/>
          <w:kern w:val="21"/>
          <w:szCs w:val="24"/>
        </w:rPr>
      </w:pPr>
      <w:r>
        <w:rPr>
          <w:rFonts w:cs="Times New Roman"/>
          <w:kern w:val="21"/>
          <w:szCs w:val="24"/>
        </w:rPr>
        <w:t>环境管理机构分为企业外部环境管理机构和企业内部环境管理机构。企业外部环境管理机构指政府性环境管理机构，主要有四川省生态环境厅、</w:t>
      </w:r>
      <w:r>
        <w:rPr>
          <w:rFonts w:cs="Times New Roman" w:hint="eastAsia"/>
          <w:kern w:val="21"/>
          <w:szCs w:val="24"/>
        </w:rPr>
        <w:t>广元</w:t>
      </w:r>
      <w:r>
        <w:rPr>
          <w:rFonts w:cs="Times New Roman"/>
          <w:kern w:val="21"/>
          <w:szCs w:val="24"/>
        </w:rPr>
        <w:t>市生态环境局、</w:t>
      </w:r>
      <w:r>
        <w:rPr>
          <w:rFonts w:cs="Times New Roman" w:hint="eastAsia"/>
          <w:kern w:val="21"/>
          <w:szCs w:val="24"/>
        </w:rPr>
        <w:t>广元</w:t>
      </w:r>
      <w:r>
        <w:rPr>
          <w:rFonts w:cs="Times New Roman"/>
          <w:kern w:val="21"/>
          <w:szCs w:val="24"/>
        </w:rPr>
        <w:t>市</w:t>
      </w:r>
      <w:r>
        <w:rPr>
          <w:rFonts w:cs="Times New Roman" w:hint="eastAsia"/>
          <w:kern w:val="21"/>
          <w:szCs w:val="24"/>
        </w:rPr>
        <w:t>剑阁</w:t>
      </w:r>
      <w:r>
        <w:rPr>
          <w:rFonts w:cs="Times New Roman"/>
          <w:kern w:val="21"/>
          <w:szCs w:val="24"/>
        </w:rPr>
        <w:t>生态环境局等；企业内部环境管理机构是指工程投资建设方所建立的环境保护专门机构。</w:t>
      </w:r>
    </w:p>
    <w:p w14:paraId="20652ED6" w14:textId="77777777" w:rsidR="00544649" w:rsidRDefault="00000000">
      <w:pPr>
        <w:adjustRightInd w:val="0"/>
        <w:snapToGrid w:val="0"/>
        <w:spacing w:after="0"/>
        <w:ind w:firstLine="480"/>
        <w:rPr>
          <w:rFonts w:cs="Times New Roman"/>
          <w:kern w:val="21"/>
          <w:szCs w:val="24"/>
        </w:rPr>
      </w:pPr>
      <w:r>
        <w:rPr>
          <w:rFonts w:cs="Times New Roman"/>
          <w:kern w:val="21"/>
          <w:szCs w:val="24"/>
        </w:rPr>
        <w:t>企业内部环境管理机构作为企业管理体系中的一部分，应与之相协调统一。实行企业总经理领导下的</w:t>
      </w:r>
      <w:r>
        <w:rPr>
          <w:rFonts w:cs="Times New Roman" w:hint="eastAsia"/>
          <w:kern w:val="21"/>
          <w:szCs w:val="24"/>
        </w:rPr>
        <w:t>“</w:t>
      </w:r>
      <w:r>
        <w:rPr>
          <w:rFonts w:cs="Times New Roman"/>
          <w:kern w:val="21"/>
          <w:szCs w:val="24"/>
        </w:rPr>
        <w:t>一人主管，分工负责；职能部门，各负其责；落实基层，监督考核</w:t>
      </w:r>
      <w:r>
        <w:rPr>
          <w:rFonts w:cs="Times New Roman" w:hint="eastAsia"/>
          <w:kern w:val="21"/>
          <w:szCs w:val="24"/>
        </w:rPr>
        <w:t>”</w:t>
      </w:r>
      <w:r>
        <w:rPr>
          <w:rFonts w:cs="Times New Roman"/>
          <w:kern w:val="21"/>
          <w:szCs w:val="24"/>
        </w:rPr>
        <w:t>的原则，建立以企业领导为核心，安全环保部为基础的全员责任制的环境管理体系。使环境管理贯穿于企业管理的整个过程，并落实到企业的各个层次，分解到生产的各个环节，把企业管理与环境管理紧密地结合起来，不但要建立完善的企业管理体系和各种规章制度，也要建立完善的环境管理体系和各种规章制度，使企业的环境管理工作真正落到实处。</w:t>
      </w:r>
    </w:p>
    <w:p w14:paraId="64C27991"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27" w:name="_Toc18414"/>
      <w:bookmarkStart w:id="428" w:name="_Toc195009938"/>
      <w:r>
        <w:rPr>
          <w:rFonts w:cs="Times New Roman"/>
          <w:b/>
          <w:bCs/>
          <w:kern w:val="21"/>
          <w:sz w:val="28"/>
          <w:szCs w:val="24"/>
        </w:rPr>
        <w:t>管理机构职责</w:t>
      </w:r>
      <w:bookmarkEnd w:id="427"/>
      <w:bookmarkEnd w:id="428"/>
    </w:p>
    <w:p w14:paraId="13BEA7DD"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1</w:t>
      </w:r>
      <w:r>
        <w:rPr>
          <w:rFonts w:cs="Times New Roman"/>
          <w:kern w:val="21"/>
          <w:szCs w:val="24"/>
        </w:rPr>
        <w:t>）贯彻执行国家及地方环境保护的有关方针、政策、法规等；</w:t>
      </w:r>
    </w:p>
    <w:p w14:paraId="143A8A40"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2</w:t>
      </w:r>
      <w:r>
        <w:rPr>
          <w:rFonts w:cs="Times New Roman"/>
          <w:kern w:val="21"/>
          <w:szCs w:val="24"/>
        </w:rPr>
        <w:t>）结合本企业情况及排污特点，制定企业的环境管理计划和环境监测计划，并监督落实；建立健全的环境保护工作规章制度，明确环保责任制及其奖惩办法；</w:t>
      </w:r>
    </w:p>
    <w:p w14:paraId="24D67F3C"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3</w:t>
      </w:r>
      <w:r>
        <w:rPr>
          <w:rFonts w:cs="Times New Roman"/>
          <w:kern w:val="21"/>
          <w:szCs w:val="24"/>
        </w:rPr>
        <w:t>）审定、落实并督促实施的污染治理方案，监督企业污染治理资金的落实和使用情况。负责养鸡场的环境管理、污染源监测及各项环保设施的正常运行的监督管理</w:t>
      </w:r>
      <w:r>
        <w:rPr>
          <w:rFonts w:cs="Times New Roman"/>
          <w:kern w:val="21"/>
          <w:szCs w:val="24"/>
        </w:rPr>
        <w:lastRenderedPageBreak/>
        <w:t>工作；</w:t>
      </w:r>
    </w:p>
    <w:p w14:paraId="53DBED4C"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4</w:t>
      </w:r>
      <w:r>
        <w:rPr>
          <w:rFonts w:cs="Times New Roman"/>
          <w:kern w:val="21"/>
          <w:szCs w:val="24"/>
        </w:rPr>
        <w:t>）组织有关部门制定本企业环境管理办法和企业的污染事故的应急措施，制止或减缓对周围环境的污染；</w:t>
      </w:r>
    </w:p>
    <w:p w14:paraId="372B67E8"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5</w:t>
      </w:r>
      <w:r>
        <w:rPr>
          <w:rFonts w:cs="Times New Roman"/>
          <w:kern w:val="21"/>
          <w:szCs w:val="24"/>
        </w:rPr>
        <w:t>）协同上级环境管理部门检查本企业的环境保护工作、污染治理设施的运行情况。定期对场内污染情况进行分析总结，为环保设施的更新改造提供可靠依据；</w:t>
      </w:r>
    </w:p>
    <w:p w14:paraId="173E0D52"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6</w:t>
      </w:r>
      <w:r>
        <w:rPr>
          <w:rFonts w:cs="Times New Roman"/>
          <w:kern w:val="21"/>
          <w:szCs w:val="24"/>
        </w:rPr>
        <w:t>）组织宣传教育，与本单位的有关部门一起大力普及公司员工的环境法规及环境科学知识，增强职工的环境保护意识；</w:t>
      </w:r>
    </w:p>
    <w:p w14:paraId="4291B4B1"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7</w:t>
      </w:r>
      <w:r>
        <w:rPr>
          <w:rFonts w:cs="Times New Roman"/>
          <w:kern w:val="21"/>
          <w:szCs w:val="24"/>
        </w:rPr>
        <w:t>）宣传清洁生产思想，协同生产技术部门对现有设施进行技术改造，尽可能将污染控制在生产过程中；</w:t>
      </w:r>
    </w:p>
    <w:p w14:paraId="6ACDC317"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8</w:t>
      </w:r>
      <w:r>
        <w:rPr>
          <w:rFonts w:cs="Times New Roman"/>
          <w:kern w:val="21"/>
          <w:szCs w:val="24"/>
        </w:rPr>
        <w:t>）建立全厂污染源、污染物治理、排放浓度及总量等数据库。编制企业污染源监测的月报表、年报表及环境管理质量报告。</w:t>
      </w:r>
    </w:p>
    <w:p w14:paraId="72C22C8F"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29" w:name="_Toc9213"/>
      <w:bookmarkStart w:id="430" w:name="_Toc195009939"/>
      <w:r>
        <w:rPr>
          <w:rFonts w:cs="Times New Roman"/>
          <w:b/>
          <w:bCs/>
          <w:kern w:val="21"/>
          <w:sz w:val="28"/>
          <w:szCs w:val="24"/>
        </w:rPr>
        <w:t>执行机构工作内容</w:t>
      </w:r>
      <w:bookmarkEnd w:id="429"/>
      <w:bookmarkEnd w:id="430"/>
    </w:p>
    <w:p w14:paraId="1E3456AC" w14:textId="77777777" w:rsidR="00544649" w:rsidRDefault="00000000">
      <w:pPr>
        <w:adjustRightInd w:val="0"/>
        <w:snapToGrid w:val="0"/>
        <w:spacing w:after="0"/>
        <w:ind w:firstLine="480"/>
        <w:rPr>
          <w:rFonts w:cs="Times New Roman"/>
          <w:kern w:val="21"/>
          <w:szCs w:val="24"/>
        </w:rPr>
      </w:pPr>
      <w:r>
        <w:rPr>
          <w:rFonts w:cs="Times New Roman"/>
          <w:kern w:val="21"/>
          <w:szCs w:val="24"/>
        </w:rPr>
        <w:t>接受各级生态环境局的工作指导、管理和环保机构的监督；执行环保法律法规，落实环境影响评价、设计与环保工作计划中的每一项环保措施；保证环保设施的正常运转，设立环保管理机构和监督机构、人员，对项目排污进行自我监测，建立污染源档案并定期报告当地生态环境部门；承担污染源复查和抽查费用。</w:t>
      </w:r>
    </w:p>
    <w:p w14:paraId="58EDCD8A"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28"/>
        </w:rPr>
      </w:pPr>
      <w:bookmarkStart w:id="431" w:name="_Toc11691"/>
      <w:bookmarkStart w:id="432" w:name="_Toc195009940"/>
      <w:r>
        <w:rPr>
          <w:rFonts w:cs="Times New Roman"/>
          <w:b/>
          <w:bCs/>
          <w:kern w:val="21"/>
          <w:sz w:val="32"/>
          <w:szCs w:val="28"/>
        </w:rPr>
        <w:t>环境管理</w:t>
      </w:r>
      <w:bookmarkEnd w:id="431"/>
      <w:bookmarkEnd w:id="432"/>
    </w:p>
    <w:p w14:paraId="35F304CB"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33" w:name="_Toc10627"/>
      <w:bookmarkStart w:id="434" w:name="_Toc195009941"/>
      <w:r>
        <w:rPr>
          <w:rFonts w:cs="Times New Roman"/>
          <w:b/>
          <w:bCs/>
          <w:kern w:val="21"/>
          <w:sz w:val="28"/>
          <w:szCs w:val="24"/>
        </w:rPr>
        <w:t>环境管理总体规划</w:t>
      </w:r>
      <w:bookmarkEnd w:id="433"/>
      <w:bookmarkEnd w:id="434"/>
    </w:p>
    <w:p w14:paraId="470BBB88" w14:textId="77777777" w:rsidR="00544649" w:rsidRDefault="00000000">
      <w:pPr>
        <w:adjustRightInd w:val="0"/>
        <w:snapToGrid w:val="0"/>
        <w:spacing w:after="0"/>
        <w:ind w:firstLine="480"/>
        <w:rPr>
          <w:rFonts w:cs="Times New Roman"/>
          <w:kern w:val="21"/>
          <w:szCs w:val="24"/>
        </w:rPr>
      </w:pPr>
      <w:r>
        <w:rPr>
          <w:rFonts w:cs="Times New Roman"/>
          <w:kern w:val="21"/>
          <w:szCs w:val="24"/>
        </w:rPr>
        <w:t>环境管理应该贯穿于建设项目从立项到运行的整个过程，并对建设项目的不同阶段制定相应的环保条例，规定不同阶段的环保内容，明确不同部门的工作职责，具体见下表所示。</w:t>
      </w:r>
    </w:p>
    <w:p w14:paraId="28263DCE" w14:textId="77777777" w:rsidR="00544649" w:rsidRDefault="00000000">
      <w:pPr>
        <w:numPr>
          <w:ilvl w:val="0"/>
          <w:numId w:val="35"/>
        </w:numPr>
        <w:adjustRightInd w:val="0"/>
        <w:snapToGrid w:val="0"/>
        <w:spacing w:beforeLines="20" w:before="62" w:afterLines="20" w:after="62" w:line="240" w:lineRule="auto"/>
        <w:ind w:left="0" w:firstLineChars="0" w:firstLine="0"/>
        <w:jc w:val="center"/>
        <w:rPr>
          <w:rFonts w:cs="Times New Roman"/>
          <w:kern w:val="21"/>
          <w:sz w:val="21"/>
          <w:szCs w:val="21"/>
        </w:rPr>
      </w:pPr>
      <w:r>
        <w:rPr>
          <w:rFonts w:cs="Times New Roman"/>
          <w:b/>
          <w:bCs/>
          <w:kern w:val="21"/>
          <w:sz w:val="21"/>
          <w:szCs w:val="21"/>
        </w:rPr>
        <w:t>建设项目环境管理工作职责表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7286"/>
      </w:tblGrid>
      <w:tr w:rsidR="00544649" w14:paraId="12A80BC1" w14:textId="77777777">
        <w:trPr>
          <w:cantSplit/>
          <w:trHeight w:val="340"/>
          <w:jc w:val="center"/>
        </w:trPr>
        <w:tc>
          <w:tcPr>
            <w:tcW w:w="1774" w:type="dxa"/>
            <w:vAlign w:val="center"/>
          </w:tcPr>
          <w:p w14:paraId="5E1DC2CE"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阶段</w:t>
            </w:r>
          </w:p>
        </w:tc>
        <w:tc>
          <w:tcPr>
            <w:tcW w:w="7286" w:type="dxa"/>
            <w:vAlign w:val="center"/>
          </w:tcPr>
          <w:p w14:paraId="36C730CD" w14:textId="77777777" w:rsidR="00544649" w:rsidRDefault="00000000">
            <w:pPr>
              <w:adjustRightInd w:val="0"/>
              <w:snapToGrid w:val="0"/>
              <w:spacing w:beforeLines="20" w:before="62" w:afterLines="20" w:after="62" w:line="240" w:lineRule="auto"/>
              <w:ind w:firstLineChars="0" w:firstLine="0"/>
              <w:jc w:val="center"/>
              <w:rPr>
                <w:rFonts w:cs="Times New Roman"/>
                <w:b/>
                <w:bCs/>
                <w:kern w:val="21"/>
                <w:sz w:val="21"/>
                <w:szCs w:val="21"/>
              </w:rPr>
            </w:pPr>
            <w:r>
              <w:rPr>
                <w:rFonts w:cs="Times New Roman"/>
                <w:b/>
                <w:bCs/>
                <w:kern w:val="21"/>
                <w:sz w:val="21"/>
                <w:szCs w:val="21"/>
              </w:rPr>
              <w:t>工作职责</w:t>
            </w:r>
          </w:p>
        </w:tc>
      </w:tr>
      <w:tr w:rsidR="00544649" w14:paraId="3CC340B6" w14:textId="77777777">
        <w:trPr>
          <w:cantSplit/>
          <w:trHeight w:val="340"/>
          <w:jc w:val="center"/>
        </w:trPr>
        <w:tc>
          <w:tcPr>
            <w:tcW w:w="1774" w:type="dxa"/>
            <w:vMerge w:val="restart"/>
            <w:vAlign w:val="center"/>
          </w:tcPr>
          <w:p w14:paraId="53D7B870"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建设、调试阶段</w:t>
            </w:r>
          </w:p>
        </w:tc>
        <w:tc>
          <w:tcPr>
            <w:tcW w:w="7286" w:type="dxa"/>
            <w:vAlign w:val="center"/>
          </w:tcPr>
          <w:p w14:paraId="15CB8BEA"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完善准备、最大限度减少事故发生</w:t>
            </w:r>
          </w:p>
        </w:tc>
      </w:tr>
      <w:tr w:rsidR="00544649" w14:paraId="07E2D586" w14:textId="77777777">
        <w:trPr>
          <w:cantSplit/>
          <w:trHeight w:val="340"/>
          <w:jc w:val="center"/>
        </w:trPr>
        <w:tc>
          <w:tcPr>
            <w:tcW w:w="1774" w:type="dxa"/>
            <w:vMerge/>
            <w:vAlign w:val="center"/>
          </w:tcPr>
          <w:p w14:paraId="29966281"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c>
          <w:tcPr>
            <w:tcW w:w="7286" w:type="dxa"/>
            <w:vAlign w:val="center"/>
          </w:tcPr>
          <w:p w14:paraId="094DC74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严格施工设计监理，保证工程质量；检查环保措施的执行；加强环保设备运行检查，力求达标；避免超标排污；</w:t>
            </w:r>
          </w:p>
        </w:tc>
      </w:tr>
      <w:tr w:rsidR="00544649" w14:paraId="572599A4" w14:textId="77777777">
        <w:trPr>
          <w:cantSplit/>
          <w:trHeight w:val="340"/>
          <w:jc w:val="center"/>
        </w:trPr>
        <w:tc>
          <w:tcPr>
            <w:tcW w:w="1774" w:type="dxa"/>
            <w:vMerge w:val="restart"/>
            <w:vAlign w:val="center"/>
          </w:tcPr>
          <w:p w14:paraId="24262A4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信息反馈和群众监督</w:t>
            </w:r>
          </w:p>
        </w:tc>
        <w:tc>
          <w:tcPr>
            <w:tcW w:w="7286" w:type="dxa"/>
            <w:vAlign w:val="center"/>
          </w:tcPr>
          <w:p w14:paraId="6730D34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反馈监督数据，加强群众监督，改进污染治理工作</w:t>
            </w:r>
          </w:p>
        </w:tc>
      </w:tr>
      <w:tr w:rsidR="00544649" w14:paraId="3A175AA2" w14:textId="77777777">
        <w:trPr>
          <w:cantSplit/>
          <w:trHeight w:val="340"/>
          <w:jc w:val="center"/>
        </w:trPr>
        <w:tc>
          <w:tcPr>
            <w:tcW w:w="1774" w:type="dxa"/>
            <w:vMerge/>
            <w:vAlign w:val="center"/>
          </w:tcPr>
          <w:p w14:paraId="5883FC6C" w14:textId="77777777" w:rsidR="00544649" w:rsidRDefault="00544649">
            <w:pPr>
              <w:widowControl/>
              <w:adjustRightInd w:val="0"/>
              <w:snapToGrid w:val="0"/>
              <w:spacing w:beforeLines="20" w:before="62" w:afterLines="20" w:after="62" w:line="240" w:lineRule="auto"/>
              <w:ind w:firstLineChars="0" w:firstLine="0"/>
              <w:jc w:val="center"/>
              <w:rPr>
                <w:rFonts w:cs="Times New Roman"/>
                <w:kern w:val="21"/>
                <w:sz w:val="21"/>
                <w:szCs w:val="21"/>
              </w:rPr>
            </w:pPr>
          </w:p>
        </w:tc>
        <w:tc>
          <w:tcPr>
            <w:tcW w:w="7286" w:type="dxa"/>
            <w:vAlign w:val="center"/>
          </w:tcPr>
          <w:p w14:paraId="5A779EE3"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建立奖惩制度确保环保设施正常运转；整理监测数据，技术部据此研究并改进环保治理措施；收集附近居民意见并选举代表作为监督员</w:t>
            </w:r>
          </w:p>
        </w:tc>
      </w:tr>
    </w:tbl>
    <w:p w14:paraId="2CFCCF78"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35" w:name="_Toc21507"/>
      <w:bookmarkStart w:id="436" w:name="_Toc195009942"/>
      <w:r>
        <w:rPr>
          <w:rFonts w:cs="Times New Roman"/>
          <w:b/>
          <w:bCs/>
          <w:kern w:val="21"/>
          <w:sz w:val="28"/>
          <w:szCs w:val="24"/>
        </w:rPr>
        <w:t>环境管理指标体系</w:t>
      </w:r>
      <w:bookmarkEnd w:id="435"/>
      <w:bookmarkEnd w:id="436"/>
    </w:p>
    <w:p w14:paraId="79B00788" w14:textId="77777777" w:rsidR="00544649" w:rsidRDefault="00000000">
      <w:pPr>
        <w:adjustRightInd w:val="0"/>
        <w:snapToGrid w:val="0"/>
        <w:spacing w:after="0"/>
        <w:ind w:firstLine="480"/>
        <w:rPr>
          <w:rFonts w:cs="Times New Roman"/>
          <w:kern w:val="21"/>
          <w:szCs w:val="24"/>
        </w:rPr>
      </w:pPr>
      <w:r>
        <w:rPr>
          <w:rFonts w:cs="Times New Roman"/>
          <w:kern w:val="21"/>
          <w:szCs w:val="24"/>
        </w:rPr>
        <w:t>为了提高企业环境管理水平，优化环境治理方案，要求建立企业环境管理指标体</w:t>
      </w:r>
      <w:r>
        <w:rPr>
          <w:rFonts w:cs="Times New Roman"/>
          <w:kern w:val="21"/>
          <w:szCs w:val="24"/>
        </w:rPr>
        <w:lastRenderedPageBreak/>
        <w:t>系，通过指标体系的完成情况，调整环保工作重点，做到全面落实，逐步提高。企业环境管理指标体系见下图。</w:t>
      </w:r>
    </w:p>
    <w:p w14:paraId="711DDD8C" w14:textId="77777777" w:rsidR="00544649" w:rsidRDefault="00000000">
      <w:pPr>
        <w:adjustRightInd w:val="0"/>
        <w:snapToGrid w:val="0"/>
        <w:spacing w:beforeLines="20" w:before="62" w:afterLines="20" w:after="62" w:line="240" w:lineRule="auto"/>
        <w:ind w:firstLine="420"/>
        <w:jc w:val="center"/>
        <w:rPr>
          <w:rFonts w:cs="Times New Roman"/>
          <w:kern w:val="21"/>
          <w:sz w:val="21"/>
          <w:szCs w:val="21"/>
        </w:rPr>
      </w:pPr>
      <w:r>
        <w:rPr>
          <w:rFonts w:cs="Times New Roman"/>
          <w:noProof/>
          <w:kern w:val="21"/>
          <w:sz w:val="21"/>
          <w:szCs w:val="21"/>
        </w:rPr>
        <mc:AlternateContent>
          <mc:Choice Requires="wpg">
            <w:drawing>
              <wp:inline distT="0" distB="0" distL="114300" distR="114300" wp14:anchorId="5FC25E55" wp14:editId="3EA9C410">
                <wp:extent cx="5200015" cy="2242185"/>
                <wp:effectExtent l="0" t="0" r="0" b="0"/>
                <wp:docPr id="14" name="组合 14"/>
                <wp:cNvGraphicFramePr/>
                <a:graphic xmlns:a="http://schemas.openxmlformats.org/drawingml/2006/main">
                  <a:graphicData uri="http://schemas.microsoft.com/office/word/2010/wordprocessingGroup">
                    <wpg:wgp>
                      <wpg:cNvGrpSpPr/>
                      <wpg:grpSpPr>
                        <a:xfrm>
                          <a:off x="0" y="0"/>
                          <a:ext cx="5200015" cy="2242140"/>
                          <a:chOff x="1753" y="11232"/>
                          <a:chExt cx="7992" cy="3331"/>
                        </a:xfrm>
                      </wpg:grpSpPr>
                      <wps:wsp>
                        <wps:cNvPr id="90" name="文本框 90"/>
                        <wps:cNvSpPr txBox="1"/>
                        <wps:spPr>
                          <a:xfrm>
                            <a:off x="4023" y="11232"/>
                            <a:ext cx="2971" cy="3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F0B408" w14:textId="77777777" w:rsidR="00544649" w:rsidRDefault="00000000">
                              <w:pPr>
                                <w:spacing w:line="240" w:lineRule="atLeast"/>
                                <w:ind w:firstLineChars="0" w:firstLine="0"/>
                                <w:jc w:val="center"/>
                                <w:rPr>
                                  <w:rFonts w:cs="Times New Roman"/>
                                  <w:sz w:val="21"/>
                                </w:rPr>
                              </w:pPr>
                              <w:r>
                                <w:rPr>
                                  <w:rFonts w:cs="Times New Roman" w:hint="eastAsia"/>
                                  <w:sz w:val="21"/>
                                </w:rPr>
                                <w:t>环境管理指标体系</w:t>
                              </w:r>
                            </w:p>
                          </w:txbxContent>
                        </wps:txbx>
                        <wps:bodyPr lIns="10800" tIns="10800" rIns="10800" bIns="10800" upright="1"/>
                      </wps:wsp>
                      <wps:wsp>
                        <wps:cNvPr id="91" name="文本框 91"/>
                        <wps:cNvSpPr txBox="1"/>
                        <wps:spPr>
                          <a:xfrm>
                            <a:off x="3515" y="11936"/>
                            <a:ext cx="1415" cy="3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F105FD" w14:textId="77777777" w:rsidR="00544649" w:rsidRDefault="00000000">
                              <w:pPr>
                                <w:spacing w:line="240" w:lineRule="atLeast"/>
                                <w:ind w:firstLineChars="0" w:firstLine="0"/>
                                <w:jc w:val="center"/>
                                <w:rPr>
                                  <w:rFonts w:cs="Times New Roman"/>
                                  <w:sz w:val="21"/>
                                </w:rPr>
                              </w:pPr>
                              <w:r>
                                <w:rPr>
                                  <w:rFonts w:cs="Times New Roman" w:hint="eastAsia"/>
                                  <w:sz w:val="21"/>
                                </w:rPr>
                                <w:t>直接指标</w:t>
                              </w:r>
                            </w:p>
                          </w:txbxContent>
                        </wps:txbx>
                        <wps:bodyPr lIns="10800" tIns="10800" rIns="10800" bIns="10800" upright="1"/>
                      </wps:wsp>
                      <wps:wsp>
                        <wps:cNvPr id="96" name="文本框 96"/>
                        <wps:cNvSpPr txBox="1"/>
                        <wps:spPr>
                          <a:xfrm>
                            <a:off x="6320" y="11936"/>
                            <a:ext cx="1594" cy="3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E1AB43" w14:textId="77777777" w:rsidR="00544649" w:rsidRDefault="00000000">
                              <w:pPr>
                                <w:spacing w:line="240" w:lineRule="atLeast"/>
                                <w:ind w:firstLineChars="0" w:firstLine="0"/>
                                <w:jc w:val="center"/>
                                <w:rPr>
                                  <w:rFonts w:cs="Times New Roman"/>
                                  <w:sz w:val="21"/>
                                </w:rPr>
                              </w:pPr>
                              <w:r>
                                <w:rPr>
                                  <w:rFonts w:cs="Times New Roman" w:hint="eastAsia"/>
                                  <w:sz w:val="21"/>
                                </w:rPr>
                                <w:t>间接指标</w:t>
                              </w:r>
                            </w:p>
                          </w:txbxContent>
                        </wps:txbx>
                        <wps:bodyPr lIns="10800" tIns="10800" rIns="10800" bIns="10800" upright="1"/>
                      </wps:wsp>
                      <wpg:grpSp>
                        <wpg:cNvPr id="24" name="组合 103"/>
                        <wpg:cNvGrpSpPr/>
                        <wpg:grpSpPr>
                          <a:xfrm>
                            <a:off x="1753" y="12761"/>
                            <a:ext cx="7882" cy="363"/>
                            <a:chOff x="0" y="0"/>
                            <a:chExt cx="8595" cy="393"/>
                          </a:xfrm>
                        </wpg:grpSpPr>
                        <wps:wsp>
                          <wps:cNvPr id="97" name="文本框 97"/>
                          <wps:cNvSpPr txBox="1"/>
                          <wps:spPr>
                            <a:xfrm>
                              <a:off x="0" y="0"/>
                              <a:ext cx="120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644CB2" w14:textId="77777777" w:rsidR="00544649" w:rsidRDefault="00000000">
                                <w:pPr>
                                  <w:spacing w:line="180" w:lineRule="atLeast"/>
                                  <w:ind w:firstLineChars="0" w:firstLine="0"/>
                                  <w:rPr>
                                    <w:rFonts w:cs="Times New Roman"/>
                                    <w:sz w:val="18"/>
                                  </w:rPr>
                                </w:pPr>
                                <w:r>
                                  <w:rPr>
                                    <w:rFonts w:cs="Times New Roman" w:hint="eastAsia"/>
                                    <w:sz w:val="18"/>
                                  </w:rPr>
                                  <w:t>监督管理</w:t>
                                </w:r>
                              </w:p>
                            </w:txbxContent>
                          </wps:txbx>
                          <wps:bodyPr lIns="91440" tIns="10800" rIns="91440" bIns="10800" upright="1"/>
                        </wps:wsp>
                        <wps:wsp>
                          <wps:cNvPr id="98" name="文本框 98"/>
                          <wps:cNvSpPr txBox="1"/>
                          <wps:spPr>
                            <a:xfrm>
                              <a:off x="1290" y="0"/>
                              <a:ext cx="162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24560F" w14:textId="77777777" w:rsidR="00544649" w:rsidRDefault="00000000">
                                <w:pPr>
                                  <w:spacing w:line="180" w:lineRule="atLeast"/>
                                  <w:ind w:firstLineChars="0" w:firstLine="0"/>
                                  <w:rPr>
                                    <w:rFonts w:cs="Times New Roman"/>
                                    <w:sz w:val="18"/>
                                  </w:rPr>
                                </w:pPr>
                                <w:r>
                                  <w:rPr>
                                    <w:rFonts w:cs="Times New Roman" w:hint="eastAsia"/>
                                    <w:sz w:val="18"/>
                                  </w:rPr>
                                  <w:t>环境质量指标</w:t>
                                </w:r>
                              </w:p>
                            </w:txbxContent>
                          </wps:txbx>
                          <wps:bodyPr lIns="91440" tIns="10800" rIns="91440" bIns="10800" upright="1"/>
                        </wps:wsp>
                        <wps:wsp>
                          <wps:cNvPr id="99" name="文本框 99"/>
                          <wps:cNvSpPr txBox="1"/>
                          <wps:spPr>
                            <a:xfrm>
                              <a:off x="3030" y="0"/>
                              <a:ext cx="162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F6108A" w14:textId="77777777" w:rsidR="00544649" w:rsidRDefault="00000000">
                                <w:pPr>
                                  <w:spacing w:line="180" w:lineRule="atLeast"/>
                                  <w:ind w:firstLineChars="0" w:firstLine="0"/>
                                  <w:rPr>
                                    <w:rFonts w:cs="Times New Roman"/>
                                    <w:sz w:val="18"/>
                                  </w:rPr>
                                </w:pPr>
                                <w:r>
                                  <w:rPr>
                                    <w:rFonts w:cs="Times New Roman" w:hint="eastAsia"/>
                                    <w:sz w:val="18"/>
                                  </w:rPr>
                                  <w:t>总量控制指标</w:t>
                                </w:r>
                              </w:p>
                            </w:txbxContent>
                          </wps:txbx>
                          <wps:bodyPr lIns="91440" tIns="10800" rIns="91440" bIns="10800" upright="1"/>
                        </wps:wsp>
                        <wps:wsp>
                          <wps:cNvPr id="100" name="文本框 100"/>
                          <wps:cNvSpPr txBox="1"/>
                          <wps:spPr>
                            <a:xfrm>
                              <a:off x="4890" y="0"/>
                              <a:ext cx="117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4ECDDA" w14:textId="77777777" w:rsidR="00544649" w:rsidRDefault="00000000">
                                <w:pPr>
                                  <w:spacing w:line="180" w:lineRule="atLeast"/>
                                  <w:ind w:firstLineChars="0" w:firstLine="0"/>
                                  <w:rPr>
                                    <w:rFonts w:cs="Times New Roman"/>
                                    <w:sz w:val="18"/>
                                  </w:rPr>
                                </w:pPr>
                                <w:r>
                                  <w:rPr>
                                    <w:rFonts w:cs="Times New Roman" w:hint="eastAsia"/>
                                    <w:sz w:val="18"/>
                                  </w:rPr>
                                  <w:t>经济指标</w:t>
                                </w:r>
                              </w:p>
                            </w:txbxContent>
                          </wps:txbx>
                          <wps:bodyPr lIns="91440" tIns="10800" rIns="91440" bIns="10800" upright="1"/>
                        </wps:wsp>
                        <wps:wsp>
                          <wps:cNvPr id="101" name="文本框 101"/>
                          <wps:cNvSpPr txBox="1"/>
                          <wps:spPr>
                            <a:xfrm>
                              <a:off x="6150" y="0"/>
                              <a:ext cx="1170"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5C67A2" w14:textId="77777777" w:rsidR="00544649" w:rsidRDefault="00000000">
                                <w:pPr>
                                  <w:spacing w:line="240" w:lineRule="atLeast"/>
                                  <w:ind w:firstLineChars="0" w:firstLine="0"/>
                                  <w:rPr>
                                    <w:rFonts w:cs="Times New Roman"/>
                                    <w:sz w:val="18"/>
                                  </w:rPr>
                                </w:pPr>
                                <w:r>
                                  <w:rPr>
                                    <w:rFonts w:cs="Times New Roman" w:hint="eastAsia"/>
                                    <w:sz w:val="18"/>
                                  </w:rPr>
                                  <w:t>社会指标</w:t>
                                </w:r>
                              </w:p>
                            </w:txbxContent>
                          </wps:txbx>
                          <wps:bodyPr lIns="91440" tIns="10800" rIns="91440" bIns="10800" upright="1"/>
                        </wps:wsp>
                        <wps:wsp>
                          <wps:cNvPr id="102" name="文本框 102"/>
                          <wps:cNvSpPr txBox="1"/>
                          <wps:spPr>
                            <a:xfrm>
                              <a:off x="7440" y="0"/>
                              <a:ext cx="1155" cy="3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B7881E" w14:textId="77777777" w:rsidR="00544649" w:rsidRDefault="00000000">
                                <w:pPr>
                                  <w:spacing w:line="240" w:lineRule="atLeast"/>
                                  <w:ind w:firstLineChars="0" w:firstLine="0"/>
                                  <w:rPr>
                                    <w:rFonts w:cs="Times New Roman"/>
                                    <w:sz w:val="18"/>
                                  </w:rPr>
                                </w:pPr>
                                <w:r>
                                  <w:rPr>
                                    <w:rFonts w:cs="Times New Roman" w:hint="eastAsia"/>
                                    <w:sz w:val="18"/>
                                  </w:rPr>
                                  <w:t>生态指标</w:t>
                                </w:r>
                              </w:p>
                            </w:txbxContent>
                          </wps:txbx>
                          <wps:bodyPr lIns="91440" tIns="10800" rIns="91440" bIns="10800" upright="1"/>
                        </wps:wsp>
                      </wpg:grpSp>
                      <wps:wsp>
                        <wps:cNvPr id="104" name="文本框 104"/>
                        <wps:cNvSpPr txBox="1"/>
                        <wps:spPr>
                          <a:xfrm>
                            <a:off x="1767" y="13581"/>
                            <a:ext cx="486" cy="9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60A94E" w14:textId="77777777" w:rsidR="00544649" w:rsidRDefault="00000000">
                              <w:pPr>
                                <w:spacing w:line="240" w:lineRule="atLeast"/>
                                <w:ind w:firstLineChars="0" w:firstLine="0"/>
                                <w:jc w:val="center"/>
                                <w:rPr>
                                  <w:rFonts w:cs="Times New Roman"/>
                                  <w:sz w:val="18"/>
                                </w:rPr>
                              </w:pPr>
                              <w:r>
                                <w:rPr>
                                  <w:rFonts w:cs="Times New Roman" w:hint="eastAsia"/>
                                  <w:sz w:val="18"/>
                                </w:rPr>
                                <w:t>三同时指标</w:t>
                              </w:r>
                            </w:p>
                          </w:txbxContent>
                        </wps:txbx>
                        <wps:bodyPr lIns="10800" tIns="10800" rIns="10800" bIns="10800" upright="1"/>
                      </wps:wsp>
                      <wps:wsp>
                        <wps:cNvPr id="105" name="文本框 105"/>
                        <wps:cNvSpPr txBox="1"/>
                        <wps:spPr>
                          <a:xfrm>
                            <a:off x="2386" y="13581"/>
                            <a:ext cx="495" cy="9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A21AC" w14:textId="77777777" w:rsidR="00544649" w:rsidRDefault="00000000">
                              <w:pPr>
                                <w:spacing w:line="240" w:lineRule="atLeast"/>
                                <w:ind w:firstLineChars="0" w:firstLine="0"/>
                                <w:jc w:val="center"/>
                                <w:rPr>
                                  <w:rFonts w:cs="Times New Roman"/>
                                  <w:sz w:val="18"/>
                                </w:rPr>
                              </w:pPr>
                              <w:r>
                                <w:rPr>
                                  <w:rFonts w:cs="Times New Roman" w:hint="eastAsia"/>
                                  <w:sz w:val="18"/>
                                </w:rPr>
                                <w:t>法规情况指标</w:t>
                              </w:r>
                            </w:p>
                          </w:txbxContent>
                        </wps:txbx>
                        <wps:bodyPr lIns="10800" tIns="10800" rIns="10800" bIns="10800" upright="1"/>
                      </wps:wsp>
                      <wps:wsp>
                        <wps:cNvPr id="106" name="文本框 106"/>
                        <wps:cNvSpPr txBox="1"/>
                        <wps:spPr>
                          <a:xfrm>
                            <a:off x="3266" y="13573"/>
                            <a:ext cx="49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F4CF6C" w14:textId="77777777" w:rsidR="00544649" w:rsidRDefault="00000000">
                              <w:pPr>
                                <w:spacing w:line="240" w:lineRule="atLeast"/>
                                <w:ind w:firstLineChars="0" w:firstLine="0"/>
                                <w:jc w:val="center"/>
                                <w:rPr>
                                  <w:rFonts w:cs="Times New Roman"/>
                                  <w:sz w:val="18"/>
                                </w:rPr>
                              </w:pPr>
                              <w:r>
                                <w:rPr>
                                  <w:rFonts w:cs="Times New Roman" w:hint="eastAsia"/>
                                  <w:sz w:val="18"/>
                                </w:rPr>
                                <w:t>废气及环境空气指标</w:t>
                              </w:r>
                            </w:p>
                          </w:txbxContent>
                        </wps:txbx>
                        <wps:bodyPr lIns="10800" tIns="10800" rIns="10800" bIns="10800" upright="1"/>
                      </wps:wsp>
                      <wps:wsp>
                        <wps:cNvPr id="107" name="文本框 107"/>
                        <wps:cNvSpPr txBox="1"/>
                        <wps:spPr>
                          <a:xfrm>
                            <a:off x="4119" y="13587"/>
                            <a:ext cx="495"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3A5CB5" w14:textId="77777777" w:rsidR="00544649" w:rsidRDefault="00000000">
                              <w:pPr>
                                <w:spacing w:line="240" w:lineRule="atLeast"/>
                                <w:ind w:firstLineChars="0" w:firstLine="0"/>
                                <w:jc w:val="center"/>
                                <w:rPr>
                                  <w:rFonts w:cs="Times New Roman"/>
                                  <w:sz w:val="18"/>
                                </w:rPr>
                              </w:pPr>
                              <w:r>
                                <w:rPr>
                                  <w:rFonts w:cs="Times New Roman" w:hint="eastAsia"/>
                                  <w:sz w:val="18"/>
                                </w:rPr>
                                <w:t>废水及水环境指标</w:t>
                              </w:r>
                            </w:p>
                          </w:txbxContent>
                        </wps:txbx>
                        <wps:bodyPr lIns="10800" tIns="10800" rIns="10800" bIns="10800" upright="1"/>
                      </wps:wsp>
                      <wps:wsp>
                        <wps:cNvPr id="108" name="文本框 108"/>
                        <wps:cNvSpPr txBox="1"/>
                        <wps:spPr>
                          <a:xfrm>
                            <a:off x="4766" y="13584"/>
                            <a:ext cx="495" cy="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42E899" w14:textId="77777777" w:rsidR="00544649" w:rsidRDefault="00000000">
                              <w:pPr>
                                <w:spacing w:line="240" w:lineRule="atLeast"/>
                                <w:ind w:firstLineChars="0" w:firstLine="0"/>
                                <w:jc w:val="center"/>
                                <w:rPr>
                                  <w:rFonts w:cs="Times New Roman"/>
                                  <w:sz w:val="18"/>
                                </w:rPr>
                              </w:pPr>
                              <w:r>
                                <w:rPr>
                                  <w:rFonts w:cs="Times New Roman" w:hint="eastAsia"/>
                                  <w:sz w:val="18"/>
                                </w:rPr>
                                <w:t>噪声指标</w:t>
                              </w:r>
                            </w:p>
                          </w:txbxContent>
                        </wps:txbx>
                        <wps:bodyPr lIns="10800" tIns="10800" rIns="10800" bIns="10800" upright="1"/>
                      </wps:wsp>
                      <wps:wsp>
                        <wps:cNvPr id="117" name="文本框 117"/>
                        <wps:cNvSpPr txBox="1"/>
                        <wps:spPr>
                          <a:xfrm>
                            <a:off x="5412" y="13584"/>
                            <a:ext cx="495" cy="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1435C5" w14:textId="77777777" w:rsidR="00544649" w:rsidRDefault="00000000">
                              <w:pPr>
                                <w:spacing w:line="240" w:lineRule="atLeast"/>
                                <w:ind w:firstLineChars="0" w:firstLine="0"/>
                                <w:jc w:val="center"/>
                                <w:rPr>
                                  <w:rFonts w:cs="Times New Roman"/>
                                  <w:sz w:val="18"/>
                                </w:rPr>
                              </w:pPr>
                              <w:r>
                                <w:rPr>
                                  <w:rFonts w:cs="Times New Roman" w:hint="eastAsia"/>
                                  <w:sz w:val="18"/>
                                </w:rPr>
                                <w:t>固废指标</w:t>
                              </w:r>
                            </w:p>
                          </w:txbxContent>
                        </wps:txbx>
                        <wps:bodyPr lIns="10800" tIns="10800" rIns="10800" bIns="10800" upright="1"/>
                      </wps:wsp>
                      <wps:wsp>
                        <wps:cNvPr id="118" name="文本框 118"/>
                        <wps:cNvSpPr txBox="1"/>
                        <wps:spPr>
                          <a:xfrm>
                            <a:off x="6251" y="13589"/>
                            <a:ext cx="495" cy="9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1CE81B" w14:textId="77777777" w:rsidR="00544649" w:rsidRDefault="00000000">
                              <w:pPr>
                                <w:spacing w:line="240" w:lineRule="atLeast"/>
                                <w:ind w:firstLineChars="0" w:firstLine="0"/>
                                <w:jc w:val="center"/>
                                <w:rPr>
                                  <w:rFonts w:cs="Times New Roman"/>
                                  <w:sz w:val="18"/>
                                </w:rPr>
                              </w:pPr>
                              <w:r>
                                <w:rPr>
                                  <w:rFonts w:cs="Times New Roman" w:hint="eastAsia"/>
                                  <w:sz w:val="18"/>
                                </w:rPr>
                                <w:t>产值指标</w:t>
                              </w:r>
                            </w:p>
                          </w:txbxContent>
                        </wps:txbx>
                        <wps:bodyPr lIns="10800" tIns="10800" rIns="10800" bIns="10800" upright="1"/>
                      </wps:wsp>
                      <wps:wsp>
                        <wps:cNvPr id="119" name="文本框 119"/>
                        <wps:cNvSpPr txBox="1"/>
                        <wps:spPr>
                          <a:xfrm>
                            <a:off x="6828" y="13589"/>
                            <a:ext cx="496" cy="9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FF44F9" w14:textId="77777777" w:rsidR="00544649" w:rsidRDefault="00000000">
                              <w:pPr>
                                <w:spacing w:line="240" w:lineRule="atLeast"/>
                                <w:ind w:firstLineChars="0" w:firstLine="0"/>
                                <w:jc w:val="center"/>
                                <w:rPr>
                                  <w:rFonts w:cs="Times New Roman"/>
                                  <w:sz w:val="18"/>
                                </w:rPr>
                              </w:pPr>
                              <w:r>
                                <w:rPr>
                                  <w:rFonts w:cs="Times New Roman" w:hint="eastAsia"/>
                                  <w:sz w:val="18"/>
                                </w:rPr>
                                <w:t>资源指标</w:t>
                              </w:r>
                            </w:p>
                          </w:txbxContent>
                        </wps:txbx>
                        <wps:bodyPr lIns="10800" tIns="10800" rIns="10800" bIns="10800" upright="1"/>
                      </wps:wsp>
                      <wps:wsp>
                        <wps:cNvPr id="120" name="文本框 120"/>
                        <wps:cNvSpPr txBox="1"/>
                        <wps:spPr>
                          <a:xfrm>
                            <a:off x="8630" y="13574"/>
                            <a:ext cx="496" cy="9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C3D716" w14:textId="77777777" w:rsidR="00544649" w:rsidRDefault="00000000">
                              <w:pPr>
                                <w:spacing w:line="240" w:lineRule="atLeast"/>
                                <w:ind w:firstLineChars="0" w:firstLine="0"/>
                                <w:jc w:val="center"/>
                                <w:rPr>
                                  <w:rFonts w:cs="Times New Roman"/>
                                  <w:sz w:val="18"/>
                                </w:rPr>
                              </w:pPr>
                              <w:r>
                                <w:rPr>
                                  <w:rFonts w:cs="Times New Roman" w:hint="eastAsia"/>
                                  <w:sz w:val="18"/>
                                </w:rPr>
                                <w:t>自然指标</w:t>
                              </w:r>
                            </w:p>
                          </w:txbxContent>
                        </wps:txbx>
                        <wps:bodyPr lIns="10800" tIns="10800" rIns="10800" bIns="10800" upright="1"/>
                      </wps:wsp>
                      <wps:wsp>
                        <wps:cNvPr id="121" name="文本框 121"/>
                        <wps:cNvSpPr txBox="1"/>
                        <wps:spPr>
                          <a:xfrm>
                            <a:off x="9250" y="13566"/>
                            <a:ext cx="495" cy="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82977D" w14:textId="77777777" w:rsidR="00544649" w:rsidRDefault="00000000">
                              <w:pPr>
                                <w:spacing w:line="240" w:lineRule="atLeast"/>
                                <w:ind w:firstLineChars="0" w:firstLine="0"/>
                                <w:jc w:val="center"/>
                                <w:rPr>
                                  <w:rFonts w:cs="Times New Roman"/>
                                  <w:sz w:val="18"/>
                                </w:rPr>
                              </w:pPr>
                              <w:r>
                                <w:rPr>
                                  <w:rFonts w:cs="Times New Roman" w:hint="eastAsia"/>
                                  <w:sz w:val="18"/>
                                </w:rPr>
                                <w:t>景观指标</w:t>
                              </w:r>
                            </w:p>
                          </w:txbxContent>
                        </wps:txbx>
                        <wps:bodyPr lIns="10800" tIns="10800" rIns="10800" bIns="10800" upright="1"/>
                      </wps:wsp>
                      <wps:wsp>
                        <wps:cNvPr id="122" name="直接连接符 122"/>
                        <wps:cNvCnPr/>
                        <wps:spPr>
                          <a:xfrm flipH="1">
                            <a:off x="4501" y="11582"/>
                            <a:ext cx="5" cy="353"/>
                          </a:xfrm>
                          <a:prstGeom prst="line">
                            <a:avLst/>
                          </a:prstGeom>
                          <a:ln w="9525" cap="flat" cmpd="sng">
                            <a:solidFill>
                              <a:srgbClr val="000000"/>
                            </a:solidFill>
                            <a:prstDash val="solid"/>
                            <a:headEnd type="none" w="med" len="med"/>
                            <a:tailEnd type="none" w="med" len="med"/>
                          </a:ln>
                        </wps:spPr>
                        <wps:bodyPr/>
                      </wps:wsp>
                      <wps:wsp>
                        <wps:cNvPr id="123" name="直接连接符 123"/>
                        <wps:cNvCnPr/>
                        <wps:spPr>
                          <a:xfrm>
                            <a:off x="6484" y="11587"/>
                            <a:ext cx="5" cy="348"/>
                          </a:xfrm>
                          <a:prstGeom prst="line">
                            <a:avLst/>
                          </a:prstGeom>
                          <a:ln w="9525" cap="flat" cmpd="sng">
                            <a:solidFill>
                              <a:srgbClr val="000000"/>
                            </a:solidFill>
                            <a:prstDash val="solid"/>
                            <a:headEnd type="none" w="med" len="med"/>
                            <a:tailEnd type="none" w="med" len="med"/>
                          </a:ln>
                        </wps:spPr>
                        <wps:bodyPr/>
                      </wps:wsp>
                      <wps:wsp>
                        <wps:cNvPr id="124" name="直接连接符 124"/>
                        <wps:cNvCnPr/>
                        <wps:spPr>
                          <a:xfrm>
                            <a:off x="2193" y="12514"/>
                            <a:ext cx="3136" cy="1"/>
                          </a:xfrm>
                          <a:prstGeom prst="line">
                            <a:avLst/>
                          </a:prstGeom>
                          <a:ln w="9525" cap="flat" cmpd="sng">
                            <a:solidFill>
                              <a:srgbClr val="000000"/>
                            </a:solidFill>
                            <a:prstDash val="solid"/>
                            <a:headEnd type="none" w="med" len="med"/>
                            <a:tailEnd type="none" w="med" len="med"/>
                          </a:ln>
                        </wps:spPr>
                        <wps:bodyPr/>
                      </wps:wsp>
                      <wps:wsp>
                        <wps:cNvPr id="125" name="直接连接符 125"/>
                        <wps:cNvCnPr/>
                        <wps:spPr>
                          <a:xfrm>
                            <a:off x="4009" y="12298"/>
                            <a:ext cx="1" cy="230"/>
                          </a:xfrm>
                          <a:prstGeom prst="line">
                            <a:avLst/>
                          </a:prstGeom>
                          <a:ln w="9525" cap="flat" cmpd="sng">
                            <a:solidFill>
                              <a:srgbClr val="000000"/>
                            </a:solidFill>
                            <a:prstDash val="solid"/>
                            <a:headEnd type="none" w="med" len="med"/>
                            <a:tailEnd type="none" w="med" len="med"/>
                          </a:ln>
                        </wps:spPr>
                        <wps:bodyPr/>
                      </wps:wsp>
                      <wps:wsp>
                        <wps:cNvPr id="126" name="直接连接符 126"/>
                        <wps:cNvCnPr/>
                        <wps:spPr>
                          <a:xfrm>
                            <a:off x="2193" y="12533"/>
                            <a:ext cx="1" cy="231"/>
                          </a:xfrm>
                          <a:prstGeom prst="line">
                            <a:avLst/>
                          </a:prstGeom>
                          <a:ln w="9525" cap="flat" cmpd="sng">
                            <a:solidFill>
                              <a:srgbClr val="000000"/>
                            </a:solidFill>
                            <a:prstDash val="solid"/>
                            <a:headEnd type="none" w="med" len="med"/>
                            <a:tailEnd type="none" w="med" len="med"/>
                          </a:ln>
                        </wps:spPr>
                        <wps:bodyPr/>
                      </wps:wsp>
                      <wps:wsp>
                        <wps:cNvPr id="127" name="直接连接符 127"/>
                        <wps:cNvCnPr/>
                        <wps:spPr>
                          <a:xfrm>
                            <a:off x="3665" y="12514"/>
                            <a:ext cx="1" cy="230"/>
                          </a:xfrm>
                          <a:prstGeom prst="line">
                            <a:avLst/>
                          </a:prstGeom>
                          <a:ln w="9525" cap="flat" cmpd="sng">
                            <a:solidFill>
                              <a:srgbClr val="000000"/>
                            </a:solidFill>
                            <a:prstDash val="solid"/>
                            <a:headEnd type="none" w="med" len="med"/>
                            <a:tailEnd type="none" w="med" len="med"/>
                          </a:ln>
                        </wps:spPr>
                        <wps:bodyPr/>
                      </wps:wsp>
                      <wps:wsp>
                        <wps:cNvPr id="128" name="直接连接符 128"/>
                        <wps:cNvCnPr/>
                        <wps:spPr>
                          <a:xfrm>
                            <a:off x="5329" y="12514"/>
                            <a:ext cx="1" cy="230"/>
                          </a:xfrm>
                          <a:prstGeom prst="line">
                            <a:avLst/>
                          </a:prstGeom>
                          <a:ln w="9525" cap="flat" cmpd="sng">
                            <a:solidFill>
                              <a:srgbClr val="000000"/>
                            </a:solidFill>
                            <a:prstDash val="solid"/>
                            <a:headEnd type="none" w="med" len="med"/>
                            <a:tailEnd type="none" w="med" len="med"/>
                          </a:ln>
                        </wps:spPr>
                        <wps:bodyPr/>
                      </wps:wsp>
                      <wps:wsp>
                        <wps:cNvPr id="129" name="直接连接符 129"/>
                        <wps:cNvCnPr/>
                        <wps:spPr>
                          <a:xfrm>
                            <a:off x="6650" y="12514"/>
                            <a:ext cx="2476" cy="1"/>
                          </a:xfrm>
                          <a:prstGeom prst="line">
                            <a:avLst/>
                          </a:prstGeom>
                          <a:ln w="9525" cap="flat" cmpd="sng">
                            <a:solidFill>
                              <a:srgbClr val="000000"/>
                            </a:solidFill>
                            <a:prstDash val="solid"/>
                            <a:headEnd type="none" w="med" len="med"/>
                            <a:tailEnd type="none" w="med" len="med"/>
                          </a:ln>
                        </wps:spPr>
                        <wps:bodyPr/>
                      </wps:wsp>
                      <wps:wsp>
                        <wps:cNvPr id="130" name="直接连接符 130"/>
                        <wps:cNvCnPr/>
                        <wps:spPr>
                          <a:xfrm>
                            <a:off x="7344" y="12290"/>
                            <a:ext cx="1" cy="228"/>
                          </a:xfrm>
                          <a:prstGeom prst="line">
                            <a:avLst/>
                          </a:prstGeom>
                          <a:ln w="9525" cap="flat" cmpd="sng">
                            <a:solidFill>
                              <a:srgbClr val="000000"/>
                            </a:solidFill>
                            <a:prstDash val="solid"/>
                            <a:headEnd type="none" w="med" len="med"/>
                            <a:tailEnd type="none" w="med" len="med"/>
                          </a:ln>
                        </wps:spPr>
                        <wps:bodyPr/>
                      </wps:wsp>
                      <wps:wsp>
                        <wps:cNvPr id="131" name="直接连接符 131"/>
                        <wps:cNvCnPr/>
                        <wps:spPr>
                          <a:xfrm>
                            <a:off x="6650" y="12514"/>
                            <a:ext cx="1" cy="230"/>
                          </a:xfrm>
                          <a:prstGeom prst="line">
                            <a:avLst/>
                          </a:prstGeom>
                          <a:ln w="9525" cap="flat" cmpd="sng">
                            <a:solidFill>
                              <a:srgbClr val="000000"/>
                            </a:solidFill>
                            <a:prstDash val="solid"/>
                            <a:headEnd type="none" w="med" len="med"/>
                            <a:tailEnd type="none" w="med" len="med"/>
                          </a:ln>
                        </wps:spPr>
                        <wps:bodyPr/>
                      </wps:wsp>
                      <wps:wsp>
                        <wps:cNvPr id="132" name="直接连接符 132"/>
                        <wps:cNvCnPr/>
                        <wps:spPr>
                          <a:xfrm>
                            <a:off x="7929" y="12514"/>
                            <a:ext cx="1" cy="230"/>
                          </a:xfrm>
                          <a:prstGeom prst="line">
                            <a:avLst/>
                          </a:prstGeom>
                          <a:ln w="9525" cap="flat" cmpd="sng">
                            <a:solidFill>
                              <a:srgbClr val="000000"/>
                            </a:solidFill>
                            <a:prstDash val="solid"/>
                            <a:headEnd type="none" w="med" len="med"/>
                            <a:tailEnd type="none" w="med" len="med"/>
                          </a:ln>
                        </wps:spPr>
                        <wps:bodyPr/>
                      </wps:wsp>
                      <wps:wsp>
                        <wps:cNvPr id="133" name="直接连接符 133"/>
                        <wps:cNvCnPr/>
                        <wps:spPr>
                          <a:xfrm>
                            <a:off x="9126" y="12514"/>
                            <a:ext cx="1" cy="230"/>
                          </a:xfrm>
                          <a:prstGeom prst="line">
                            <a:avLst/>
                          </a:prstGeom>
                          <a:ln w="9525" cap="flat" cmpd="sng">
                            <a:solidFill>
                              <a:srgbClr val="000000"/>
                            </a:solidFill>
                            <a:prstDash val="solid"/>
                            <a:headEnd type="none" w="med" len="med"/>
                            <a:tailEnd type="none" w="med" len="med"/>
                          </a:ln>
                        </wps:spPr>
                        <wps:bodyPr/>
                      </wps:wsp>
                      <wps:wsp>
                        <wps:cNvPr id="134" name="直接连接符 134"/>
                        <wps:cNvCnPr/>
                        <wps:spPr>
                          <a:xfrm>
                            <a:off x="3674" y="13121"/>
                            <a:ext cx="1" cy="230"/>
                          </a:xfrm>
                          <a:prstGeom prst="line">
                            <a:avLst/>
                          </a:prstGeom>
                          <a:ln w="9525" cap="flat" cmpd="sng">
                            <a:solidFill>
                              <a:srgbClr val="000000"/>
                            </a:solidFill>
                            <a:prstDash val="solid"/>
                            <a:headEnd type="none" w="med" len="med"/>
                            <a:tailEnd type="none" w="med" len="med"/>
                          </a:ln>
                        </wps:spPr>
                        <wps:bodyPr/>
                      </wps:wsp>
                      <wps:wsp>
                        <wps:cNvPr id="135" name="直接连接符 135"/>
                        <wps:cNvCnPr/>
                        <wps:spPr>
                          <a:xfrm>
                            <a:off x="5354" y="13125"/>
                            <a:ext cx="1" cy="230"/>
                          </a:xfrm>
                          <a:prstGeom prst="line">
                            <a:avLst/>
                          </a:prstGeom>
                          <a:ln w="9525" cap="flat" cmpd="sng">
                            <a:solidFill>
                              <a:srgbClr val="000000"/>
                            </a:solidFill>
                            <a:prstDash val="solid"/>
                            <a:headEnd type="none" w="med" len="med"/>
                            <a:tailEnd type="none" w="med" len="med"/>
                          </a:ln>
                        </wps:spPr>
                        <wps:bodyPr/>
                      </wps:wsp>
                      <wps:wsp>
                        <wps:cNvPr id="136" name="直接连接符 136"/>
                        <wps:cNvCnPr/>
                        <wps:spPr>
                          <a:xfrm>
                            <a:off x="3513" y="13349"/>
                            <a:ext cx="2146" cy="1"/>
                          </a:xfrm>
                          <a:prstGeom prst="line">
                            <a:avLst/>
                          </a:prstGeom>
                          <a:ln w="9525" cap="flat" cmpd="sng">
                            <a:solidFill>
                              <a:srgbClr val="000000"/>
                            </a:solidFill>
                            <a:prstDash val="solid"/>
                            <a:headEnd type="none" w="med" len="med"/>
                            <a:tailEnd type="none" w="med" len="med"/>
                          </a:ln>
                        </wps:spPr>
                        <wps:bodyPr/>
                      </wps:wsp>
                      <wps:wsp>
                        <wps:cNvPr id="137" name="直接连接符 137"/>
                        <wps:cNvCnPr/>
                        <wps:spPr>
                          <a:xfrm>
                            <a:off x="5649" y="13344"/>
                            <a:ext cx="1" cy="231"/>
                          </a:xfrm>
                          <a:prstGeom prst="line">
                            <a:avLst/>
                          </a:prstGeom>
                          <a:ln w="9525" cap="flat" cmpd="sng">
                            <a:solidFill>
                              <a:srgbClr val="000000"/>
                            </a:solidFill>
                            <a:prstDash val="solid"/>
                            <a:headEnd type="none" w="med" len="med"/>
                            <a:tailEnd type="none" w="med" len="med"/>
                          </a:ln>
                        </wps:spPr>
                        <wps:bodyPr/>
                      </wps:wsp>
                      <wps:wsp>
                        <wps:cNvPr id="138" name="直接连接符 138"/>
                        <wps:cNvCnPr/>
                        <wps:spPr>
                          <a:xfrm>
                            <a:off x="3513" y="13355"/>
                            <a:ext cx="1" cy="230"/>
                          </a:xfrm>
                          <a:prstGeom prst="line">
                            <a:avLst/>
                          </a:prstGeom>
                          <a:ln w="9525" cap="flat" cmpd="sng">
                            <a:solidFill>
                              <a:srgbClr val="000000"/>
                            </a:solidFill>
                            <a:prstDash val="solid"/>
                            <a:headEnd type="none" w="med" len="med"/>
                            <a:tailEnd type="none" w="med" len="med"/>
                          </a:ln>
                        </wps:spPr>
                        <wps:bodyPr/>
                      </wps:wsp>
                      <wps:wsp>
                        <wps:cNvPr id="139" name="直接连接符 139"/>
                        <wps:cNvCnPr/>
                        <wps:spPr>
                          <a:xfrm>
                            <a:off x="5000" y="13349"/>
                            <a:ext cx="1" cy="230"/>
                          </a:xfrm>
                          <a:prstGeom prst="line">
                            <a:avLst/>
                          </a:prstGeom>
                          <a:ln w="9525" cap="flat" cmpd="sng">
                            <a:solidFill>
                              <a:srgbClr val="000000"/>
                            </a:solidFill>
                            <a:prstDash val="solid"/>
                            <a:headEnd type="none" w="med" len="med"/>
                            <a:tailEnd type="none" w="med" len="med"/>
                          </a:ln>
                        </wps:spPr>
                        <wps:bodyPr/>
                      </wps:wsp>
                      <wps:wsp>
                        <wps:cNvPr id="140" name="直接连接符 140"/>
                        <wps:cNvCnPr/>
                        <wps:spPr>
                          <a:xfrm>
                            <a:off x="4366" y="13349"/>
                            <a:ext cx="1" cy="230"/>
                          </a:xfrm>
                          <a:prstGeom prst="line">
                            <a:avLst/>
                          </a:prstGeom>
                          <a:ln w="9525" cap="flat" cmpd="sng">
                            <a:solidFill>
                              <a:srgbClr val="000000"/>
                            </a:solidFill>
                            <a:prstDash val="solid"/>
                            <a:headEnd type="none" w="med" len="med"/>
                            <a:tailEnd type="none" w="med" len="med"/>
                          </a:ln>
                        </wps:spPr>
                        <wps:bodyPr/>
                      </wps:wsp>
                      <wps:wsp>
                        <wps:cNvPr id="141" name="直接连接符 141"/>
                        <wps:cNvCnPr/>
                        <wps:spPr>
                          <a:xfrm>
                            <a:off x="6485" y="13114"/>
                            <a:ext cx="0" cy="465"/>
                          </a:xfrm>
                          <a:prstGeom prst="line">
                            <a:avLst/>
                          </a:prstGeom>
                          <a:ln w="9525" cap="flat" cmpd="sng">
                            <a:solidFill>
                              <a:srgbClr val="000000"/>
                            </a:solidFill>
                            <a:prstDash val="solid"/>
                            <a:headEnd type="none" w="med" len="med"/>
                            <a:tailEnd type="none" w="med" len="med"/>
                          </a:ln>
                        </wps:spPr>
                        <wps:bodyPr/>
                      </wps:wsp>
                      <wps:wsp>
                        <wps:cNvPr id="142" name="直接连接符 142"/>
                        <wps:cNvCnPr/>
                        <wps:spPr>
                          <a:xfrm>
                            <a:off x="7076" y="13131"/>
                            <a:ext cx="3" cy="455"/>
                          </a:xfrm>
                          <a:prstGeom prst="line">
                            <a:avLst/>
                          </a:prstGeom>
                          <a:ln w="9525" cap="flat" cmpd="sng">
                            <a:solidFill>
                              <a:srgbClr val="000000"/>
                            </a:solidFill>
                            <a:prstDash val="solid"/>
                            <a:headEnd type="none" w="med" len="med"/>
                            <a:tailEnd type="none" w="med" len="med"/>
                          </a:ln>
                        </wps:spPr>
                        <wps:bodyPr/>
                      </wps:wsp>
                      <wps:wsp>
                        <wps:cNvPr id="143" name="直接连接符 143"/>
                        <wps:cNvCnPr/>
                        <wps:spPr>
                          <a:xfrm>
                            <a:off x="8878" y="13111"/>
                            <a:ext cx="1" cy="455"/>
                          </a:xfrm>
                          <a:prstGeom prst="line">
                            <a:avLst/>
                          </a:prstGeom>
                          <a:ln w="9525" cap="flat" cmpd="sng">
                            <a:solidFill>
                              <a:srgbClr val="000000"/>
                            </a:solidFill>
                            <a:prstDash val="solid"/>
                            <a:headEnd type="none" w="med" len="med"/>
                            <a:tailEnd type="none" w="med" len="med"/>
                          </a:ln>
                        </wps:spPr>
                        <wps:bodyPr/>
                      </wps:wsp>
                      <wps:wsp>
                        <wps:cNvPr id="144" name="直接连接符 144"/>
                        <wps:cNvCnPr/>
                        <wps:spPr>
                          <a:xfrm flipH="1">
                            <a:off x="9477" y="13104"/>
                            <a:ext cx="6" cy="450"/>
                          </a:xfrm>
                          <a:prstGeom prst="line">
                            <a:avLst/>
                          </a:prstGeom>
                          <a:ln w="9525" cap="flat" cmpd="sng">
                            <a:solidFill>
                              <a:srgbClr val="000000"/>
                            </a:solidFill>
                            <a:prstDash val="solid"/>
                            <a:headEnd type="none" w="med" len="med"/>
                            <a:tailEnd type="none" w="med" len="med"/>
                          </a:ln>
                        </wps:spPr>
                        <wps:bodyPr/>
                      </wps:wsp>
                      <wps:wsp>
                        <wps:cNvPr id="145" name="直接连接符 145"/>
                        <wps:cNvCnPr/>
                        <wps:spPr>
                          <a:xfrm>
                            <a:off x="2634" y="13117"/>
                            <a:ext cx="1" cy="501"/>
                          </a:xfrm>
                          <a:prstGeom prst="line">
                            <a:avLst/>
                          </a:prstGeom>
                          <a:ln w="9525" cap="flat" cmpd="sng">
                            <a:solidFill>
                              <a:srgbClr val="000000"/>
                            </a:solidFill>
                            <a:prstDash val="solid"/>
                            <a:headEnd type="none" w="med" len="med"/>
                            <a:tailEnd type="none" w="med" len="med"/>
                          </a:ln>
                        </wps:spPr>
                        <wps:bodyPr/>
                      </wps:wsp>
                      <wps:wsp>
                        <wps:cNvPr id="146" name="直接连接符 146"/>
                        <wps:cNvCnPr/>
                        <wps:spPr>
                          <a:xfrm>
                            <a:off x="2001" y="13111"/>
                            <a:ext cx="1" cy="500"/>
                          </a:xfrm>
                          <a:prstGeom prst="line">
                            <a:avLst/>
                          </a:prstGeom>
                          <a:ln w="9525" cap="flat" cmpd="sng">
                            <a:solidFill>
                              <a:srgbClr val="000000"/>
                            </a:solidFill>
                            <a:prstDash val="solid"/>
                            <a:headEnd type="none" w="med" len="med"/>
                            <a:tailEnd type="none" w="med" len="med"/>
                          </a:ln>
                        </wps:spPr>
                        <wps:bodyPr/>
                      </wps:wsp>
                    </wpg:wgp>
                  </a:graphicData>
                </a:graphic>
              </wp:inline>
            </w:drawing>
          </mc:Choice>
          <mc:Fallback>
            <w:pict>
              <v:group w14:anchorId="5FC25E55" id="组合 14" o:spid="_x0000_s1028" style="width:409.45pt;height:176.55pt;mso-position-horizontal-relative:char;mso-position-vertical-relative:line" coordorigin="1753,11232" coordsize="7992,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">
                <v:shapetype id="_x0000_t202" coordsize="21600,21600" o:spt="202" path="m,l,21600r21600,l21600,xe">
                  <v:stroke joinstyle="miter"/>
                  <v:path gradientshapeok="t" o:connecttype="rect"/>
                </v:shapetype>
                <v:shape id="文本框 90" o:spid="_x0000_s1029" type="#_x0000_t202" style="position:absolute;left:4023;top:11232;width:297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">
                  <v:textbox inset=".3mm,.3mm,.3mm,.3mm">
                    <w:txbxContent>
                      <w:p w14:paraId="0BF0B408" w14:textId="77777777" w:rsidR="00544649" w:rsidRDefault="00000000">
                        <w:pPr>
                          <w:spacing w:line="240" w:lineRule="atLeast"/>
                          <w:ind w:firstLineChars="0" w:firstLine="0"/>
                          <w:jc w:val="center"/>
                          <w:rPr>
                            <w:rFonts w:cs="Times New Roman"/>
                            <w:sz w:val="21"/>
                          </w:rPr>
                        </w:pPr>
                        <w:r>
                          <w:rPr>
                            <w:rFonts w:cs="Times New Roman" w:hint="eastAsia"/>
                            <w:sz w:val="21"/>
                          </w:rPr>
                          <w:t>环境管理指标体系</w:t>
                        </w:r>
                      </w:p>
                    </w:txbxContent>
                  </v:textbox>
                </v:shape>
                <v:shape id="文本框 91" o:spid="_x0000_s1030" type="#_x0000_t202" style="position:absolute;left:3515;top:11936;width:1415;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">
                  <v:textbox inset=".3mm,.3mm,.3mm,.3mm">
                    <w:txbxContent>
                      <w:p w14:paraId="5FF105FD" w14:textId="77777777" w:rsidR="00544649" w:rsidRDefault="00000000">
                        <w:pPr>
                          <w:spacing w:line="240" w:lineRule="atLeast"/>
                          <w:ind w:firstLineChars="0" w:firstLine="0"/>
                          <w:jc w:val="center"/>
                          <w:rPr>
                            <w:rFonts w:cs="Times New Roman"/>
                            <w:sz w:val="21"/>
                          </w:rPr>
                        </w:pPr>
                        <w:r>
                          <w:rPr>
                            <w:rFonts w:cs="Times New Roman" w:hint="eastAsia"/>
                            <w:sz w:val="21"/>
                          </w:rPr>
                          <w:t>直接指标</w:t>
                        </w:r>
                      </w:p>
                    </w:txbxContent>
                  </v:textbox>
                </v:shape>
                <v:shape id="文本框 96" o:spid="_x0000_s1031" type="#_x0000_t202" style="position:absolute;left:6320;top:11936;width:1594;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">
                  <v:textbox inset=".3mm,.3mm,.3mm,.3mm">
                    <w:txbxContent>
                      <w:p w14:paraId="06E1AB43" w14:textId="77777777" w:rsidR="00544649" w:rsidRDefault="00000000">
                        <w:pPr>
                          <w:spacing w:line="240" w:lineRule="atLeast"/>
                          <w:ind w:firstLineChars="0" w:firstLine="0"/>
                          <w:jc w:val="center"/>
                          <w:rPr>
                            <w:rFonts w:cs="Times New Roman"/>
                            <w:sz w:val="21"/>
                          </w:rPr>
                        </w:pPr>
                        <w:r>
                          <w:rPr>
                            <w:rFonts w:cs="Times New Roman" w:hint="eastAsia"/>
                            <w:sz w:val="21"/>
                          </w:rPr>
                          <w:t>间接指标</w:t>
                        </w:r>
                      </w:p>
                    </w:txbxContent>
                  </v:textbox>
                </v:shape>
                <v:group id="组合 103" o:spid="_x0000_s1032" style="position:absolute;left:1753;top:12761;width:7882;height:363" coordsize="859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文本框 97" o:spid="_x0000_s1033" type="#_x0000_t202" style="position:absolute;width:120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">
                    <v:textbox inset=",.3mm,,.3mm">
                      <w:txbxContent>
                        <w:p w14:paraId="67644CB2" w14:textId="77777777" w:rsidR="00544649" w:rsidRDefault="00000000">
                          <w:pPr>
                            <w:spacing w:line="180" w:lineRule="atLeast"/>
                            <w:ind w:firstLineChars="0" w:firstLine="0"/>
                            <w:rPr>
                              <w:rFonts w:cs="Times New Roman"/>
                              <w:sz w:val="18"/>
                            </w:rPr>
                          </w:pPr>
                          <w:r>
                            <w:rPr>
                              <w:rFonts w:cs="Times New Roman" w:hint="eastAsia"/>
                              <w:sz w:val="18"/>
                            </w:rPr>
                            <w:t>监督管理</w:t>
                          </w:r>
                        </w:p>
                      </w:txbxContent>
                    </v:textbox>
                  </v:shape>
                  <v:shape id="文本框 98" o:spid="_x0000_s1034" type="#_x0000_t202" style="position:absolute;left:1290;width:162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">
                    <v:textbox inset=",.3mm,,.3mm">
                      <w:txbxContent>
                        <w:p w14:paraId="4524560F" w14:textId="77777777" w:rsidR="00544649" w:rsidRDefault="00000000">
                          <w:pPr>
                            <w:spacing w:line="180" w:lineRule="atLeast"/>
                            <w:ind w:firstLineChars="0" w:firstLine="0"/>
                            <w:rPr>
                              <w:rFonts w:cs="Times New Roman"/>
                              <w:sz w:val="18"/>
                            </w:rPr>
                          </w:pPr>
                          <w:r>
                            <w:rPr>
                              <w:rFonts w:cs="Times New Roman" w:hint="eastAsia"/>
                              <w:sz w:val="18"/>
                            </w:rPr>
                            <w:t>环境质量指标</w:t>
                          </w:r>
                        </w:p>
                      </w:txbxContent>
                    </v:textbox>
                  </v:shape>
                  <v:shape id="文本框 99" o:spid="_x0000_s1035" type="#_x0000_t202" style="position:absolute;left:3030;width:162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">
                    <v:textbox inset=",.3mm,,.3mm">
                      <w:txbxContent>
                        <w:p w14:paraId="75F6108A" w14:textId="77777777" w:rsidR="00544649" w:rsidRDefault="00000000">
                          <w:pPr>
                            <w:spacing w:line="180" w:lineRule="atLeast"/>
                            <w:ind w:firstLineChars="0" w:firstLine="0"/>
                            <w:rPr>
                              <w:rFonts w:cs="Times New Roman"/>
                              <w:sz w:val="18"/>
                            </w:rPr>
                          </w:pPr>
                          <w:r>
                            <w:rPr>
                              <w:rFonts w:cs="Times New Roman" w:hint="eastAsia"/>
                              <w:sz w:val="18"/>
                            </w:rPr>
                            <w:t>总量控制指标</w:t>
                          </w:r>
                        </w:p>
                      </w:txbxContent>
                    </v:textbox>
                  </v:shape>
                  <v:shape id="文本框 100" o:spid="_x0000_s1036" type="#_x0000_t202" style="position:absolute;left:4890;width:117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">
                    <v:textbox inset=",.3mm,,.3mm">
                      <w:txbxContent>
                        <w:p w14:paraId="2F4ECDDA" w14:textId="77777777" w:rsidR="00544649" w:rsidRDefault="00000000">
                          <w:pPr>
                            <w:spacing w:line="180" w:lineRule="atLeast"/>
                            <w:ind w:firstLineChars="0" w:firstLine="0"/>
                            <w:rPr>
                              <w:rFonts w:cs="Times New Roman"/>
                              <w:sz w:val="18"/>
                            </w:rPr>
                          </w:pPr>
                          <w:r>
                            <w:rPr>
                              <w:rFonts w:cs="Times New Roman" w:hint="eastAsia"/>
                              <w:sz w:val="18"/>
                            </w:rPr>
                            <w:t>经济指标</w:t>
                          </w:r>
                        </w:p>
                      </w:txbxContent>
                    </v:textbox>
                  </v:shape>
                  <v:shape id="文本框 101" o:spid="_x0000_s1037" type="#_x0000_t202" style="position:absolute;left:6150;width:117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">
                    <v:textbox inset=",.3mm,,.3mm">
                      <w:txbxContent>
                        <w:p w14:paraId="025C67A2" w14:textId="77777777" w:rsidR="00544649" w:rsidRDefault="00000000">
                          <w:pPr>
                            <w:spacing w:line="240" w:lineRule="atLeast"/>
                            <w:ind w:firstLineChars="0" w:firstLine="0"/>
                            <w:rPr>
                              <w:rFonts w:cs="Times New Roman"/>
                              <w:sz w:val="18"/>
                            </w:rPr>
                          </w:pPr>
                          <w:r>
                            <w:rPr>
                              <w:rFonts w:cs="Times New Roman" w:hint="eastAsia"/>
                              <w:sz w:val="18"/>
                            </w:rPr>
                            <w:t>社会指标</w:t>
                          </w:r>
                        </w:p>
                      </w:txbxContent>
                    </v:textbox>
                  </v:shape>
                  <v:shape id="文本框 102" o:spid="_x0000_s1038" type="#_x0000_t202" style="position:absolute;left:7440;width:115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">
                    <v:textbox inset=",.3mm,,.3mm">
                      <w:txbxContent>
                        <w:p w14:paraId="61B7881E" w14:textId="77777777" w:rsidR="00544649" w:rsidRDefault="00000000">
                          <w:pPr>
                            <w:spacing w:line="240" w:lineRule="atLeast"/>
                            <w:ind w:firstLineChars="0" w:firstLine="0"/>
                            <w:rPr>
                              <w:rFonts w:cs="Times New Roman"/>
                              <w:sz w:val="18"/>
                            </w:rPr>
                          </w:pPr>
                          <w:r>
                            <w:rPr>
                              <w:rFonts w:cs="Times New Roman" w:hint="eastAsia"/>
                              <w:sz w:val="18"/>
                            </w:rPr>
                            <w:t>生态指标</w:t>
                          </w:r>
                        </w:p>
                      </w:txbxContent>
                    </v:textbox>
                  </v:shape>
                </v:group>
                <v:shape id="文本框 104" o:spid="_x0000_s1039" type="#_x0000_t202" style="position:absolute;left:1767;top:13581;width:486;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">
                  <v:textbox inset=".3mm,.3mm,.3mm,.3mm">
                    <w:txbxContent>
                      <w:p w14:paraId="3660A94E" w14:textId="77777777" w:rsidR="00544649" w:rsidRDefault="00000000">
                        <w:pPr>
                          <w:spacing w:line="240" w:lineRule="atLeast"/>
                          <w:ind w:firstLineChars="0" w:firstLine="0"/>
                          <w:jc w:val="center"/>
                          <w:rPr>
                            <w:rFonts w:cs="Times New Roman"/>
                            <w:sz w:val="18"/>
                          </w:rPr>
                        </w:pPr>
                        <w:r>
                          <w:rPr>
                            <w:rFonts w:cs="Times New Roman" w:hint="eastAsia"/>
                            <w:sz w:val="18"/>
                          </w:rPr>
                          <w:t>三同时指标</w:t>
                        </w:r>
                      </w:p>
                    </w:txbxContent>
                  </v:textbox>
                </v:shape>
                <v:shape id="文本框 105" o:spid="_x0000_s1040" type="#_x0000_t202" style="position:absolute;left:2386;top:13581;width:495;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">
                  <v:textbox inset=".3mm,.3mm,.3mm,.3mm">
                    <w:txbxContent>
                      <w:p w14:paraId="3A7A21AC" w14:textId="77777777" w:rsidR="00544649" w:rsidRDefault="00000000">
                        <w:pPr>
                          <w:spacing w:line="240" w:lineRule="atLeast"/>
                          <w:ind w:firstLineChars="0" w:firstLine="0"/>
                          <w:jc w:val="center"/>
                          <w:rPr>
                            <w:rFonts w:cs="Times New Roman"/>
                            <w:sz w:val="18"/>
                          </w:rPr>
                        </w:pPr>
                        <w:r>
                          <w:rPr>
                            <w:rFonts w:cs="Times New Roman" w:hint="eastAsia"/>
                            <w:sz w:val="18"/>
                          </w:rPr>
                          <w:t>法规情况指标</w:t>
                        </w:r>
                      </w:p>
                    </w:txbxContent>
                  </v:textbox>
                </v:shape>
                <v:shape id="文本框 106" o:spid="_x0000_s1041" type="#_x0000_t202" style="position:absolute;left:3266;top:13573;width:49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">
                  <v:textbox inset=".3mm,.3mm,.3mm,.3mm">
                    <w:txbxContent>
                      <w:p w14:paraId="63F4CF6C" w14:textId="77777777" w:rsidR="00544649" w:rsidRDefault="00000000">
                        <w:pPr>
                          <w:spacing w:line="240" w:lineRule="atLeast"/>
                          <w:ind w:firstLineChars="0" w:firstLine="0"/>
                          <w:jc w:val="center"/>
                          <w:rPr>
                            <w:rFonts w:cs="Times New Roman"/>
                            <w:sz w:val="18"/>
                          </w:rPr>
                        </w:pPr>
                        <w:r>
                          <w:rPr>
                            <w:rFonts w:cs="Times New Roman" w:hint="eastAsia"/>
                            <w:sz w:val="18"/>
                          </w:rPr>
                          <w:t>废气及环境空气指标</w:t>
                        </w:r>
                      </w:p>
                    </w:txbxContent>
                  </v:textbox>
                </v:shape>
                <v:shape id="文本框 107" o:spid="_x0000_s1042" type="#_x0000_t202" style="position:absolute;left:4119;top:13587;width:495;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">
                  <v:textbox inset=".3mm,.3mm,.3mm,.3mm">
                    <w:txbxContent>
                      <w:p w14:paraId="6F3A5CB5" w14:textId="77777777" w:rsidR="00544649" w:rsidRDefault="00000000">
                        <w:pPr>
                          <w:spacing w:line="240" w:lineRule="atLeast"/>
                          <w:ind w:firstLineChars="0" w:firstLine="0"/>
                          <w:jc w:val="center"/>
                          <w:rPr>
                            <w:rFonts w:cs="Times New Roman"/>
                            <w:sz w:val="18"/>
                          </w:rPr>
                        </w:pPr>
                        <w:r>
                          <w:rPr>
                            <w:rFonts w:cs="Times New Roman" w:hint="eastAsia"/>
                            <w:sz w:val="18"/>
                          </w:rPr>
                          <w:t>废水及水环境指标</w:t>
                        </w:r>
                      </w:p>
                    </w:txbxContent>
                  </v:textbox>
                </v:shape>
                <v:shape id="文本框 108" o:spid="_x0000_s1043" type="#_x0000_t202" style="position:absolute;left:4766;top:13584;width:49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">
                  <v:textbox inset=".3mm,.3mm,.3mm,.3mm">
                    <w:txbxContent>
                      <w:p w14:paraId="7942E899" w14:textId="77777777" w:rsidR="00544649" w:rsidRDefault="00000000">
                        <w:pPr>
                          <w:spacing w:line="240" w:lineRule="atLeast"/>
                          <w:ind w:firstLineChars="0" w:firstLine="0"/>
                          <w:jc w:val="center"/>
                          <w:rPr>
                            <w:rFonts w:cs="Times New Roman"/>
                            <w:sz w:val="18"/>
                          </w:rPr>
                        </w:pPr>
                        <w:r>
                          <w:rPr>
                            <w:rFonts w:cs="Times New Roman" w:hint="eastAsia"/>
                            <w:sz w:val="18"/>
                          </w:rPr>
                          <w:t>噪声指标</w:t>
                        </w:r>
                      </w:p>
                    </w:txbxContent>
                  </v:textbox>
                </v:shape>
                <v:shape id="文本框 117" o:spid="_x0000_s1044" type="#_x0000_t202" style="position:absolute;left:5412;top:13584;width:49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">
                  <v:textbox inset=".3mm,.3mm,.3mm,.3mm">
                    <w:txbxContent>
                      <w:p w14:paraId="7C1435C5" w14:textId="77777777" w:rsidR="00544649" w:rsidRDefault="00000000">
                        <w:pPr>
                          <w:spacing w:line="240" w:lineRule="atLeast"/>
                          <w:ind w:firstLineChars="0" w:firstLine="0"/>
                          <w:jc w:val="center"/>
                          <w:rPr>
                            <w:rFonts w:cs="Times New Roman"/>
                            <w:sz w:val="18"/>
                          </w:rPr>
                        </w:pPr>
                        <w:r>
                          <w:rPr>
                            <w:rFonts w:cs="Times New Roman" w:hint="eastAsia"/>
                            <w:sz w:val="18"/>
                          </w:rPr>
                          <w:t>固废指标</w:t>
                        </w:r>
                      </w:p>
                    </w:txbxContent>
                  </v:textbox>
                </v:shape>
                <v:shape id="文本框 118" o:spid="_x0000_s1045" type="#_x0000_t202" style="position:absolute;left:6251;top:13589;width:495;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">
                  <v:textbox inset=".3mm,.3mm,.3mm,.3mm">
                    <w:txbxContent>
                      <w:p w14:paraId="2B1CE81B" w14:textId="77777777" w:rsidR="00544649" w:rsidRDefault="00000000">
                        <w:pPr>
                          <w:spacing w:line="240" w:lineRule="atLeast"/>
                          <w:ind w:firstLineChars="0" w:firstLine="0"/>
                          <w:jc w:val="center"/>
                          <w:rPr>
                            <w:rFonts w:cs="Times New Roman"/>
                            <w:sz w:val="18"/>
                          </w:rPr>
                        </w:pPr>
                        <w:r>
                          <w:rPr>
                            <w:rFonts w:cs="Times New Roman" w:hint="eastAsia"/>
                            <w:sz w:val="18"/>
                          </w:rPr>
                          <w:t>产值指标</w:t>
                        </w:r>
                      </w:p>
                    </w:txbxContent>
                  </v:textbox>
                </v:shape>
                <v:shape id="文本框 119" o:spid="_x0000_s1046" type="#_x0000_t202" style="position:absolute;left:6828;top:13589;width:496;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">
                  <v:textbox inset=".3mm,.3mm,.3mm,.3mm">
                    <w:txbxContent>
                      <w:p w14:paraId="38FF44F9" w14:textId="77777777" w:rsidR="00544649" w:rsidRDefault="00000000">
                        <w:pPr>
                          <w:spacing w:line="240" w:lineRule="atLeast"/>
                          <w:ind w:firstLineChars="0" w:firstLine="0"/>
                          <w:jc w:val="center"/>
                          <w:rPr>
                            <w:rFonts w:cs="Times New Roman"/>
                            <w:sz w:val="18"/>
                          </w:rPr>
                        </w:pPr>
                        <w:r>
                          <w:rPr>
                            <w:rFonts w:cs="Times New Roman" w:hint="eastAsia"/>
                            <w:sz w:val="18"/>
                          </w:rPr>
                          <w:t>资源指标</w:t>
                        </w:r>
                      </w:p>
                    </w:txbxContent>
                  </v:textbox>
                </v:shape>
                <v:shape id="文本框 120" o:spid="_x0000_s1047" type="#_x0000_t202" style="position:absolute;left:8630;top:13574;width:496;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">
                  <v:textbox inset=".3mm,.3mm,.3mm,.3mm">
                    <w:txbxContent>
                      <w:p w14:paraId="5DC3D716" w14:textId="77777777" w:rsidR="00544649" w:rsidRDefault="00000000">
                        <w:pPr>
                          <w:spacing w:line="240" w:lineRule="atLeast"/>
                          <w:ind w:firstLineChars="0" w:firstLine="0"/>
                          <w:jc w:val="center"/>
                          <w:rPr>
                            <w:rFonts w:cs="Times New Roman"/>
                            <w:sz w:val="18"/>
                          </w:rPr>
                        </w:pPr>
                        <w:r>
                          <w:rPr>
                            <w:rFonts w:cs="Times New Roman" w:hint="eastAsia"/>
                            <w:sz w:val="18"/>
                          </w:rPr>
                          <w:t>自然指标</w:t>
                        </w:r>
                      </w:p>
                    </w:txbxContent>
                  </v:textbox>
                </v:shape>
                <v:shape id="文本框 121" o:spid="_x0000_s1048" type="#_x0000_t202" style="position:absolute;left:9250;top:13566;width:49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">
                  <v:textbox inset=".3mm,.3mm,.3mm,.3mm">
                    <w:txbxContent>
                      <w:p w14:paraId="7382977D" w14:textId="77777777" w:rsidR="00544649" w:rsidRDefault="00000000">
                        <w:pPr>
                          <w:spacing w:line="240" w:lineRule="atLeast"/>
                          <w:ind w:firstLineChars="0" w:firstLine="0"/>
                          <w:jc w:val="center"/>
                          <w:rPr>
                            <w:rFonts w:cs="Times New Roman"/>
                            <w:sz w:val="18"/>
                          </w:rPr>
                        </w:pPr>
                        <w:r>
                          <w:rPr>
                            <w:rFonts w:cs="Times New Roman" w:hint="eastAsia"/>
                            <w:sz w:val="18"/>
                          </w:rPr>
                          <w:t>景观指标</w:t>
                        </w:r>
                      </w:p>
                    </w:txbxContent>
                  </v:textbox>
                </v:shape>
                <v:line id="直接连接符 122" o:spid="_x0000_s1049" style="position:absolute;flip:x;visibility:visible;mso-wrap-style:square" from="4501,11582" to="4506,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line id="直接连接符 123" o:spid="_x0000_s1050" style="position:absolute;visibility:visible;mso-wrap-style:square" from="6484,11587" to="648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直接连接符 124" o:spid="_x0000_s1051" style="position:absolute;visibility:visible;mso-wrap-style:square" from="2193,12514" to="5329,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直接连接符 125" o:spid="_x0000_s1052" style="position:absolute;visibility:visible;mso-wrap-style:square" from="4009,12298" to="4010,1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直接连接符 126" o:spid="_x0000_s1053" style="position:absolute;visibility:visible;mso-wrap-style:square" from="2193,12533" to="2194,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直接连接符 127" o:spid="_x0000_s1054" style="position:absolute;visibility:visible;mso-wrap-style:square" from="3665,12514" to="3666,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直接连接符 128" o:spid="_x0000_s1055" style="position:absolute;visibility:visible;mso-wrap-style:square" from="5329,12514" to="5330,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直接连接符 129" o:spid="_x0000_s1056" style="position:absolute;visibility:visible;mso-wrap-style:square" from="6650,12514" to="9126,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直接连接符 130" o:spid="_x0000_s1057" style="position:absolute;visibility:visible;mso-wrap-style:square" from="7344,12290" to="7345,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直接连接符 131" o:spid="_x0000_s1058" style="position:absolute;visibility:visible;mso-wrap-style:square" from="6650,12514" to="6651,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直接连接符 132" o:spid="_x0000_s1059" style="position:absolute;visibility:visible;mso-wrap-style:square" from="7929,12514" to="7930,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直接连接符 133" o:spid="_x0000_s1060" style="position:absolute;visibility:visible;mso-wrap-style:square" from="9126,12514" to="9127,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直接连接符 134" o:spid="_x0000_s1061" style="position:absolute;visibility:visible;mso-wrap-style:square" from="3674,13121" to="3675,1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直接连接符 135" o:spid="_x0000_s1062" style="position:absolute;visibility:visible;mso-wrap-style:square" from="5354,13125" to="5355,1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直接连接符 136" o:spid="_x0000_s1063" style="position:absolute;visibility:visible;mso-wrap-style:square" from="3513,13349" to="5659,1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直接连接符 137" o:spid="_x0000_s1064" style="position:absolute;visibility:visible;mso-wrap-style:square" from="5649,13344" to="5650,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直接连接符 138" o:spid="_x0000_s1065" style="position:absolute;visibility:visible;mso-wrap-style:square" from="3513,13355" to="3514,1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直接连接符 139" o:spid="_x0000_s1066" style="position:absolute;visibility:visible;mso-wrap-style:square" from="5000,13349" to="5001,1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直接连接符 140" o:spid="_x0000_s1067" style="position:absolute;visibility:visible;mso-wrap-style:square" from="4366,13349" to="4367,1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直接连接符 141" o:spid="_x0000_s1068" style="position:absolute;visibility:visible;mso-wrap-style:square" from="6485,13114" to="6485,1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直接连接符 142" o:spid="_x0000_s1069" style="position:absolute;visibility:visible;mso-wrap-style:square" from="7076,13131" to="707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直接连接符 143" o:spid="_x0000_s1070" style="position:absolute;visibility:visible;mso-wrap-style:square" from="8878,13111" to="8879,1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直接连接符 144" o:spid="_x0000_s1071" style="position:absolute;flip:x;visibility:visible;mso-wrap-style:square" from="9477,13104" to="9483,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line id="直接连接符 145" o:spid="_x0000_s1072" style="position:absolute;visibility:visible;mso-wrap-style:square" from="2634,13117" to="263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直接连接符 146" o:spid="_x0000_s1073" style="position:absolute;visibility:visible;mso-wrap-style:square" from="2001,13111" to="2002,1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w10:anchorlock/>
              </v:group>
            </w:pict>
          </mc:Fallback>
        </mc:AlternateContent>
      </w:r>
    </w:p>
    <w:p w14:paraId="21C9287E" w14:textId="77777777" w:rsidR="00544649" w:rsidRDefault="00000000">
      <w:pPr>
        <w:numPr>
          <w:ilvl w:val="0"/>
          <w:numId w:val="36"/>
        </w:numPr>
        <w:adjustRightInd w:val="0"/>
        <w:snapToGrid w:val="0"/>
        <w:spacing w:beforeLines="20" w:before="62" w:afterLines="20" w:after="62" w:line="240" w:lineRule="auto"/>
        <w:ind w:left="0" w:firstLine="422"/>
        <w:jc w:val="center"/>
        <w:rPr>
          <w:rFonts w:cs="Times New Roman"/>
          <w:kern w:val="21"/>
          <w:sz w:val="21"/>
          <w:szCs w:val="21"/>
        </w:rPr>
      </w:pPr>
      <w:r>
        <w:rPr>
          <w:rFonts w:cs="Times New Roman"/>
          <w:b/>
          <w:kern w:val="21"/>
          <w:sz w:val="21"/>
          <w:szCs w:val="21"/>
        </w:rPr>
        <w:t>企业环境管理指标体系分类结构</w:t>
      </w:r>
    </w:p>
    <w:p w14:paraId="3D231B27"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37" w:name="_Toc88"/>
      <w:bookmarkStart w:id="438" w:name="_Toc195009943"/>
      <w:r>
        <w:rPr>
          <w:rFonts w:cs="Times New Roman"/>
          <w:b/>
          <w:bCs/>
          <w:kern w:val="21"/>
          <w:sz w:val="28"/>
          <w:szCs w:val="24"/>
        </w:rPr>
        <w:t>环境管理计划</w:t>
      </w:r>
      <w:bookmarkEnd w:id="437"/>
      <w:bookmarkEnd w:id="438"/>
    </w:p>
    <w:p w14:paraId="06D5758C"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建设前期环境管理计划</w:t>
      </w:r>
    </w:p>
    <w:p w14:paraId="460B2F2F" w14:textId="77777777" w:rsidR="00544649" w:rsidRDefault="00000000">
      <w:pPr>
        <w:adjustRightInd w:val="0"/>
        <w:snapToGrid w:val="0"/>
        <w:spacing w:after="0"/>
        <w:ind w:firstLine="480"/>
        <w:rPr>
          <w:rFonts w:cs="Times New Roman"/>
          <w:kern w:val="21"/>
          <w:szCs w:val="24"/>
        </w:rPr>
      </w:pPr>
      <w:r>
        <w:rPr>
          <w:rFonts w:cs="Times New Roman"/>
          <w:kern w:val="21"/>
          <w:szCs w:val="24"/>
        </w:rPr>
        <w:t>根据生态环境部和四川省生态环境厅的有关规定，本项目建设前期各个阶段环境保护工作采取如下方式：</w:t>
      </w:r>
    </w:p>
    <w:p w14:paraId="361E082C" w14:textId="77777777" w:rsidR="00544649" w:rsidRDefault="00000000">
      <w:pPr>
        <w:numPr>
          <w:ilvl w:val="0"/>
          <w:numId w:val="37"/>
        </w:numPr>
        <w:adjustRightInd w:val="0"/>
        <w:snapToGrid w:val="0"/>
        <w:spacing w:after="0"/>
        <w:ind w:firstLine="480"/>
        <w:rPr>
          <w:rFonts w:cs="Times New Roman"/>
          <w:kern w:val="21"/>
          <w:szCs w:val="24"/>
        </w:rPr>
      </w:pPr>
      <w:r>
        <w:rPr>
          <w:rFonts w:cs="Times New Roman"/>
          <w:kern w:val="21"/>
          <w:szCs w:val="24"/>
        </w:rPr>
        <w:t>设计单位在成立项目设计组时，环境保护专业人员作为组成成员之一，参与项目各阶段环境保护工作和设计工作；</w:t>
      </w:r>
    </w:p>
    <w:p w14:paraId="392C619E" w14:textId="77777777" w:rsidR="00544649" w:rsidRDefault="00000000">
      <w:pPr>
        <w:numPr>
          <w:ilvl w:val="0"/>
          <w:numId w:val="37"/>
        </w:numPr>
        <w:adjustRightInd w:val="0"/>
        <w:snapToGrid w:val="0"/>
        <w:spacing w:after="0"/>
        <w:ind w:firstLine="480"/>
        <w:rPr>
          <w:rFonts w:cs="Times New Roman"/>
          <w:kern w:val="21"/>
          <w:szCs w:val="24"/>
        </w:rPr>
      </w:pPr>
      <w:r>
        <w:rPr>
          <w:rFonts w:cs="Times New Roman"/>
          <w:kern w:val="21"/>
          <w:szCs w:val="24"/>
        </w:rPr>
        <w:t>可行性研究阶段，结合当地环境特征和地方环境部门的意见、要求，设专门章节进行环境影响简要分析；</w:t>
      </w:r>
    </w:p>
    <w:p w14:paraId="76A9B7DF" w14:textId="77777777" w:rsidR="00544649" w:rsidRDefault="00000000">
      <w:pPr>
        <w:numPr>
          <w:ilvl w:val="0"/>
          <w:numId w:val="37"/>
        </w:numPr>
        <w:adjustRightInd w:val="0"/>
        <w:snapToGrid w:val="0"/>
        <w:spacing w:after="0"/>
        <w:ind w:firstLine="480"/>
        <w:rPr>
          <w:rFonts w:cs="Times New Roman"/>
          <w:kern w:val="21"/>
          <w:szCs w:val="24"/>
        </w:rPr>
      </w:pPr>
      <w:r>
        <w:rPr>
          <w:rFonts w:cs="Times New Roman"/>
          <w:kern w:val="21"/>
          <w:szCs w:val="24"/>
        </w:rPr>
        <w:t>初步设计和施工图设计阶段，编制环境保护篇章，依据《环境影响报告书》及其审查意见，落实各项环境保护措施设计，作为指导工程建设、执行</w:t>
      </w:r>
      <w:r>
        <w:rPr>
          <w:rFonts w:cs="Times New Roman"/>
          <w:kern w:val="21"/>
          <w:szCs w:val="24"/>
        </w:rPr>
        <w:t>“</w:t>
      </w:r>
      <w:r>
        <w:rPr>
          <w:rFonts w:cs="Times New Roman"/>
          <w:kern w:val="21"/>
          <w:szCs w:val="24"/>
        </w:rPr>
        <w:t>三同时</w:t>
      </w:r>
      <w:r>
        <w:rPr>
          <w:rFonts w:cs="Times New Roman"/>
          <w:kern w:val="21"/>
          <w:szCs w:val="24"/>
        </w:rPr>
        <w:t>”</w:t>
      </w:r>
      <w:r>
        <w:rPr>
          <w:rFonts w:cs="Times New Roman"/>
          <w:kern w:val="21"/>
          <w:szCs w:val="24"/>
        </w:rPr>
        <w:t>制度和环境管理的依据。</w:t>
      </w:r>
    </w:p>
    <w:p w14:paraId="67FFDF2B"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施工期环境管理</w:t>
      </w:r>
    </w:p>
    <w:p w14:paraId="5E2169E2"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1</w:t>
      </w:r>
      <w:r>
        <w:rPr>
          <w:rFonts w:cs="Times New Roman"/>
          <w:kern w:val="21"/>
          <w:szCs w:val="24"/>
        </w:rPr>
        <w:t>）建设单位与施工单位签订工程承包合同时，应包括有关工程施工期间环境保护条款，包括工程施工中生态环境保护（水土保持）、施工期间环境污染控制、污染物排放管理、施工人员环保教育及相关奖惩条款。</w:t>
      </w:r>
    </w:p>
    <w:p w14:paraId="42E7E735"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2</w:t>
      </w:r>
      <w:r>
        <w:rPr>
          <w:rFonts w:cs="Times New Roman"/>
          <w:kern w:val="21"/>
          <w:szCs w:val="24"/>
        </w:rPr>
        <w:t>）施工单位应增强环保意识，加强驻地和施工现场的环境管理，合理安排施工计划，切实做到组织计划严谨，文明施工；环保措施逐条落实到位，环保工程与主体工程同时施工、同时运行，环保工程费用专款专用，不偷工减料、延误工期。</w:t>
      </w:r>
    </w:p>
    <w:p w14:paraId="559DA981"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3</w:t>
      </w:r>
      <w:r>
        <w:rPr>
          <w:rFonts w:cs="Times New Roman"/>
          <w:kern w:val="21"/>
          <w:szCs w:val="24"/>
        </w:rPr>
        <w:t>）施工单位应特别注意工程施工中的水土保持，尽可能保护好土壤、植被、装修产生的废物运至设计中指定的地点弃置，严禁随意堆置、侵占河道，防止对地表水</w:t>
      </w:r>
      <w:r>
        <w:rPr>
          <w:rFonts w:cs="Times New Roman"/>
          <w:kern w:val="21"/>
          <w:szCs w:val="24"/>
        </w:rPr>
        <w:lastRenderedPageBreak/>
        <w:t>环境产生影响。</w:t>
      </w:r>
    </w:p>
    <w:p w14:paraId="1C7C9E1F"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4</w:t>
      </w:r>
      <w:r>
        <w:rPr>
          <w:rFonts w:cs="Times New Roman"/>
          <w:kern w:val="21"/>
          <w:szCs w:val="24"/>
        </w:rPr>
        <w:t>）各施工现场、施工单位驻地及其他施工临时设施，应加强环境管理，施工污水避免无组织散排，尽可能集中排放指定地点；扬尘大的工地应采取降尘措施，工程施工完毕后施工单位及时清理和恢复施工现场，妥善处理生活垃圾与装修产生的废物，减少扬尘；施工现场应执行《建筑施工场界环境噪声排放标准》（</w:t>
      </w:r>
      <w:r>
        <w:rPr>
          <w:rFonts w:cs="Times New Roman"/>
          <w:kern w:val="21"/>
          <w:szCs w:val="24"/>
        </w:rPr>
        <w:t>GB12523-2011</w:t>
      </w:r>
      <w:r>
        <w:rPr>
          <w:rFonts w:cs="Times New Roman"/>
          <w:kern w:val="21"/>
          <w:szCs w:val="24"/>
        </w:rPr>
        <w:t>）中的有关规定和要求。</w:t>
      </w:r>
    </w:p>
    <w:p w14:paraId="73CAC015"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5</w:t>
      </w:r>
      <w:r>
        <w:rPr>
          <w:rFonts w:cs="Times New Roman"/>
          <w:kern w:val="21"/>
          <w:szCs w:val="24"/>
        </w:rPr>
        <w:t>）认真落实各项补偿措施，做好工程各项环保设施的施工监理与验收，保证环保工程质量，真正做到环保工程</w:t>
      </w:r>
      <w:r>
        <w:rPr>
          <w:rFonts w:cs="Times New Roman"/>
          <w:kern w:val="21"/>
          <w:szCs w:val="24"/>
        </w:rPr>
        <w:t>“</w:t>
      </w:r>
      <w:r>
        <w:rPr>
          <w:rFonts w:cs="Times New Roman"/>
          <w:kern w:val="21"/>
          <w:szCs w:val="24"/>
        </w:rPr>
        <w:t>三同时</w:t>
      </w:r>
      <w:r>
        <w:rPr>
          <w:rFonts w:cs="Times New Roman"/>
          <w:kern w:val="21"/>
          <w:szCs w:val="24"/>
        </w:rPr>
        <w:t>”</w:t>
      </w:r>
      <w:r>
        <w:rPr>
          <w:rFonts w:cs="Times New Roman"/>
          <w:kern w:val="21"/>
          <w:szCs w:val="24"/>
        </w:rPr>
        <w:t>。</w:t>
      </w:r>
    </w:p>
    <w:p w14:paraId="4437E801" w14:textId="77777777" w:rsidR="00544649" w:rsidRDefault="00000000">
      <w:pPr>
        <w:numPr>
          <w:ilvl w:val="0"/>
          <w:numId w:val="35"/>
        </w:numPr>
        <w:adjustRightInd w:val="0"/>
        <w:snapToGrid w:val="0"/>
        <w:spacing w:beforeLines="20" w:before="62" w:afterLines="20" w:after="62" w:line="240" w:lineRule="auto"/>
        <w:ind w:left="0" w:firstLineChars="0" w:firstLine="0"/>
        <w:jc w:val="center"/>
        <w:rPr>
          <w:rFonts w:cs="Times New Roman"/>
          <w:kern w:val="21"/>
          <w:sz w:val="21"/>
          <w:szCs w:val="21"/>
        </w:rPr>
      </w:pPr>
      <w:r>
        <w:rPr>
          <w:rFonts w:cs="Times New Roman"/>
          <w:b/>
          <w:bCs/>
          <w:kern w:val="21"/>
          <w:sz w:val="21"/>
          <w:szCs w:val="21"/>
        </w:rPr>
        <w:t>施工期环境监理内容</w:t>
      </w:r>
    </w:p>
    <w:tbl>
      <w:tblPr>
        <w:tblStyle w:val="afc"/>
        <w:tblW w:w="9055" w:type="dxa"/>
        <w:jc w:val="center"/>
        <w:tblLayout w:type="fixed"/>
        <w:tblLook w:val="04A0" w:firstRow="1" w:lastRow="0" w:firstColumn="1" w:lastColumn="0" w:noHBand="0" w:noVBand="1"/>
      </w:tblPr>
      <w:tblGrid>
        <w:gridCol w:w="701"/>
        <w:gridCol w:w="1568"/>
        <w:gridCol w:w="5522"/>
        <w:gridCol w:w="1264"/>
      </w:tblGrid>
      <w:tr w:rsidR="00544649" w14:paraId="113FBB7C" w14:textId="77777777">
        <w:trPr>
          <w:jc w:val="center"/>
        </w:trPr>
        <w:tc>
          <w:tcPr>
            <w:tcW w:w="701" w:type="dxa"/>
            <w:vAlign w:val="center"/>
          </w:tcPr>
          <w:p w14:paraId="2FCC4A4D"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序号</w:t>
            </w:r>
          </w:p>
        </w:tc>
        <w:tc>
          <w:tcPr>
            <w:tcW w:w="1568" w:type="dxa"/>
            <w:vAlign w:val="center"/>
          </w:tcPr>
          <w:p w14:paraId="4B4B40F1"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监理项目</w:t>
            </w:r>
          </w:p>
        </w:tc>
        <w:tc>
          <w:tcPr>
            <w:tcW w:w="5522" w:type="dxa"/>
            <w:vAlign w:val="center"/>
          </w:tcPr>
          <w:p w14:paraId="210736A5"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技术要求</w:t>
            </w:r>
          </w:p>
        </w:tc>
        <w:tc>
          <w:tcPr>
            <w:tcW w:w="1264" w:type="dxa"/>
            <w:vAlign w:val="center"/>
          </w:tcPr>
          <w:p w14:paraId="2CC80A4B" w14:textId="77777777" w:rsidR="00544649" w:rsidRDefault="00000000">
            <w:pPr>
              <w:adjustRightInd w:val="0"/>
              <w:snapToGrid w:val="0"/>
              <w:spacing w:beforeLines="20" w:before="62" w:afterLines="20" w:after="62" w:line="240" w:lineRule="auto"/>
              <w:ind w:firstLineChars="0" w:firstLine="0"/>
              <w:jc w:val="center"/>
              <w:rPr>
                <w:rFonts w:cs="Times New Roman"/>
                <w:b/>
                <w:kern w:val="21"/>
                <w:sz w:val="21"/>
                <w:szCs w:val="21"/>
              </w:rPr>
            </w:pPr>
            <w:r>
              <w:rPr>
                <w:rFonts w:cs="Times New Roman"/>
                <w:b/>
                <w:kern w:val="21"/>
                <w:sz w:val="21"/>
                <w:szCs w:val="21"/>
              </w:rPr>
              <w:t>实施机构</w:t>
            </w:r>
          </w:p>
        </w:tc>
      </w:tr>
      <w:tr w:rsidR="00544649" w14:paraId="1102D375" w14:textId="77777777">
        <w:trPr>
          <w:jc w:val="center"/>
        </w:trPr>
        <w:tc>
          <w:tcPr>
            <w:tcW w:w="701" w:type="dxa"/>
            <w:vAlign w:val="center"/>
          </w:tcPr>
          <w:p w14:paraId="55084E8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1</w:t>
            </w:r>
          </w:p>
        </w:tc>
        <w:tc>
          <w:tcPr>
            <w:tcW w:w="1568" w:type="dxa"/>
            <w:vAlign w:val="center"/>
          </w:tcPr>
          <w:p w14:paraId="3AB959A6"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施工噪声</w:t>
            </w:r>
          </w:p>
        </w:tc>
        <w:tc>
          <w:tcPr>
            <w:tcW w:w="5522" w:type="dxa"/>
            <w:vAlign w:val="center"/>
          </w:tcPr>
          <w:p w14:paraId="73B10F84" w14:textId="77777777" w:rsidR="00544649" w:rsidRDefault="00000000">
            <w:pPr>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尽量采用低噪声机械，强噪声机械夜间严禁施工</w:t>
            </w:r>
          </w:p>
        </w:tc>
        <w:tc>
          <w:tcPr>
            <w:tcW w:w="1264" w:type="dxa"/>
            <w:vAlign w:val="center"/>
          </w:tcPr>
          <w:p w14:paraId="6AAD2F7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施工方</w:t>
            </w:r>
          </w:p>
        </w:tc>
      </w:tr>
      <w:tr w:rsidR="00544649" w14:paraId="48EEBFD6" w14:textId="77777777">
        <w:trPr>
          <w:jc w:val="center"/>
        </w:trPr>
        <w:tc>
          <w:tcPr>
            <w:tcW w:w="701" w:type="dxa"/>
            <w:vAlign w:val="center"/>
          </w:tcPr>
          <w:p w14:paraId="3476E035"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2</w:t>
            </w:r>
          </w:p>
        </w:tc>
        <w:tc>
          <w:tcPr>
            <w:tcW w:w="1568" w:type="dxa"/>
            <w:vAlign w:val="center"/>
          </w:tcPr>
          <w:p w14:paraId="4F842DA4"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环境空气污染</w:t>
            </w:r>
          </w:p>
        </w:tc>
        <w:tc>
          <w:tcPr>
            <w:tcW w:w="5522" w:type="dxa"/>
            <w:vAlign w:val="center"/>
          </w:tcPr>
          <w:p w14:paraId="1CD7C4FF" w14:textId="77777777" w:rsidR="00544649" w:rsidRDefault="00000000">
            <w:pPr>
              <w:numPr>
                <w:ilvl w:val="0"/>
                <w:numId w:val="38"/>
              </w:numPr>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在施工现场出入口公示扬尘污染控制措施、负责人、环保监督员、扬尘监管主管部门等有关信息，接受社会监督；</w:t>
            </w:r>
          </w:p>
          <w:p w14:paraId="1CAD2B01" w14:textId="77777777" w:rsidR="00544649" w:rsidRDefault="00000000">
            <w:pPr>
              <w:numPr>
                <w:ilvl w:val="0"/>
                <w:numId w:val="38"/>
              </w:numPr>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施工现场装修材料实行集中、分类堆放，运送装修材料的卡车加盖篷布，以减少抛洒。</w:t>
            </w:r>
          </w:p>
        </w:tc>
        <w:tc>
          <w:tcPr>
            <w:tcW w:w="1264" w:type="dxa"/>
            <w:vAlign w:val="center"/>
          </w:tcPr>
          <w:p w14:paraId="3A5779F7"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同上</w:t>
            </w:r>
          </w:p>
        </w:tc>
      </w:tr>
      <w:tr w:rsidR="00544649" w14:paraId="61D291E3" w14:textId="77777777">
        <w:trPr>
          <w:jc w:val="center"/>
        </w:trPr>
        <w:tc>
          <w:tcPr>
            <w:tcW w:w="701" w:type="dxa"/>
            <w:vAlign w:val="center"/>
          </w:tcPr>
          <w:p w14:paraId="0A425D0C"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3</w:t>
            </w:r>
          </w:p>
        </w:tc>
        <w:tc>
          <w:tcPr>
            <w:tcW w:w="1568" w:type="dxa"/>
            <w:vAlign w:val="center"/>
          </w:tcPr>
          <w:p w14:paraId="2EF842D8"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地表水污染</w:t>
            </w:r>
          </w:p>
        </w:tc>
        <w:tc>
          <w:tcPr>
            <w:tcW w:w="5522" w:type="dxa"/>
            <w:vAlign w:val="center"/>
          </w:tcPr>
          <w:p w14:paraId="052915C4" w14:textId="77777777" w:rsidR="00544649" w:rsidRDefault="00000000">
            <w:pPr>
              <w:numPr>
                <w:ilvl w:val="0"/>
                <w:numId w:val="39"/>
              </w:numPr>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施工管理区需设置隔油池及生活垃圾集中堆放场地，以便生活污水、生活垃圾集中处理；</w:t>
            </w:r>
          </w:p>
          <w:p w14:paraId="1434A3A6" w14:textId="77777777" w:rsidR="00544649" w:rsidRDefault="00000000">
            <w:pPr>
              <w:numPr>
                <w:ilvl w:val="0"/>
                <w:numId w:val="39"/>
              </w:numPr>
              <w:adjustRightInd w:val="0"/>
              <w:snapToGrid w:val="0"/>
              <w:spacing w:beforeLines="20" w:before="62" w:afterLines="20" w:after="62" w:line="240" w:lineRule="auto"/>
              <w:ind w:firstLineChars="0" w:firstLine="0"/>
              <w:rPr>
                <w:rFonts w:cs="Times New Roman"/>
                <w:kern w:val="21"/>
                <w:sz w:val="21"/>
                <w:szCs w:val="21"/>
              </w:rPr>
            </w:pPr>
            <w:r>
              <w:rPr>
                <w:rFonts w:cs="Times New Roman"/>
                <w:kern w:val="21"/>
                <w:sz w:val="21"/>
                <w:szCs w:val="21"/>
              </w:rPr>
              <w:t>加强施工人员环境意识教育，严禁将废油、施工垃圾抛入地表水体。</w:t>
            </w:r>
          </w:p>
        </w:tc>
        <w:tc>
          <w:tcPr>
            <w:tcW w:w="1264" w:type="dxa"/>
            <w:vAlign w:val="center"/>
          </w:tcPr>
          <w:p w14:paraId="4276C78F" w14:textId="77777777" w:rsidR="00544649" w:rsidRDefault="00000000">
            <w:pPr>
              <w:adjustRightInd w:val="0"/>
              <w:snapToGrid w:val="0"/>
              <w:spacing w:beforeLines="20" w:before="62" w:afterLines="20" w:after="62" w:line="240" w:lineRule="auto"/>
              <w:ind w:firstLineChars="0" w:firstLine="0"/>
              <w:jc w:val="center"/>
              <w:rPr>
                <w:rFonts w:cs="Times New Roman"/>
                <w:kern w:val="21"/>
                <w:sz w:val="21"/>
                <w:szCs w:val="21"/>
              </w:rPr>
            </w:pPr>
            <w:r>
              <w:rPr>
                <w:rFonts w:cs="Times New Roman"/>
                <w:kern w:val="21"/>
                <w:sz w:val="21"/>
                <w:szCs w:val="21"/>
              </w:rPr>
              <w:t>同上</w:t>
            </w:r>
          </w:p>
        </w:tc>
      </w:tr>
    </w:tbl>
    <w:p w14:paraId="6633A29B"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营运期环境管理</w:t>
      </w:r>
    </w:p>
    <w:p w14:paraId="65F1F8C9"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w:t>
      </w:r>
      <w:r>
        <w:rPr>
          <w:rFonts w:cs="Times New Roman"/>
          <w:b/>
          <w:bCs/>
          <w:kern w:val="21"/>
          <w:szCs w:val="24"/>
        </w:rPr>
        <w:t>1</w:t>
      </w:r>
      <w:r>
        <w:rPr>
          <w:rFonts w:cs="Times New Roman"/>
          <w:b/>
          <w:bCs/>
          <w:kern w:val="21"/>
          <w:szCs w:val="24"/>
        </w:rPr>
        <w:t>）管理机构</w:t>
      </w:r>
    </w:p>
    <w:p w14:paraId="0EE2271E" w14:textId="77777777" w:rsidR="00544649" w:rsidRDefault="00000000">
      <w:pPr>
        <w:adjustRightInd w:val="0"/>
        <w:snapToGrid w:val="0"/>
        <w:spacing w:after="0"/>
        <w:ind w:firstLine="480"/>
        <w:rPr>
          <w:rFonts w:cs="Times New Roman"/>
          <w:kern w:val="21"/>
          <w:szCs w:val="24"/>
        </w:rPr>
      </w:pPr>
      <w:r>
        <w:rPr>
          <w:rFonts w:cs="Times New Roman"/>
          <w:kern w:val="21"/>
          <w:szCs w:val="24"/>
        </w:rPr>
        <w:t>由企业设置的环保部负责项目运行期的环境管理工作，与当地生态环境部门及其授权监测部门保持</w:t>
      </w:r>
      <w:r>
        <w:rPr>
          <w:rFonts w:cs="Times New Roman"/>
          <w:kern w:val="21"/>
        </w:rPr>
        <w:t>密</w:t>
      </w:r>
      <w:r>
        <w:rPr>
          <w:rFonts w:cs="Times New Roman"/>
          <w:kern w:val="21"/>
          <w:szCs w:val="24"/>
        </w:rPr>
        <w:t>切联系，直接监管企业污染物的排放情况，并对其实施总量控制；对超标排放及污染事故、纠纷进行处理。</w:t>
      </w:r>
    </w:p>
    <w:p w14:paraId="15035330"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w:t>
      </w:r>
      <w:r>
        <w:rPr>
          <w:rFonts w:cs="Times New Roman"/>
          <w:b/>
          <w:bCs/>
          <w:kern w:val="21"/>
          <w:szCs w:val="24"/>
        </w:rPr>
        <w:t>2</w:t>
      </w:r>
      <w:r>
        <w:rPr>
          <w:rFonts w:cs="Times New Roman"/>
          <w:b/>
          <w:bCs/>
          <w:kern w:val="21"/>
          <w:szCs w:val="24"/>
        </w:rPr>
        <w:t>）运行</w:t>
      </w:r>
      <w:proofErr w:type="gramStart"/>
      <w:r>
        <w:rPr>
          <w:rFonts w:cs="Times New Roman"/>
          <w:b/>
          <w:bCs/>
          <w:kern w:val="21"/>
          <w:szCs w:val="24"/>
        </w:rPr>
        <w:t>期环境</w:t>
      </w:r>
      <w:proofErr w:type="gramEnd"/>
      <w:r>
        <w:rPr>
          <w:rFonts w:cs="Times New Roman"/>
          <w:b/>
          <w:bCs/>
          <w:kern w:val="21"/>
          <w:szCs w:val="24"/>
        </w:rPr>
        <w:t>职责</w:t>
      </w:r>
    </w:p>
    <w:p w14:paraId="3B9B0F23" w14:textId="77777777" w:rsidR="00544649" w:rsidRDefault="00000000">
      <w:pPr>
        <w:adjustRightInd w:val="0"/>
        <w:snapToGrid w:val="0"/>
        <w:spacing w:after="0"/>
        <w:ind w:firstLine="480"/>
        <w:rPr>
          <w:rFonts w:cs="Times New Roman"/>
          <w:kern w:val="21"/>
          <w:szCs w:val="24"/>
        </w:rPr>
      </w:pPr>
      <w:r>
        <w:rPr>
          <w:rFonts w:cs="Times New Roman"/>
          <w:kern w:val="21"/>
          <w:szCs w:val="24"/>
        </w:rPr>
        <w:t>由分管环保的专人负责环保指标的落实，将环保指标逐级分解到班组和个人，负责环保设备的运转和维护，确保其正常运转和达标排放，充分发挥其作用；配合地方环保监测部门进行日常环境监测，记录并及时上报污染源及环保措施运行动态。</w:t>
      </w:r>
    </w:p>
    <w:p w14:paraId="46A07C1E" w14:textId="77777777" w:rsidR="00544649" w:rsidRDefault="00000000">
      <w:pPr>
        <w:keepNext/>
        <w:keepLines/>
        <w:numPr>
          <w:ilvl w:val="1"/>
          <w:numId w:val="9"/>
        </w:numPr>
        <w:adjustRightInd w:val="0"/>
        <w:snapToGrid w:val="0"/>
        <w:spacing w:after="0"/>
        <w:ind w:firstLineChars="0"/>
        <w:outlineLvl w:val="1"/>
        <w:rPr>
          <w:rFonts w:cs="Times New Roman"/>
          <w:b/>
          <w:bCs/>
          <w:kern w:val="21"/>
          <w:sz w:val="28"/>
          <w:szCs w:val="24"/>
        </w:rPr>
      </w:pPr>
      <w:bookmarkStart w:id="439" w:name="_Toc9738"/>
      <w:bookmarkStart w:id="440" w:name="_Toc195009944"/>
      <w:r>
        <w:rPr>
          <w:rFonts w:cs="Times New Roman"/>
          <w:b/>
          <w:bCs/>
          <w:kern w:val="21"/>
          <w:sz w:val="28"/>
          <w:szCs w:val="24"/>
        </w:rPr>
        <w:t>环境监测计划</w:t>
      </w:r>
      <w:bookmarkEnd w:id="439"/>
      <w:bookmarkEnd w:id="440"/>
    </w:p>
    <w:p w14:paraId="15C672E7" w14:textId="77777777" w:rsidR="00544649" w:rsidRDefault="00000000">
      <w:pPr>
        <w:adjustRightInd w:val="0"/>
        <w:snapToGrid w:val="0"/>
        <w:spacing w:after="0"/>
        <w:ind w:firstLine="480"/>
        <w:rPr>
          <w:rFonts w:cs="Times New Roman"/>
          <w:kern w:val="21"/>
          <w:szCs w:val="24"/>
        </w:rPr>
      </w:pPr>
      <w:r>
        <w:rPr>
          <w:rFonts w:cs="Times New Roman"/>
          <w:kern w:val="21"/>
          <w:szCs w:val="24"/>
        </w:rPr>
        <w:t>环境监测是企业环境管理必不可少的一部分，也是环境管理规范化的重要手段，其对企业主要污染物进行监测分析、资料整理、编制报表、建立技术档案，为上级环保部门进行环境规划、管理及执法提供依据。</w:t>
      </w:r>
    </w:p>
    <w:p w14:paraId="7932BFE3" w14:textId="77777777" w:rsidR="00544649" w:rsidRDefault="00000000">
      <w:pPr>
        <w:adjustRightInd w:val="0"/>
        <w:snapToGrid w:val="0"/>
        <w:spacing w:after="0"/>
        <w:ind w:firstLine="480"/>
        <w:rPr>
          <w:rFonts w:cs="Times New Roman"/>
          <w:kern w:val="21"/>
          <w:szCs w:val="24"/>
        </w:rPr>
      </w:pPr>
      <w:r>
        <w:rPr>
          <w:rFonts w:cs="Times New Roman"/>
          <w:kern w:val="21"/>
          <w:szCs w:val="24"/>
        </w:rPr>
        <w:t>根据工程分析可知，本项目在施工过程中会产生施工噪声、生态破坏等影响，项</w:t>
      </w:r>
      <w:r>
        <w:rPr>
          <w:rFonts w:cs="Times New Roman"/>
          <w:kern w:val="21"/>
          <w:szCs w:val="24"/>
        </w:rPr>
        <w:lastRenderedPageBreak/>
        <w:t>目运营期会引发一系列的环境问题：大气污染、水污染、噪声污染及事故发生后引发的问题，所以，施工期进行环境监理、运行期进行定期监测是很必要的。</w:t>
      </w:r>
    </w:p>
    <w:p w14:paraId="2AF85B9B"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41" w:name="_Toc27224"/>
      <w:bookmarkStart w:id="442" w:name="_Toc195009945"/>
      <w:r>
        <w:rPr>
          <w:rFonts w:cs="Times New Roman"/>
          <w:b/>
          <w:bCs/>
          <w:kern w:val="21"/>
          <w:sz w:val="28"/>
          <w:szCs w:val="24"/>
        </w:rPr>
        <w:t>监测建立技术资料档案保管制度</w:t>
      </w:r>
      <w:bookmarkEnd w:id="441"/>
      <w:bookmarkEnd w:id="442"/>
    </w:p>
    <w:p w14:paraId="14DF11C4" w14:textId="77777777" w:rsidR="00544649" w:rsidRDefault="00000000">
      <w:pPr>
        <w:adjustRightInd w:val="0"/>
        <w:snapToGrid w:val="0"/>
        <w:spacing w:after="0"/>
        <w:ind w:firstLine="480"/>
        <w:rPr>
          <w:rFonts w:cs="Times New Roman"/>
          <w:kern w:val="21"/>
          <w:szCs w:val="24"/>
        </w:rPr>
      </w:pPr>
      <w:r>
        <w:rPr>
          <w:rFonts w:cs="Times New Roman"/>
          <w:kern w:val="21"/>
          <w:szCs w:val="24"/>
        </w:rPr>
        <w:t>为保证监测数据具有完整的质量特征，在制定监测计划时应遵循以下原则：</w:t>
      </w:r>
    </w:p>
    <w:p w14:paraId="4CB9587B" w14:textId="77777777" w:rsidR="00544649" w:rsidRDefault="00000000">
      <w:pPr>
        <w:numPr>
          <w:ilvl w:val="0"/>
          <w:numId w:val="40"/>
        </w:numPr>
        <w:adjustRightInd w:val="0"/>
        <w:snapToGrid w:val="0"/>
        <w:spacing w:after="0"/>
        <w:ind w:firstLine="480"/>
        <w:rPr>
          <w:rFonts w:cs="Times New Roman"/>
          <w:kern w:val="21"/>
          <w:szCs w:val="24"/>
        </w:rPr>
      </w:pPr>
      <w:r>
        <w:rPr>
          <w:rFonts w:cs="Times New Roman"/>
          <w:kern w:val="21"/>
          <w:szCs w:val="24"/>
        </w:rPr>
        <w:t>实用性和经济性，在确定监测技术路线和技术装备时，要做费用</w:t>
      </w:r>
      <w:r>
        <w:rPr>
          <w:rFonts w:cs="Times New Roman"/>
          <w:kern w:val="21"/>
          <w:szCs w:val="24"/>
        </w:rPr>
        <w:t>―</w:t>
      </w:r>
      <w:r>
        <w:rPr>
          <w:rFonts w:cs="Times New Roman"/>
          <w:kern w:val="21"/>
          <w:szCs w:val="24"/>
        </w:rPr>
        <w:t>效益分析，尽量做到符合实际需要；</w:t>
      </w:r>
    </w:p>
    <w:p w14:paraId="7D843D13" w14:textId="77777777" w:rsidR="00544649" w:rsidRDefault="00000000">
      <w:pPr>
        <w:numPr>
          <w:ilvl w:val="0"/>
          <w:numId w:val="40"/>
        </w:numPr>
        <w:adjustRightInd w:val="0"/>
        <w:snapToGrid w:val="0"/>
        <w:spacing w:after="0"/>
        <w:ind w:firstLine="480"/>
        <w:rPr>
          <w:rFonts w:cs="Times New Roman"/>
          <w:kern w:val="21"/>
          <w:szCs w:val="24"/>
        </w:rPr>
      </w:pPr>
      <w:r>
        <w:rPr>
          <w:rFonts w:cs="Times New Roman"/>
          <w:kern w:val="21"/>
          <w:szCs w:val="24"/>
        </w:rPr>
        <w:t>遵循优先污染物优先监测的原则；</w:t>
      </w:r>
    </w:p>
    <w:p w14:paraId="5527EC4D" w14:textId="77777777" w:rsidR="00544649" w:rsidRDefault="00000000">
      <w:pPr>
        <w:numPr>
          <w:ilvl w:val="0"/>
          <w:numId w:val="40"/>
        </w:numPr>
        <w:adjustRightInd w:val="0"/>
        <w:snapToGrid w:val="0"/>
        <w:spacing w:after="0"/>
        <w:ind w:firstLine="480"/>
        <w:rPr>
          <w:rFonts w:cs="Times New Roman"/>
          <w:kern w:val="21"/>
          <w:szCs w:val="24"/>
        </w:rPr>
      </w:pPr>
      <w:r>
        <w:rPr>
          <w:rFonts w:cs="Times New Roman"/>
          <w:kern w:val="21"/>
          <w:szCs w:val="24"/>
        </w:rPr>
        <w:t>全面规划、合理布局，环境问题的复杂性决定了环境监测的多样性，要对监测布点、采样、分析测试及数据处理做出合理安排。</w:t>
      </w:r>
    </w:p>
    <w:p w14:paraId="77A11D1C"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43" w:name="_Toc26511"/>
      <w:bookmarkStart w:id="444" w:name="_Toc195009946"/>
      <w:r>
        <w:rPr>
          <w:rFonts w:cs="Times New Roman"/>
          <w:b/>
          <w:bCs/>
          <w:kern w:val="21"/>
          <w:sz w:val="28"/>
          <w:szCs w:val="24"/>
        </w:rPr>
        <w:t>环境监测计划</w:t>
      </w:r>
      <w:bookmarkEnd w:id="443"/>
      <w:bookmarkEnd w:id="444"/>
    </w:p>
    <w:p w14:paraId="7AE6C4E3"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施工期环境监测计划</w:t>
      </w:r>
    </w:p>
    <w:p w14:paraId="021C3347"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1</w:t>
      </w:r>
      <w:r>
        <w:rPr>
          <w:rFonts w:cs="Times New Roman"/>
          <w:kern w:val="21"/>
          <w:szCs w:val="24"/>
        </w:rPr>
        <w:t>）建设单位与施工单位签订工程承包合同时，应包括有关工程施工期间环境保护条款，包括施工期间环境污染控制、污染物排放管理、施工人员环保教育及相关奖惩条款。</w:t>
      </w:r>
    </w:p>
    <w:p w14:paraId="0EE7D32F"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2</w:t>
      </w:r>
      <w:r>
        <w:rPr>
          <w:rFonts w:cs="Times New Roman"/>
          <w:kern w:val="21"/>
          <w:szCs w:val="24"/>
        </w:rPr>
        <w:t>）施工单位应增强环保意识，加强驻地和施工现场的环境管理，合理安排施工计划，切实做到组织计划严谨，文明施工；环保措施逐条落实到位，环保工程与主体工程同时施工、同时运行，环保工程费用专款专用，不偷工减料、延误工期。</w:t>
      </w:r>
    </w:p>
    <w:p w14:paraId="6E9D61E1"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3</w:t>
      </w:r>
      <w:r>
        <w:rPr>
          <w:rFonts w:cs="Times New Roman"/>
          <w:kern w:val="21"/>
          <w:szCs w:val="24"/>
        </w:rPr>
        <w:t>）施工单位应特别注意工程施工中的水土保持，尽可能保护好土壤、植被、装修产生的废物运至设计中指定的地点弃置，严禁随意堆置、侵占河道，防止对地表水环境产生影响。</w:t>
      </w:r>
    </w:p>
    <w:p w14:paraId="26C0E13C"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4</w:t>
      </w:r>
      <w:r>
        <w:rPr>
          <w:rFonts w:cs="Times New Roman"/>
          <w:kern w:val="21"/>
          <w:szCs w:val="24"/>
        </w:rPr>
        <w:t>）各施工现场、施工单位驻地及其他施工临时设施，应加强环境管理，施工污水避免无组织散排，尽可能集中排放指定地点；工程施工完毕后施工单位及时清理和恢复施工现场，妥善处理生活垃圾与装修废弃物，减少扬尘；施工现场应执行《建筑施工场界环境噪声排放标准》（</w:t>
      </w:r>
      <w:r>
        <w:rPr>
          <w:rFonts w:cs="Times New Roman"/>
          <w:kern w:val="21"/>
          <w:szCs w:val="24"/>
        </w:rPr>
        <w:t>GB12523-2011</w:t>
      </w:r>
      <w:r>
        <w:rPr>
          <w:rFonts w:cs="Times New Roman"/>
          <w:kern w:val="21"/>
          <w:szCs w:val="24"/>
        </w:rPr>
        <w:t>）中的有关规定和要求。</w:t>
      </w:r>
    </w:p>
    <w:p w14:paraId="508D953C" w14:textId="77777777" w:rsidR="00544649" w:rsidRDefault="00000000">
      <w:pPr>
        <w:adjustRightInd w:val="0"/>
        <w:snapToGrid w:val="0"/>
        <w:spacing w:after="0"/>
        <w:ind w:firstLine="480"/>
        <w:rPr>
          <w:rFonts w:cs="Times New Roman"/>
          <w:kern w:val="21"/>
          <w:szCs w:val="24"/>
        </w:rPr>
      </w:pPr>
      <w:r>
        <w:rPr>
          <w:rFonts w:cs="Times New Roman"/>
          <w:kern w:val="21"/>
          <w:szCs w:val="24"/>
        </w:rPr>
        <w:t>（</w:t>
      </w:r>
      <w:r>
        <w:rPr>
          <w:rFonts w:cs="Times New Roman"/>
          <w:kern w:val="21"/>
          <w:szCs w:val="24"/>
        </w:rPr>
        <w:t>5</w:t>
      </w:r>
      <w:r>
        <w:rPr>
          <w:rFonts w:cs="Times New Roman"/>
          <w:kern w:val="21"/>
          <w:szCs w:val="24"/>
        </w:rPr>
        <w:t>）认真落实各项补偿措施，做好工程各项环保设施的施工监理与验收，保证环保工程质量，真正做到环保工程</w:t>
      </w:r>
      <w:r>
        <w:rPr>
          <w:rFonts w:cs="Times New Roman"/>
          <w:kern w:val="21"/>
          <w:szCs w:val="24"/>
        </w:rPr>
        <w:t>“</w:t>
      </w:r>
      <w:r>
        <w:rPr>
          <w:rFonts w:cs="Times New Roman"/>
          <w:kern w:val="21"/>
          <w:szCs w:val="24"/>
        </w:rPr>
        <w:t>三同时</w:t>
      </w:r>
      <w:r>
        <w:rPr>
          <w:rFonts w:cs="Times New Roman"/>
          <w:kern w:val="21"/>
          <w:szCs w:val="24"/>
        </w:rPr>
        <w:t>”</w:t>
      </w:r>
      <w:r>
        <w:rPr>
          <w:rFonts w:cs="Times New Roman"/>
          <w:kern w:val="21"/>
          <w:szCs w:val="24"/>
        </w:rPr>
        <w:t>。</w:t>
      </w:r>
    </w:p>
    <w:p w14:paraId="62A301DA"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运行期环境监测计划</w:t>
      </w:r>
    </w:p>
    <w:p w14:paraId="18B21F62" w14:textId="77777777" w:rsidR="00544649" w:rsidRDefault="00000000">
      <w:pPr>
        <w:adjustRightInd w:val="0"/>
        <w:snapToGrid w:val="0"/>
        <w:spacing w:after="0"/>
        <w:ind w:firstLine="480"/>
        <w:rPr>
          <w:rFonts w:cs="Times New Roman"/>
          <w:kern w:val="21"/>
        </w:rPr>
      </w:pPr>
      <w:r>
        <w:rPr>
          <w:rFonts w:cs="Times New Roman" w:hint="eastAsia"/>
          <w:kern w:val="21"/>
        </w:rPr>
        <w:t>略</w:t>
      </w:r>
      <w:r>
        <w:rPr>
          <w:rFonts w:cs="Times New Roman"/>
          <w:kern w:val="21"/>
        </w:rPr>
        <w:t>。</w:t>
      </w:r>
    </w:p>
    <w:p w14:paraId="046AB12C"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445" w:name="_Toc9988"/>
      <w:bookmarkStart w:id="446" w:name="_Toc6681"/>
      <w:bookmarkStart w:id="447" w:name="_Toc11969"/>
      <w:bookmarkStart w:id="448" w:name="_Toc195009947"/>
      <w:r>
        <w:rPr>
          <w:rFonts w:cs="Times New Roman"/>
          <w:b/>
          <w:bCs/>
          <w:kern w:val="21"/>
          <w:sz w:val="32"/>
          <w:szCs w:val="32"/>
        </w:rPr>
        <w:lastRenderedPageBreak/>
        <w:t>环保设施竣工验收管理</w:t>
      </w:r>
      <w:bookmarkEnd w:id="445"/>
      <w:bookmarkEnd w:id="446"/>
      <w:bookmarkEnd w:id="447"/>
      <w:bookmarkEnd w:id="448"/>
    </w:p>
    <w:p w14:paraId="0C1B8BCD"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49" w:name="_Toc18265"/>
      <w:bookmarkStart w:id="450" w:name="_Toc5496"/>
      <w:bookmarkStart w:id="451" w:name="_Toc940"/>
      <w:bookmarkStart w:id="452" w:name="_Toc195009948"/>
      <w:r>
        <w:rPr>
          <w:rFonts w:cs="Times New Roman"/>
          <w:b/>
          <w:bCs/>
          <w:kern w:val="21"/>
          <w:sz w:val="28"/>
          <w:szCs w:val="24"/>
        </w:rPr>
        <w:t>环保工程设计要求</w:t>
      </w:r>
      <w:bookmarkEnd w:id="449"/>
      <w:bookmarkEnd w:id="450"/>
      <w:bookmarkEnd w:id="451"/>
      <w:bookmarkEnd w:id="452"/>
    </w:p>
    <w:p w14:paraId="17CEEE66" w14:textId="77777777" w:rsidR="00544649" w:rsidRDefault="00000000">
      <w:pPr>
        <w:numPr>
          <w:ilvl w:val="0"/>
          <w:numId w:val="41"/>
        </w:numPr>
        <w:adjustRightInd w:val="0"/>
        <w:snapToGrid w:val="0"/>
        <w:spacing w:after="0"/>
        <w:ind w:firstLine="480"/>
        <w:rPr>
          <w:rFonts w:cs="Times New Roman"/>
          <w:kern w:val="21"/>
          <w:szCs w:val="24"/>
        </w:rPr>
      </w:pPr>
      <w:r>
        <w:rPr>
          <w:rFonts w:cs="Times New Roman"/>
          <w:kern w:val="21"/>
          <w:szCs w:val="24"/>
        </w:rPr>
        <w:t>按照环评报告书提出的污染防治措施，完善本项目的环保工程设计，并针对本项目的特点，重点做好恶臭的无组织排放污染防治，废水的处理以及固废的处置与综合利用设计工作，确保工程建成投产后</w:t>
      </w:r>
      <w:r>
        <w:rPr>
          <w:rFonts w:cs="Times New Roman" w:hint="eastAsia"/>
          <w:kern w:val="21"/>
          <w:szCs w:val="24"/>
        </w:rPr>
        <w:t>“</w:t>
      </w:r>
      <w:r>
        <w:rPr>
          <w:rFonts w:cs="Times New Roman"/>
          <w:kern w:val="21"/>
          <w:szCs w:val="24"/>
        </w:rPr>
        <w:t>三废</w:t>
      </w:r>
      <w:r>
        <w:rPr>
          <w:rFonts w:cs="Times New Roman" w:hint="eastAsia"/>
          <w:kern w:val="21"/>
          <w:szCs w:val="24"/>
        </w:rPr>
        <w:t>”</w:t>
      </w:r>
      <w:r>
        <w:rPr>
          <w:rFonts w:cs="Times New Roman"/>
          <w:kern w:val="21"/>
          <w:szCs w:val="24"/>
        </w:rPr>
        <w:t>做到达标排放；</w:t>
      </w:r>
    </w:p>
    <w:p w14:paraId="789C77FF" w14:textId="77777777" w:rsidR="00544649" w:rsidRDefault="00000000">
      <w:pPr>
        <w:numPr>
          <w:ilvl w:val="0"/>
          <w:numId w:val="41"/>
        </w:numPr>
        <w:adjustRightInd w:val="0"/>
        <w:snapToGrid w:val="0"/>
        <w:spacing w:after="0"/>
        <w:ind w:firstLine="480"/>
        <w:rPr>
          <w:rFonts w:cs="Times New Roman"/>
          <w:b/>
          <w:bCs/>
          <w:kern w:val="21"/>
          <w:szCs w:val="24"/>
        </w:rPr>
      </w:pPr>
      <w:r>
        <w:rPr>
          <w:rFonts w:cs="Times New Roman"/>
          <w:kern w:val="21"/>
          <w:szCs w:val="24"/>
        </w:rPr>
        <w:t>核准环保投资概算，增加环保资金，要求做到专款专用，环保投资及时到位；</w:t>
      </w:r>
    </w:p>
    <w:p w14:paraId="25B473A4" w14:textId="77777777" w:rsidR="00544649" w:rsidRDefault="00000000">
      <w:pPr>
        <w:numPr>
          <w:ilvl w:val="0"/>
          <w:numId w:val="41"/>
        </w:numPr>
        <w:adjustRightInd w:val="0"/>
        <w:snapToGrid w:val="0"/>
        <w:spacing w:after="0"/>
        <w:ind w:firstLine="480"/>
        <w:rPr>
          <w:rFonts w:cs="Times New Roman"/>
          <w:b/>
          <w:bCs/>
          <w:kern w:val="21"/>
          <w:szCs w:val="24"/>
        </w:rPr>
      </w:pPr>
      <w:r>
        <w:rPr>
          <w:rFonts w:cs="Times New Roman"/>
          <w:kern w:val="21"/>
          <w:szCs w:val="24"/>
        </w:rPr>
        <w:t>主体工程完工后，其配套建设的环境保护设施必须与主体工程同时完工；如需进行试运行，其配套建设的环境保护设施必须与主体工程同时投入运行。</w:t>
      </w:r>
    </w:p>
    <w:p w14:paraId="16C513C0"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53" w:name="_Toc27850"/>
      <w:bookmarkStart w:id="454" w:name="_Toc19517"/>
      <w:bookmarkStart w:id="455" w:name="_Toc32145"/>
      <w:bookmarkStart w:id="456" w:name="_Toc195009949"/>
      <w:r>
        <w:rPr>
          <w:rFonts w:cs="Times New Roman"/>
          <w:b/>
          <w:bCs/>
          <w:kern w:val="21"/>
          <w:sz w:val="28"/>
          <w:szCs w:val="24"/>
        </w:rPr>
        <w:t>环保设施验收建议</w:t>
      </w:r>
      <w:bookmarkEnd w:id="453"/>
      <w:bookmarkEnd w:id="454"/>
      <w:bookmarkEnd w:id="455"/>
      <w:bookmarkEnd w:id="456"/>
    </w:p>
    <w:p w14:paraId="219376EE" w14:textId="77777777" w:rsidR="00544649" w:rsidRDefault="00000000">
      <w:pPr>
        <w:numPr>
          <w:ilvl w:val="3"/>
          <w:numId w:val="9"/>
        </w:numPr>
        <w:adjustRightInd w:val="0"/>
        <w:snapToGrid w:val="0"/>
        <w:spacing w:after="0"/>
        <w:ind w:firstLineChars="0"/>
        <w:outlineLvl w:val="3"/>
        <w:rPr>
          <w:kern w:val="21"/>
        </w:rPr>
      </w:pPr>
      <w:r>
        <w:rPr>
          <w:rFonts w:ascii="宋体" w:hAnsi="宋体" w:cs="宋体" w:hint="eastAsia"/>
          <w:b/>
          <w:bCs/>
          <w:kern w:val="21"/>
          <w:szCs w:val="24"/>
          <w:lang w:bidi="ar"/>
        </w:rPr>
        <w:t>竣工验收主要内容</w:t>
      </w:r>
    </w:p>
    <w:p w14:paraId="31465B8F" w14:textId="77777777" w:rsidR="00544649" w:rsidRDefault="00000000">
      <w:pPr>
        <w:adjustRightInd w:val="0"/>
        <w:snapToGrid w:val="0"/>
        <w:spacing w:after="0"/>
        <w:ind w:firstLine="480"/>
        <w:rPr>
          <w:kern w:val="21"/>
        </w:rPr>
      </w:pPr>
      <w:r>
        <w:rPr>
          <w:rFonts w:hint="eastAsia"/>
          <w:kern w:val="21"/>
        </w:rPr>
        <w:t>工程建成后应及时组织竣工环境保护验收，对各项环保工程措施的落实情况、效果以及工程建设对环境的影响进行评估。验收小组应由设计单位、施工单位、环评单位、验收监测报告编制机构等单位代表以及专业技术专家等组成。</w:t>
      </w:r>
    </w:p>
    <w:p w14:paraId="73334148" w14:textId="77777777" w:rsidR="00544649" w:rsidRDefault="00000000">
      <w:pPr>
        <w:adjustRightInd w:val="0"/>
        <w:snapToGrid w:val="0"/>
        <w:spacing w:after="0"/>
        <w:ind w:firstLine="480"/>
        <w:rPr>
          <w:kern w:val="21"/>
        </w:rPr>
      </w:pPr>
      <w:r>
        <w:rPr>
          <w:rFonts w:hint="eastAsia"/>
          <w:kern w:val="21"/>
        </w:rPr>
        <w:t>根据《建设项目环境保护管理条例》（</w:t>
      </w:r>
      <w:r>
        <w:rPr>
          <w:kern w:val="21"/>
        </w:rPr>
        <w:t>2017.10.1</w:t>
      </w:r>
      <w:r>
        <w:rPr>
          <w:rFonts w:hint="eastAsia"/>
          <w:kern w:val="21"/>
        </w:rPr>
        <w:t>）国务院第</w:t>
      </w:r>
      <w:r>
        <w:rPr>
          <w:kern w:val="21"/>
        </w:rPr>
        <w:t>682</w:t>
      </w:r>
      <w:r>
        <w:rPr>
          <w:rFonts w:hint="eastAsia"/>
          <w:kern w:val="21"/>
        </w:rPr>
        <w:t>号令、《建设项目竣工环境保护验收暂行办法》（</w:t>
      </w:r>
      <w:r>
        <w:rPr>
          <w:kern w:val="21"/>
        </w:rPr>
        <w:t>2017.11.20</w:t>
      </w:r>
      <w:r>
        <w:rPr>
          <w:rFonts w:hint="eastAsia"/>
          <w:kern w:val="21"/>
        </w:rPr>
        <w:t>）的有关规定，本项目的水污染防治措施、大气污染防治措施、噪声污染防治措施由建设单位自主验收。新《中华人民共和国固体废物污染环境防治法》修改完成前应依法由环境保护部门对建设项目固体废物污染防治设施进行验收。</w:t>
      </w:r>
    </w:p>
    <w:p w14:paraId="105C5A2D" w14:textId="77777777" w:rsidR="00544649" w:rsidRDefault="00000000">
      <w:pPr>
        <w:numPr>
          <w:ilvl w:val="3"/>
          <w:numId w:val="9"/>
        </w:numPr>
        <w:adjustRightInd w:val="0"/>
        <w:snapToGrid w:val="0"/>
        <w:spacing w:after="0"/>
        <w:ind w:firstLineChars="0"/>
        <w:outlineLvl w:val="3"/>
        <w:rPr>
          <w:kern w:val="21"/>
        </w:rPr>
      </w:pPr>
      <w:r>
        <w:rPr>
          <w:rFonts w:ascii="宋体" w:hAnsi="宋体" w:cs="宋体" w:hint="eastAsia"/>
          <w:b/>
          <w:bCs/>
          <w:kern w:val="21"/>
          <w:szCs w:val="24"/>
          <w:lang w:bidi="ar"/>
        </w:rPr>
        <w:t>建设单位自主验收相关规定</w:t>
      </w:r>
    </w:p>
    <w:p w14:paraId="41FC1CEE" w14:textId="77777777" w:rsidR="00544649" w:rsidRDefault="00000000">
      <w:pPr>
        <w:numPr>
          <w:ilvl w:val="0"/>
          <w:numId w:val="42"/>
        </w:numPr>
        <w:adjustRightInd w:val="0"/>
        <w:snapToGrid w:val="0"/>
        <w:spacing w:after="0"/>
        <w:ind w:firstLine="482"/>
        <w:rPr>
          <w:b/>
          <w:bCs/>
          <w:kern w:val="21"/>
        </w:rPr>
      </w:pPr>
      <w:r>
        <w:rPr>
          <w:rFonts w:hint="eastAsia"/>
          <w:b/>
          <w:bCs/>
          <w:kern w:val="21"/>
        </w:rPr>
        <w:t>竣工环境保护验收实行由企业法人负责的自行验收管理。</w:t>
      </w:r>
    </w:p>
    <w:p w14:paraId="7FEEB338" w14:textId="77777777" w:rsidR="00544649" w:rsidRDefault="00000000">
      <w:pPr>
        <w:adjustRightInd w:val="0"/>
        <w:snapToGrid w:val="0"/>
        <w:spacing w:after="0"/>
        <w:ind w:firstLine="480"/>
        <w:rPr>
          <w:kern w:val="21"/>
        </w:rPr>
      </w:pPr>
      <w:r>
        <w:rPr>
          <w:rFonts w:hint="eastAsia"/>
          <w:kern w:val="21"/>
        </w:rPr>
        <w:t>企业自行验收严格按照环境保护主管部门制定的规定程序执行，验收过程完整，验收程序合法。企业自行验收严格落实环境影响报告书（表）及其批复文件要求，验收材料齐全，验收内容全面，适用标准规范，内容不缺项，标准不降低。建设项目主体工程竣工后、正式投产或运行前，企业应自行组织开展建设项目竣工环境保护验收，并编制建设项目竣工环境保护验收调查（监测）报告。</w:t>
      </w:r>
    </w:p>
    <w:p w14:paraId="035E669B" w14:textId="77777777" w:rsidR="00544649" w:rsidRDefault="00000000">
      <w:pPr>
        <w:adjustRightInd w:val="0"/>
        <w:snapToGrid w:val="0"/>
        <w:spacing w:after="0"/>
        <w:ind w:firstLine="482"/>
        <w:rPr>
          <w:b/>
          <w:bCs/>
          <w:kern w:val="21"/>
        </w:rPr>
      </w:pPr>
      <w:r>
        <w:rPr>
          <w:rFonts w:hint="eastAsia"/>
          <w:b/>
          <w:bCs/>
          <w:kern w:val="21"/>
        </w:rPr>
        <w:t>（</w:t>
      </w:r>
      <w:r>
        <w:rPr>
          <w:b/>
          <w:bCs/>
          <w:kern w:val="21"/>
        </w:rPr>
        <w:t>2</w:t>
      </w:r>
      <w:r>
        <w:rPr>
          <w:rFonts w:hint="eastAsia"/>
          <w:b/>
          <w:bCs/>
          <w:kern w:val="21"/>
        </w:rPr>
        <w:t>）建设项目竣工环境保护企业自行验收范围</w:t>
      </w:r>
    </w:p>
    <w:p w14:paraId="5792F424" w14:textId="77777777" w:rsidR="00544649" w:rsidRDefault="00000000">
      <w:pPr>
        <w:adjustRightInd w:val="0"/>
        <w:snapToGrid w:val="0"/>
        <w:spacing w:after="0"/>
        <w:ind w:firstLine="480"/>
        <w:rPr>
          <w:kern w:val="21"/>
        </w:rPr>
      </w:pPr>
      <w:r>
        <w:rPr>
          <w:rFonts w:hint="eastAsia"/>
          <w:kern w:val="21"/>
        </w:rPr>
        <w:t>①环境影响报告书及其批复文件规定的与建设项目有关的各项环境保护设施，包括为防治污染和保护环境所建成或配备的工程、设备、装置和监测手段，各项生态保护设施。</w:t>
      </w:r>
    </w:p>
    <w:p w14:paraId="3BACECE2" w14:textId="77777777" w:rsidR="00544649" w:rsidRDefault="00000000">
      <w:pPr>
        <w:adjustRightInd w:val="0"/>
        <w:snapToGrid w:val="0"/>
        <w:spacing w:after="0"/>
        <w:ind w:firstLine="480"/>
        <w:rPr>
          <w:kern w:val="21"/>
        </w:rPr>
      </w:pPr>
      <w:r>
        <w:rPr>
          <w:rFonts w:hint="eastAsia"/>
          <w:kern w:val="21"/>
        </w:rPr>
        <w:t>②环境影响报告书及其批复文件和有关项目设计文件规定应采取的其他各项环</w:t>
      </w:r>
      <w:r>
        <w:rPr>
          <w:rFonts w:hint="eastAsia"/>
          <w:kern w:val="21"/>
        </w:rPr>
        <w:lastRenderedPageBreak/>
        <w:t>境保护措施。</w:t>
      </w:r>
    </w:p>
    <w:p w14:paraId="740871D7" w14:textId="77777777" w:rsidR="00544649" w:rsidRDefault="00000000">
      <w:pPr>
        <w:adjustRightInd w:val="0"/>
        <w:snapToGrid w:val="0"/>
        <w:spacing w:after="0"/>
        <w:ind w:firstLine="480"/>
        <w:rPr>
          <w:kern w:val="21"/>
        </w:rPr>
      </w:pPr>
      <w:r>
        <w:rPr>
          <w:rFonts w:hint="eastAsia"/>
          <w:kern w:val="21"/>
        </w:rPr>
        <w:t>③与建设项目有关的各项环境保护设施、环境保护措施运行效果。</w:t>
      </w:r>
    </w:p>
    <w:p w14:paraId="030439D9" w14:textId="77777777" w:rsidR="00544649" w:rsidRDefault="00000000">
      <w:pPr>
        <w:adjustRightInd w:val="0"/>
        <w:snapToGrid w:val="0"/>
        <w:spacing w:after="0"/>
        <w:ind w:firstLine="482"/>
        <w:rPr>
          <w:b/>
          <w:bCs/>
          <w:kern w:val="21"/>
        </w:rPr>
      </w:pPr>
      <w:r>
        <w:rPr>
          <w:rFonts w:hint="eastAsia"/>
          <w:b/>
          <w:bCs/>
          <w:kern w:val="21"/>
        </w:rPr>
        <w:t>（</w:t>
      </w:r>
      <w:r>
        <w:rPr>
          <w:b/>
          <w:bCs/>
          <w:kern w:val="21"/>
        </w:rPr>
        <w:t>3</w:t>
      </w:r>
      <w:r>
        <w:rPr>
          <w:rFonts w:hint="eastAsia"/>
          <w:b/>
          <w:bCs/>
          <w:kern w:val="21"/>
        </w:rPr>
        <w:t>）建设项目竣工环境保护企业自行验收依据</w:t>
      </w:r>
    </w:p>
    <w:p w14:paraId="542BED4F" w14:textId="77777777" w:rsidR="00544649" w:rsidRDefault="00000000">
      <w:pPr>
        <w:adjustRightInd w:val="0"/>
        <w:snapToGrid w:val="0"/>
        <w:spacing w:after="0"/>
        <w:ind w:firstLine="480"/>
        <w:rPr>
          <w:kern w:val="21"/>
        </w:rPr>
      </w:pPr>
      <w:r>
        <w:rPr>
          <w:rFonts w:hint="eastAsia"/>
          <w:kern w:val="21"/>
        </w:rPr>
        <w:t>①《建设项目环境保护管理条例》等相关法律规定。</w:t>
      </w:r>
    </w:p>
    <w:p w14:paraId="343BC160" w14:textId="77777777" w:rsidR="00544649" w:rsidRDefault="00000000">
      <w:pPr>
        <w:adjustRightInd w:val="0"/>
        <w:snapToGrid w:val="0"/>
        <w:spacing w:after="0"/>
        <w:ind w:firstLine="480"/>
        <w:rPr>
          <w:kern w:val="21"/>
        </w:rPr>
      </w:pPr>
      <w:r>
        <w:rPr>
          <w:rFonts w:hint="eastAsia"/>
          <w:kern w:val="21"/>
        </w:rPr>
        <w:t>②环境影响报告书及其批复文件。</w:t>
      </w:r>
    </w:p>
    <w:p w14:paraId="737649E7" w14:textId="77777777" w:rsidR="00544649" w:rsidRDefault="00000000">
      <w:pPr>
        <w:adjustRightInd w:val="0"/>
        <w:snapToGrid w:val="0"/>
        <w:spacing w:after="0"/>
        <w:ind w:firstLine="480"/>
        <w:rPr>
          <w:kern w:val="21"/>
        </w:rPr>
      </w:pPr>
      <w:r>
        <w:rPr>
          <w:rFonts w:hint="eastAsia"/>
          <w:kern w:val="21"/>
        </w:rPr>
        <w:t>③工程《初步设计》环保篇。</w:t>
      </w:r>
    </w:p>
    <w:p w14:paraId="1BFE0E71" w14:textId="77777777" w:rsidR="00544649" w:rsidRDefault="00000000">
      <w:pPr>
        <w:adjustRightInd w:val="0"/>
        <w:snapToGrid w:val="0"/>
        <w:spacing w:after="0"/>
        <w:ind w:firstLine="480"/>
        <w:rPr>
          <w:kern w:val="21"/>
        </w:rPr>
      </w:pPr>
      <w:r>
        <w:rPr>
          <w:rFonts w:hint="eastAsia"/>
          <w:kern w:val="21"/>
        </w:rPr>
        <w:t>④建设项目竣工环境保护技术规范等相关标准。</w:t>
      </w:r>
    </w:p>
    <w:p w14:paraId="7C7CD1B3" w14:textId="77777777" w:rsidR="00544649" w:rsidRDefault="00000000">
      <w:pPr>
        <w:adjustRightInd w:val="0"/>
        <w:snapToGrid w:val="0"/>
        <w:spacing w:after="0"/>
        <w:ind w:firstLine="480"/>
        <w:rPr>
          <w:kern w:val="21"/>
        </w:rPr>
      </w:pPr>
      <w:r>
        <w:rPr>
          <w:rFonts w:hint="eastAsia"/>
          <w:kern w:val="21"/>
        </w:rPr>
        <w:t>⑤环境保护主管部门印发的其他相关文件要求。</w:t>
      </w:r>
    </w:p>
    <w:p w14:paraId="5B85B943" w14:textId="77777777" w:rsidR="00544649" w:rsidRDefault="00000000">
      <w:pPr>
        <w:adjustRightInd w:val="0"/>
        <w:snapToGrid w:val="0"/>
        <w:spacing w:after="0"/>
        <w:ind w:firstLine="482"/>
        <w:rPr>
          <w:b/>
          <w:bCs/>
          <w:kern w:val="21"/>
        </w:rPr>
      </w:pPr>
      <w:r>
        <w:rPr>
          <w:rFonts w:hint="eastAsia"/>
          <w:b/>
          <w:bCs/>
          <w:kern w:val="21"/>
        </w:rPr>
        <w:t>（</w:t>
      </w:r>
      <w:r>
        <w:rPr>
          <w:b/>
          <w:bCs/>
          <w:kern w:val="21"/>
        </w:rPr>
        <w:t>4</w:t>
      </w:r>
      <w:r>
        <w:rPr>
          <w:rFonts w:hint="eastAsia"/>
          <w:b/>
          <w:bCs/>
          <w:kern w:val="21"/>
        </w:rPr>
        <w:t>）建设项目竣工环境保护企业自行验收工作程序</w:t>
      </w:r>
    </w:p>
    <w:p w14:paraId="34211549" w14:textId="77777777" w:rsidR="00544649" w:rsidRDefault="00000000">
      <w:pPr>
        <w:adjustRightInd w:val="0"/>
        <w:snapToGrid w:val="0"/>
        <w:spacing w:after="0"/>
        <w:ind w:firstLine="480"/>
        <w:rPr>
          <w:kern w:val="21"/>
        </w:rPr>
      </w:pPr>
      <w:r>
        <w:rPr>
          <w:rFonts w:hint="eastAsia"/>
          <w:kern w:val="21"/>
        </w:rPr>
        <w:t>①在建设项目竣工后、正式投入生产或运行前，企业按照环境影响报告书及其批复文件要求，对与主体工程配套建设的环境保护设施落实情况进行查验。</w:t>
      </w:r>
    </w:p>
    <w:p w14:paraId="743A521B" w14:textId="77777777" w:rsidR="00544649" w:rsidRDefault="00000000">
      <w:pPr>
        <w:adjustRightInd w:val="0"/>
        <w:snapToGrid w:val="0"/>
        <w:spacing w:after="0"/>
        <w:ind w:firstLine="480"/>
        <w:rPr>
          <w:kern w:val="21"/>
        </w:rPr>
      </w:pPr>
      <w:r>
        <w:rPr>
          <w:rFonts w:hint="eastAsia"/>
          <w:kern w:val="21"/>
        </w:rPr>
        <w:t>②按照环境保护主管部门制定的竣工环境保护验收技术规范，企业自行编制或委托具备相应技术能力的机构，对建设项目环境保护设施落实情况进行调查，开展相关环境监测，编制竣工环境保护验收监测报告。企业、验收监测机构及其相关人员对验收监测报告结论终身负责。</w:t>
      </w:r>
    </w:p>
    <w:p w14:paraId="7C6CC5AC" w14:textId="77777777" w:rsidR="00544649" w:rsidRDefault="00000000">
      <w:pPr>
        <w:adjustRightInd w:val="0"/>
        <w:snapToGrid w:val="0"/>
        <w:spacing w:after="0"/>
        <w:ind w:firstLine="480"/>
        <w:rPr>
          <w:kern w:val="21"/>
        </w:rPr>
      </w:pPr>
      <w:r>
        <w:rPr>
          <w:rFonts w:hint="eastAsia"/>
          <w:kern w:val="21"/>
        </w:rPr>
        <w:t>③验收监测报告编制完成后，由企业法人组织对建设项目环境保护设施和环境保护措施进行验收，形成书面报告备查，并向社会公开。</w:t>
      </w:r>
    </w:p>
    <w:p w14:paraId="73E85F07" w14:textId="77777777" w:rsidR="00544649" w:rsidRDefault="00000000">
      <w:pPr>
        <w:adjustRightInd w:val="0"/>
        <w:snapToGrid w:val="0"/>
        <w:spacing w:after="0"/>
        <w:ind w:firstLine="480"/>
        <w:rPr>
          <w:kern w:val="21"/>
        </w:rPr>
      </w:pPr>
      <w:r>
        <w:rPr>
          <w:rFonts w:hint="eastAsia"/>
          <w:kern w:val="21"/>
        </w:rPr>
        <w:t>④企业自行组织竣工环境保护验收时，应成立验收组，对建设项目环境保护设施及其他环境保护措施进行资料审查、现场踏勘，形成验收意见，验收组成员名单附后。验收组应由建设单位、设计单位、施工单位、环境监理单位、环境监测单位、环境影响报告书编制单位、变更环境影响报告书编制单位、验收监测报告编制单位代表，以及专业技术专家组成。</w:t>
      </w:r>
    </w:p>
    <w:p w14:paraId="34928003" w14:textId="77777777" w:rsidR="00544649" w:rsidRDefault="00000000">
      <w:pPr>
        <w:adjustRightInd w:val="0"/>
        <w:snapToGrid w:val="0"/>
        <w:spacing w:after="0"/>
        <w:ind w:firstLine="480"/>
        <w:rPr>
          <w:kern w:val="21"/>
        </w:rPr>
      </w:pPr>
      <w:r>
        <w:rPr>
          <w:rFonts w:hint="eastAsia"/>
          <w:kern w:val="21"/>
        </w:rPr>
        <w:t>⑤企业应对验收意见中提出的环保问题进行整改。环境保护设施未经验收或者验收不合格的，建设项目主体工程不得投入生产或者使用。</w:t>
      </w:r>
    </w:p>
    <w:p w14:paraId="7345BF4A" w14:textId="77777777" w:rsidR="00544649" w:rsidRDefault="00000000">
      <w:pPr>
        <w:adjustRightInd w:val="0"/>
        <w:snapToGrid w:val="0"/>
        <w:spacing w:after="0"/>
        <w:ind w:firstLine="480"/>
        <w:rPr>
          <w:kern w:val="21"/>
        </w:rPr>
      </w:pPr>
      <w:r>
        <w:rPr>
          <w:rFonts w:hint="eastAsia"/>
          <w:kern w:val="21"/>
        </w:rPr>
        <w:t>⑥企业应自验收通过之日起</w:t>
      </w:r>
      <w:r>
        <w:rPr>
          <w:kern w:val="21"/>
        </w:rPr>
        <w:t>30</w:t>
      </w:r>
      <w:r>
        <w:rPr>
          <w:rFonts w:hint="eastAsia"/>
          <w:kern w:val="21"/>
        </w:rPr>
        <w:t>个工作日内，制作竣工环境保护验收意见书，并将验收意见书、验收监测报告和“三同时”验收登记表上传至建设项目竣工环境保护企业自行验收信息平台，并如实向社会公开。</w:t>
      </w:r>
    </w:p>
    <w:p w14:paraId="55C86FAB" w14:textId="77777777" w:rsidR="00544649" w:rsidRDefault="00000000">
      <w:pPr>
        <w:adjustRightInd w:val="0"/>
        <w:snapToGrid w:val="0"/>
        <w:spacing w:after="0"/>
        <w:ind w:firstLine="480"/>
        <w:rPr>
          <w:kern w:val="21"/>
        </w:rPr>
      </w:pPr>
      <w:r>
        <w:rPr>
          <w:rFonts w:hint="eastAsia"/>
          <w:kern w:val="21"/>
        </w:rPr>
        <w:t>（</w:t>
      </w:r>
      <w:r>
        <w:rPr>
          <w:kern w:val="21"/>
        </w:rPr>
        <w:t>5</w:t>
      </w:r>
      <w:r>
        <w:rPr>
          <w:rFonts w:hint="eastAsia"/>
          <w:kern w:val="21"/>
        </w:rPr>
        <w:t>）企业应通过网站以及报纸、媒体平台，向社会及时建设项目环境保护设施和环境保护措施落实情况、竣工环境保护验收情况，并接受社会监督。</w:t>
      </w:r>
    </w:p>
    <w:p w14:paraId="0570E1A5" w14:textId="77777777" w:rsidR="00544649" w:rsidRDefault="00000000">
      <w:pPr>
        <w:adjustRightInd w:val="0"/>
        <w:snapToGrid w:val="0"/>
        <w:spacing w:after="0"/>
        <w:ind w:firstLine="480"/>
        <w:rPr>
          <w:kern w:val="21"/>
        </w:rPr>
      </w:pPr>
      <w:r>
        <w:rPr>
          <w:rFonts w:hint="eastAsia"/>
          <w:kern w:val="21"/>
        </w:rPr>
        <w:t>①在施工建设期间应主动公开下列信息：主要环境保护设施实施情况；施工期环境保护措施落实情况；施工期环境监测情况及监测结果。</w:t>
      </w:r>
    </w:p>
    <w:p w14:paraId="568D2758" w14:textId="77777777" w:rsidR="00544649" w:rsidRDefault="00000000">
      <w:pPr>
        <w:adjustRightInd w:val="0"/>
        <w:snapToGrid w:val="0"/>
        <w:spacing w:after="0"/>
        <w:ind w:firstLine="480"/>
        <w:rPr>
          <w:kern w:val="21"/>
        </w:rPr>
      </w:pPr>
      <w:r>
        <w:rPr>
          <w:rFonts w:hint="eastAsia"/>
          <w:kern w:val="21"/>
        </w:rPr>
        <w:lastRenderedPageBreak/>
        <w:t>②在投入生产或者使用前应主动公开下列信息：各项环境保护设施落实情况；环境保护措施落实情况；环境监测和监理报告；突发环境事件应急预案及备案情况；竣工环境保护验收监测报告；竣工环境保护企业自行验收意见。</w:t>
      </w:r>
    </w:p>
    <w:p w14:paraId="002B41D9" w14:textId="77777777" w:rsidR="00544649" w:rsidRDefault="00000000">
      <w:pPr>
        <w:adjustRightInd w:val="0"/>
        <w:snapToGrid w:val="0"/>
        <w:spacing w:after="0"/>
        <w:ind w:firstLine="480"/>
        <w:rPr>
          <w:kern w:val="21"/>
        </w:rPr>
      </w:pPr>
      <w:r>
        <w:rPr>
          <w:rFonts w:hint="eastAsia"/>
          <w:kern w:val="21"/>
        </w:rPr>
        <w:t>③在运行期间应定期公开下列信息：各项环境保护设施运行情况；主要污染物排放情况；突发环境事件应急演练和应急预案完善情况；环境影响后评价开展情况。</w:t>
      </w:r>
    </w:p>
    <w:p w14:paraId="1689E45F" w14:textId="77777777" w:rsidR="00544649" w:rsidRDefault="00544649">
      <w:pPr>
        <w:adjustRightInd w:val="0"/>
        <w:snapToGrid w:val="0"/>
        <w:spacing w:after="0"/>
        <w:ind w:firstLine="480"/>
        <w:rPr>
          <w:rFonts w:cs="Times New Roman"/>
          <w:kern w:val="21"/>
          <w:szCs w:val="24"/>
        </w:rPr>
        <w:sectPr w:rsidR="00544649">
          <w:pgSz w:w="11906" w:h="16838"/>
          <w:pgMar w:top="1134" w:right="1531" w:bottom="1134" w:left="1531" w:header="851" w:footer="794" w:gutter="0"/>
          <w:cols w:space="425"/>
          <w:docGrid w:type="lines" w:linePitch="312"/>
        </w:sectPr>
      </w:pPr>
    </w:p>
    <w:p w14:paraId="430ACF61" w14:textId="77777777" w:rsidR="00544649" w:rsidRDefault="00000000">
      <w:pPr>
        <w:keepNext/>
        <w:keepLines/>
        <w:pageBreakBefore/>
        <w:numPr>
          <w:ilvl w:val="0"/>
          <w:numId w:val="9"/>
        </w:numPr>
        <w:adjustRightInd w:val="0"/>
        <w:snapToGrid w:val="0"/>
        <w:spacing w:after="0"/>
        <w:ind w:firstLineChars="0"/>
        <w:outlineLvl w:val="0"/>
        <w:rPr>
          <w:rFonts w:cs="Times New Roman"/>
          <w:b/>
          <w:bCs/>
          <w:kern w:val="21"/>
          <w:sz w:val="36"/>
          <w:szCs w:val="36"/>
        </w:rPr>
      </w:pPr>
      <w:bookmarkStart w:id="457" w:name="_Toc13618"/>
      <w:bookmarkStart w:id="458" w:name="_Toc17950"/>
      <w:bookmarkStart w:id="459" w:name="_Toc195009950"/>
      <w:r>
        <w:rPr>
          <w:rFonts w:cs="Times New Roman"/>
          <w:b/>
          <w:bCs/>
          <w:kern w:val="21"/>
          <w:sz w:val="36"/>
          <w:szCs w:val="36"/>
        </w:rPr>
        <w:lastRenderedPageBreak/>
        <w:t>结论与建议</w:t>
      </w:r>
      <w:bookmarkEnd w:id="457"/>
      <w:bookmarkEnd w:id="458"/>
      <w:bookmarkEnd w:id="459"/>
    </w:p>
    <w:p w14:paraId="10C28D4C"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32"/>
        </w:rPr>
      </w:pPr>
      <w:bookmarkStart w:id="460" w:name="_Toc8758"/>
      <w:bookmarkStart w:id="461" w:name="_Toc737"/>
      <w:bookmarkStart w:id="462" w:name="_Toc8479"/>
      <w:bookmarkStart w:id="463" w:name="_Toc195009951"/>
      <w:r>
        <w:rPr>
          <w:rFonts w:cs="Times New Roman"/>
          <w:b/>
          <w:bCs/>
          <w:kern w:val="21"/>
          <w:sz w:val="32"/>
          <w:szCs w:val="32"/>
        </w:rPr>
        <w:t>结论</w:t>
      </w:r>
      <w:bookmarkEnd w:id="460"/>
      <w:bookmarkEnd w:id="461"/>
      <w:bookmarkEnd w:id="462"/>
      <w:bookmarkEnd w:id="463"/>
    </w:p>
    <w:p w14:paraId="12B3461F"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64" w:name="_Toc3236"/>
      <w:bookmarkStart w:id="465" w:name="_Toc29134"/>
      <w:bookmarkStart w:id="466" w:name="_Toc16917"/>
      <w:bookmarkStart w:id="467" w:name="_Toc195009952"/>
      <w:r>
        <w:rPr>
          <w:rFonts w:cs="Times New Roman"/>
          <w:b/>
          <w:bCs/>
          <w:kern w:val="21"/>
          <w:sz w:val="28"/>
          <w:szCs w:val="24"/>
        </w:rPr>
        <w:t>项目概况</w:t>
      </w:r>
      <w:bookmarkEnd w:id="464"/>
      <w:bookmarkEnd w:id="465"/>
      <w:bookmarkEnd w:id="466"/>
      <w:bookmarkEnd w:id="467"/>
    </w:p>
    <w:p w14:paraId="0295DEDE" w14:textId="77777777" w:rsidR="00544649" w:rsidRDefault="00000000">
      <w:pPr>
        <w:adjustRightInd w:val="0"/>
        <w:snapToGrid w:val="0"/>
        <w:spacing w:after="0"/>
        <w:ind w:firstLine="480"/>
        <w:rPr>
          <w:rFonts w:cs="Times New Roman"/>
          <w:kern w:val="21"/>
        </w:rPr>
      </w:pPr>
      <w:r>
        <w:rPr>
          <w:rFonts w:cs="Times New Roman"/>
          <w:kern w:val="21"/>
        </w:rPr>
        <w:t>本项目为</w:t>
      </w:r>
      <w:r>
        <w:rPr>
          <w:rFonts w:cs="Times New Roman" w:hint="eastAsia"/>
          <w:kern w:val="21"/>
        </w:rPr>
        <w:t>剑阁非笼养蛋鸡产业链项目</w:t>
      </w:r>
      <w:r>
        <w:rPr>
          <w:rFonts w:cs="Times New Roman"/>
          <w:kern w:val="21"/>
        </w:rPr>
        <w:t>，</w:t>
      </w:r>
      <w:r>
        <w:rPr>
          <w:rFonts w:cs="Times New Roman" w:hint="eastAsia"/>
          <w:kern w:val="21"/>
        </w:rPr>
        <w:t>本项目为新建项目。本项目总占地面积约</w:t>
      </w:r>
      <w:r>
        <w:rPr>
          <w:rFonts w:cs="Times New Roman" w:hint="eastAsia"/>
          <w:kern w:val="21"/>
        </w:rPr>
        <w:t>168</w:t>
      </w:r>
      <w:r>
        <w:rPr>
          <w:rFonts w:cs="Times New Roman" w:hint="eastAsia"/>
          <w:kern w:val="21"/>
        </w:rPr>
        <w:t>亩，建设存栏规模为</w:t>
      </w:r>
      <w:r>
        <w:rPr>
          <w:rFonts w:cs="Times New Roman" w:hint="eastAsia"/>
          <w:kern w:val="21"/>
        </w:rPr>
        <w:t>30</w:t>
      </w:r>
      <w:r>
        <w:rPr>
          <w:rFonts w:cs="Times New Roman" w:hint="eastAsia"/>
          <w:kern w:val="21"/>
        </w:rPr>
        <w:t>万羽的</w:t>
      </w:r>
      <w:proofErr w:type="gramStart"/>
      <w:r>
        <w:rPr>
          <w:rFonts w:cs="Times New Roman" w:hint="eastAsia"/>
          <w:kern w:val="21"/>
        </w:rPr>
        <w:t>高端非</w:t>
      </w:r>
      <w:proofErr w:type="gramEnd"/>
      <w:r>
        <w:rPr>
          <w:rFonts w:cs="Times New Roman" w:hint="eastAsia"/>
          <w:kern w:val="21"/>
        </w:rPr>
        <w:t>笼养福利蛋鸡养殖示范基地。主要内容包括：养殖鸡舍、隔离带、场区内通道及辅助设施（粪污处理、清洗池、供水供电设施、管理用房）、挡墙等。</w:t>
      </w:r>
    </w:p>
    <w:p w14:paraId="4A93A8B0" w14:textId="77777777" w:rsidR="00544649" w:rsidRDefault="00000000">
      <w:pPr>
        <w:adjustRightInd w:val="0"/>
        <w:snapToGrid w:val="0"/>
        <w:spacing w:after="0"/>
        <w:ind w:firstLine="480"/>
        <w:rPr>
          <w:rFonts w:cs="Times New Roman"/>
          <w:kern w:val="21"/>
        </w:rPr>
      </w:pPr>
      <w:r>
        <w:rPr>
          <w:rFonts w:cs="Times New Roman" w:hint="eastAsia"/>
          <w:kern w:val="21"/>
        </w:rPr>
        <w:t>本项目建设一个育雏鸡场及一个产蛋鸡场，根据建设单位提供的饲养计划，本项目不进行小鸡孵化，外购一日</w:t>
      </w:r>
      <w:proofErr w:type="gramStart"/>
      <w:r>
        <w:rPr>
          <w:rFonts w:cs="Times New Roman" w:hint="eastAsia"/>
          <w:kern w:val="21"/>
        </w:rPr>
        <w:t>龄</w:t>
      </w:r>
      <w:proofErr w:type="gramEnd"/>
      <w:r>
        <w:rPr>
          <w:rFonts w:cs="Times New Roman" w:hint="eastAsia"/>
          <w:kern w:val="21"/>
        </w:rPr>
        <w:t>鸡苗进行饲养。本项目建设存栏规模为</w:t>
      </w:r>
      <w:r>
        <w:rPr>
          <w:rFonts w:cs="Times New Roman" w:hint="eastAsia"/>
          <w:kern w:val="21"/>
        </w:rPr>
        <w:t>30</w:t>
      </w:r>
      <w:r>
        <w:rPr>
          <w:rFonts w:cs="Times New Roman" w:hint="eastAsia"/>
          <w:kern w:val="21"/>
        </w:rPr>
        <w:t>万羽的</w:t>
      </w:r>
      <w:proofErr w:type="gramStart"/>
      <w:r>
        <w:rPr>
          <w:rFonts w:cs="Times New Roman" w:hint="eastAsia"/>
          <w:kern w:val="21"/>
        </w:rPr>
        <w:t>高端非</w:t>
      </w:r>
      <w:proofErr w:type="gramEnd"/>
      <w:r>
        <w:rPr>
          <w:rFonts w:cs="Times New Roman" w:hint="eastAsia"/>
          <w:kern w:val="21"/>
        </w:rPr>
        <w:t>笼养福利蛋鸡，其中育雏鸡养殖鸡舍</w:t>
      </w:r>
      <w:r>
        <w:rPr>
          <w:rFonts w:cs="Times New Roman" w:hint="eastAsia"/>
          <w:kern w:val="21"/>
        </w:rPr>
        <w:t>2</w:t>
      </w:r>
      <w:r>
        <w:rPr>
          <w:rFonts w:cs="Times New Roman" w:hint="eastAsia"/>
          <w:kern w:val="21"/>
        </w:rPr>
        <w:t>栋，青年蛋鸡存栏规模</w:t>
      </w:r>
      <w:r>
        <w:rPr>
          <w:rFonts w:cs="Times New Roman" w:hint="eastAsia"/>
          <w:kern w:val="21"/>
        </w:rPr>
        <w:t>7.5</w:t>
      </w:r>
      <w:r>
        <w:rPr>
          <w:rFonts w:cs="Times New Roman" w:hint="eastAsia"/>
          <w:kern w:val="21"/>
        </w:rPr>
        <w:t>万羽，外购鸡苗（</w:t>
      </w:r>
      <w:r>
        <w:rPr>
          <w:rFonts w:cs="Times New Roman" w:hint="eastAsia"/>
          <w:kern w:val="21"/>
        </w:rPr>
        <w:t>1</w:t>
      </w:r>
      <w:r>
        <w:rPr>
          <w:rFonts w:cs="Times New Roman" w:hint="eastAsia"/>
          <w:kern w:val="21"/>
        </w:rPr>
        <w:t>日龄）经育雏舍饲养</w:t>
      </w:r>
      <w:r>
        <w:rPr>
          <w:rFonts w:cs="Times New Roman" w:hint="eastAsia"/>
          <w:kern w:val="21"/>
        </w:rPr>
        <w:t>105</w:t>
      </w:r>
      <w:r>
        <w:rPr>
          <w:rFonts w:cs="Times New Roman" w:hint="eastAsia"/>
          <w:kern w:val="21"/>
        </w:rPr>
        <w:t>天后育成青年鸡，转运至蛋鸡舍进行产蛋（另有</w:t>
      </w:r>
      <w:r>
        <w:rPr>
          <w:rFonts w:cs="Times New Roman" w:hint="eastAsia"/>
          <w:kern w:val="21"/>
        </w:rPr>
        <w:t>30</w:t>
      </w:r>
      <w:r>
        <w:rPr>
          <w:rFonts w:cs="Times New Roman" w:hint="eastAsia"/>
          <w:kern w:val="21"/>
        </w:rPr>
        <w:t>天空栏清洗防疫期）。本项目建设蛋鸡养殖鸡舍</w:t>
      </w:r>
      <w:r>
        <w:rPr>
          <w:rFonts w:cs="Times New Roman" w:hint="eastAsia"/>
          <w:kern w:val="21"/>
        </w:rPr>
        <w:t>6</w:t>
      </w:r>
      <w:r>
        <w:rPr>
          <w:rFonts w:cs="Times New Roman" w:hint="eastAsia"/>
          <w:kern w:val="21"/>
        </w:rPr>
        <w:t>栋，存栏规模</w:t>
      </w:r>
      <w:r>
        <w:rPr>
          <w:rFonts w:cs="Times New Roman" w:hint="eastAsia"/>
          <w:kern w:val="21"/>
        </w:rPr>
        <w:t>22.5</w:t>
      </w:r>
      <w:r>
        <w:rPr>
          <w:rFonts w:cs="Times New Roman" w:hint="eastAsia"/>
          <w:kern w:val="21"/>
        </w:rPr>
        <w:t>万羽，蛋鸡舍经过约</w:t>
      </w:r>
      <w:r>
        <w:rPr>
          <w:rFonts w:cs="Times New Roman" w:hint="eastAsia"/>
          <w:kern w:val="21"/>
        </w:rPr>
        <w:t>390</w:t>
      </w:r>
      <w:r>
        <w:rPr>
          <w:rFonts w:cs="Times New Roman" w:hint="eastAsia"/>
          <w:kern w:val="21"/>
        </w:rPr>
        <w:t>天的产蛋期后作为淘汰蛋鸡外售（另有</w:t>
      </w:r>
      <w:r>
        <w:rPr>
          <w:rFonts w:cs="Times New Roman" w:hint="eastAsia"/>
          <w:kern w:val="21"/>
        </w:rPr>
        <w:t>15</w:t>
      </w:r>
      <w:r>
        <w:rPr>
          <w:rFonts w:cs="Times New Roman" w:hint="eastAsia"/>
          <w:kern w:val="21"/>
        </w:rPr>
        <w:t>天空栏清洗防疫期）。</w:t>
      </w:r>
    </w:p>
    <w:p w14:paraId="1DBB5111"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68" w:name="_Toc15367"/>
      <w:bookmarkStart w:id="469" w:name="_Toc4398"/>
      <w:bookmarkStart w:id="470" w:name="_Toc16593"/>
      <w:bookmarkStart w:id="471" w:name="_Toc195009953"/>
      <w:r>
        <w:rPr>
          <w:rFonts w:cs="Times New Roman"/>
          <w:b/>
          <w:bCs/>
          <w:kern w:val="21"/>
          <w:sz w:val="28"/>
          <w:szCs w:val="24"/>
        </w:rPr>
        <w:t>产业政策符合性</w:t>
      </w:r>
      <w:bookmarkEnd w:id="468"/>
      <w:bookmarkEnd w:id="469"/>
      <w:bookmarkEnd w:id="470"/>
      <w:bookmarkEnd w:id="471"/>
    </w:p>
    <w:p w14:paraId="3621BD96" w14:textId="77777777" w:rsidR="00544649" w:rsidRDefault="00000000">
      <w:pPr>
        <w:adjustRightInd w:val="0"/>
        <w:snapToGrid w:val="0"/>
        <w:spacing w:after="0"/>
        <w:ind w:firstLine="480"/>
        <w:rPr>
          <w:rFonts w:cs="Times New Roman"/>
          <w:kern w:val="21"/>
          <w:szCs w:val="24"/>
        </w:rPr>
      </w:pPr>
      <w:r>
        <w:rPr>
          <w:rFonts w:cs="Times New Roman"/>
          <w:kern w:val="21"/>
        </w:rPr>
        <w:t>本项目为蛋鸡养殖，根据《国民经济行业分类》（</w:t>
      </w:r>
      <w:r>
        <w:rPr>
          <w:rFonts w:cs="Times New Roman"/>
          <w:kern w:val="21"/>
        </w:rPr>
        <w:t>GB/T4754-2017</w:t>
      </w:r>
      <w:r>
        <w:rPr>
          <w:rFonts w:cs="Times New Roman"/>
          <w:kern w:val="21"/>
        </w:rPr>
        <w:t>），本项目为</w:t>
      </w:r>
      <w:r>
        <w:rPr>
          <w:rFonts w:cs="Times New Roman"/>
          <w:b/>
          <w:bCs/>
          <w:kern w:val="21"/>
        </w:rPr>
        <w:t>A0321</w:t>
      </w:r>
      <w:r>
        <w:rPr>
          <w:rFonts w:cs="Times New Roman"/>
          <w:b/>
          <w:bCs/>
          <w:kern w:val="21"/>
        </w:rPr>
        <w:t>鸡的饲养</w:t>
      </w:r>
      <w:r>
        <w:rPr>
          <w:rFonts w:cs="Times New Roman"/>
          <w:kern w:val="21"/>
        </w:rPr>
        <w:t>。</w:t>
      </w:r>
      <w:r>
        <w:rPr>
          <w:rFonts w:cs="Times New Roman"/>
          <w:kern w:val="21"/>
          <w:szCs w:val="24"/>
        </w:rPr>
        <w:t>根据国家发展和改革委员会</w:t>
      </w:r>
      <w:r>
        <w:rPr>
          <w:rFonts w:cs="Times New Roman"/>
          <w:kern w:val="21"/>
          <w:szCs w:val="24"/>
        </w:rPr>
        <w:t>2023</w:t>
      </w:r>
      <w:r>
        <w:rPr>
          <w:rFonts w:cs="Times New Roman"/>
          <w:kern w:val="21"/>
          <w:szCs w:val="24"/>
        </w:rPr>
        <w:t>年第</w:t>
      </w:r>
      <w:r>
        <w:rPr>
          <w:rFonts w:cs="Times New Roman"/>
          <w:kern w:val="21"/>
          <w:szCs w:val="24"/>
        </w:rPr>
        <w:t>7</w:t>
      </w:r>
      <w:r>
        <w:rPr>
          <w:rFonts w:cs="Times New Roman"/>
          <w:kern w:val="21"/>
          <w:szCs w:val="24"/>
        </w:rPr>
        <w:t>号令《产业结构调整指导目录（</w:t>
      </w:r>
      <w:r>
        <w:rPr>
          <w:rFonts w:cs="Times New Roman"/>
          <w:kern w:val="21"/>
          <w:szCs w:val="24"/>
        </w:rPr>
        <w:t>2024</w:t>
      </w:r>
      <w:r>
        <w:rPr>
          <w:rFonts w:cs="Times New Roman"/>
          <w:kern w:val="21"/>
          <w:szCs w:val="24"/>
        </w:rPr>
        <w:t>年本）》，本项目属于</w:t>
      </w:r>
      <w:r>
        <w:rPr>
          <w:rFonts w:cs="Times New Roman"/>
          <w:kern w:val="21"/>
        </w:rPr>
        <w:t>其中的</w:t>
      </w:r>
      <w:r>
        <w:rPr>
          <w:rFonts w:cs="Times New Roman" w:hint="eastAsia"/>
          <w:kern w:val="21"/>
          <w:szCs w:val="24"/>
        </w:rPr>
        <w:t>“</w:t>
      </w:r>
      <w:r>
        <w:rPr>
          <w:rFonts w:cs="Times New Roman"/>
          <w:kern w:val="21"/>
          <w:szCs w:val="24"/>
        </w:rPr>
        <w:t>鼓励类</w:t>
      </w:r>
      <w:r>
        <w:rPr>
          <w:rFonts w:cs="Times New Roman" w:hint="eastAsia"/>
          <w:kern w:val="21"/>
          <w:szCs w:val="24"/>
        </w:rPr>
        <w:t>”</w:t>
      </w:r>
      <w:r>
        <w:rPr>
          <w:rFonts w:cs="Times New Roman"/>
          <w:kern w:val="21"/>
          <w:szCs w:val="24"/>
        </w:rPr>
        <w:t>第一条</w:t>
      </w:r>
      <w:r>
        <w:rPr>
          <w:rFonts w:cs="Times New Roman" w:hint="eastAsia"/>
          <w:kern w:val="21"/>
          <w:szCs w:val="24"/>
        </w:rPr>
        <w:t>“</w:t>
      </w:r>
      <w:r>
        <w:rPr>
          <w:rFonts w:cs="Times New Roman"/>
          <w:kern w:val="21"/>
          <w:szCs w:val="24"/>
        </w:rPr>
        <w:t>农林牧渔业</w:t>
      </w:r>
      <w:r>
        <w:rPr>
          <w:rFonts w:cs="Times New Roman" w:hint="eastAsia"/>
          <w:kern w:val="21"/>
          <w:szCs w:val="24"/>
        </w:rPr>
        <w:t>”</w:t>
      </w:r>
      <w:r>
        <w:rPr>
          <w:rFonts w:cs="Times New Roman"/>
          <w:kern w:val="21"/>
          <w:szCs w:val="24"/>
        </w:rPr>
        <w:t>中第</w:t>
      </w:r>
      <w:r>
        <w:rPr>
          <w:rFonts w:cs="Times New Roman"/>
          <w:kern w:val="21"/>
          <w:szCs w:val="24"/>
        </w:rPr>
        <w:t>14</w:t>
      </w:r>
      <w:r>
        <w:rPr>
          <w:rFonts w:cs="Times New Roman"/>
          <w:kern w:val="21"/>
          <w:szCs w:val="24"/>
        </w:rPr>
        <w:t>款</w:t>
      </w:r>
      <w:r>
        <w:rPr>
          <w:rFonts w:cs="Times New Roman" w:hint="eastAsia"/>
          <w:kern w:val="21"/>
          <w:szCs w:val="24"/>
        </w:rPr>
        <w:t>“</w:t>
      </w:r>
      <w:r>
        <w:rPr>
          <w:rFonts w:cs="Times New Roman"/>
          <w:kern w:val="21"/>
          <w:szCs w:val="24"/>
        </w:rPr>
        <w:t>畜禽标准化规模养殖技术开发与应用</w:t>
      </w:r>
      <w:r>
        <w:rPr>
          <w:rFonts w:cs="Times New Roman" w:hint="eastAsia"/>
          <w:kern w:val="21"/>
          <w:szCs w:val="24"/>
        </w:rPr>
        <w:t>”</w:t>
      </w:r>
      <w:r>
        <w:rPr>
          <w:rFonts w:cs="Times New Roman"/>
          <w:kern w:val="21"/>
          <w:szCs w:val="24"/>
        </w:rPr>
        <w:t>。</w:t>
      </w:r>
    </w:p>
    <w:p w14:paraId="4772F71D" w14:textId="77777777" w:rsidR="00544649" w:rsidRDefault="00000000">
      <w:pPr>
        <w:adjustRightInd w:val="0"/>
        <w:snapToGrid w:val="0"/>
        <w:spacing w:after="0"/>
        <w:ind w:firstLine="480"/>
        <w:rPr>
          <w:rFonts w:cs="Times New Roman"/>
          <w:kern w:val="21"/>
          <w:szCs w:val="24"/>
        </w:rPr>
      </w:pPr>
      <w:r>
        <w:rPr>
          <w:rFonts w:cs="Times New Roman"/>
          <w:kern w:val="21"/>
          <w:szCs w:val="24"/>
        </w:rPr>
        <w:t>202</w:t>
      </w:r>
      <w:r>
        <w:rPr>
          <w:rFonts w:cs="Times New Roman" w:hint="eastAsia"/>
          <w:kern w:val="21"/>
          <w:szCs w:val="24"/>
        </w:rPr>
        <w:t>4</w:t>
      </w:r>
      <w:r>
        <w:rPr>
          <w:rFonts w:cs="Times New Roman"/>
          <w:kern w:val="21"/>
          <w:szCs w:val="24"/>
        </w:rPr>
        <w:t>年</w:t>
      </w:r>
      <w:r>
        <w:rPr>
          <w:rFonts w:cs="Times New Roman" w:hint="eastAsia"/>
          <w:kern w:val="21"/>
          <w:szCs w:val="24"/>
        </w:rPr>
        <w:t>10</w:t>
      </w:r>
      <w:r>
        <w:rPr>
          <w:rFonts w:cs="Times New Roman"/>
          <w:kern w:val="21"/>
          <w:szCs w:val="24"/>
        </w:rPr>
        <w:t>月</w:t>
      </w:r>
      <w:r>
        <w:rPr>
          <w:rFonts w:cs="Times New Roman" w:hint="eastAsia"/>
          <w:kern w:val="21"/>
          <w:szCs w:val="24"/>
        </w:rPr>
        <w:t>24</w:t>
      </w:r>
      <w:r>
        <w:rPr>
          <w:rFonts w:cs="Times New Roman"/>
          <w:kern w:val="21"/>
          <w:szCs w:val="24"/>
        </w:rPr>
        <w:t>日，</w:t>
      </w:r>
      <w:r>
        <w:rPr>
          <w:rFonts w:cs="Times New Roman" w:hint="eastAsia"/>
          <w:kern w:val="21"/>
        </w:rPr>
        <w:t>剑阁县发展和</w:t>
      </w:r>
      <w:proofErr w:type="gramStart"/>
      <w:r>
        <w:rPr>
          <w:rFonts w:cs="Times New Roman" w:hint="eastAsia"/>
          <w:kern w:val="21"/>
        </w:rPr>
        <w:t>改革局</w:t>
      </w:r>
      <w:proofErr w:type="gramEnd"/>
      <w:r>
        <w:rPr>
          <w:rFonts w:cs="Times New Roman"/>
          <w:kern w:val="21"/>
        </w:rPr>
        <w:t>对本项目</w:t>
      </w:r>
      <w:r>
        <w:rPr>
          <w:rFonts w:cs="Times New Roman" w:hint="eastAsia"/>
          <w:kern w:val="21"/>
        </w:rPr>
        <w:t>进行了</w:t>
      </w:r>
      <w:r>
        <w:rPr>
          <w:rFonts w:cs="Times New Roman"/>
          <w:kern w:val="21"/>
        </w:rPr>
        <w:t>备案</w:t>
      </w:r>
      <w:r>
        <w:rPr>
          <w:rFonts w:cs="Times New Roman" w:hint="eastAsia"/>
          <w:kern w:val="21"/>
          <w:szCs w:val="24"/>
        </w:rPr>
        <w:t>（</w:t>
      </w:r>
      <w:r>
        <w:rPr>
          <w:rFonts w:cs="Times New Roman" w:hint="eastAsia"/>
          <w:kern w:val="21"/>
        </w:rPr>
        <w:t>川投资备【</w:t>
      </w:r>
      <w:r>
        <w:rPr>
          <w:rFonts w:cs="Times New Roman" w:hint="eastAsia"/>
          <w:kern w:val="21"/>
        </w:rPr>
        <w:t>2410-510823-04-01-461039</w:t>
      </w:r>
      <w:r>
        <w:rPr>
          <w:rFonts w:cs="Times New Roman" w:hint="eastAsia"/>
          <w:kern w:val="21"/>
        </w:rPr>
        <w:t>】</w:t>
      </w:r>
      <w:r>
        <w:rPr>
          <w:rFonts w:cs="Times New Roman" w:hint="eastAsia"/>
          <w:kern w:val="21"/>
        </w:rPr>
        <w:t>FGQB-0196</w:t>
      </w:r>
      <w:r>
        <w:rPr>
          <w:rFonts w:cs="Times New Roman" w:hint="eastAsia"/>
          <w:kern w:val="21"/>
        </w:rPr>
        <w:t>号</w:t>
      </w:r>
      <w:r>
        <w:rPr>
          <w:rFonts w:cs="Times New Roman" w:hint="eastAsia"/>
          <w:kern w:val="21"/>
          <w:szCs w:val="24"/>
        </w:rPr>
        <w:t>）</w:t>
      </w:r>
      <w:r>
        <w:rPr>
          <w:rFonts w:cs="Times New Roman"/>
          <w:kern w:val="21"/>
          <w:szCs w:val="24"/>
        </w:rPr>
        <w:t>，原则上同意本项目建设。</w:t>
      </w:r>
    </w:p>
    <w:p w14:paraId="207EE249" w14:textId="77777777" w:rsidR="00544649" w:rsidRDefault="00000000">
      <w:pPr>
        <w:adjustRightInd w:val="0"/>
        <w:snapToGrid w:val="0"/>
        <w:spacing w:after="0"/>
        <w:ind w:firstLine="482"/>
        <w:rPr>
          <w:rFonts w:cs="Times New Roman"/>
          <w:b/>
          <w:kern w:val="21"/>
          <w:szCs w:val="24"/>
        </w:rPr>
      </w:pPr>
      <w:r>
        <w:rPr>
          <w:rFonts w:cs="Times New Roman"/>
          <w:b/>
          <w:kern w:val="21"/>
          <w:szCs w:val="24"/>
        </w:rPr>
        <w:t>因此，本项目的建设符合国家</w:t>
      </w:r>
      <w:proofErr w:type="gramStart"/>
      <w:r>
        <w:rPr>
          <w:rFonts w:cs="Times New Roman"/>
          <w:b/>
          <w:kern w:val="21"/>
          <w:szCs w:val="24"/>
        </w:rPr>
        <w:t>现行产业</w:t>
      </w:r>
      <w:proofErr w:type="gramEnd"/>
      <w:r>
        <w:rPr>
          <w:rFonts w:cs="Times New Roman"/>
          <w:b/>
          <w:kern w:val="21"/>
          <w:szCs w:val="24"/>
        </w:rPr>
        <w:t>政策。</w:t>
      </w:r>
    </w:p>
    <w:p w14:paraId="3EBBE0B0"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72" w:name="_Toc195009954"/>
      <w:r>
        <w:rPr>
          <w:rFonts w:cs="Times New Roman"/>
          <w:b/>
          <w:bCs/>
          <w:kern w:val="21"/>
          <w:sz w:val="28"/>
          <w:szCs w:val="24"/>
        </w:rPr>
        <w:t>“</w:t>
      </w:r>
      <w:r>
        <w:rPr>
          <w:rFonts w:cs="Times New Roman"/>
          <w:b/>
          <w:bCs/>
          <w:kern w:val="21"/>
          <w:sz w:val="28"/>
          <w:szCs w:val="24"/>
        </w:rPr>
        <w:t>三线一单</w:t>
      </w:r>
      <w:r>
        <w:rPr>
          <w:rFonts w:cs="Times New Roman"/>
          <w:b/>
          <w:bCs/>
          <w:kern w:val="21"/>
          <w:sz w:val="28"/>
          <w:szCs w:val="24"/>
        </w:rPr>
        <w:t>”</w:t>
      </w:r>
      <w:r>
        <w:rPr>
          <w:rFonts w:cs="Times New Roman"/>
          <w:b/>
          <w:bCs/>
          <w:kern w:val="21"/>
          <w:sz w:val="28"/>
          <w:szCs w:val="24"/>
        </w:rPr>
        <w:t>符合性分析</w:t>
      </w:r>
      <w:bookmarkEnd w:id="472"/>
    </w:p>
    <w:p w14:paraId="48A7956E" w14:textId="77777777" w:rsidR="00544649" w:rsidRDefault="00000000">
      <w:pPr>
        <w:adjustRightInd w:val="0"/>
        <w:snapToGrid w:val="0"/>
        <w:spacing w:after="0"/>
        <w:ind w:firstLine="480"/>
        <w:rPr>
          <w:rFonts w:cs="Times New Roman"/>
          <w:kern w:val="21"/>
        </w:rPr>
      </w:pPr>
      <w:r>
        <w:rPr>
          <w:rFonts w:cs="Times New Roman"/>
          <w:kern w:val="21"/>
        </w:rPr>
        <w:t>根据</w:t>
      </w:r>
      <w:r>
        <w:rPr>
          <w:rFonts w:cs="Times New Roman" w:hint="eastAsia"/>
          <w:kern w:val="21"/>
        </w:rPr>
        <w:t>前述</w:t>
      </w:r>
      <w:r>
        <w:rPr>
          <w:rFonts w:cs="Times New Roman"/>
          <w:kern w:val="21"/>
        </w:rPr>
        <w:t>分析，本项目符合</w:t>
      </w:r>
      <w:r>
        <w:rPr>
          <w:rFonts w:hint="eastAsia"/>
          <w:kern w:val="21"/>
          <w:szCs w:val="24"/>
        </w:rPr>
        <w:t>《广元市人民政府办公室关于加强生态环境分区管控的通知》（广府办函〔</w:t>
      </w:r>
      <w:r>
        <w:rPr>
          <w:rFonts w:hint="eastAsia"/>
          <w:kern w:val="21"/>
          <w:szCs w:val="24"/>
        </w:rPr>
        <w:t>2024</w:t>
      </w:r>
      <w:r>
        <w:rPr>
          <w:rFonts w:hint="eastAsia"/>
          <w:kern w:val="21"/>
          <w:szCs w:val="24"/>
        </w:rPr>
        <w:t>〕</w:t>
      </w:r>
      <w:r>
        <w:rPr>
          <w:rFonts w:hint="eastAsia"/>
          <w:kern w:val="21"/>
          <w:szCs w:val="24"/>
        </w:rPr>
        <w:t>26</w:t>
      </w:r>
      <w:r>
        <w:rPr>
          <w:rFonts w:hint="eastAsia"/>
          <w:kern w:val="21"/>
          <w:szCs w:val="24"/>
        </w:rPr>
        <w:t>号）</w:t>
      </w:r>
      <w:r>
        <w:rPr>
          <w:rFonts w:cs="Times New Roman"/>
          <w:kern w:val="21"/>
        </w:rPr>
        <w:t>要求，符合四川省</w:t>
      </w:r>
      <w:r>
        <w:rPr>
          <w:rFonts w:cs="Times New Roman" w:hint="eastAsia"/>
          <w:kern w:val="21"/>
        </w:rPr>
        <w:t>“</w:t>
      </w:r>
      <w:r>
        <w:rPr>
          <w:rFonts w:cs="Times New Roman"/>
          <w:kern w:val="21"/>
        </w:rPr>
        <w:t>三线一单</w:t>
      </w:r>
      <w:r>
        <w:rPr>
          <w:rFonts w:cs="Times New Roman" w:hint="eastAsia"/>
          <w:kern w:val="21"/>
        </w:rPr>
        <w:t>”</w:t>
      </w:r>
      <w:r>
        <w:rPr>
          <w:rFonts w:cs="Times New Roman"/>
          <w:kern w:val="21"/>
        </w:rPr>
        <w:t>数据分析系统中各个管控单元的单元级管控要求。</w:t>
      </w:r>
    </w:p>
    <w:p w14:paraId="601C8077"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73" w:name="_Toc19200"/>
      <w:bookmarkStart w:id="474" w:name="_Toc195009955"/>
      <w:r>
        <w:rPr>
          <w:rFonts w:cs="Times New Roman"/>
          <w:b/>
          <w:bCs/>
          <w:kern w:val="21"/>
          <w:sz w:val="28"/>
          <w:szCs w:val="24"/>
        </w:rPr>
        <w:t>选址合理性</w:t>
      </w:r>
      <w:bookmarkEnd w:id="473"/>
      <w:bookmarkEnd w:id="474"/>
    </w:p>
    <w:p w14:paraId="40793776" w14:textId="77777777" w:rsidR="00544649" w:rsidRDefault="00000000">
      <w:pPr>
        <w:adjustRightInd w:val="0"/>
        <w:snapToGrid w:val="0"/>
        <w:spacing w:after="0"/>
        <w:ind w:firstLine="480"/>
        <w:rPr>
          <w:rFonts w:cs="Times New Roman"/>
          <w:kern w:val="21"/>
        </w:rPr>
      </w:pPr>
      <w:r>
        <w:rPr>
          <w:rFonts w:cs="Times New Roman"/>
          <w:kern w:val="21"/>
        </w:rPr>
        <w:t>本项目选址位于四川省</w:t>
      </w:r>
      <w:r>
        <w:rPr>
          <w:rFonts w:cs="Times New Roman" w:hint="eastAsia"/>
          <w:kern w:val="21"/>
        </w:rPr>
        <w:t>广元</w:t>
      </w:r>
      <w:r>
        <w:rPr>
          <w:rFonts w:cs="Times New Roman"/>
          <w:kern w:val="21"/>
        </w:rPr>
        <w:t>市</w:t>
      </w:r>
      <w:r>
        <w:rPr>
          <w:rFonts w:cs="Times New Roman" w:hint="eastAsia"/>
          <w:kern w:val="21"/>
        </w:rPr>
        <w:t>剑阁</w:t>
      </w:r>
      <w:r>
        <w:rPr>
          <w:rFonts w:cs="Times New Roman"/>
          <w:kern w:val="21"/>
        </w:rPr>
        <w:t>县</w:t>
      </w:r>
      <w:r>
        <w:rPr>
          <w:rFonts w:cs="Times New Roman" w:hint="eastAsia"/>
          <w:kern w:val="21"/>
        </w:rPr>
        <w:t>剑门关镇新龙村</w:t>
      </w:r>
      <w:r>
        <w:rPr>
          <w:rFonts w:cs="Times New Roman" w:hint="eastAsia"/>
          <w:kern w:val="21"/>
        </w:rPr>
        <w:t>6</w:t>
      </w:r>
      <w:r>
        <w:rPr>
          <w:rFonts w:cs="Times New Roman"/>
          <w:kern w:val="21"/>
        </w:rPr>
        <w:t>组（东经</w:t>
      </w:r>
      <w:r>
        <w:rPr>
          <w:rFonts w:cs="Times New Roman"/>
          <w:kern w:val="21"/>
        </w:rPr>
        <w:t>103.529298°</w:t>
      </w:r>
      <w:r>
        <w:rPr>
          <w:rFonts w:cs="Times New Roman"/>
          <w:kern w:val="21"/>
        </w:rPr>
        <w:t>，北纬</w:t>
      </w:r>
      <w:r>
        <w:rPr>
          <w:rFonts w:cs="Times New Roman"/>
          <w:kern w:val="21"/>
        </w:rPr>
        <w:t>29.859874°</w:t>
      </w:r>
      <w:r>
        <w:rPr>
          <w:rFonts w:cs="Times New Roman"/>
          <w:kern w:val="21"/>
        </w:rPr>
        <w:t>）</w:t>
      </w:r>
      <w:r>
        <w:rPr>
          <w:rFonts w:cs="Times New Roman" w:hint="eastAsia"/>
          <w:kern w:val="21"/>
        </w:rPr>
        <w:t>、双鱼村</w:t>
      </w:r>
      <w:r>
        <w:rPr>
          <w:rFonts w:cs="Times New Roman" w:hint="eastAsia"/>
          <w:kern w:val="21"/>
        </w:rPr>
        <w:t>7</w:t>
      </w:r>
      <w:r>
        <w:rPr>
          <w:rFonts w:cs="Times New Roman" w:hint="eastAsia"/>
          <w:kern w:val="21"/>
        </w:rPr>
        <w:t>组</w:t>
      </w:r>
      <w:r>
        <w:rPr>
          <w:rFonts w:hint="eastAsia"/>
        </w:rPr>
        <w:t>（</w:t>
      </w:r>
      <w:r>
        <w:rPr>
          <w:rFonts w:hint="eastAsia"/>
        </w:rPr>
        <w:t>E</w:t>
      </w:r>
      <w:r>
        <w:t>105.611314</w:t>
      </w:r>
      <w:r>
        <w:rPr>
          <w:rFonts w:cs="Times New Roman"/>
          <w:kern w:val="21"/>
          <w:lang w:bidi="ar"/>
        </w:rPr>
        <w:t>°</w:t>
      </w:r>
      <w:r>
        <w:rPr>
          <w:rFonts w:hint="eastAsia"/>
        </w:rPr>
        <w:t>，</w:t>
      </w:r>
      <w:r>
        <w:rPr>
          <w:rFonts w:hint="eastAsia"/>
        </w:rPr>
        <w:t>N</w:t>
      </w:r>
      <w:r>
        <w:t>32.162185</w:t>
      </w:r>
      <w:r>
        <w:rPr>
          <w:rFonts w:cs="Times New Roman"/>
          <w:kern w:val="21"/>
          <w:lang w:bidi="ar"/>
        </w:rPr>
        <w:t>°</w:t>
      </w:r>
      <w:r>
        <w:rPr>
          <w:rFonts w:hint="eastAsia"/>
        </w:rPr>
        <w:t>）</w:t>
      </w:r>
      <w:r>
        <w:rPr>
          <w:rFonts w:cs="Times New Roman"/>
          <w:kern w:val="21"/>
        </w:rPr>
        <w:t>，周边无饮用水水源保护区、风景名胜区、城镇居民区、永久基本农田保护红线、文化教育科学研究人口</w:t>
      </w:r>
      <w:r>
        <w:rPr>
          <w:rFonts w:cs="Times New Roman"/>
          <w:kern w:val="21"/>
        </w:rPr>
        <w:lastRenderedPageBreak/>
        <w:t>集中区域、江河、湖库、渠道等环境敏感区，符合《畜禽养殖业污染防治技术规范》。</w:t>
      </w:r>
    </w:p>
    <w:p w14:paraId="055188BB" w14:textId="77777777" w:rsidR="00544649" w:rsidRDefault="00000000">
      <w:pPr>
        <w:adjustRightInd w:val="0"/>
        <w:snapToGrid w:val="0"/>
        <w:spacing w:after="0"/>
        <w:ind w:firstLine="480"/>
        <w:rPr>
          <w:rFonts w:cs="Times New Roman"/>
          <w:kern w:val="21"/>
        </w:rPr>
      </w:pPr>
      <w:r>
        <w:rPr>
          <w:rFonts w:cs="Times New Roman"/>
          <w:kern w:val="21"/>
        </w:rPr>
        <w:t>项目周围</w:t>
      </w:r>
      <w:r>
        <w:rPr>
          <w:rFonts w:cs="Times New Roman"/>
          <w:kern w:val="21"/>
        </w:rPr>
        <w:t>500m</w:t>
      </w:r>
      <w:r>
        <w:rPr>
          <w:rFonts w:cs="Times New Roman"/>
          <w:kern w:val="21"/>
        </w:rPr>
        <w:t>范围内无自然保护区、风景名胜区、文物古迹等环境敏感区域。本项目以鸡舍边界划定</w:t>
      </w:r>
      <w:r>
        <w:rPr>
          <w:rFonts w:cs="Times New Roman"/>
          <w:kern w:val="21"/>
        </w:rPr>
        <w:t>200m</w:t>
      </w:r>
      <w:r>
        <w:rPr>
          <w:rFonts w:cs="Times New Roman"/>
          <w:kern w:val="21"/>
        </w:rPr>
        <w:t>卫生防护距离，卫生防护距离</w:t>
      </w:r>
      <w:proofErr w:type="gramStart"/>
      <w:r>
        <w:rPr>
          <w:rFonts w:cs="Times New Roman"/>
          <w:kern w:val="21"/>
        </w:rPr>
        <w:t>内</w:t>
      </w:r>
      <w:r>
        <w:rPr>
          <w:rFonts w:cs="Times New Roman" w:hint="eastAsia"/>
          <w:kern w:val="21"/>
        </w:rPr>
        <w:t>距离</w:t>
      </w:r>
      <w:proofErr w:type="gramEnd"/>
      <w:r>
        <w:rPr>
          <w:rFonts w:cs="Times New Roman" w:hint="eastAsia"/>
          <w:kern w:val="21"/>
        </w:rPr>
        <w:t>蛋鸡场西侧</w:t>
      </w:r>
      <w:r>
        <w:rPr>
          <w:rFonts w:cs="Times New Roman" w:hint="eastAsia"/>
          <w:kern w:val="21"/>
        </w:rPr>
        <w:t>125m</w:t>
      </w:r>
      <w:r>
        <w:rPr>
          <w:rFonts w:cs="Times New Roman" w:hint="eastAsia"/>
          <w:kern w:val="21"/>
        </w:rPr>
        <w:t>处有居民</w:t>
      </w:r>
      <w:r>
        <w:rPr>
          <w:rFonts w:cs="Times New Roman" w:hint="eastAsia"/>
          <w:kern w:val="21"/>
        </w:rPr>
        <w:t>1</w:t>
      </w:r>
      <w:r>
        <w:rPr>
          <w:rFonts w:cs="Times New Roman" w:hint="eastAsia"/>
          <w:kern w:val="21"/>
        </w:rPr>
        <w:t>户（已签订房屋租赁协议），</w:t>
      </w:r>
      <w:r>
        <w:rPr>
          <w:rFonts w:cs="Times New Roman"/>
          <w:kern w:val="21"/>
        </w:rPr>
        <w:t>无医院、学校等敏感目标。</w:t>
      </w:r>
    </w:p>
    <w:p w14:paraId="23F71FC3" w14:textId="77777777" w:rsidR="00544649" w:rsidRDefault="00000000">
      <w:pPr>
        <w:adjustRightInd w:val="0"/>
        <w:snapToGrid w:val="0"/>
        <w:spacing w:after="0"/>
        <w:ind w:firstLine="480"/>
        <w:rPr>
          <w:rFonts w:cs="Times New Roman"/>
          <w:kern w:val="21"/>
        </w:rPr>
      </w:pPr>
      <w:r>
        <w:rPr>
          <w:rFonts w:cs="Times New Roman"/>
          <w:kern w:val="21"/>
        </w:rPr>
        <w:t>综上所述，项目周围属农村环境，项目选址处地势较好，交通便利，项目选址符合相关文件要求。本项目场址符合当地环境功能区划和《畜禽养殖业污染防治技术规范》，建设单位只要采取环</w:t>
      </w:r>
      <w:proofErr w:type="gramStart"/>
      <w:r>
        <w:rPr>
          <w:rFonts w:cs="Times New Roman"/>
          <w:kern w:val="21"/>
        </w:rPr>
        <w:t>评要求</w:t>
      </w:r>
      <w:proofErr w:type="gramEnd"/>
      <w:r>
        <w:rPr>
          <w:rFonts w:cs="Times New Roman"/>
          <w:kern w:val="21"/>
        </w:rPr>
        <w:t>的相应污染防治措施，确保达标排放，不会对周围环境造成明显影响。因此，本项目选址与周围环境相容，选址合理。</w:t>
      </w:r>
    </w:p>
    <w:p w14:paraId="5A8A4DA9"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75" w:name="_Toc195009956"/>
      <w:r>
        <w:rPr>
          <w:rFonts w:cs="Times New Roman"/>
          <w:b/>
          <w:bCs/>
          <w:kern w:val="21"/>
          <w:sz w:val="28"/>
          <w:szCs w:val="24"/>
        </w:rPr>
        <w:t>区域环境质量现状评价结论</w:t>
      </w:r>
      <w:bookmarkEnd w:id="475"/>
    </w:p>
    <w:p w14:paraId="06D233B9" w14:textId="77777777" w:rsidR="00544649" w:rsidRDefault="00000000">
      <w:pPr>
        <w:adjustRightInd w:val="0"/>
        <w:snapToGrid w:val="0"/>
        <w:spacing w:after="0"/>
        <w:ind w:firstLine="482"/>
        <w:rPr>
          <w:rFonts w:cs="Times New Roman"/>
          <w:b/>
          <w:bCs/>
          <w:kern w:val="21"/>
        </w:rPr>
      </w:pPr>
      <w:r>
        <w:rPr>
          <w:rFonts w:cs="Times New Roman"/>
          <w:b/>
          <w:bCs/>
          <w:kern w:val="21"/>
        </w:rPr>
        <w:t>1</w:t>
      </w:r>
      <w:r>
        <w:rPr>
          <w:rFonts w:cs="Times New Roman"/>
          <w:b/>
          <w:bCs/>
          <w:kern w:val="21"/>
        </w:rPr>
        <w:t>、大气环境质量现状</w:t>
      </w:r>
    </w:p>
    <w:p w14:paraId="49170631" w14:textId="77777777" w:rsidR="00544649" w:rsidRDefault="00000000">
      <w:pPr>
        <w:adjustRightInd w:val="0"/>
        <w:snapToGrid w:val="0"/>
        <w:spacing w:after="0"/>
        <w:ind w:firstLine="480"/>
        <w:rPr>
          <w:rFonts w:cs="Times New Roman"/>
          <w:kern w:val="21"/>
        </w:rPr>
      </w:pPr>
      <w:r>
        <w:rPr>
          <w:rFonts w:cs="Times New Roman"/>
          <w:kern w:val="21"/>
        </w:rPr>
        <w:t>根据</w:t>
      </w:r>
      <w:r>
        <w:rPr>
          <w:rFonts w:cs="Times New Roman" w:hint="eastAsia"/>
          <w:kern w:val="21"/>
        </w:rPr>
        <w:t>广元市生态环境局</w:t>
      </w:r>
      <w:r>
        <w:rPr>
          <w:rFonts w:cs="Times New Roman"/>
          <w:kern w:val="21"/>
        </w:rPr>
        <w:t>网站公布</w:t>
      </w:r>
      <w:r>
        <w:rPr>
          <w:rFonts w:cs="Times New Roman" w:hint="eastAsia"/>
          <w:kern w:val="21"/>
        </w:rPr>
        <w:t>的</w:t>
      </w:r>
      <w:r>
        <w:rPr>
          <w:rFonts w:cs="Times New Roman"/>
          <w:kern w:val="21"/>
        </w:rPr>
        <w:t>《</w:t>
      </w:r>
      <w:r>
        <w:rPr>
          <w:rFonts w:cs="Times New Roman" w:hint="eastAsia"/>
          <w:kern w:val="21"/>
        </w:rPr>
        <w:t>2023</w:t>
      </w:r>
      <w:r>
        <w:rPr>
          <w:rFonts w:cs="Times New Roman" w:hint="eastAsia"/>
          <w:kern w:val="21"/>
        </w:rPr>
        <w:t>年广元市环境质量状况</w:t>
      </w:r>
      <w:r>
        <w:rPr>
          <w:rFonts w:cs="Times New Roman"/>
          <w:kern w:val="21"/>
        </w:rPr>
        <w:t>》，</w:t>
      </w:r>
      <w:r>
        <w:rPr>
          <w:rFonts w:cs="Times New Roman" w:hint="eastAsia"/>
          <w:kern w:val="21"/>
        </w:rPr>
        <w:t>2023</w:t>
      </w:r>
      <w:r>
        <w:rPr>
          <w:rFonts w:cs="Times New Roman" w:hint="eastAsia"/>
          <w:kern w:val="21"/>
        </w:rPr>
        <w:t>年广元市环境空气质量优良天数比例为</w:t>
      </w:r>
      <w:r>
        <w:rPr>
          <w:rFonts w:cs="Times New Roman" w:hint="eastAsia"/>
          <w:kern w:val="21"/>
        </w:rPr>
        <w:t>95.3%</w:t>
      </w:r>
      <w:r>
        <w:rPr>
          <w:rFonts w:cs="Times New Roman" w:hint="eastAsia"/>
          <w:kern w:val="21"/>
        </w:rPr>
        <w:t>，与</w:t>
      </w:r>
      <w:r>
        <w:rPr>
          <w:rFonts w:cs="Times New Roman" w:hint="eastAsia"/>
          <w:kern w:val="21"/>
        </w:rPr>
        <w:t>2022</w:t>
      </w:r>
      <w:r>
        <w:rPr>
          <w:rFonts w:cs="Times New Roman" w:hint="eastAsia"/>
          <w:kern w:val="21"/>
        </w:rPr>
        <w:t>年相比下降</w:t>
      </w:r>
      <w:r>
        <w:rPr>
          <w:rFonts w:cs="Times New Roman" w:hint="eastAsia"/>
          <w:kern w:val="21"/>
        </w:rPr>
        <w:t>3.0%</w:t>
      </w:r>
      <w:r>
        <w:rPr>
          <w:rFonts w:cs="Times New Roman" w:hint="eastAsia"/>
          <w:kern w:val="21"/>
        </w:rPr>
        <w:t>。</w:t>
      </w:r>
    </w:p>
    <w:p w14:paraId="1355524E" w14:textId="77777777" w:rsidR="00544649" w:rsidRDefault="00000000">
      <w:pPr>
        <w:adjustRightInd w:val="0"/>
        <w:snapToGrid w:val="0"/>
        <w:spacing w:after="0"/>
        <w:ind w:firstLine="480"/>
        <w:rPr>
          <w:rFonts w:cs="Times New Roman"/>
          <w:kern w:val="21"/>
        </w:rPr>
      </w:pPr>
      <w:r>
        <w:rPr>
          <w:rFonts w:cs="Times New Roman" w:hint="eastAsia"/>
        </w:rPr>
        <w:t>根据统计数据，</w:t>
      </w:r>
      <w:r>
        <w:rPr>
          <w:rFonts w:cs="Times New Roman" w:hint="eastAsia"/>
        </w:rPr>
        <w:t>2</w:t>
      </w:r>
      <w:r>
        <w:rPr>
          <w:rFonts w:cs="Times New Roman"/>
        </w:rPr>
        <w:t>02</w:t>
      </w:r>
      <w:r>
        <w:rPr>
          <w:rFonts w:cs="Times New Roman" w:hint="eastAsia"/>
        </w:rPr>
        <w:t>3</w:t>
      </w:r>
      <w:r>
        <w:rPr>
          <w:rFonts w:cs="Times New Roman"/>
        </w:rPr>
        <w:t>年广元市大气中</w:t>
      </w:r>
      <w:r>
        <w:rPr>
          <w:rFonts w:cs="Times New Roman"/>
        </w:rPr>
        <w:t>SO</w:t>
      </w:r>
      <w:r>
        <w:rPr>
          <w:rFonts w:cs="Times New Roman"/>
          <w:vertAlign w:val="subscript"/>
        </w:rPr>
        <w:t>2</w:t>
      </w:r>
      <w:r>
        <w:rPr>
          <w:rFonts w:cs="Times New Roman"/>
        </w:rPr>
        <w:t>、</w:t>
      </w:r>
      <w:r>
        <w:rPr>
          <w:rFonts w:cs="Times New Roman"/>
        </w:rPr>
        <w:t>NO</w:t>
      </w:r>
      <w:r>
        <w:rPr>
          <w:rFonts w:cs="Times New Roman"/>
          <w:vertAlign w:val="subscript"/>
        </w:rPr>
        <w:t>2</w:t>
      </w:r>
      <w:r>
        <w:rPr>
          <w:rFonts w:cs="Times New Roman"/>
        </w:rPr>
        <w:t>、</w:t>
      </w:r>
      <w:r>
        <w:rPr>
          <w:rFonts w:cs="Times New Roman"/>
        </w:rPr>
        <w:t>CO</w:t>
      </w:r>
      <w:r>
        <w:rPr>
          <w:rFonts w:cs="Times New Roman"/>
        </w:rPr>
        <w:t>、</w:t>
      </w:r>
      <w:r>
        <w:rPr>
          <w:rFonts w:cs="Times New Roman"/>
        </w:rPr>
        <w:t>O</w:t>
      </w:r>
      <w:r>
        <w:rPr>
          <w:rFonts w:cs="Times New Roman"/>
          <w:vertAlign w:val="subscript"/>
        </w:rPr>
        <w:t>3</w:t>
      </w:r>
      <w:r>
        <w:rPr>
          <w:rFonts w:cs="Times New Roman"/>
        </w:rPr>
        <w:t>、</w:t>
      </w:r>
      <w:r>
        <w:rPr>
          <w:rFonts w:cs="Times New Roman"/>
        </w:rPr>
        <w:t>PM</w:t>
      </w:r>
      <w:r>
        <w:rPr>
          <w:rFonts w:cs="Times New Roman"/>
          <w:vertAlign w:val="subscript"/>
        </w:rPr>
        <w:t>10</w:t>
      </w:r>
      <w:r>
        <w:rPr>
          <w:rFonts w:cs="Times New Roman"/>
        </w:rPr>
        <w:t>、</w:t>
      </w:r>
      <w:r>
        <w:rPr>
          <w:rFonts w:cs="Times New Roman"/>
        </w:rPr>
        <w:t>PM</w:t>
      </w:r>
      <w:r>
        <w:rPr>
          <w:rFonts w:cs="Times New Roman"/>
          <w:vertAlign w:val="subscript"/>
        </w:rPr>
        <w:t>2.5</w:t>
      </w:r>
      <w:r>
        <w:rPr>
          <w:rFonts w:cs="Times New Roman"/>
        </w:rPr>
        <w:t>评价指标满足《环境空气质量标准》（</w:t>
      </w:r>
      <w:r>
        <w:rPr>
          <w:rFonts w:cs="Times New Roman"/>
        </w:rPr>
        <w:t>GB3095-2012</w:t>
      </w:r>
      <w:r>
        <w:rPr>
          <w:rFonts w:cs="Times New Roman"/>
        </w:rPr>
        <w:t>）及其</w:t>
      </w:r>
      <w:r>
        <w:rPr>
          <w:rFonts w:cs="Times New Roman"/>
        </w:rPr>
        <w:t>2018</w:t>
      </w:r>
      <w:r>
        <w:rPr>
          <w:rFonts w:cs="Times New Roman"/>
        </w:rPr>
        <w:t>年修改单</w:t>
      </w:r>
      <w:r>
        <w:rPr>
          <w:rFonts w:cs="Times New Roman" w:hint="eastAsia"/>
        </w:rPr>
        <w:t>中</w:t>
      </w:r>
      <w:r>
        <w:rPr>
          <w:rFonts w:cs="Times New Roman"/>
        </w:rPr>
        <w:t>二级标准</w:t>
      </w:r>
      <w:r>
        <w:rPr>
          <w:kern w:val="21"/>
          <w:lang w:bidi="ar"/>
        </w:rPr>
        <w:t>，项目</w:t>
      </w:r>
      <w:r>
        <w:rPr>
          <w:rFonts w:hint="eastAsia"/>
          <w:kern w:val="21"/>
        </w:rPr>
        <w:t>所在</w:t>
      </w:r>
      <w:r>
        <w:rPr>
          <w:kern w:val="21"/>
          <w:lang w:bidi="ar"/>
        </w:rPr>
        <w:t>区域为达标区。</w:t>
      </w:r>
    </w:p>
    <w:p w14:paraId="4B433F45" w14:textId="77777777" w:rsidR="00544649" w:rsidRDefault="00000000">
      <w:pPr>
        <w:adjustRightInd w:val="0"/>
        <w:snapToGrid w:val="0"/>
        <w:spacing w:after="0"/>
        <w:ind w:firstLine="480"/>
        <w:rPr>
          <w:rFonts w:cs="Times New Roman"/>
          <w:kern w:val="21"/>
        </w:rPr>
      </w:pPr>
      <w:r>
        <w:rPr>
          <w:rFonts w:cs="Times New Roman"/>
          <w:kern w:val="21"/>
        </w:rPr>
        <w:t>根据监测结果，本项目区域环境空气监测项目</w:t>
      </w:r>
      <w:r>
        <w:rPr>
          <w:rFonts w:cs="Times New Roman"/>
          <w:kern w:val="21"/>
        </w:rPr>
        <w:t>NH</w:t>
      </w:r>
      <w:r>
        <w:rPr>
          <w:rFonts w:cs="Times New Roman"/>
          <w:kern w:val="21"/>
          <w:vertAlign w:val="subscript"/>
        </w:rPr>
        <w:t>3</w:t>
      </w:r>
      <w:r>
        <w:rPr>
          <w:rFonts w:cs="Times New Roman"/>
          <w:kern w:val="21"/>
        </w:rPr>
        <w:t>、</w:t>
      </w:r>
      <w:r>
        <w:rPr>
          <w:rFonts w:cs="Times New Roman"/>
          <w:kern w:val="21"/>
        </w:rPr>
        <w:t>H</w:t>
      </w:r>
      <w:r>
        <w:rPr>
          <w:rFonts w:cs="Times New Roman"/>
          <w:kern w:val="21"/>
          <w:vertAlign w:val="subscript"/>
        </w:rPr>
        <w:t>2</w:t>
      </w:r>
      <w:r>
        <w:rPr>
          <w:rFonts w:cs="Times New Roman"/>
          <w:kern w:val="21"/>
        </w:rPr>
        <w:t>S</w:t>
      </w:r>
      <w:r>
        <w:rPr>
          <w:rFonts w:cs="Times New Roman"/>
          <w:kern w:val="21"/>
        </w:rPr>
        <w:t>的监测值均满足《环境影响评价技术导则大气环境》（</w:t>
      </w:r>
      <w:r>
        <w:rPr>
          <w:rFonts w:cs="Times New Roman"/>
          <w:kern w:val="21"/>
        </w:rPr>
        <w:t>HJ2.2—2018</w:t>
      </w:r>
      <w:r>
        <w:rPr>
          <w:rFonts w:cs="Times New Roman"/>
          <w:kern w:val="21"/>
        </w:rPr>
        <w:t>）中附录</w:t>
      </w:r>
      <w:r>
        <w:rPr>
          <w:rFonts w:cs="Times New Roman"/>
          <w:kern w:val="21"/>
        </w:rPr>
        <w:t>D</w:t>
      </w:r>
      <w:r>
        <w:rPr>
          <w:rFonts w:cs="Times New Roman"/>
          <w:kern w:val="21"/>
        </w:rPr>
        <w:t>中的相应浓度参考限值。</w:t>
      </w:r>
    </w:p>
    <w:p w14:paraId="6DDF1819" w14:textId="77777777" w:rsidR="00544649" w:rsidRDefault="00000000">
      <w:pPr>
        <w:adjustRightInd w:val="0"/>
        <w:snapToGrid w:val="0"/>
        <w:spacing w:after="0"/>
        <w:ind w:firstLine="482"/>
        <w:rPr>
          <w:rFonts w:cs="Times New Roman"/>
          <w:b/>
          <w:bCs/>
          <w:kern w:val="21"/>
        </w:rPr>
      </w:pPr>
      <w:r>
        <w:rPr>
          <w:rFonts w:cs="Times New Roman"/>
          <w:b/>
          <w:bCs/>
          <w:kern w:val="21"/>
        </w:rPr>
        <w:t>2</w:t>
      </w:r>
      <w:r>
        <w:rPr>
          <w:rFonts w:cs="Times New Roman"/>
          <w:b/>
          <w:bCs/>
          <w:kern w:val="21"/>
        </w:rPr>
        <w:t>、地表水环境质量现状</w:t>
      </w:r>
    </w:p>
    <w:p w14:paraId="22AC75B7" w14:textId="77777777" w:rsidR="00544649" w:rsidRDefault="00000000">
      <w:pPr>
        <w:adjustRightInd w:val="0"/>
        <w:snapToGrid w:val="0"/>
        <w:spacing w:after="0"/>
        <w:ind w:firstLine="480"/>
        <w:rPr>
          <w:rFonts w:cs="Times New Roman"/>
          <w:kern w:val="21"/>
        </w:rPr>
      </w:pPr>
      <w:r>
        <w:rPr>
          <w:rFonts w:cs="Times New Roman"/>
          <w:kern w:val="21"/>
        </w:rPr>
        <w:t>项目附近地表水体为</w:t>
      </w:r>
      <w:r>
        <w:rPr>
          <w:rFonts w:cs="Times New Roman" w:hint="eastAsia"/>
          <w:kern w:val="21"/>
        </w:rPr>
        <w:t>嘉陵江</w:t>
      </w:r>
      <w:r>
        <w:rPr>
          <w:rFonts w:cs="Times New Roman"/>
          <w:kern w:val="21"/>
        </w:rPr>
        <w:t>，根据</w:t>
      </w:r>
      <w:r>
        <w:rPr>
          <w:rFonts w:cs="Times New Roman" w:hint="eastAsia"/>
          <w:kern w:val="21"/>
        </w:rPr>
        <w:t>广元市生态环境局发布的《</w:t>
      </w:r>
      <w:r>
        <w:rPr>
          <w:rFonts w:cs="Times New Roman" w:hint="eastAsia"/>
          <w:kern w:val="21"/>
        </w:rPr>
        <w:t>2024</w:t>
      </w:r>
      <w:r>
        <w:rPr>
          <w:rFonts w:cs="Times New Roman" w:hint="eastAsia"/>
          <w:kern w:val="21"/>
        </w:rPr>
        <w:t>年</w:t>
      </w:r>
      <w:r>
        <w:rPr>
          <w:rFonts w:cs="Times New Roman" w:hint="eastAsia"/>
          <w:kern w:val="21"/>
        </w:rPr>
        <w:t>12</w:t>
      </w:r>
      <w:r>
        <w:rPr>
          <w:rFonts w:cs="Times New Roman" w:hint="eastAsia"/>
          <w:kern w:val="21"/>
        </w:rPr>
        <w:t>月广元市地表水水质状况》</w:t>
      </w:r>
      <w:r>
        <w:rPr>
          <w:rFonts w:cs="Times New Roman"/>
          <w:kern w:val="21"/>
        </w:rPr>
        <w:t>可知：</w:t>
      </w:r>
      <w:r>
        <w:rPr>
          <w:rFonts w:hint="eastAsia"/>
        </w:rPr>
        <w:t>嘉陵江</w:t>
      </w:r>
      <w:proofErr w:type="gramStart"/>
      <w:r>
        <w:rPr>
          <w:rFonts w:hint="eastAsia"/>
        </w:rPr>
        <w:t>干流元西</w:t>
      </w:r>
      <w:proofErr w:type="gramEnd"/>
      <w:r>
        <w:rPr>
          <w:rFonts w:hint="eastAsia"/>
        </w:rPr>
        <w:t>村、上石盘、红岩、金银渡、沙溪监测断面水质均达到《地表水环境质量标准》（</w:t>
      </w:r>
      <w:r>
        <w:rPr>
          <w:rFonts w:hint="eastAsia"/>
        </w:rPr>
        <w:t>GB3838-2002</w:t>
      </w:r>
      <w:r>
        <w:rPr>
          <w:rFonts w:hint="eastAsia"/>
        </w:rPr>
        <w:t>）</w:t>
      </w:r>
      <w:r>
        <w:t>Ⅲ</w:t>
      </w:r>
      <w:r>
        <w:t>类水体标</w:t>
      </w:r>
      <w:r>
        <w:rPr>
          <w:rFonts w:hint="eastAsia"/>
        </w:rPr>
        <w:t>准，</w:t>
      </w:r>
      <w:r>
        <w:rPr>
          <w:rFonts w:cs="Times New Roman"/>
          <w:kern w:val="21"/>
        </w:rPr>
        <w:t>项目所在区域地表水水质较好。</w:t>
      </w:r>
    </w:p>
    <w:p w14:paraId="4D2CA00E" w14:textId="77777777" w:rsidR="00544649" w:rsidRDefault="00000000">
      <w:pPr>
        <w:adjustRightInd w:val="0"/>
        <w:snapToGrid w:val="0"/>
        <w:spacing w:after="0"/>
        <w:ind w:firstLine="482"/>
        <w:rPr>
          <w:rFonts w:cs="Times New Roman"/>
          <w:b/>
          <w:bCs/>
          <w:kern w:val="21"/>
        </w:rPr>
      </w:pPr>
      <w:r>
        <w:rPr>
          <w:rFonts w:cs="Times New Roman"/>
          <w:b/>
          <w:bCs/>
          <w:kern w:val="21"/>
        </w:rPr>
        <w:t>3</w:t>
      </w:r>
      <w:r>
        <w:rPr>
          <w:rFonts w:cs="Times New Roman"/>
          <w:b/>
          <w:bCs/>
          <w:kern w:val="21"/>
        </w:rPr>
        <w:t>、声环境质量现状</w:t>
      </w:r>
    </w:p>
    <w:p w14:paraId="44052A3A" w14:textId="77777777" w:rsidR="00544649" w:rsidRDefault="00000000">
      <w:pPr>
        <w:adjustRightInd w:val="0"/>
        <w:snapToGrid w:val="0"/>
        <w:spacing w:after="0"/>
        <w:ind w:firstLine="480"/>
        <w:rPr>
          <w:rFonts w:cs="Times New Roman"/>
          <w:kern w:val="21"/>
        </w:rPr>
      </w:pPr>
      <w:r>
        <w:rPr>
          <w:rFonts w:cs="Times New Roman"/>
          <w:kern w:val="21"/>
        </w:rPr>
        <w:t>现状监测及评价结果表明，项目场界及最近居民点噪声</w:t>
      </w:r>
      <w:proofErr w:type="gramStart"/>
      <w:r>
        <w:rPr>
          <w:rFonts w:cs="Times New Roman"/>
          <w:kern w:val="21"/>
        </w:rPr>
        <w:t>值能够</w:t>
      </w:r>
      <w:proofErr w:type="gramEnd"/>
      <w:r>
        <w:rPr>
          <w:rFonts w:cs="Times New Roman"/>
          <w:kern w:val="21"/>
        </w:rPr>
        <w:t>达到《声环境质量标准》（</w:t>
      </w:r>
      <w:r>
        <w:rPr>
          <w:rFonts w:cs="Times New Roman"/>
          <w:kern w:val="21"/>
        </w:rPr>
        <w:t>GB3096</w:t>
      </w:r>
      <w:r>
        <w:rPr>
          <w:rFonts w:cs="Times New Roman" w:hint="eastAsia"/>
          <w:kern w:val="21"/>
        </w:rPr>
        <w:t>-</w:t>
      </w:r>
      <w:r>
        <w:rPr>
          <w:rFonts w:cs="Times New Roman"/>
          <w:kern w:val="21"/>
        </w:rPr>
        <w:t>2008</w:t>
      </w:r>
      <w:r>
        <w:rPr>
          <w:rFonts w:cs="Times New Roman"/>
          <w:kern w:val="21"/>
        </w:rPr>
        <w:t>）的</w:t>
      </w:r>
      <w:r>
        <w:rPr>
          <w:rFonts w:cs="Times New Roman"/>
          <w:kern w:val="21"/>
        </w:rPr>
        <w:t>2</w:t>
      </w:r>
      <w:r>
        <w:rPr>
          <w:rFonts w:cs="Times New Roman"/>
          <w:kern w:val="21"/>
        </w:rPr>
        <w:t>类标准限值要求。</w:t>
      </w:r>
    </w:p>
    <w:p w14:paraId="1531D78D" w14:textId="77777777" w:rsidR="00544649" w:rsidRDefault="00000000">
      <w:pPr>
        <w:adjustRightInd w:val="0"/>
        <w:snapToGrid w:val="0"/>
        <w:spacing w:after="0"/>
        <w:ind w:firstLine="482"/>
        <w:rPr>
          <w:rFonts w:cs="Times New Roman"/>
          <w:b/>
          <w:bCs/>
          <w:kern w:val="21"/>
        </w:rPr>
      </w:pPr>
      <w:r>
        <w:rPr>
          <w:rFonts w:cs="Times New Roman"/>
          <w:b/>
          <w:bCs/>
          <w:kern w:val="21"/>
        </w:rPr>
        <w:t>4</w:t>
      </w:r>
      <w:r>
        <w:rPr>
          <w:rFonts w:cs="Times New Roman"/>
          <w:b/>
          <w:bCs/>
          <w:kern w:val="21"/>
        </w:rPr>
        <w:t>、地下水质量现状</w:t>
      </w:r>
    </w:p>
    <w:p w14:paraId="342705F4" w14:textId="77777777" w:rsidR="00544649" w:rsidRDefault="00000000">
      <w:pPr>
        <w:adjustRightInd w:val="0"/>
        <w:snapToGrid w:val="0"/>
        <w:spacing w:after="0"/>
        <w:ind w:firstLine="480"/>
        <w:rPr>
          <w:rFonts w:cs="Times New Roman"/>
          <w:kern w:val="21"/>
        </w:rPr>
      </w:pPr>
      <w:r>
        <w:rPr>
          <w:rFonts w:cs="Times New Roman"/>
          <w:kern w:val="21"/>
        </w:rPr>
        <w:t>现状监测及评价结果表明，项目所在区域地下水环境各个监测因子均满足《地下水质量标准》（</w:t>
      </w:r>
      <w:r>
        <w:rPr>
          <w:rFonts w:cs="Times New Roman"/>
          <w:kern w:val="21"/>
        </w:rPr>
        <w:t>GB/T14848-2017</w:t>
      </w:r>
      <w:r>
        <w:rPr>
          <w:rFonts w:cs="Times New Roman"/>
          <w:kern w:val="21"/>
        </w:rPr>
        <w:t>）</w:t>
      </w:r>
      <w:r>
        <w:rPr>
          <w:rFonts w:cs="Times New Roman"/>
          <w:kern w:val="21"/>
        </w:rPr>
        <w:t>Ⅲ</w:t>
      </w:r>
      <w:r>
        <w:rPr>
          <w:rFonts w:cs="Times New Roman"/>
          <w:kern w:val="21"/>
        </w:rPr>
        <w:t>类标准要求。</w:t>
      </w:r>
    </w:p>
    <w:p w14:paraId="581C314A" w14:textId="77777777" w:rsidR="00544649" w:rsidRDefault="00000000">
      <w:pPr>
        <w:adjustRightInd w:val="0"/>
        <w:snapToGrid w:val="0"/>
        <w:spacing w:after="0"/>
        <w:ind w:firstLine="482"/>
        <w:rPr>
          <w:rFonts w:cs="Times New Roman"/>
          <w:kern w:val="21"/>
        </w:rPr>
      </w:pPr>
      <w:r>
        <w:rPr>
          <w:rFonts w:cs="Times New Roman" w:hint="eastAsia"/>
          <w:b/>
          <w:bCs/>
          <w:kern w:val="21"/>
        </w:rPr>
        <w:t>5</w:t>
      </w:r>
      <w:r>
        <w:rPr>
          <w:rFonts w:cs="Times New Roman"/>
          <w:b/>
          <w:bCs/>
          <w:kern w:val="21"/>
        </w:rPr>
        <w:t>、</w:t>
      </w:r>
      <w:r>
        <w:rPr>
          <w:rFonts w:cs="Times New Roman" w:hint="eastAsia"/>
          <w:b/>
          <w:bCs/>
          <w:kern w:val="21"/>
        </w:rPr>
        <w:t>土壤环境</w:t>
      </w:r>
      <w:r>
        <w:rPr>
          <w:rFonts w:cs="Times New Roman"/>
          <w:b/>
          <w:bCs/>
          <w:kern w:val="21"/>
        </w:rPr>
        <w:t>质量现状</w:t>
      </w:r>
    </w:p>
    <w:p w14:paraId="4C9BC0F1" w14:textId="77777777" w:rsidR="00544649" w:rsidRDefault="00000000">
      <w:pPr>
        <w:adjustRightInd w:val="0"/>
        <w:snapToGrid w:val="0"/>
        <w:spacing w:after="0"/>
        <w:ind w:firstLine="480"/>
        <w:rPr>
          <w:rFonts w:cs="Times New Roman"/>
          <w:kern w:val="21"/>
        </w:rPr>
      </w:pPr>
      <w:r>
        <w:rPr>
          <w:rFonts w:hint="eastAsia"/>
        </w:rPr>
        <w:t>根据监测及评价结果可知，项目厂区内土壤各监测点各项监测指标均低于《土壤</w:t>
      </w:r>
      <w:r>
        <w:rPr>
          <w:rFonts w:hint="eastAsia"/>
        </w:rPr>
        <w:lastRenderedPageBreak/>
        <w:t>环境质量</w:t>
      </w:r>
      <w:r>
        <w:rPr>
          <w:rFonts w:hint="eastAsia"/>
        </w:rPr>
        <w:t xml:space="preserve"> </w:t>
      </w:r>
      <w:r>
        <w:rPr>
          <w:rFonts w:hint="eastAsia"/>
        </w:rPr>
        <w:t>农用地土壤污染风险管控标准》（</w:t>
      </w:r>
      <w:r>
        <w:t>GB15618-2018</w:t>
      </w:r>
      <w:r>
        <w:rPr>
          <w:rFonts w:hint="eastAsia"/>
        </w:rPr>
        <w:t>）表</w:t>
      </w:r>
      <w:r>
        <w:rPr>
          <w:rFonts w:hint="eastAsia"/>
        </w:rPr>
        <w:t xml:space="preserve"> </w:t>
      </w:r>
      <w:r>
        <w:t xml:space="preserve">1 </w:t>
      </w:r>
      <w:r>
        <w:rPr>
          <w:rFonts w:hint="eastAsia"/>
        </w:rPr>
        <w:t>和表</w:t>
      </w:r>
      <w:r>
        <w:rPr>
          <w:rFonts w:hint="eastAsia"/>
        </w:rPr>
        <w:t xml:space="preserve"> </w:t>
      </w:r>
      <w:r>
        <w:t xml:space="preserve">2 </w:t>
      </w:r>
      <w:r>
        <w:rPr>
          <w:rFonts w:hint="eastAsia"/>
        </w:rPr>
        <w:t>规定的风险筛选值，项目所在区域土壤环境良好。</w:t>
      </w:r>
    </w:p>
    <w:p w14:paraId="0E45CE52"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76" w:name="_Toc18286"/>
      <w:bookmarkStart w:id="477" w:name="_Toc30926"/>
      <w:bookmarkStart w:id="478" w:name="_Toc29946"/>
      <w:bookmarkStart w:id="479" w:name="_Toc195009957"/>
      <w:r>
        <w:rPr>
          <w:rFonts w:cs="Times New Roman"/>
          <w:b/>
          <w:bCs/>
          <w:kern w:val="21"/>
          <w:sz w:val="28"/>
          <w:szCs w:val="24"/>
        </w:rPr>
        <w:t>主要环境影响</w:t>
      </w:r>
      <w:bookmarkEnd w:id="476"/>
      <w:bookmarkEnd w:id="477"/>
      <w:r>
        <w:rPr>
          <w:rFonts w:cs="Times New Roman" w:hint="eastAsia"/>
          <w:b/>
          <w:bCs/>
          <w:kern w:val="21"/>
          <w:sz w:val="28"/>
          <w:szCs w:val="24"/>
        </w:rPr>
        <w:t>评价</w:t>
      </w:r>
      <w:r>
        <w:rPr>
          <w:rFonts w:cs="Times New Roman"/>
          <w:b/>
          <w:bCs/>
          <w:kern w:val="21"/>
          <w:sz w:val="28"/>
          <w:szCs w:val="24"/>
        </w:rPr>
        <w:t>结论</w:t>
      </w:r>
      <w:bookmarkEnd w:id="478"/>
      <w:bookmarkEnd w:id="479"/>
    </w:p>
    <w:p w14:paraId="2708E16E"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施工期环境影响分析结论</w:t>
      </w:r>
    </w:p>
    <w:p w14:paraId="1ABCF0EF" w14:textId="77777777" w:rsidR="00544649" w:rsidRDefault="00000000">
      <w:pPr>
        <w:adjustRightInd w:val="0"/>
        <w:snapToGrid w:val="0"/>
        <w:spacing w:after="0"/>
        <w:ind w:firstLine="480"/>
        <w:rPr>
          <w:rFonts w:cs="Times New Roman"/>
          <w:kern w:val="21"/>
          <w:szCs w:val="24"/>
        </w:rPr>
      </w:pPr>
      <w:r>
        <w:rPr>
          <w:rFonts w:cs="Times New Roman"/>
          <w:kern w:val="21"/>
          <w:szCs w:val="24"/>
        </w:rPr>
        <w:t>本项目施工期间废气、废水、</w:t>
      </w:r>
      <w:proofErr w:type="gramStart"/>
      <w:r>
        <w:rPr>
          <w:rFonts w:cs="Times New Roman"/>
          <w:kern w:val="21"/>
          <w:szCs w:val="24"/>
        </w:rPr>
        <w:t>固废及噪声</w:t>
      </w:r>
      <w:proofErr w:type="gramEnd"/>
      <w:r>
        <w:rPr>
          <w:rFonts w:cs="Times New Roman"/>
          <w:kern w:val="21"/>
          <w:szCs w:val="24"/>
        </w:rPr>
        <w:t>等均有产生。施工期废气主要为设备安装和厂房改造过程中产生的施工机械废气和后期装修废气，采取湿法作业可得到有效控制；施工人员生活污水依托区域现有工程已建化粪池，处理后用于周边</w:t>
      </w:r>
      <w:r>
        <w:rPr>
          <w:rFonts w:cs="Times New Roman" w:hint="eastAsia"/>
          <w:kern w:val="21"/>
          <w:szCs w:val="24"/>
        </w:rPr>
        <w:t>林地</w:t>
      </w:r>
      <w:r>
        <w:rPr>
          <w:rFonts w:cs="Times New Roman"/>
          <w:kern w:val="21"/>
          <w:szCs w:val="24"/>
        </w:rPr>
        <w:t>施肥；施工过程产生的建筑垃圾具有回收利用价值，可回收利用，没有回收利用价值由施工单位统一运往建筑垃圾堆放场进行处置；施工人员产生的生活垃圾集中收集后，定期交市政环卫部门清运处理，不会对环境造成影响；施工过程各类施工设备噪声会对周边环境产生影响，要求施工单位严格按照施工规范，文明施工，禁止夜间高噪声施工。项目施工期间对环境的影响是暂时的，随施工结束，影响消除。</w:t>
      </w:r>
    </w:p>
    <w:p w14:paraId="5D73CE99" w14:textId="77777777" w:rsidR="00544649" w:rsidRDefault="00000000">
      <w:pPr>
        <w:numPr>
          <w:ilvl w:val="3"/>
          <w:numId w:val="9"/>
        </w:numPr>
        <w:adjustRightInd w:val="0"/>
        <w:snapToGrid w:val="0"/>
        <w:spacing w:after="0"/>
        <w:ind w:firstLineChars="0"/>
        <w:outlineLvl w:val="3"/>
        <w:rPr>
          <w:rFonts w:cs="Times New Roman"/>
          <w:b/>
          <w:bCs/>
          <w:kern w:val="21"/>
        </w:rPr>
      </w:pPr>
      <w:r>
        <w:rPr>
          <w:rFonts w:cs="Times New Roman"/>
          <w:b/>
          <w:bCs/>
          <w:kern w:val="21"/>
        </w:rPr>
        <w:t>运营期环境影响分析结论</w:t>
      </w:r>
    </w:p>
    <w:p w14:paraId="3EC9B240"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w:t>
      </w:r>
      <w:r>
        <w:rPr>
          <w:rFonts w:cs="Times New Roman"/>
          <w:b/>
          <w:bCs/>
          <w:kern w:val="21"/>
          <w:szCs w:val="24"/>
        </w:rPr>
        <w:t>1</w:t>
      </w:r>
      <w:r>
        <w:rPr>
          <w:rFonts w:cs="Times New Roman"/>
          <w:b/>
          <w:bCs/>
          <w:kern w:val="21"/>
          <w:szCs w:val="24"/>
        </w:rPr>
        <w:t>）大气环境影响</w:t>
      </w:r>
      <w:r>
        <w:rPr>
          <w:rFonts w:cs="Times New Roman" w:hint="eastAsia"/>
          <w:b/>
          <w:bCs/>
          <w:kern w:val="21"/>
          <w:szCs w:val="24"/>
        </w:rPr>
        <w:t>评价结论</w:t>
      </w:r>
    </w:p>
    <w:p w14:paraId="5AC825F4" w14:textId="77777777" w:rsidR="00544649" w:rsidRDefault="00000000">
      <w:pPr>
        <w:adjustRightInd w:val="0"/>
        <w:snapToGrid w:val="0"/>
        <w:spacing w:after="0"/>
        <w:ind w:firstLine="480"/>
        <w:rPr>
          <w:rFonts w:cs="Times New Roman"/>
          <w:kern w:val="21"/>
          <w:szCs w:val="24"/>
        </w:rPr>
      </w:pPr>
      <w:r>
        <w:rPr>
          <w:rFonts w:cs="Times New Roman"/>
          <w:kern w:val="21"/>
          <w:szCs w:val="24"/>
        </w:rPr>
        <w:t>根据预测结果，本项目场界</w:t>
      </w:r>
      <w:r>
        <w:rPr>
          <w:rFonts w:cs="Times New Roman"/>
          <w:kern w:val="21"/>
          <w:szCs w:val="24"/>
        </w:rPr>
        <w:t>H</w:t>
      </w:r>
      <w:r>
        <w:rPr>
          <w:rFonts w:cs="Times New Roman"/>
          <w:kern w:val="21"/>
          <w:szCs w:val="24"/>
          <w:vertAlign w:val="subscript"/>
        </w:rPr>
        <w:t>2</w:t>
      </w:r>
      <w:r>
        <w:rPr>
          <w:rFonts w:cs="Times New Roman"/>
          <w:kern w:val="21"/>
          <w:szCs w:val="24"/>
        </w:rPr>
        <w:t>S</w:t>
      </w:r>
      <w:r>
        <w:rPr>
          <w:rFonts w:cs="Times New Roman"/>
          <w:kern w:val="21"/>
          <w:szCs w:val="24"/>
        </w:rPr>
        <w:t>、</w:t>
      </w:r>
      <w:r>
        <w:rPr>
          <w:rFonts w:cs="Times New Roman"/>
          <w:kern w:val="21"/>
          <w:szCs w:val="24"/>
        </w:rPr>
        <w:t>NH</w:t>
      </w:r>
      <w:r>
        <w:rPr>
          <w:rFonts w:cs="Times New Roman"/>
          <w:kern w:val="21"/>
          <w:szCs w:val="24"/>
          <w:vertAlign w:val="subscript"/>
        </w:rPr>
        <w:t>3</w:t>
      </w:r>
      <w:r>
        <w:rPr>
          <w:rFonts w:cs="Times New Roman"/>
          <w:kern w:val="21"/>
          <w:szCs w:val="24"/>
        </w:rPr>
        <w:t>的预测排放浓度均能满足《恶臭污染物排放标准》（</w:t>
      </w:r>
      <w:r>
        <w:rPr>
          <w:rFonts w:cs="Times New Roman"/>
          <w:kern w:val="21"/>
          <w:szCs w:val="24"/>
        </w:rPr>
        <w:t>GB14554-93</w:t>
      </w:r>
      <w:r>
        <w:rPr>
          <w:rFonts w:cs="Times New Roman"/>
          <w:kern w:val="21"/>
          <w:szCs w:val="24"/>
        </w:rPr>
        <w:t>）表</w:t>
      </w:r>
      <w:r>
        <w:rPr>
          <w:rFonts w:cs="Times New Roman"/>
          <w:kern w:val="21"/>
          <w:szCs w:val="24"/>
        </w:rPr>
        <w:t>1</w:t>
      </w:r>
      <w:r>
        <w:rPr>
          <w:rFonts w:cs="Times New Roman"/>
          <w:kern w:val="21"/>
          <w:szCs w:val="24"/>
        </w:rPr>
        <w:t>中二级标准要求，对环境空气影响很小。</w:t>
      </w:r>
    </w:p>
    <w:p w14:paraId="4B64E046" w14:textId="77777777" w:rsidR="00544649" w:rsidRDefault="00000000">
      <w:pPr>
        <w:adjustRightInd w:val="0"/>
        <w:snapToGrid w:val="0"/>
        <w:spacing w:after="0"/>
        <w:ind w:firstLine="480"/>
        <w:rPr>
          <w:rFonts w:cs="Times New Roman"/>
          <w:kern w:val="21"/>
        </w:rPr>
      </w:pPr>
      <w:r>
        <w:rPr>
          <w:rFonts w:cs="Times New Roman"/>
          <w:kern w:val="21"/>
        </w:rPr>
        <w:t>根据计算，本项目的卫生防护距离确定以项目鸡舍</w:t>
      </w:r>
      <w:r>
        <w:rPr>
          <w:rFonts w:cs="Times New Roman" w:hint="eastAsia"/>
          <w:kern w:val="21"/>
        </w:rPr>
        <w:t>、污水处理区</w:t>
      </w:r>
      <w:r>
        <w:rPr>
          <w:rFonts w:cs="Times New Roman"/>
          <w:kern w:val="21"/>
        </w:rPr>
        <w:t>边界外延</w:t>
      </w:r>
      <w:r>
        <w:rPr>
          <w:rFonts w:cs="Times New Roman" w:hint="eastAsia"/>
          <w:kern w:val="21"/>
        </w:rPr>
        <w:t>2</w:t>
      </w:r>
      <w:r>
        <w:rPr>
          <w:rFonts w:cs="Times New Roman"/>
          <w:kern w:val="21"/>
        </w:rPr>
        <w:t>00m</w:t>
      </w:r>
      <w:r>
        <w:rPr>
          <w:rFonts w:cs="Times New Roman"/>
          <w:kern w:val="21"/>
        </w:rPr>
        <w:t>划定为卫生防护距离。</w:t>
      </w:r>
    </w:p>
    <w:p w14:paraId="77FCC713" w14:textId="77777777" w:rsidR="00544649" w:rsidRDefault="00000000">
      <w:pPr>
        <w:adjustRightInd w:val="0"/>
        <w:snapToGrid w:val="0"/>
        <w:spacing w:after="0"/>
        <w:ind w:firstLine="480"/>
        <w:rPr>
          <w:rFonts w:cs="Times New Roman"/>
          <w:kern w:val="21"/>
        </w:rPr>
      </w:pPr>
      <w:r>
        <w:rPr>
          <w:rFonts w:cs="Times New Roman"/>
          <w:kern w:val="21"/>
        </w:rPr>
        <w:t>食堂油烟经油烟净化装置处理后能满足《饮食业油烟排放标准》（</w:t>
      </w:r>
      <w:r>
        <w:rPr>
          <w:rFonts w:cs="Times New Roman"/>
          <w:kern w:val="21"/>
        </w:rPr>
        <w:t>GB18483-2001</w:t>
      </w:r>
      <w:r>
        <w:rPr>
          <w:rFonts w:cs="Times New Roman"/>
          <w:kern w:val="21"/>
        </w:rPr>
        <w:t>）中相关标准要求。柴油发电机废气经发电机配置的排风系统排放，排放口设置</w:t>
      </w:r>
      <w:proofErr w:type="gramStart"/>
      <w:r>
        <w:rPr>
          <w:rFonts w:cs="Times New Roman"/>
          <w:kern w:val="21"/>
        </w:rPr>
        <w:t>朝环境</w:t>
      </w:r>
      <w:proofErr w:type="gramEnd"/>
      <w:r>
        <w:rPr>
          <w:rFonts w:cs="Times New Roman"/>
          <w:kern w:val="21"/>
        </w:rPr>
        <w:t>无明显影响。</w:t>
      </w:r>
    </w:p>
    <w:p w14:paraId="376E2874" w14:textId="77777777" w:rsidR="00544649" w:rsidRDefault="00000000">
      <w:pPr>
        <w:adjustRightInd w:val="0"/>
        <w:snapToGrid w:val="0"/>
        <w:spacing w:after="0"/>
        <w:ind w:firstLine="480"/>
        <w:rPr>
          <w:rFonts w:cs="Times New Roman"/>
          <w:kern w:val="21"/>
          <w:szCs w:val="24"/>
        </w:rPr>
      </w:pPr>
      <w:r>
        <w:rPr>
          <w:rFonts w:cs="Times New Roman"/>
          <w:kern w:val="21"/>
          <w:szCs w:val="24"/>
        </w:rPr>
        <w:t>综上，本项目废气排放不会对项目所在区域大气环境质量造成明显不利影响。</w:t>
      </w:r>
    </w:p>
    <w:p w14:paraId="1812AA0F"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w:t>
      </w:r>
      <w:r>
        <w:rPr>
          <w:rFonts w:cs="Times New Roman"/>
          <w:b/>
          <w:bCs/>
          <w:kern w:val="21"/>
          <w:szCs w:val="24"/>
        </w:rPr>
        <w:t>2</w:t>
      </w:r>
      <w:r>
        <w:rPr>
          <w:rFonts w:cs="Times New Roman"/>
          <w:b/>
          <w:bCs/>
          <w:kern w:val="21"/>
          <w:szCs w:val="24"/>
        </w:rPr>
        <w:t>）水</w:t>
      </w:r>
      <w:r>
        <w:rPr>
          <w:rFonts w:cs="Times New Roman" w:hint="eastAsia"/>
          <w:b/>
          <w:bCs/>
          <w:kern w:val="21"/>
          <w:szCs w:val="24"/>
        </w:rPr>
        <w:t>环境影响评价结论</w:t>
      </w:r>
    </w:p>
    <w:p w14:paraId="1F12B29B" w14:textId="77777777" w:rsidR="00544649" w:rsidRDefault="00000000">
      <w:pPr>
        <w:adjustRightInd w:val="0"/>
        <w:snapToGrid w:val="0"/>
        <w:spacing w:after="0"/>
        <w:ind w:firstLine="480"/>
        <w:rPr>
          <w:rFonts w:cs="Times New Roman"/>
          <w:kern w:val="21"/>
          <w:szCs w:val="24"/>
        </w:rPr>
      </w:pPr>
      <w:r>
        <w:rPr>
          <w:rFonts w:cs="Times New Roman"/>
          <w:kern w:val="21"/>
          <w:szCs w:val="24"/>
        </w:rPr>
        <w:t>本项目废水经</w:t>
      </w:r>
      <w:r>
        <w:rPr>
          <w:rFonts w:cs="Times New Roman" w:hint="eastAsia"/>
          <w:kern w:val="21"/>
          <w:szCs w:val="24"/>
        </w:rPr>
        <w:t>场内自建污水处理站</w:t>
      </w:r>
      <w:r>
        <w:rPr>
          <w:rFonts w:cs="Times New Roman"/>
          <w:kern w:val="21"/>
          <w:szCs w:val="24"/>
        </w:rPr>
        <w:t>处理</w:t>
      </w:r>
      <w:r>
        <w:rPr>
          <w:rFonts w:cs="Times New Roman" w:hint="eastAsia"/>
          <w:kern w:val="21"/>
          <w:szCs w:val="24"/>
        </w:rPr>
        <w:t>达标后</w:t>
      </w:r>
      <w:r>
        <w:rPr>
          <w:rFonts w:cs="Times New Roman"/>
          <w:kern w:val="21"/>
          <w:szCs w:val="24"/>
        </w:rPr>
        <w:t>，用于</w:t>
      </w:r>
      <w:r>
        <w:rPr>
          <w:rFonts w:cs="Times New Roman" w:hint="eastAsia"/>
          <w:kern w:val="21"/>
          <w:szCs w:val="24"/>
        </w:rPr>
        <w:t>周边林地灌溉</w:t>
      </w:r>
      <w:r>
        <w:rPr>
          <w:rFonts w:cs="Times New Roman"/>
          <w:kern w:val="21"/>
          <w:szCs w:val="24"/>
        </w:rPr>
        <w:t>，</w:t>
      </w:r>
      <w:r>
        <w:rPr>
          <w:rFonts w:cs="Times New Roman" w:hint="eastAsia"/>
          <w:kern w:val="21"/>
          <w:szCs w:val="24"/>
        </w:rPr>
        <w:t>不外排。</w:t>
      </w:r>
      <w:r>
        <w:rPr>
          <w:rFonts w:cs="Times New Roman"/>
          <w:kern w:val="21"/>
          <w:szCs w:val="24"/>
        </w:rPr>
        <w:t>本项目废水不会对项目所在区域地表水环境质量造成明显不利影响。</w:t>
      </w:r>
    </w:p>
    <w:p w14:paraId="2B5A9DC8" w14:textId="77777777" w:rsidR="00544649" w:rsidRDefault="00000000">
      <w:pPr>
        <w:adjustRightInd w:val="0"/>
        <w:snapToGrid w:val="0"/>
        <w:spacing w:after="0"/>
        <w:ind w:firstLine="480"/>
        <w:rPr>
          <w:rFonts w:cs="Times New Roman"/>
          <w:kern w:val="21"/>
        </w:rPr>
      </w:pPr>
      <w:r>
        <w:rPr>
          <w:rFonts w:cs="Times New Roman"/>
          <w:kern w:val="21"/>
        </w:rPr>
        <w:t>建设单位做好危险废物暂存间、</w:t>
      </w:r>
      <w:r>
        <w:rPr>
          <w:rFonts w:cs="Times New Roman" w:hint="eastAsia"/>
          <w:kern w:val="21"/>
        </w:rPr>
        <w:t>备用</w:t>
      </w:r>
      <w:r>
        <w:rPr>
          <w:rFonts w:cs="Times New Roman"/>
          <w:kern w:val="21"/>
        </w:rPr>
        <w:t>发电机房、</w:t>
      </w:r>
      <w:r>
        <w:rPr>
          <w:rFonts w:cs="Times New Roman" w:hint="eastAsia"/>
          <w:kern w:val="21"/>
        </w:rPr>
        <w:t>储油间、污水处理区、</w:t>
      </w:r>
      <w:r>
        <w:rPr>
          <w:rFonts w:cs="Times New Roman"/>
          <w:kern w:val="21"/>
        </w:rPr>
        <w:t>鸡舍场区地面等防渗措施后，项目对地下</w:t>
      </w:r>
      <w:r>
        <w:rPr>
          <w:kern w:val="21"/>
        </w:rPr>
        <w:t>水环境影响较小。</w:t>
      </w:r>
    </w:p>
    <w:p w14:paraId="4E63C158"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w:t>
      </w:r>
      <w:r>
        <w:rPr>
          <w:rFonts w:cs="Times New Roman"/>
          <w:b/>
          <w:bCs/>
          <w:kern w:val="21"/>
          <w:szCs w:val="24"/>
        </w:rPr>
        <w:t>3</w:t>
      </w:r>
      <w:r>
        <w:rPr>
          <w:rFonts w:cs="Times New Roman"/>
          <w:b/>
          <w:bCs/>
          <w:kern w:val="21"/>
          <w:szCs w:val="24"/>
        </w:rPr>
        <w:t>）声环境影响</w:t>
      </w:r>
      <w:r>
        <w:rPr>
          <w:rFonts w:cs="Times New Roman" w:hint="eastAsia"/>
          <w:b/>
          <w:bCs/>
          <w:kern w:val="21"/>
          <w:szCs w:val="24"/>
        </w:rPr>
        <w:t>评价结论</w:t>
      </w:r>
    </w:p>
    <w:p w14:paraId="63FD35F1" w14:textId="77777777" w:rsidR="00544649" w:rsidRDefault="00000000">
      <w:pPr>
        <w:adjustRightInd w:val="0"/>
        <w:snapToGrid w:val="0"/>
        <w:spacing w:after="0"/>
        <w:ind w:firstLine="480"/>
        <w:rPr>
          <w:rFonts w:cs="Times New Roman"/>
          <w:kern w:val="21"/>
          <w:szCs w:val="24"/>
        </w:rPr>
      </w:pPr>
      <w:r>
        <w:rPr>
          <w:rFonts w:cs="Times New Roman"/>
          <w:kern w:val="21"/>
          <w:szCs w:val="24"/>
        </w:rPr>
        <w:t>项目运营期噪声主要为设备噪声、鸡叫声等。鸡叫声经业主加强饲养方法、避免饥饿和惊吓等措施后对周边环境的影响较小，</w:t>
      </w:r>
      <w:r>
        <w:rPr>
          <w:rFonts w:cs="Times New Roman"/>
          <w:kern w:val="21"/>
        </w:rPr>
        <w:t>选用的养殖设备均为低噪声设备，经业</w:t>
      </w:r>
      <w:r>
        <w:rPr>
          <w:rFonts w:cs="Times New Roman"/>
          <w:kern w:val="21"/>
        </w:rPr>
        <w:lastRenderedPageBreak/>
        <w:t>主合理养护后，对周围环境影响较小</w:t>
      </w:r>
      <w:r>
        <w:rPr>
          <w:rFonts w:cs="Times New Roman"/>
          <w:kern w:val="21"/>
          <w:szCs w:val="24"/>
        </w:rPr>
        <w:t>。</w:t>
      </w:r>
    </w:p>
    <w:p w14:paraId="040B4AC0" w14:textId="77777777" w:rsidR="00544649" w:rsidRDefault="00000000">
      <w:pPr>
        <w:adjustRightInd w:val="0"/>
        <w:snapToGrid w:val="0"/>
        <w:spacing w:after="0"/>
        <w:ind w:firstLine="480"/>
        <w:rPr>
          <w:rFonts w:cs="Times New Roman"/>
          <w:kern w:val="21"/>
          <w:szCs w:val="24"/>
        </w:rPr>
      </w:pPr>
      <w:r>
        <w:rPr>
          <w:rFonts w:cs="Times New Roman"/>
          <w:kern w:val="21"/>
          <w:szCs w:val="24"/>
        </w:rPr>
        <w:t>经预测，项目场界昼、夜间噪声贡献值满足《工业企业厂界环境噪声排放标准》（</w:t>
      </w:r>
      <w:r>
        <w:rPr>
          <w:rFonts w:cs="Times New Roman"/>
          <w:kern w:val="21"/>
          <w:szCs w:val="24"/>
        </w:rPr>
        <w:t>GB12348-2008</w:t>
      </w:r>
      <w:r>
        <w:rPr>
          <w:rFonts w:cs="Times New Roman"/>
          <w:kern w:val="21"/>
          <w:szCs w:val="24"/>
        </w:rPr>
        <w:t>）中</w:t>
      </w:r>
      <w:r>
        <w:rPr>
          <w:rFonts w:cs="Times New Roman"/>
          <w:kern w:val="21"/>
          <w:szCs w:val="24"/>
        </w:rPr>
        <w:t>2</w:t>
      </w:r>
      <w:r>
        <w:rPr>
          <w:rFonts w:cs="Times New Roman"/>
          <w:kern w:val="21"/>
          <w:szCs w:val="24"/>
        </w:rPr>
        <w:t>类标准限值要求。因此，建设单位只要严格采取降噪、消音、隔声等降噪措施后，设备噪声可实现场界</w:t>
      </w:r>
      <w:r>
        <w:rPr>
          <w:kern w:val="21"/>
        </w:rPr>
        <w:t>达标</w:t>
      </w:r>
      <w:r>
        <w:rPr>
          <w:rFonts w:cs="Times New Roman"/>
          <w:kern w:val="21"/>
          <w:szCs w:val="24"/>
        </w:rPr>
        <w:t>排放，不会对场界及外环境造成明显影响。</w:t>
      </w:r>
    </w:p>
    <w:p w14:paraId="403F6651"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w:t>
      </w:r>
      <w:r>
        <w:rPr>
          <w:rFonts w:cs="Times New Roman"/>
          <w:b/>
          <w:bCs/>
          <w:kern w:val="21"/>
          <w:szCs w:val="24"/>
        </w:rPr>
        <w:t>4</w:t>
      </w:r>
      <w:r>
        <w:rPr>
          <w:rFonts w:cs="Times New Roman"/>
          <w:b/>
          <w:bCs/>
          <w:kern w:val="21"/>
          <w:szCs w:val="24"/>
        </w:rPr>
        <w:t>）固体废物影响</w:t>
      </w:r>
      <w:r>
        <w:rPr>
          <w:rFonts w:cs="Times New Roman" w:hint="eastAsia"/>
          <w:b/>
          <w:bCs/>
          <w:kern w:val="21"/>
          <w:szCs w:val="24"/>
        </w:rPr>
        <w:t>评价结论</w:t>
      </w:r>
    </w:p>
    <w:p w14:paraId="5B44FE9A" w14:textId="77777777" w:rsidR="00544649" w:rsidRDefault="00000000">
      <w:pPr>
        <w:adjustRightInd w:val="0"/>
        <w:snapToGrid w:val="0"/>
        <w:spacing w:after="0"/>
        <w:ind w:firstLine="480"/>
        <w:rPr>
          <w:rFonts w:cs="Times New Roman"/>
          <w:kern w:val="21"/>
          <w:szCs w:val="24"/>
        </w:rPr>
      </w:pPr>
      <w:r>
        <w:rPr>
          <w:rFonts w:cs="Times New Roman"/>
          <w:kern w:val="21"/>
          <w:szCs w:val="24"/>
        </w:rPr>
        <w:t>项目各</w:t>
      </w:r>
      <w:proofErr w:type="gramStart"/>
      <w:r>
        <w:rPr>
          <w:rFonts w:cs="Times New Roman"/>
          <w:kern w:val="21"/>
          <w:szCs w:val="24"/>
        </w:rPr>
        <w:t>类固废采取</w:t>
      </w:r>
      <w:proofErr w:type="gramEnd"/>
      <w:r>
        <w:rPr>
          <w:rFonts w:cs="Times New Roman"/>
          <w:kern w:val="21"/>
          <w:szCs w:val="24"/>
        </w:rPr>
        <w:t>了安全、合理、卫生的处理和处置方法，可有效防止二次污染。根据《中华人民共和国固体废物污染环境防治法》，固体废物的管理，实行减量化、资源化、无害化管理，全过程管理和分类管理的原则。即对固体废物污染环境的防治，实行减少固体废物的产生量和危害性，充分合理利用和无害化处置固体废物，促进清洁生产和循环经济的发展。全过程的管理是指对固体废物从产生、收集、贮存、运输、利用直到最终处置的全过程实行一体化的管理。公司在采取处理废弃物的同时，加强对废弃物的统计和管理，特别是对危险废物的管理。为防止废弃物逸散、流失，采取有害废物分类集中存放、专人负责管理等措施，废物的存放和转运处置贮存场所必须按照国家固体废物贮存有关要求设置，外运处置固体废物及废液必须落实具体去向，向环保主管部门申请并办好转移手续，手续完全，统计准确无误。这些废物管理和统计措施可以保证产生的废物分类得到妥善处置，不会产生二次污染，对环境及人体不会造成危害。</w:t>
      </w:r>
    </w:p>
    <w:p w14:paraId="00E8373C" w14:textId="77777777" w:rsidR="00544649" w:rsidRDefault="00000000">
      <w:pPr>
        <w:pStyle w:val="a9"/>
        <w:adjustRightInd w:val="0"/>
        <w:snapToGrid w:val="0"/>
        <w:spacing w:after="0"/>
        <w:ind w:firstLine="482"/>
        <w:rPr>
          <w:rFonts w:cs="Times New Roman"/>
          <w:b/>
          <w:bCs/>
          <w:kern w:val="21"/>
          <w:szCs w:val="24"/>
        </w:rPr>
      </w:pPr>
      <w:r>
        <w:rPr>
          <w:rFonts w:cs="Times New Roman"/>
          <w:b/>
          <w:bCs/>
          <w:kern w:val="21"/>
          <w:szCs w:val="24"/>
        </w:rPr>
        <w:t>（</w:t>
      </w:r>
      <w:r>
        <w:rPr>
          <w:rFonts w:cs="Times New Roman"/>
          <w:b/>
          <w:bCs/>
          <w:kern w:val="21"/>
          <w:szCs w:val="24"/>
        </w:rPr>
        <w:t>5</w:t>
      </w:r>
      <w:r>
        <w:rPr>
          <w:rFonts w:cs="Times New Roman"/>
          <w:b/>
          <w:bCs/>
          <w:kern w:val="21"/>
          <w:szCs w:val="24"/>
        </w:rPr>
        <w:t>）生态环境影响</w:t>
      </w:r>
    </w:p>
    <w:p w14:paraId="679BB1BE" w14:textId="77777777" w:rsidR="00544649" w:rsidRDefault="00000000">
      <w:pPr>
        <w:adjustRightInd w:val="0"/>
        <w:snapToGrid w:val="0"/>
        <w:spacing w:after="0"/>
        <w:ind w:firstLine="480"/>
        <w:rPr>
          <w:rFonts w:cs="Times New Roman"/>
          <w:kern w:val="21"/>
        </w:rPr>
      </w:pPr>
      <w:proofErr w:type="gramStart"/>
      <w:r>
        <w:rPr>
          <w:rFonts w:cs="Times New Roman"/>
          <w:kern w:val="21"/>
        </w:rPr>
        <w:t>评价区</w:t>
      </w:r>
      <w:proofErr w:type="gramEnd"/>
      <w:r>
        <w:rPr>
          <w:rFonts w:cs="Times New Roman"/>
          <w:kern w:val="21"/>
        </w:rPr>
        <w:t>生态系统受到本项目影响相对较小，在严格采取评价提出的生态保护措施后，其生态特征不会从根本上发生改变，体系仍然维持原有的稳定性和生态承载能力。项目虽然在对周围生态环境产生一定的影响，但是其处理达标的生活污水用于周边</w:t>
      </w:r>
      <w:r>
        <w:rPr>
          <w:rFonts w:cs="Times New Roman" w:hint="eastAsia"/>
          <w:kern w:val="21"/>
        </w:rPr>
        <w:t>林地灌溉</w:t>
      </w:r>
      <w:r>
        <w:rPr>
          <w:rFonts w:cs="Times New Roman"/>
          <w:kern w:val="21"/>
        </w:rPr>
        <w:t>，提高了</w:t>
      </w:r>
      <w:r>
        <w:rPr>
          <w:rFonts w:cs="Times New Roman" w:hint="eastAsia"/>
          <w:kern w:val="21"/>
        </w:rPr>
        <w:t>林地</w:t>
      </w:r>
      <w:r>
        <w:rPr>
          <w:rFonts w:cs="Times New Roman"/>
          <w:kern w:val="21"/>
        </w:rPr>
        <w:t>的灌溉保证率，有利于提高</w:t>
      </w:r>
      <w:r>
        <w:rPr>
          <w:rFonts w:cs="Times New Roman" w:hint="eastAsia"/>
          <w:kern w:val="21"/>
        </w:rPr>
        <w:t>林木</w:t>
      </w:r>
      <w:r>
        <w:rPr>
          <w:rFonts w:cs="Times New Roman"/>
          <w:kern w:val="21"/>
        </w:rPr>
        <w:t>的产量和质量，本工程的建设对周围农业环境有较大的有益作用。</w:t>
      </w:r>
    </w:p>
    <w:p w14:paraId="5AFEA1A9" w14:textId="77777777" w:rsidR="00544649" w:rsidRDefault="00000000">
      <w:pPr>
        <w:adjustRightInd w:val="0"/>
        <w:snapToGrid w:val="0"/>
        <w:spacing w:after="0"/>
        <w:ind w:firstLine="482"/>
        <w:rPr>
          <w:rFonts w:cs="Times New Roman"/>
          <w:b/>
          <w:bCs/>
          <w:kern w:val="21"/>
          <w:szCs w:val="24"/>
        </w:rPr>
      </w:pPr>
      <w:r>
        <w:rPr>
          <w:rFonts w:cs="Times New Roman"/>
          <w:b/>
          <w:bCs/>
          <w:kern w:val="21"/>
          <w:szCs w:val="24"/>
        </w:rPr>
        <w:t>（</w:t>
      </w:r>
      <w:r>
        <w:rPr>
          <w:rFonts w:cs="Times New Roman"/>
          <w:b/>
          <w:bCs/>
          <w:kern w:val="21"/>
          <w:szCs w:val="24"/>
        </w:rPr>
        <w:t>6</w:t>
      </w:r>
      <w:r>
        <w:rPr>
          <w:rFonts w:cs="Times New Roman"/>
          <w:b/>
          <w:bCs/>
          <w:kern w:val="21"/>
          <w:szCs w:val="24"/>
        </w:rPr>
        <w:t>）环境风险</w:t>
      </w:r>
    </w:p>
    <w:p w14:paraId="758CBB50" w14:textId="77777777" w:rsidR="00544649" w:rsidRDefault="00000000">
      <w:pPr>
        <w:pStyle w:val="a9"/>
        <w:adjustRightInd w:val="0"/>
        <w:snapToGrid w:val="0"/>
        <w:spacing w:after="0"/>
        <w:ind w:firstLine="480"/>
        <w:rPr>
          <w:rFonts w:cs="Times New Roman"/>
          <w:kern w:val="21"/>
        </w:rPr>
      </w:pPr>
      <w:r>
        <w:rPr>
          <w:rFonts w:cs="Times New Roman"/>
          <w:kern w:val="21"/>
        </w:rPr>
        <w:t>本项目营运期间不涉及重大危险源，项目环境风险事故的发生概率极小。建设单位通过采取一系列的风险防范措施，同时制定相应的事故应急预案，可有效地防止环境风险事故的发生；一旦发生事故，依靠安全防护设施和事故应急措施也能及时控制事故，防止事故的蔓延。减少事故带来的人员伤亡、财产损失和环境影响，项目的环境风险水平是可以接受的。综合分析，从环境风险角度分析本项目建设可行。</w:t>
      </w:r>
    </w:p>
    <w:p w14:paraId="32FAF3FC"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rPr>
      </w:pPr>
      <w:bookmarkStart w:id="480" w:name="_Toc19050"/>
      <w:bookmarkStart w:id="481" w:name="_Toc195009958"/>
      <w:r>
        <w:rPr>
          <w:b/>
          <w:bCs/>
          <w:kern w:val="21"/>
          <w:sz w:val="28"/>
          <w:szCs w:val="28"/>
        </w:rPr>
        <w:lastRenderedPageBreak/>
        <w:t>环境影响经济损益分析</w:t>
      </w:r>
      <w:bookmarkEnd w:id="480"/>
      <w:bookmarkEnd w:id="481"/>
    </w:p>
    <w:p w14:paraId="606ED134" w14:textId="77777777" w:rsidR="00544649" w:rsidRDefault="00000000">
      <w:pPr>
        <w:adjustRightInd w:val="0"/>
        <w:snapToGrid w:val="0"/>
        <w:spacing w:after="0"/>
        <w:ind w:firstLine="480"/>
        <w:rPr>
          <w:rFonts w:cs="Times New Roman"/>
          <w:kern w:val="21"/>
        </w:rPr>
      </w:pPr>
      <w:r>
        <w:rPr>
          <w:rFonts w:cs="Times New Roman"/>
          <w:kern w:val="21"/>
        </w:rPr>
        <w:t>本项目采取的污染防治措施和生态保护措施，技术上成熟可靠，治理效果较好，采取的环境保护措施在经济、技术上均可行。只要建设单位切实落实设计和评价提出的各项污染防治措施，使各类污染物均做到达标排放，则该项目的建设和运营对周围环境的影响是可以承受的，能够做到社会效益、环境效益和经济效益的统一，可达到三者协调发展的目的。</w:t>
      </w:r>
    </w:p>
    <w:p w14:paraId="165C9CBF"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rPr>
      </w:pPr>
      <w:bookmarkStart w:id="482" w:name="_Toc195009959"/>
      <w:r>
        <w:rPr>
          <w:rFonts w:hint="eastAsia"/>
          <w:b/>
          <w:bCs/>
          <w:kern w:val="21"/>
          <w:sz w:val="28"/>
          <w:szCs w:val="28"/>
        </w:rPr>
        <w:t>总结论</w:t>
      </w:r>
      <w:bookmarkEnd w:id="482"/>
    </w:p>
    <w:p w14:paraId="79F61197" w14:textId="77777777" w:rsidR="00544649" w:rsidRDefault="00000000">
      <w:pPr>
        <w:adjustRightInd w:val="0"/>
        <w:snapToGrid w:val="0"/>
        <w:spacing w:after="0"/>
        <w:ind w:firstLine="480"/>
        <w:rPr>
          <w:rFonts w:cs="Times New Roman"/>
          <w:kern w:val="21"/>
        </w:rPr>
      </w:pPr>
      <w:r>
        <w:rPr>
          <w:rFonts w:cs="Times New Roman" w:hint="eastAsia"/>
          <w:kern w:val="21"/>
          <w:szCs w:val="24"/>
        </w:rPr>
        <w:t>综上所述，本</w:t>
      </w:r>
      <w:r>
        <w:rPr>
          <w:rFonts w:cs="Times New Roman"/>
          <w:kern w:val="21"/>
        </w:rPr>
        <w:t>项目</w:t>
      </w:r>
      <w:r>
        <w:rPr>
          <w:rFonts w:cs="Times New Roman" w:hint="eastAsia"/>
          <w:kern w:val="21"/>
        </w:rPr>
        <w:t>建设</w:t>
      </w:r>
      <w:r>
        <w:rPr>
          <w:rFonts w:cs="Times New Roman"/>
          <w:kern w:val="21"/>
        </w:rPr>
        <w:t>符合相关产业政策，符合相关规划，选址基本合理，环</w:t>
      </w:r>
      <w:proofErr w:type="gramStart"/>
      <w:r>
        <w:rPr>
          <w:rFonts w:cs="Times New Roman"/>
          <w:kern w:val="21"/>
        </w:rPr>
        <w:t>评提出</w:t>
      </w:r>
      <w:proofErr w:type="gramEnd"/>
      <w:r>
        <w:rPr>
          <w:rFonts w:cs="Times New Roman"/>
          <w:kern w:val="21"/>
        </w:rPr>
        <w:t>的废气、废水、噪声、</w:t>
      </w:r>
      <w:proofErr w:type="gramStart"/>
      <w:r>
        <w:rPr>
          <w:rFonts w:cs="Times New Roman"/>
          <w:kern w:val="21"/>
        </w:rPr>
        <w:t>固废等污染</w:t>
      </w:r>
      <w:proofErr w:type="gramEnd"/>
      <w:r>
        <w:rPr>
          <w:rFonts w:cs="Times New Roman"/>
          <w:kern w:val="21"/>
        </w:rPr>
        <w:t>防治措施技术可靠、经济可行。建设单位在采取了环</w:t>
      </w:r>
      <w:proofErr w:type="gramStart"/>
      <w:r>
        <w:rPr>
          <w:rFonts w:cs="Times New Roman"/>
          <w:kern w:val="21"/>
        </w:rPr>
        <w:t>评提出</w:t>
      </w:r>
      <w:proofErr w:type="gramEnd"/>
      <w:r>
        <w:rPr>
          <w:rFonts w:cs="Times New Roman"/>
          <w:kern w:val="21"/>
        </w:rPr>
        <w:t>的废气、废水、噪声、固</w:t>
      </w:r>
      <w:proofErr w:type="gramStart"/>
      <w:r>
        <w:rPr>
          <w:rFonts w:cs="Times New Roman"/>
          <w:kern w:val="21"/>
        </w:rPr>
        <w:t>废以及</w:t>
      </w:r>
      <w:proofErr w:type="gramEnd"/>
      <w:r>
        <w:rPr>
          <w:rFonts w:cs="Times New Roman"/>
          <w:kern w:val="21"/>
        </w:rPr>
        <w:t>生态措施之后，污染物能够达标排放，环境风险可控，项目对周围环境的影响较小。本项目只要严格进行环境管理，落实环境监测制度，同时安排、培训专职的环保管理人员，使整个项目的环境效益、经济效益和社会效益做到协调发展，对社会经济的发展和环境保护将起到促进作用。</w:t>
      </w:r>
    </w:p>
    <w:p w14:paraId="700DD59F" w14:textId="77777777" w:rsidR="00544649" w:rsidRDefault="00000000">
      <w:pPr>
        <w:adjustRightInd w:val="0"/>
        <w:snapToGrid w:val="0"/>
        <w:spacing w:after="0"/>
        <w:ind w:firstLine="480"/>
        <w:rPr>
          <w:rFonts w:cs="Times New Roman"/>
          <w:kern w:val="21"/>
        </w:rPr>
      </w:pPr>
      <w:r>
        <w:rPr>
          <w:rFonts w:cs="Times New Roman"/>
          <w:kern w:val="21"/>
        </w:rPr>
        <w:t>综上，从环保角度来讲，本项目的建设可行。</w:t>
      </w:r>
    </w:p>
    <w:p w14:paraId="5DC93A0F" w14:textId="77777777" w:rsidR="00544649" w:rsidRDefault="00000000">
      <w:pPr>
        <w:keepNext/>
        <w:keepLines/>
        <w:numPr>
          <w:ilvl w:val="1"/>
          <w:numId w:val="9"/>
        </w:numPr>
        <w:adjustRightInd w:val="0"/>
        <w:snapToGrid w:val="0"/>
        <w:spacing w:after="0"/>
        <w:ind w:firstLineChars="0"/>
        <w:outlineLvl w:val="1"/>
        <w:rPr>
          <w:rFonts w:cs="Times New Roman"/>
          <w:b/>
          <w:bCs/>
          <w:kern w:val="21"/>
          <w:sz w:val="32"/>
          <w:szCs w:val="28"/>
        </w:rPr>
      </w:pPr>
      <w:bookmarkStart w:id="483" w:name="_Toc9212"/>
      <w:bookmarkStart w:id="484" w:name="_Toc16169"/>
      <w:bookmarkStart w:id="485" w:name="_Toc27845"/>
      <w:bookmarkStart w:id="486" w:name="_Toc195009960"/>
      <w:r>
        <w:rPr>
          <w:rFonts w:cs="Times New Roman"/>
          <w:b/>
          <w:bCs/>
          <w:kern w:val="21"/>
          <w:sz w:val="32"/>
          <w:szCs w:val="28"/>
        </w:rPr>
        <w:t>要求与建议</w:t>
      </w:r>
      <w:bookmarkEnd w:id="483"/>
      <w:bookmarkEnd w:id="484"/>
      <w:bookmarkEnd w:id="485"/>
      <w:bookmarkEnd w:id="486"/>
    </w:p>
    <w:p w14:paraId="0BC530B0"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87" w:name="_Toc20715"/>
      <w:bookmarkStart w:id="488" w:name="_Toc195009961"/>
      <w:r>
        <w:rPr>
          <w:rFonts w:cs="Times New Roman"/>
          <w:b/>
          <w:bCs/>
          <w:kern w:val="21"/>
          <w:sz w:val="28"/>
          <w:szCs w:val="24"/>
        </w:rPr>
        <w:t>要求</w:t>
      </w:r>
      <w:bookmarkEnd w:id="487"/>
      <w:bookmarkEnd w:id="488"/>
    </w:p>
    <w:p w14:paraId="26E97E3F" w14:textId="77777777" w:rsidR="00544649" w:rsidRDefault="00000000">
      <w:pPr>
        <w:adjustRightInd w:val="0"/>
        <w:snapToGrid w:val="0"/>
        <w:spacing w:after="0"/>
        <w:ind w:firstLine="480"/>
        <w:rPr>
          <w:rFonts w:cs="Times New Roman"/>
          <w:kern w:val="21"/>
          <w:szCs w:val="24"/>
        </w:rPr>
      </w:pPr>
      <w:r>
        <w:rPr>
          <w:rFonts w:cs="Times New Roman"/>
          <w:kern w:val="21"/>
          <w:szCs w:val="24"/>
        </w:rPr>
        <w:t>1</w:t>
      </w:r>
      <w:r>
        <w:rPr>
          <w:rFonts w:cs="Times New Roman"/>
          <w:kern w:val="21"/>
          <w:szCs w:val="24"/>
        </w:rPr>
        <w:t>、建设单位应配备专职环保管理人员，培训上岗，具备对突发事故的快速反应能力，对</w:t>
      </w:r>
      <w:r>
        <w:rPr>
          <w:rFonts w:cs="Times New Roman" w:hint="eastAsia"/>
          <w:kern w:val="21"/>
          <w:szCs w:val="24"/>
        </w:rPr>
        <w:t>各项污染物</w:t>
      </w:r>
      <w:r>
        <w:rPr>
          <w:rFonts w:cs="Times New Roman"/>
          <w:kern w:val="21"/>
          <w:szCs w:val="24"/>
        </w:rPr>
        <w:t>处理措施进行常规管理和事故处置实施与监控。</w:t>
      </w:r>
    </w:p>
    <w:p w14:paraId="669CF41A" w14:textId="77777777" w:rsidR="00544649" w:rsidRDefault="00000000">
      <w:pPr>
        <w:adjustRightInd w:val="0"/>
        <w:snapToGrid w:val="0"/>
        <w:spacing w:after="0"/>
        <w:ind w:firstLine="480"/>
        <w:rPr>
          <w:rFonts w:cs="Times New Roman"/>
          <w:kern w:val="21"/>
          <w:szCs w:val="24"/>
        </w:rPr>
      </w:pPr>
      <w:r>
        <w:rPr>
          <w:rFonts w:cs="Times New Roman"/>
          <w:kern w:val="21"/>
          <w:szCs w:val="24"/>
        </w:rPr>
        <w:t>2</w:t>
      </w:r>
      <w:r>
        <w:rPr>
          <w:rFonts w:cs="Times New Roman"/>
          <w:kern w:val="21"/>
          <w:szCs w:val="24"/>
        </w:rPr>
        <w:t>、该项目危险废物在收集、贮存、转运、处置过程中一定要按照国家</w:t>
      </w:r>
      <w:r>
        <w:rPr>
          <w:rFonts w:cs="Times New Roman"/>
          <w:kern w:val="21"/>
          <w:szCs w:val="24"/>
        </w:rPr>
        <w:t>“</w:t>
      </w:r>
      <w:r>
        <w:rPr>
          <w:rFonts w:cs="Times New Roman"/>
          <w:kern w:val="21"/>
          <w:szCs w:val="24"/>
        </w:rPr>
        <w:t>危险废物管理条例</w:t>
      </w:r>
      <w:r>
        <w:rPr>
          <w:rFonts w:cs="Times New Roman"/>
          <w:kern w:val="21"/>
          <w:szCs w:val="24"/>
        </w:rPr>
        <w:t>”</w:t>
      </w:r>
      <w:r>
        <w:rPr>
          <w:rFonts w:cs="Times New Roman"/>
          <w:kern w:val="21"/>
          <w:szCs w:val="24"/>
        </w:rPr>
        <w:t>要求严格管理，严防二次污染。</w:t>
      </w:r>
    </w:p>
    <w:p w14:paraId="2E4D72A5" w14:textId="77777777" w:rsidR="00544649" w:rsidRDefault="00000000">
      <w:pPr>
        <w:adjustRightInd w:val="0"/>
        <w:snapToGrid w:val="0"/>
        <w:spacing w:after="0"/>
        <w:ind w:firstLine="480"/>
        <w:rPr>
          <w:rFonts w:cs="Times New Roman"/>
          <w:kern w:val="21"/>
          <w:szCs w:val="24"/>
        </w:rPr>
      </w:pPr>
      <w:r>
        <w:rPr>
          <w:rFonts w:cs="Times New Roman"/>
          <w:kern w:val="21"/>
          <w:szCs w:val="24"/>
        </w:rPr>
        <w:t>3</w:t>
      </w:r>
      <w:r>
        <w:rPr>
          <w:rFonts w:cs="Times New Roman"/>
          <w:kern w:val="21"/>
          <w:szCs w:val="24"/>
        </w:rPr>
        <w:t>、保证足够的环保资金，落实本报告书中提出的废水、废气、废渣及噪声治理措施。加强管理，保证环保设施的运行效率。</w:t>
      </w:r>
    </w:p>
    <w:p w14:paraId="6C33FEAD" w14:textId="77777777" w:rsidR="00544649" w:rsidRDefault="00000000">
      <w:pPr>
        <w:adjustRightInd w:val="0"/>
        <w:snapToGrid w:val="0"/>
        <w:spacing w:after="0"/>
        <w:ind w:firstLine="480"/>
        <w:rPr>
          <w:rFonts w:cs="Times New Roman"/>
          <w:kern w:val="21"/>
          <w:szCs w:val="24"/>
        </w:rPr>
      </w:pPr>
      <w:r>
        <w:rPr>
          <w:rFonts w:cs="Times New Roman"/>
          <w:kern w:val="21"/>
          <w:szCs w:val="24"/>
        </w:rPr>
        <w:t>4</w:t>
      </w:r>
      <w:r>
        <w:rPr>
          <w:rFonts w:cs="Times New Roman"/>
          <w:kern w:val="21"/>
          <w:szCs w:val="24"/>
        </w:rPr>
        <w:t>、项目不得随意增大危险化学品存储量或使用量，项目不得构成重大危险源；并且，项目应根据场区实际情况以及消防、公安、环保等部门和国家其他相关规定，进一步制订符合其自身实际情况和运营需要的紧急事故应急预案和应急组织系统，以期在发生环境风险事故时，将各类环境风险影响控制在可接受范围内。</w:t>
      </w:r>
    </w:p>
    <w:p w14:paraId="21BE31C7" w14:textId="77777777" w:rsidR="00544649" w:rsidRDefault="00000000">
      <w:pPr>
        <w:adjustRightInd w:val="0"/>
        <w:snapToGrid w:val="0"/>
        <w:spacing w:after="0"/>
        <w:ind w:firstLine="480"/>
        <w:rPr>
          <w:rFonts w:cs="Times New Roman"/>
          <w:kern w:val="21"/>
          <w:szCs w:val="24"/>
        </w:rPr>
      </w:pPr>
      <w:r>
        <w:rPr>
          <w:rFonts w:cs="Times New Roman"/>
          <w:kern w:val="21"/>
          <w:szCs w:val="24"/>
        </w:rPr>
        <w:t>5</w:t>
      </w:r>
      <w:r>
        <w:rPr>
          <w:rFonts w:cs="Times New Roman"/>
          <w:kern w:val="21"/>
          <w:szCs w:val="24"/>
        </w:rPr>
        <w:t>、定期委托当地环境监测站或具有检测资质的第三方检测单位进行污染源监测，同时建立监测档案。</w:t>
      </w:r>
    </w:p>
    <w:p w14:paraId="18886DBF" w14:textId="77777777" w:rsidR="00544649" w:rsidRDefault="00000000">
      <w:pPr>
        <w:adjustRightInd w:val="0"/>
        <w:snapToGrid w:val="0"/>
        <w:spacing w:after="0"/>
        <w:ind w:firstLine="480"/>
        <w:rPr>
          <w:rFonts w:cs="Times New Roman"/>
          <w:kern w:val="21"/>
          <w:szCs w:val="24"/>
        </w:rPr>
      </w:pPr>
      <w:r>
        <w:rPr>
          <w:rFonts w:cs="Times New Roman"/>
          <w:kern w:val="21"/>
          <w:szCs w:val="24"/>
        </w:rPr>
        <w:t>6</w:t>
      </w:r>
      <w:r>
        <w:rPr>
          <w:rFonts w:cs="Times New Roman"/>
          <w:kern w:val="21"/>
          <w:szCs w:val="24"/>
        </w:rPr>
        <w:t>、认真贯彻执行国家和地方的各项环保法规和方针政策，建立一套完善的</w:t>
      </w:r>
      <w:r>
        <w:rPr>
          <w:rFonts w:cs="Times New Roman"/>
          <w:kern w:val="21"/>
          <w:szCs w:val="24"/>
        </w:rPr>
        <w:t>“</w:t>
      </w:r>
      <w:r>
        <w:rPr>
          <w:rFonts w:cs="Times New Roman"/>
          <w:kern w:val="21"/>
          <w:szCs w:val="24"/>
        </w:rPr>
        <w:t>环境管理手册</w:t>
      </w:r>
      <w:r>
        <w:rPr>
          <w:rFonts w:cs="Times New Roman"/>
          <w:kern w:val="21"/>
          <w:szCs w:val="24"/>
        </w:rPr>
        <w:t>”</w:t>
      </w:r>
      <w:r>
        <w:rPr>
          <w:rFonts w:cs="Times New Roman"/>
          <w:kern w:val="21"/>
          <w:szCs w:val="24"/>
        </w:rPr>
        <w:t>，落实环境管理规章制度，强化管理，确定专门的环境管理人员，落实专人</w:t>
      </w:r>
      <w:r>
        <w:rPr>
          <w:rFonts w:cs="Times New Roman"/>
          <w:kern w:val="21"/>
          <w:szCs w:val="24"/>
        </w:rPr>
        <w:lastRenderedPageBreak/>
        <w:t>负责环保处理设施的运行和维护，接受当地环保部门的监督和管理。在当地环保部门的指导下，定期对污染物进行监测，并建立污染物管理档案。</w:t>
      </w:r>
    </w:p>
    <w:p w14:paraId="44E6F2AE" w14:textId="77777777" w:rsidR="00544649" w:rsidRDefault="00000000">
      <w:pPr>
        <w:keepNext/>
        <w:keepLines/>
        <w:numPr>
          <w:ilvl w:val="2"/>
          <w:numId w:val="9"/>
        </w:numPr>
        <w:adjustRightInd w:val="0"/>
        <w:snapToGrid w:val="0"/>
        <w:spacing w:after="0"/>
        <w:ind w:firstLineChars="0"/>
        <w:jc w:val="left"/>
        <w:outlineLvl w:val="2"/>
        <w:rPr>
          <w:rFonts w:cs="Times New Roman"/>
          <w:b/>
          <w:bCs/>
          <w:kern w:val="21"/>
          <w:sz w:val="28"/>
          <w:szCs w:val="24"/>
        </w:rPr>
      </w:pPr>
      <w:bookmarkStart w:id="489" w:name="_Toc2599"/>
      <w:bookmarkStart w:id="490" w:name="_Toc195009962"/>
      <w:r>
        <w:rPr>
          <w:rFonts w:cs="Times New Roman"/>
          <w:b/>
          <w:bCs/>
          <w:kern w:val="21"/>
          <w:sz w:val="28"/>
          <w:szCs w:val="24"/>
        </w:rPr>
        <w:t>建议</w:t>
      </w:r>
      <w:bookmarkEnd w:id="489"/>
      <w:bookmarkEnd w:id="490"/>
    </w:p>
    <w:p w14:paraId="6AF8E330" w14:textId="77777777" w:rsidR="00544649" w:rsidRDefault="00000000">
      <w:pPr>
        <w:numPr>
          <w:ilvl w:val="0"/>
          <w:numId w:val="43"/>
        </w:numPr>
        <w:adjustRightInd w:val="0"/>
        <w:snapToGrid w:val="0"/>
        <w:spacing w:after="0"/>
        <w:ind w:firstLine="480"/>
        <w:rPr>
          <w:rFonts w:cs="Times New Roman"/>
          <w:kern w:val="21"/>
          <w:szCs w:val="24"/>
        </w:rPr>
      </w:pPr>
      <w:r>
        <w:rPr>
          <w:rFonts w:cs="Times New Roman"/>
          <w:kern w:val="21"/>
          <w:szCs w:val="24"/>
        </w:rPr>
        <w:t>认真贯彻执行国家和四川省的各项环保法规和要求，建立健全各项环保规章制度，严格执行</w:t>
      </w:r>
      <w:r>
        <w:rPr>
          <w:rFonts w:cs="Times New Roman"/>
          <w:kern w:val="21"/>
          <w:szCs w:val="24"/>
        </w:rPr>
        <w:t>“</w:t>
      </w:r>
      <w:r>
        <w:rPr>
          <w:rFonts w:cs="Times New Roman"/>
          <w:kern w:val="21"/>
          <w:szCs w:val="24"/>
        </w:rPr>
        <w:t>三同时</w:t>
      </w:r>
      <w:r>
        <w:rPr>
          <w:rFonts w:cs="Times New Roman"/>
          <w:kern w:val="21"/>
          <w:szCs w:val="24"/>
        </w:rPr>
        <w:t>”</w:t>
      </w:r>
      <w:r>
        <w:rPr>
          <w:rFonts w:cs="Times New Roman"/>
          <w:kern w:val="21"/>
          <w:szCs w:val="24"/>
        </w:rPr>
        <w:t>；</w:t>
      </w:r>
    </w:p>
    <w:p w14:paraId="69308A71" w14:textId="77777777" w:rsidR="00544649" w:rsidRDefault="00000000">
      <w:pPr>
        <w:numPr>
          <w:ilvl w:val="0"/>
          <w:numId w:val="43"/>
        </w:numPr>
        <w:adjustRightInd w:val="0"/>
        <w:snapToGrid w:val="0"/>
        <w:spacing w:after="0"/>
        <w:ind w:firstLine="480"/>
        <w:rPr>
          <w:rFonts w:cs="Times New Roman"/>
          <w:kern w:val="21"/>
        </w:rPr>
      </w:pPr>
      <w:r>
        <w:rPr>
          <w:rFonts w:cs="Times New Roman"/>
          <w:kern w:val="21"/>
          <w:szCs w:val="24"/>
        </w:rPr>
        <w:t>加强场区环境绿化，既可降噪、吸附臭气，又可美化环境</w:t>
      </w:r>
      <w:r>
        <w:rPr>
          <w:rFonts w:cs="Times New Roman" w:hint="eastAsia"/>
          <w:kern w:val="21"/>
          <w:szCs w:val="24"/>
        </w:rPr>
        <w:t>；</w:t>
      </w:r>
    </w:p>
    <w:p w14:paraId="063C015F" w14:textId="77777777" w:rsidR="00544649" w:rsidRDefault="00000000">
      <w:pPr>
        <w:numPr>
          <w:ilvl w:val="0"/>
          <w:numId w:val="43"/>
        </w:numPr>
        <w:adjustRightInd w:val="0"/>
        <w:snapToGrid w:val="0"/>
        <w:spacing w:after="0"/>
        <w:ind w:firstLine="480"/>
        <w:rPr>
          <w:rFonts w:cs="Times New Roman"/>
          <w:kern w:val="21"/>
        </w:rPr>
      </w:pPr>
      <w:r>
        <w:rPr>
          <w:rFonts w:hint="eastAsia"/>
          <w:kern w:val="21"/>
          <w:szCs w:val="24"/>
        </w:rPr>
        <w:t>按照“源头控制、分区防渗、跟踪监测、应急响应”的有关要求，落实地下水污染防治措施；</w:t>
      </w:r>
    </w:p>
    <w:p w14:paraId="470D57B4" w14:textId="77777777" w:rsidR="00544649" w:rsidRDefault="00000000">
      <w:pPr>
        <w:numPr>
          <w:ilvl w:val="0"/>
          <w:numId w:val="43"/>
        </w:numPr>
        <w:adjustRightInd w:val="0"/>
        <w:snapToGrid w:val="0"/>
        <w:spacing w:after="0"/>
        <w:ind w:firstLine="480"/>
        <w:rPr>
          <w:rFonts w:cs="Times New Roman"/>
          <w:kern w:val="21"/>
        </w:rPr>
      </w:pPr>
      <w:r>
        <w:rPr>
          <w:kern w:val="21"/>
          <w:szCs w:val="24"/>
        </w:rPr>
        <w:t>关心并积极听取周边居民等人员、单位的反映，定期向项目最高管理者和当地生态环境部门汇报项目环境保护工作的情况，同时接受当地生态环境部门的监督和管理。遵守有关环境法律、法规，树立良好的企业形象，实现经济效益与社会效益、环境效益相统一</w:t>
      </w:r>
      <w:r>
        <w:rPr>
          <w:rFonts w:hint="eastAsia"/>
          <w:kern w:val="21"/>
          <w:szCs w:val="24"/>
        </w:rPr>
        <w:t>；</w:t>
      </w:r>
    </w:p>
    <w:p w14:paraId="65EA6516" w14:textId="77777777" w:rsidR="00544649" w:rsidRDefault="00000000">
      <w:pPr>
        <w:numPr>
          <w:ilvl w:val="0"/>
          <w:numId w:val="43"/>
        </w:numPr>
        <w:adjustRightInd w:val="0"/>
        <w:snapToGrid w:val="0"/>
        <w:spacing w:after="0"/>
        <w:ind w:firstLineChars="0" w:firstLine="480"/>
        <w:rPr>
          <w:rFonts w:cs="Times New Roman"/>
          <w:kern w:val="21"/>
        </w:rPr>
      </w:pPr>
      <w:r>
        <w:rPr>
          <w:rFonts w:cs="Times New Roman" w:hint="eastAsia"/>
          <w:kern w:val="21"/>
        </w:rPr>
        <w:t>建设单位应及时向有关部门缴纳林地占用补偿费用，同时本报告要求在项目建设开始前需取得林地使用手续，在未取得林地使用手续的情况下不得开工建设；</w:t>
      </w:r>
    </w:p>
    <w:p w14:paraId="6C34EEE1" w14:textId="77777777" w:rsidR="00544649" w:rsidRDefault="00000000">
      <w:pPr>
        <w:numPr>
          <w:ilvl w:val="0"/>
          <w:numId w:val="43"/>
        </w:numPr>
        <w:adjustRightInd w:val="0"/>
        <w:snapToGrid w:val="0"/>
        <w:spacing w:after="0"/>
        <w:ind w:firstLine="480"/>
        <w:rPr>
          <w:rFonts w:cs="Times New Roman"/>
          <w:kern w:val="21"/>
        </w:rPr>
      </w:pPr>
      <w:r>
        <w:rPr>
          <w:rFonts w:ascii="宋体" w:hAnsi="宋体" w:cs="宋体"/>
          <w:kern w:val="21"/>
          <w:szCs w:val="24"/>
        </w:rPr>
        <w:t>项目投产后，在卫生防护距离以内的区域不得修建房屋、学校、医院等敏感点</w:t>
      </w:r>
      <w:r>
        <w:rPr>
          <w:rFonts w:ascii="宋体" w:hAnsi="宋体" w:cs="宋体" w:hint="eastAsia"/>
          <w:kern w:val="21"/>
          <w:szCs w:val="24"/>
        </w:rPr>
        <w:t>。</w:t>
      </w:r>
    </w:p>
    <w:sectPr w:rsidR="00544649">
      <w:pgSz w:w="11906" w:h="16838"/>
      <w:pgMar w:top="1134" w:right="1531" w:bottom="1134" w:left="1531" w:header="851" w:footer="7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71840" w14:textId="77777777" w:rsidR="00285850" w:rsidRDefault="00285850">
      <w:pPr>
        <w:spacing w:line="240" w:lineRule="auto"/>
        <w:ind w:firstLine="480"/>
      </w:pPr>
      <w:r>
        <w:separator/>
      </w:r>
    </w:p>
  </w:endnote>
  <w:endnote w:type="continuationSeparator" w:id="0">
    <w:p w14:paraId="1E9FE399" w14:textId="77777777" w:rsidR="00285850" w:rsidRDefault="0028585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TimesNewRomanPSMT">
    <w:altName w:val="等线"/>
    <w:charset w:val="86"/>
    <w:family w:val="auto"/>
    <w:pitch w:val="default"/>
  </w:font>
  <w:font w:name="TimesNewRomanPS-BoldMT">
    <w:altName w:val="宋体"/>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C8C11" w14:textId="77777777" w:rsidR="00544649" w:rsidRDefault="00544649">
    <w:pPr>
      <w:pStyle w:val="af"/>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752408"/>
    </w:sdtPr>
    <w:sdtContent>
      <w:p w14:paraId="0B99DB6C" w14:textId="77777777" w:rsidR="00544649" w:rsidRDefault="00000000">
        <w:pPr>
          <w:pStyle w:val="af"/>
          <w:spacing w:after="0"/>
          <w:ind w:firstLine="360"/>
          <w:jc w:val="center"/>
        </w:pPr>
        <w:r>
          <w:fldChar w:fldCharType="begin"/>
        </w:r>
        <w:r>
          <w:instrText>PAGE   \* MERGEFORMAT</w:instrText>
        </w:r>
        <w:r>
          <w:fldChar w:fldCharType="separate"/>
        </w:r>
        <w:r>
          <w:rPr>
            <w:lang w:val="zh-CN"/>
          </w:rPr>
          <w:t>306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0029D" w14:textId="77777777" w:rsidR="00544649" w:rsidRDefault="00544649">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F0C72" w14:textId="77777777" w:rsidR="00544649" w:rsidRDefault="00544649">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95714" w14:textId="77777777" w:rsidR="00544649" w:rsidRDefault="00544649">
    <w:pPr>
      <w:pStyle w:val="af"/>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2E16" w14:textId="77777777" w:rsidR="00544649" w:rsidRDefault="00544649">
    <w:pPr>
      <w:snapToGrid w:val="0"/>
      <w:ind w:firstLine="360"/>
      <w:jc w:val="left"/>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679F8" w14:textId="77777777" w:rsidR="00544649" w:rsidRDefault="00000000">
    <w:pPr>
      <w:pStyle w:val="af"/>
      <w:ind w:firstLine="360"/>
    </w:pPr>
    <w:r>
      <w:rPr>
        <w:noProof/>
      </w:rPr>
      <mc:AlternateContent>
        <mc:Choice Requires="wps">
          <w:drawing>
            <wp:anchor distT="0" distB="0" distL="114300" distR="114300" simplePos="0" relativeHeight="251663360" behindDoc="0" locked="0" layoutInCell="1" allowOverlap="1" wp14:anchorId="0F2D5B46" wp14:editId="5A135183">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121C89" w14:textId="77777777" w:rsidR="00544649" w:rsidRDefault="00544649">
                          <w:pPr>
                            <w:pStyle w:val="af"/>
                            <w:ind w:firstLine="360"/>
                            <w:jc w:val="cen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F2D5B46" id="_x0000_t202" coordsize="21600,21600" o:spt="202" path="m,l,21600r21600,l21600,xe">
              <v:stroke joinstyle="miter"/>
              <v:path gradientshapeok="t" o:connecttype="rect"/>
            </v:shapetype>
            <v:shape id="文本框 12" o:spid="_x0000_s1074"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4121C89" w14:textId="77777777" w:rsidR="00544649" w:rsidRDefault="00544649">
                    <w:pPr>
                      <w:pStyle w:val="ae"/>
                      <w:ind w:firstLine="360"/>
                      <w:jc w:val="center"/>
                    </w:pP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35B16" w14:textId="77777777" w:rsidR="00544649" w:rsidRDefault="00544649">
    <w:pPr>
      <w:tabs>
        <w:tab w:val="center" w:pos="4153"/>
        <w:tab w:val="right" w:pos="8306"/>
      </w:tabs>
      <w:snapToGrid w:val="0"/>
      <w:ind w:firstLine="360"/>
      <w:jc w:val="left"/>
      <w:rPr>
        <w:rFonts w:cs="Times New Roman"/>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59CEA" w14:textId="77777777" w:rsidR="00544649" w:rsidRDefault="00000000">
    <w:pPr>
      <w:pStyle w:val="af"/>
      <w:ind w:firstLine="360"/>
    </w:pPr>
    <w:r>
      <w:rPr>
        <w:noProof/>
      </w:rPr>
      <mc:AlternateContent>
        <mc:Choice Requires="wps">
          <w:drawing>
            <wp:anchor distT="0" distB="0" distL="114300" distR="114300" simplePos="0" relativeHeight="251664384" behindDoc="0" locked="0" layoutInCell="1" allowOverlap="1" wp14:anchorId="322AFA90" wp14:editId="35DB3656">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BFD74" w14:textId="77777777" w:rsidR="00544649" w:rsidRDefault="00544649">
                          <w:pPr>
                            <w:pStyle w:val="af"/>
                            <w:ind w:firstLine="360"/>
                            <w:jc w:val="cen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2AFA90" id="_x0000_t202" coordsize="21600,21600" o:spt="202" path="m,l,21600r21600,l21600,xe">
              <v:stroke joinstyle="miter"/>
              <v:path gradientshapeok="t" o:connecttype="rect"/>
            </v:shapetype>
            <v:shape id="文本框 41" o:spid="_x0000_s1075"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0DFBFD74" w14:textId="77777777" w:rsidR="00544649" w:rsidRDefault="00544649">
                    <w:pPr>
                      <w:pStyle w:val="ae"/>
                      <w:ind w:firstLine="360"/>
                      <w:jc w:val="center"/>
                    </w:pP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8750317"/>
    </w:sdtPr>
    <w:sdtContent>
      <w:p w14:paraId="4EF60F66" w14:textId="77777777" w:rsidR="00544649" w:rsidRDefault="00000000">
        <w:pPr>
          <w:pStyle w:val="af"/>
          <w:spacing w:after="0"/>
          <w:ind w:firstLine="360"/>
          <w:jc w:val="center"/>
        </w:pPr>
        <w:r>
          <w:fldChar w:fldCharType="begin"/>
        </w:r>
        <w:r>
          <w:instrText>PAGE   \* MERGEFORMAT</w:instrText>
        </w:r>
        <w:r>
          <w:fldChar w:fldCharType="separate"/>
        </w:r>
        <w:r>
          <w:rPr>
            <w:lang w:val="zh-CN"/>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8297C" w14:textId="77777777" w:rsidR="00285850" w:rsidRDefault="00285850">
      <w:pPr>
        <w:spacing w:after="0"/>
        <w:ind w:firstLine="480"/>
      </w:pPr>
      <w:r>
        <w:separator/>
      </w:r>
    </w:p>
  </w:footnote>
  <w:footnote w:type="continuationSeparator" w:id="0">
    <w:p w14:paraId="0D9C3C5D" w14:textId="77777777" w:rsidR="00285850" w:rsidRDefault="00285850">
      <w:pPr>
        <w:spacing w:after="0"/>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2B5AD" w14:textId="77777777" w:rsidR="00544649" w:rsidRDefault="00544649">
    <w:pPr>
      <w:pStyle w:val="a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F7372" w14:textId="77777777" w:rsidR="00544649" w:rsidRDefault="00544649">
    <w:pPr>
      <w:pStyle w:val="af1"/>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9F730" w14:textId="77777777" w:rsidR="00544649" w:rsidRDefault="00544649">
    <w:pPr>
      <w:pStyle w:val="af1"/>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2968B" w14:textId="77777777" w:rsidR="00544649" w:rsidRDefault="00544649">
    <w:pPr>
      <w:pStyle w:val="af1"/>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65200D7"/>
    <w:multiLevelType w:val="singleLevel"/>
    <w:tmpl w:val="865200D7"/>
    <w:lvl w:ilvl="0">
      <w:start w:val="1"/>
      <w:numFmt w:val="decimal"/>
      <w:suff w:val="nothing"/>
      <w:lvlText w:val="（%1）"/>
      <w:lvlJc w:val="left"/>
    </w:lvl>
  </w:abstractNum>
  <w:abstractNum w:abstractNumId="1" w15:restartNumberingAfterBreak="0">
    <w:nsid w:val="87A7F7BD"/>
    <w:multiLevelType w:val="multilevel"/>
    <w:tmpl w:val="87A7F7BD"/>
    <w:lvl w:ilvl="0">
      <w:start w:val="1"/>
      <w:numFmt w:val="decimal"/>
      <w:pStyle w:val="1"/>
      <w:lvlText w:val="%1"/>
      <w:lvlJc w:val="left"/>
      <w:pPr>
        <w:ind w:left="0" w:firstLine="0"/>
      </w:pPr>
      <w:rPr>
        <w:rFonts w:hint="default"/>
        <w:sz w:val="44"/>
        <w:szCs w:val="4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893BFB46"/>
    <w:multiLevelType w:val="singleLevel"/>
    <w:tmpl w:val="893BFB46"/>
    <w:lvl w:ilvl="0">
      <w:start w:val="1"/>
      <w:numFmt w:val="decimal"/>
      <w:suff w:val="nothing"/>
      <w:lvlText w:val="%1、"/>
      <w:lvlJc w:val="left"/>
    </w:lvl>
  </w:abstractNum>
  <w:abstractNum w:abstractNumId="3" w15:restartNumberingAfterBreak="0">
    <w:nsid w:val="93D4F256"/>
    <w:multiLevelType w:val="multilevel"/>
    <w:tmpl w:val="93D4F256"/>
    <w:lvl w:ilvl="0">
      <w:start w:val="1"/>
      <w:numFmt w:val="decimal"/>
      <w:suff w:val="space"/>
      <w:lvlText w:val="表1-%1"/>
      <w:lvlJc w:val="left"/>
      <w:pPr>
        <w:ind w:left="0" w:firstLine="0"/>
      </w:pPr>
      <w:rPr>
        <w:rFonts w:ascii="Times New Roman" w:eastAsia="宋体" w:hAnsi="Times New Roman" w:cs="Times New Roman" w:hint="default"/>
        <w:b/>
        <w:bCs/>
        <w:sz w:val="21"/>
        <w:szCs w:val="21"/>
        <w:vertAlign w:val="baseline"/>
      </w:rPr>
    </w:lvl>
    <w:lvl w:ilvl="1">
      <w:start w:val="1"/>
      <w:numFmt w:val="decimal"/>
      <w:lvlText w:val="%1.%2"/>
      <w:lvlJc w:val="left"/>
      <w:pPr>
        <w:ind w:left="567" w:hanging="567"/>
      </w:pPr>
      <w:rPr>
        <w:rFonts w:ascii="Times New Roman" w:eastAsia="宋体" w:hAnsi="Times New Roman" w:cs="Times New Roman" w:hint="default"/>
        <w:sz w:val="32"/>
        <w:szCs w:val="32"/>
      </w:rPr>
    </w:lvl>
    <w:lvl w:ilvl="2">
      <w:start w:val="1"/>
      <w:numFmt w:val="decimal"/>
      <w:isLgl/>
      <w:lvlText w:val="%1.%2.%3"/>
      <w:lvlJc w:val="left"/>
      <w:pPr>
        <w:ind w:left="709" w:hanging="709"/>
      </w:pPr>
      <w:rPr>
        <w:rFonts w:ascii="Times New Roman" w:eastAsia="宋体" w:hAnsi="Times New Roman" w:cs="Times New Roman" w:hint="default"/>
        <w:sz w:val="28"/>
        <w:szCs w:val="28"/>
      </w:rPr>
    </w:lvl>
    <w:lvl w:ilvl="3">
      <w:start w:val="1"/>
      <w:numFmt w:val="decimal"/>
      <w:lvlText w:val="%1.%2.%3.%4"/>
      <w:lvlJc w:val="left"/>
      <w:pPr>
        <w:ind w:left="2770" w:hanging="2770"/>
      </w:pPr>
      <w:rPr>
        <w:rFonts w:ascii="Times New Roman" w:eastAsia="宋体" w:hAnsi="Times New Roman" w:cs="Times New Roman" w:hint="default"/>
        <w:b/>
        <w:bCs/>
        <w:sz w:val="24"/>
        <w:szCs w:val="24"/>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 w15:restartNumberingAfterBreak="0">
    <w:nsid w:val="9C15EB98"/>
    <w:multiLevelType w:val="singleLevel"/>
    <w:tmpl w:val="9C15EB98"/>
    <w:lvl w:ilvl="0">
      <w:start w:val="1"/>
      <w:numFmt w:val="decimal"/>
      <w:suff w:val="nothing"/>
      <w:lvlText w:val="（%1）"/>
      <w:lvlJc w:val="left"/>
      <w:rPr>
        <w:rFonts w:ascii="Times New Roman" w:hAnsi="Times New Roman" w:cs="Times New Roman" w:hint="default"/>
        <w:sz w:val="24"/>
        <w:szCs w:val="24"/>
        <w:lang w:val="en-US"/>
      </w:rPr>
    </w:lvl>
  </w:abstractNum>
  <w:abstractNum w:abstractNumId="5" w15:restartNumberingAfterBreak="0">
    <w:nsid w:val="9CA7B020"/>
    <w:multiLevelType w:val="singleLevel"/>
    <w:tmpl w:val="9CA7B020"/>
    <w:lvl w:ilvl="0">
      <w:start w:val="1"/>
      <w:numFmt w:val="decimal"/>
      <w:suff w:val="nothing"/>
      <w:lvlText w:val="（%1）"/>
      <w:lvlJc w:val="left"/>
    </w:lvl>
  </w:abstractNum>
  <w:abstractNum w:abstractNumId="6" w15:restartNumberingAfterBreak="0">
    <w:nsid w:val="A6079142"/>
    <w:multiLevelType w:val="singleLevel"/>
    <w:tmpl w:val="A6079142"/>
    <w:lvl w:ilvl="0">
      <w:start w:val="1"/>
      <w:numFmt w:val="decimal"/>
      <w:lvlText w:val="图11-%1"/>
      <w:lvlJc w:val="left"/>
      <w:pPr>
        <w:ind w:left="425" w:hanging="425"/>
      </w:pPr>
      <w:rPr>
        <w:rFonts w:ascii="Times New Roman" w:eastAsia="宋体" w:hAnsi="Times New Roman" w:cs="Times New Roman" w:hint="default"/>
        <w:b/>
        <w:bCs/>
        <w:sz w:val="21"/>
        <w:szCs w:val="21"/>
      </w:rPr>
    </w:lvl>
  </w:abstractNum>
  <w:abstractNum w:abstractNumId="7" w15:restartNumberingAfterBreak="0">
    <w:nsid w:val="A9AEA812"/>
    <w:multiLevelType w:val="singleLevel"/>
    <w:tmpl w:val="A9AEA812"/>
    <w:lvl w:ilvl="0">
      <w:start w:val="1"/>
      <w:numFmt w:val="decimal"/>
      <w:suff w:val="nothing"/>
      <w:lvlText w:val="（%1）"/>
      <w:lvlJc w:val="left"/>
    </w:lvl>
  </w:abstractNum>
  <w:abstractNum w:abstractNumId="8" w15:restartNumberingAfterBreak="0">
    <w:nsid w:val="B5445068"/>
    <w:multiLevelType w:val="singleLevel"/>
    <w:tmpl w:val="B5445068"/>
    <w:lvl w:ilvl="0">
      <w:start w:val="1"/>
      <w:numFmt w:val="decimal"/>
      <w:suff w:val="nothing"/>
      <w:lvlText w:val="%1、"/>
      <w:lvlJc w:val="left"/>
    </w:lvl>
  </w:abstractNum>
  <w:abstractNum w:abstractNumId="9" w15:restartNumberingAfterBreak="0">
    <w:nsid w:val="C0A28C0A"/>
    <w:multiLevelType w:val="multilevel"/>
    <w:tmpl w:val="C0A28C0A"/>
    <w:lvl w:ilvl="0">
      <w:start w:val="1"/>
      <w:numFmt w:val="decimal"/>
      <w:lvlText w:val="%1."/>
      <w:lvlJc w:val="left"/>
      <w:pPr>
        <w:ind w:left="432" w:hanging="432"/>
      </w:pPr>
      <w:rPr>
        <w:rFonts w:ascii="Times New Roman" w:hAnsi="Times New Roman" w:cs="Times New Roman" w:hint="default"/>
      </w:rPr>
    </w:lvl>
    <w:lvl w:ilvl="1">
      <w:start w:val="1"/>
      <w:numFmt w:val="decimal"/>
      <w:lvlText w:val="%1.%2."/>
      <w:lvlJc w:val="left"/>
      <w:pPr>
        <w:ind w:left="575" w:hanging="575"/>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10" w15:restartNumberingAfterBreak="0">
    <w:nsid w:val="C69BA11A"/>
    <w:multiLevelType w:val="singleLevel"/>
    <w:tmpl w:val="C69BA11A"/>
    <w:lvl w:ilvl="0">
      <w:start w:val="1"/>
      <w:numFmt w:val="decimal"/>
      <w:suff w:val="nothing"/>
      <w:lvlText w:val="%1、"/>
      <w:lvlJc w:val="left"/>
      <w:rPr>
        <w:rFonts w:hint="default"/>
        <w:sz w:val="24"/>
        <w:szCs w:val="24"/>
      </w:rPr>
    </w:lvl>
  </w:abstractNum>
  <w:abstractNum w:abstractNumId="11" w15:restartNumberingAfterBreak="0">
    <w:nsid w:val="CBD35F2F"/>
    <w:multiLevelType w:val="singleLevel"/>
    <w:tmpl w:val="CBD35F2F"/>
    <w:lvl w:ilvl="0">
      <w:start w:val="1"/>
      <w:numFmt w:val="decimal"/>
      <w:suff w:val="nothing"/>
      <w:lvlText w:val="%1、"/>
      <w:lvlJc w:val="left"/>
    </w:lvl>
  </w:abstractNum>
  <w:abstractNum w:abstractNumId="12" w15:restartNumberingAfterBreak="0">
    <w:nsid w:val="CE103A73"/>
    <w:multiLevelType w:val="singleLevel"/>
    <w:tmpl w:val="CE103A73"/>
    <w:lvl w:ilvl="0">
      <w:start w:val="1"/>
      <w:numFmt w:val="decimal"/>
      <w:lvlText w:val="表11-%1"/>
      <w:lvlJc w:val="left"/>
      <w:pPr>
        <w:ind w:left="425" w:hanging="425"/>
      </w:pPr>
      <w:rPr>
        <w:rFonts w:ascii="Times New Roman" w:eastAsia="宋体" w:hAnsi="Times New Roman" w:cs="Times New Roman" w:hint="default"/>
        <w:b/>
        <w:bCs/>
        <w:sz w:val="21"/>
        <w:szCs w:val="21"/>
      </w:rPr>
    </w:lvl>
  </w:abstractNum>
  <w:abstractNum w:abstractNumId="13" w15:restartNumberingAfterBreak="0">
    <w:nsid w:val="CE6E377A"/>
    <w:multiLevelType w:val="multilevel"/>
    <w:tmpl w:val="CE6E377A"/>
    <w:lvl w:ilvl="0">
      <w:start w:val="1"/>
      <w:numFmt w:val="decimal"/>
      <w:suff w:val="space"/>
      <w:lvlText w:val="图5-%1"/>
      <w:lvlJc w:val="left"/>
      <w:pPr>
        <w:ind w:left="0" w:firstLine="0"/>
      </w:pPr>
      <w:rPr>
        <w:rFonts w:ascii="Times New Roman" w:eastAsia="宋体" w:hAnsi="Times New Roman" w:cs="宋体" w:hint="default"/>
        <w:b/>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D06D281F"/>
    <w:multiLevelType w:val="singleLevel"/>
    <w:tmpl w:val="D06D281F"/>
    <w:lvl w:ilvl="0">
      <w:start w:val="1"/>
      <w:numFmt w:val="decimal"/>
      <w:suff w:val="nothing"/>
      <w:lvlText w:val="（%1）"/>
      <w:lvlJc w:val="left"/>
    </w:lvl>
  </w:abstractNum>
  <w:abstractNum w:abstractNumId="15" w15:restartNumberingAfterBreak="0">
    <w:nsid w:val="D2781893"/>
    <w:multiLevelType w:val="singleLevel"/>
    <w:tmpl w:val="D2781893"/>
    <w:lvl w:ilvl="0">
      <w:start w:val="1"/>
      <w:numFmt w:val="decimal"/>
      <w:suff w:val="nothing"/>
      <w:lvlText w:val="%1、"/>
      <w:lvlJc w:val="left"/>
    </w:lvl>
  </w:abstractNum>
  <w:abstractNum w:abstractNumId="16" w15:restartNumberingAfterBreak="0">
    <w:nsid w:val="DD145C16"/>
    <w:multiLevelType w:val="singleLevel"/>
    <w:tmpl w:val="DD145C16"/>
    <w:lvl w:ilvl="0">
      <w:start w:val="1"/>
      <w:numFmt w:val="decimal"/>
      <w:lvlText w:val="表2-%1"/>
      <w:lvlJc w:val="left"/>
      <w:pPr>
        <w:ind w:left="0" w:firstLine="0"/>
      </w:pPr>
      <w:rPr>
        <w:rFonts w:ascii="Times New Roman" w:eastAsia="宋体" w:hAnsi="Times New Roman" w:cs="Times New Roman" w:hint="default"/>
        <w:b/>
        <w:bCs/>
        <w:sz w:val="21"/>
        <w:szCs w:val="21"/>
      </w:rPr>
    </w:lvl>
  </w:abstractNum>
  <w:abstractNum w:abstractNumId="17" w15:restartNumberingAfterBreak="0">
    <w:nsid w:val="E44B9164"/>
    <w:multiLevelType w:val="singleLevel"/>
    <w:tmpl w:val="E44B9164"/>
    <w:lvl w:ilvl="0">
      <w:start w:val="1"/>
      <w:numFmt w:val="decimal"/>
      <w:lvlText w:val="表6-%1"/>
      <w:lvlJc w:val="left"/>
      <w:pPr>
        <w:ind w:left="0" w:firstLine="0"/>
      </w:pPr>
      <w:rPr>
        <w:rFonts w:ascii="Times New Roman" w:eastAsia="宋体" w:hAnsi="Times New Roman" w:cs="Times New Roman" w:hint="default"/>
        <w:b/>
        <w:bCs/>
        <w:sz w:val="21"/>
        <w:szCs w:val="21"/>
      </w:rPr>
    </w:lvl>
  </w:abstractNum>
  <w:abstractNum w:abstractNumId="18" w15:restartNumberingAfterBreak="0">
    <w:nsid w:val="F1AD1FED"/>
    <w:multiLevelType w:val="singleLevel"/>
    <w:tmpl w:val="F1AD1FED"/>
    <w:lvl w:ilvl="0">
      <w:start w:val="1"/>
      <w:numFmt w:val="decimal"/>
      <w:suff w:val="nothing"/>
      <w:lvlText w:val="（%1）"/>
      <w:lvlJc w:val="left"/>
    </w:lvl>
  </w:abstractNum>
  <w:abstractNum w:abstractNumId="19" w15:restartNumberingAfterBreak="0">
    <w:nsid w:val="FE98C0B7"/>
    <w:multiLevelType w:val="singleLevel"/>
    <w:tmpl w:val="FE98C0B7"/>
    <w:lvl w:ilvl="0">
      <w:start w:val="1"/>
      <w:numFmt w:val="decimal"/>
      <w:suff w:val="nothing"/>
      <w:lvlText w:val="（%1）"/>
      <w:lvlJc w:val="left"/>
      <w:pPr>
        <w:ind w:left="1417"/>
      </w:pPr>
      <w:rPr>
        <w:rFonts w:ascii="Times New Roman" w:hAnsi="Times New Roman" w:cs="Times New Roman" w:hint="default"/>
        <w:sz w:val="24"/>
        <w:szCs w:val="24"/>
      </w:rPr>
    </w:lvl>
  </w:abstractNum>
  <w:abstractNum w:abstractNumId="20" w15:restartNumberingAfterBreak="0">
    <w:nsid w:val="FF269813"/>
    <w:multiLevelType w:val="singleLevel"/>
    <w:tmpl w:val="FF269813"/>
    <w:lvl w:ilvl="0">
      <w:start w:val="1"/>
      <w:numFmt w:val="decimal"/>
      <w:suff w:val="nothing"/>
      <w:lvlText w:val="（%1）"/>
      <w:lvlJc w:val="left"/>
      <w:rPr>
        <w:rFonts w:hint="default"/>
        <w:b/>
        <w:bCs/>
      </w:rPr>
    </w:lvl>
  </w:abstractNum>
  <w:abstractNum w:abstractNumId="21" w15:restartNumberingAfterBreak="0">
    <w:nsid w:val="00DCF0A5"/>
    <w:multiLevelType w:val="singleLevel"/>
    <w:tmpl w:val="00DCF0A5"/>
    <w:lvl w:ilvl="0">
      <w:start w:val="1"/>
      <w:numFmt w:val="decimal"/>
      <w:suff w:val="nothing"/>
      <w:lvlText w:val="（%1）"/>
      <w:lvlJc w:val="left"/>
      <w:rPr>
        <w:rFonts w:ascii="Times New Roman" w:hAnsi="Times New Roman" w:cs="Times New Roman" w:hint="default"/>
        <w:sz w:val="24"/>
        <w:szCs w:val="24"/>
      </w:rPr>
    </w:lvl>
  </w:abstractNum>
  <w:abstractNum w:abstractNumId="22" w15:restartNumberingAfterBreak="0">
    <w:nsid w:val="02002295"/>
    <w:multiLevelType w:val="multilevel"/>
    <w:tmpl w:val="02002295"/>
    <w:lvl w:ilvl="0">
      <w:start w:val="1"/>
      <w:numFmt w:val="decimal"/>
      <w:suff w:val="space"/>
      <w:lvlText w:val="%1"/>
      <w:lvlJc w:val="left"/>
      <w:pPr>
        <w:ind w:left="0" w:firstLine="0"/>
      </w:pPr>
      <w:rPr>
        <w:rFonts w:ascii="Times New Roman" w:eastAsia="宋体" w:hAnsi="Times New Roman" w:cs="Times New Roman" w:hint="default"/>
        <w:b/>
        <w:bCs/>
        <w:sz w:val="36"/>
        <w:szCs w:val="36"/>
      </w:rPr>
    </w:lvl>
    <w:lvl w:ilvl="1">
      <w:start w:val="1"/>
      <w:numFmt w:val="decimal"/>
      <w:suff w:val="space"/>
      <w:lvlText w:val="%1.%2"/>
      <w:lvlJc w:val="left"/>
      <w:pPr>
        <w:ind w:left="0" w:firstLine="0"/>
      </w:pPr>
      <w:rPr>
        <w:rFonts w:ascii="Times New Roman" w:eastAsia="宋体" w:hAnsi="Times New Roman" w:cs="Times New Roman" w:hint="default"/>
        <w:b/>
        <w:bCs/>
        <w:sz w:val="32"/>
        <w:szCs w:val="32"/>
      </w:rPr>
    </w:lvl>
    <w:lvl w:ilvl="2">
      <w:start w:val="1"/>
      <w:numFmt w:val="decimal"/>
      <w:isLgl/>
      <w:suff w:val="space"/>
      <w:lvlText w:val="%1.%2.%3"/>
      <w:lvlJc w:val="left"/>
      <w:pPr>
        <w:ind w:left="0" w:firstLine="0"/>
      </w:pPr>
      <w:rPr>
        <w:rFonts w:ascii="Times New Roman" w:eastAsia="宋体" w:hAnsi="Times New Roman" w:cs="Times New Roman" w:hint="default"/>
        <w:b/>
        <w:bCs/>
        <w:sz w:val="28"/>
        <w:szCs w:val="28"/>
      </w:rPr>
    </w:lvl>
    <w:lvl w:ilvl="3">
      <w:start w:val="1"/>
      <w:numFmt w:val="decimal"/>
      <w:lvlText w:val="%1.%2.%3.%4"/>
      <w:lvlJc w:val="left"/>
      <w:pPr>
        <w:ind w:left="0" w:firstLine="0"/>
      </w:pPr>
      <w:rPr>
        <w:rFonts w:ascii="Times New Roman" w:eastAsia="宋体" w:hAnsi="Times New Roman" w:cs="Times New Roman" w:hint="default"/>
        <w:b/>
        <w:bCs/>
        <w:sz w:val="24"/>
        <w:szCs w:val="24"/>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3" w15:restartNumberingAfterBreak="0">
    <w:nsid w:val="087A2027"/>
    <w:multiLevelType w:val="singleLevel"/>
    <w:tmpl w:val="087A2027"/>
    <w:lvl w:ilvl="0">
      <w:start w:val="1"/>
      <w:numFmt w:val="decimal"/>
      <w:suff w:val="nothing"/>
      <w:lvlText w:val="（%1）"/>
      <w:lvlJc w:val="left"/>
    </w:lvl>
  </w:abstractNum>
  <w:abstractNum w:abstractNumId="24" w15:restartNumberingAfterBreak="0">
    <w:nsid w:val="0F3DCE2A"/>
    <w:multiLevelType w:val="singleLevel"/>
    <w:tmpl w:val="0F3DCE2A"/>
    <w:lvl w:ilvl="0">
      <w:start w:val="1"/>
      <w:numFmt w:val="decimal"/>
      <w:suff w:val="nothing"/>
      <w:lvlText w:val="（%1）"/>
      <w:lvlJc w:val="left"/>
      <w:pPr>
        <w:ind w:left="240"/>
      </w:pPr>
      <w:rPr>
        <w:rFonts w:hint="default"/>
        <w:sz w:val="24"/>
        <w:szCs w:val="24"/>
      </w:rPr>
    </w:lvl>
  </w:abstractNum>
  <w:abstractNum w:abstractNumId="25" w15:restartNumberingAfterBreak="0">
    <w:nsid w:val="11CF9AAC"/>
    <w:multiLevelType w:val="singleLevel"/>
    <w:tmpl w:val="11CF9AAC"/>
    <w:lvl w:ilvl="0">
      <w:start w:val="1"/>
      <w:numFmt w:val="decimal"/>
      <w:lvlText w:val="表3-%1"/>
      <w:lvlJc w:val="left"/>
      <w:pPr>
        <w:ind w:left="0" w:firstLine="0"/>
      </w:pPr>
      <w:rPr>
        <w:rFonts w:ascii="Times New Roman" w:eastAsia="宋体" w:hAnsi="Times New Roman" w:cs="Times New Roman" w:hint="default"/>
        <w:b/>
        <w:bCs/>
        <w:sz w:val="21"/>
        <w:szCs w:val="21"/>
      </w:rPr>
    </w:lvl>
  </w:abstractNum>
  <w:abstractNum w:abstractNumId="26" w15:restartNumberingAfterBreak="0">
    <w:nsid w:val="1217271D"/>
    <w:multiLevelType w:val="multilevel"/>
    <w:tmpl w:val="1217271D"/>
    <w:lvl w:ilvl="0">
      <w:start w:val="1"/>
      <w:numFmt w:val="decimal"/>
      <w:pStyle w:val="a"/>
      <w:lvlText w:val="%1"/>
      <w:lvlJc w:val="left"/>
      <w:pPr>
        <w:ind w:left="432" w:hanging="432"/>
      </w:pPr>
    </w:lvl>
    <w:lvl w:ilvl="1">
      <w:start w:val="1"/>
      <w:numFmt w:val="decimal"/>
      <w:lvlText w:val="%1.%2"/>
      <w:lvlJc w:val="left"/>
      <w:pPr>
        <w:ind w:left="576" w:hanging="576"/>
      </w:pPr>
      <w:rPr>
        <w:b w:val="0"/>
      </w:r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vanish w:val="0"/>
        <w:spacing w:val="0"/>
        <w:position w:val="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159EEBC9"/>
    <w:multiLevelType w:val="multilevel"/>
    <w:tmpl w:val="159EEBC9"/>
    <w:lvl w:ilvl="0">
      <w:start w:val="1"/>
      <w:numFmt w:val="decimal"/>
      <w:lvlText w:val="%1"/>
      <w:lvlJc w:val="left"/>
      <w:pPr>
        <w:ind w:left="425" w:hanging="425"/>
      </w:pPr>
      <w:rPr>
        <w:rFonts w:ascii="Times New Roman" w:eastAsia="宋体" w:hAnsi="Times New Roman" w:cs="Times New Roman" w:hint="default"/>
        <w:sz w:val="36"/>
        <w:szCs w:val="36"/>
      </w:rPr>
    </w:lvl>
    <w:lvl w:ilvl="1">
      <w:start w:val="1"/>
      <w:numFmt w:val="decimal"/>
      <w:suff w:val="space"/>
      <w:lvlText w:val="%1.%2"/>
      <w:lvlJc w:val="left"/>
      <w:pPr>
        <w:ind w:left="0" w:firstLine="0"/>
      </w:pPr>
      <w:rPr>
        <w:rFonts w:ascii="Times New Roman" w:eastAsia="宋体" w:hAnsi="Times New Roman" w:cs="Times New Roman" w:hint="default"/>
        <w:sz w:val="32"/>
        <w:szCs w:val="32"/>
      </w:rPr>
    </w:lvl>
    <w:lvl w:ilvl="2">
      <w:start w:val="1"/>
      <w:numFmt w:val="decimal"/>
      <w:isLgl/>
      <w:suff w:val="space"/>
      <w:lvlText w:val="%1.%2.%3"/>
      <w:lvlJc w:val="left"/>
      <w:pPr>
        <w:ind w:left="0" w:firstLine="0"/>
      </w:pPr>
      <w:rPr>
        <w:rFonts w:ascii="Times New Roman" w:eastAsia="宋体" w:hAnsi="Times New Roman" w:cs="Times New Roman" w:hint="default"/>
        <w:b/>
        <w:bCs/>
        <w:sz w:val="28"/>
        <w:szCs w:val="28"/>
      </w:rPr>
    </w:lvl>
    <w:lvl w:ilvl="3">
      <w:start w:val="1"/>
      <w:numFmt w:val="decimal"/>
      <w:pStyle w:val="4"/>
      <w:suff w:val="space"/>
      <w:lvlText w:val="%1.%2.%3.%4"/>
      <w:lvlJc w:val="left"/>
      <w:pPr>
        <w:ind w:left="0" w:firstLine="0"/>
      </w:pPr>
      <w:rPr>
        <w:rFonts w:ascii="Times New Roman" w:eastAsia="宋体" w:hAnsi="Times New Roman" w:cs="Times New Roman" w:hint="default"/>
        <w:b/>
        <w:bCs/>
        <w:sz w:val="24"/>
        <w:szCs w:val="24"/>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8" w15:restartNumberingAfterBreak="0">
    <w:nsid w:val="18D0239A"/>
    <w:multiLevelType w:val="multilevel"/>
    <w:tmpl w:val="18D0239A"/>
    <w:lvl w:ilvl="0">
      <w:start w:val="1"/>
      <w:numFmt w:val="decimal"/>
      <w:lvlText w:val="%1"/>
      <w:lvlJc w:val="left"/>
      <w:pPr>
        <w:ind w:left="425" w:hanging="425"/>
      </w:pPr>
      <w:rPr>
        <w:rFonts w:ascii="Times New Roman" w:eastAsia="宋体" w:hAnsi="Times New Roman" w:cs="Times New Roman" w:hint="default"/>
        <w:b/>
        <w:bCs/>
        <w:sz w:val="36"/>
        <w:szCs w:val="36"/>
      </w:rPr>
    </w:lvl>
    <w:lvl w:ilvl="1">
      <w:start w:val="1"/>
      <w:numFmt w:val="decimal"/>
      <w:lvlText w:val="%1.%2"/>
      <w:lvlJc w:val="left"/>
      <w:pPr>
        <w:ind w:left="0" w:firstLine="0"/>
      </w:pPr>
      <w:rPr>
        <w:rFonts w:ascii="Times New Roman" w:eastAsia="宋体" w:hAnsi="Times New Roman" w:cs="Times New Roman" w:hint="default"/>
        <w:b/>
        <w:bCs/>
        <w:sz w:val="32"/>
        <w:szCs w:val="32"/>
      </w:rPr>
    </w:lvl>
    <w:lvl w:ilvl="2">
      <w:start w:val="1"/>
      <w:numFmt w:val="decimal"/>
      <w:isLgl/>
      <w:lvlText w:val="%1.%2.%3"/>
      <w:lvlJc w:val="left"/>
      <w:pPr>
        <w:ind w:left="0" w:firstLine="0"/>
      </w:pPr>
      <w:rPr>
        <w:rFonts w:ascii="Times New Roman" w:eastAsia="宋体" w:hAnsi="Times New Roman" w:cs="Times New Roman" w:hint="default"/>
        <w:b/>
        <w:bCs/>
        <w:sz w:val="28"/>
        <w:szCs w:val="28"/>
      </w:rPr>
    </w:lvl>
    <w:lvl w:ilvl="3">
      <w:start w:val="1"/>
      <w:numFmt w:val="decimal"/>
      <w:lvlText w:val="%1.%2.%3.%4"/>
      <w:lvlJc w:val="left"/>
      <w:pPr>
        <w:ind w:left="0" w:firstLine="0"/>
      </w:pPr>
      <w:rPr>
        <w:rFonts w:ascii="Times New Roman" w:eastAsia="宋体" w:hAnsi="Times New Roman" w:cs="Times New Roman" w:hint="default"/>
        <w:b/>
        <w:bCs/>
        <w:sz w:val="24"/>
        <w:szCs w:val="24"/>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9" w15:restartNumberingAfterBreak="0">
    <w:nsid w:val="26177196"/>
    <w:multiLevelType w:val="singleLevel"/>
    <w:tmpl w:val="26177196"/>
    <w:lvl w:ilvl="0">
      <w:start w:val="1"/>
      <w:numFmt w:val="decimal"/>
      <w:lvlText w:val="表8-%1"/>
      <w:lvlJc w:val="left"/>
      <w:pPr>
        <w:ind w:left="425" w:hanging="425"/>
      </w:pPr>
      <w:rPr>
        <w:rFonts w:ascii="Times New Roman" w:eastAsia="宋体" w:hAnsi="Times New Roman" w:cs="Times New Roman" w:hint="default"/>
        <w:b/>
        <w:bCs/>
        <w:sz w:val="21"/>
        <w:szCs w:val="21"/>
      </w:rPr>
    </w:lvl>
  </w:abstractNum>
  <w:abstractNum w:abstractNumId="30" w15:restartNumberingAfterBreak="0">
    <w:nsid w:val="269D414A"/>
    <w:multiLevelType w:val="multilevel"/>
    <w:tmpl w:val="269D414A"/>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 w15:restartNumberingAfterBreak="0">
    <w:nsid w:val="2B25BE4C"/>
    <w:multiLevelType w:val="singleLevel"/>
    <w:tmpl w:val="2B25BE4C"/>
    <w:lvl w:ilvl="0">
      <w:start w:val="1"/>
      <w:numFmt w:val="decimal"/>
      <w:suff w:val="nothing"/>
      <w:lvlText w:val="（%1）"/>
      <w:lvlJc w:val="left"/>
    </w:lvl>
  </w:abstractNum>
  <w:abstractNum w:abstractNumId="32" w15:restartNumberingAfterBreak="0">
    <w:nsid w:val="30F2044D"/>
    <w:multiLevelType w:val="singleLevel"/>
    <w:tmpl w:val="30F2044D"/>
    <w:lvl w:ilvl="0">
      <w:start w:val="1"/>
      <w:numFmt w:val="decimal"/>
      <w:suff w:val="nothing"/>
      <w:lvlText w:val="（%1）"/>
      <w:lvlJc w:val="left"/>
    </w:lvl>
  </w:abstractNum>
  <w:abstractNum w:abstractNumId="33" w15:restartNumberingAfterBreak="0">
    <w:nsid w:val="33C6BE64"/>
    <w:multiLevelType w:val="singleLevel"/>
    <w:tmpl w:val="33C6BE64"/>
    <w:lvl w:ilvl="0">
      <w:start w:val="1"/>
      <w:numFmt w:val="decimal"/>
      <w:lvlText w:val="图1-%1"/>
      <w:lvlJc w:val="left"/>
      <w:pPr>
        <w:tabs>
          <w:tab w:val="left" w:pos="420"/>
        </w:tabs>
        <w:ind w:left="425" w:hanging="425"/>
      </w:pPr>
      <w:rPr>
        <w:rFonts w:ascii="Times New Roman" w:eastAsia="宋体" w:hAnsi="Times New Roman" w:cs="Times New Roman" w:hint="default"/>
      </w:rPr>
    </w:lvl>
  </w:abstractNum>
  <w:abstractNum w:abstractNumId="34" w15:restartNumberingAfterBreak="0">
    <w:nsid w:val="387A5166"/>
    <w:multiLevelType w:val="singleLevel"/>
    <w:tmpl w:val="387A5166"/>
    <w:lvl w:ilvl="0">
      <w:start w:val="1"/>
      <w:numFmt w:val="decimal"/>
      <w:lvlText w:val="图1-%1"/>
      <w:lvlJc w:val="left"/>
      <w:pPr>
        <w:ind w:left="845" w:hanging="425"/>
      </w:pPr>
      <w:rPr>
        <w:rFonts w:ascii="Times New Roman" w:eastAsia="宋体" w:hAnsi="Times New Roman" w:cs="Times New Roman" w:hint="default"/>
        <w:b/>
        <w:bCs/>
        <w:sz w:val="21"/>
        <w:szCs w:val="21"/>
      </w:rPr>
    </w:lvl>
  </w:abstractNum>
  <w:abstractNum w:abstractNumId="35" w15:restartNumberingAfterBreak="0">
    <w:nsid w:val="477F7C5C"/>
    <w:multiLevelType w:val="multilevel"/>
    <w:tmpl w:val="477F7C5C"/>
    <w:lvl w:ilvl="0">
      <w:start w:val="1"/>
      <w:numFmt w:val="decimal"/>
      <w:lvlText w:val="图4-%1"/>
      <w:lvlJc w:val="left"/>
      <w:pPr>
        <w:ind w:left="420" w:hanging="420"/>
      </w:pPr>
      <w:rPr>
        <w:rFonts w:ascii="Times New Roman" w:hAnsi="Times New Roman" w:cs="Times New Roman" w:hint="default"/>
        <w:b/>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88A5C3E"/>
    <w:multiLevelType w:val="singleLevel"/>
    <w:tmpl w:val="488A5C3E"/>
    <w:lvl w:ilvl="0">
      <w:start w:val="1"/>
      <w:numFmt w:val="decimal"/>
      <w:suff w:val="nothing"/>
      <w:lvlText w:val="（%1）"/>
      <w:lvlJc w:val="left"/>
    </w:lvl>
  </w:abstractNum>
  <w:abstractNum w:abstractNumId="37" w15:restartNumberingAfterBreak="0">
    <w:nsid w:val="493CB2B3"/>
    <w:multiLevelType w:val="singleLevel"/>
    <w:tmpl w:val="493CB2B3"/>
    <w:lvl w:ilvl="0">
      <w:start w:val="1"/>
      <w:numFmt w:val="decimal"/>
      <w:lvlText w:val="表7-%1"/>
      <w:lvlJc w:val="left"/>
      <w:pPr>
        <w:ind w:left="425" w:hanging="425"/>
      </w:pPr>
      <w:rPr>
        <w:rFonts w:ascii="Times New Roman" w:eastAsia="宋体" w:hAnsi="Times New Roman" w:cs="Times New Roman" w:hint="default"/>
        <w:b/>
        <w:bCs/>
        <w:sz w:val="21"/>
        <w:szCs w:val="21"/>
      </w:rPr>
    </w:lvl>
  </w:abstractNum>
  <w:abstractNum w:abstractNumId="38" w15:restartNumberingAfterBreak="0">
    <w:nsid w:val="4D727DFA"/>
    <w:multiLevelType w:val="singleLevel"/>
    <w:tmpl w:val="4D727DFA"/>
    <w:lvl w:ilvl="0">
      <w:start w:val="1"/>
      <w:numFmt w:val="decimal"/>
      <w:suff w:val="nothing"/>
      <w:lvlText w:val="%1、"/>
      <w:lvlJc w:val="left"/>
    </w:lvl>
  </w:abstractNum>
  <w:abstractNum w:abstractNumId="39" w15:restartNumberingAfterBreak="0">
    <w:nsid w:val="72DED0DD"/>
    <w:multiLevelType w:val="singleLevel"/>
    <w:tmpl w:val="72DED0DD"/>
    <w:lvl w:ilvl="0">
      <w:start w:val="1"/>
      <w:numFmt w:val="decimal"/>
      <w:lvlText w:val="表5-%1"/>
      <w:lvlJc w:val="left"/>
      <w:pPr>
        <w:ind w:left="425" w:hanging="425"/>
      </w:pPr>
      <w:rPr>
        <w:rFonts w:ascii="Times New Roman" w:eastAsia="宋体" w:hAnsi="Times New Roman" w:cs="Times New Roman" w:hint="default"/>
        <w:b/>
        <w:bCs/>
        <w:sz w:val="21"/>
        <w:szCs w:val="21"/>
        <w:lang w:val="en-US"/>
      </w:rPr>
    </w:lvl>
  </w:abstractNum>
  <w:abstractNum w:abstractNumId="40" w15:restartNumberingAfterBreak="0">
    <w:nsid w:val="73A74A94"/>
    <w:multiLevelType w:val="singleLevel"/>
    <w:tmpl w:val="73A74A94"/>
    <w:lvl w:ilvl="0">
      <w:start w:val="1"/>
      <w:numFmt w:val="decimal"/>
      <w:suff w:val="nothing"/>
      <w:lvlText w:val="（%1）"/>
      <w:lvlJc w:val="left"/>
      <w:rPr>
        <w:rFonts w:hint="default"/>
        <w:b w:val="0"/>
        <w:bCs w:val="0"/>
      </w:rPr>
    </w:lvl>
  </w:abstractNum>
  <w:abstractNum w:abstractNumId="41" w15:restartNumberingAfterBreak="0">
    <w:nsid w:val="76E054E8"/>
    <w:multiLevelType w:val="singleLevel"/>
    <w:tmpl w:val="76E054E8"/>
    <w:lvl w:ilvl="0">
      <w:start w:val="3"/>
      <w:numFmt w:val="chineseCounting"/>
      <w:suff w:val="nothing"/>
      <w:lvlText w:val="%1、"/>
      <w:lvlJc w:val="left"/>
      <w:rPr>
        <w:rFonts w:hint="eastAsia"/>
        <w:b/>
        <w:bCs/>
      </w:rPr>
    </w:lvl>
  </w:abstractNum>
  <w:abstractNum w:abstractNumId="42" w15:restartNumberingAfterBreak="0">
    <w:nsid w:val="7B57F684"/>
    <w:multiLevelType w:val="singleLevel"/>
    <w:tmpl w:val="7B57F684"/>
    <w:lvl w:ilvl="0">
      <w:start w:val="1"/>
      <w:numFmt w:val="decimal"/>
      <w:suff w:val="nothing"/>
      <w:lvlText w:val="%1、"/>
      <w:lvlJc w:val="left"/>
      <w:rPr>
        <w:color w:val="auto"/>
      </w:rPr>
    </w:lvl>
  </w:abstractNum>
  <w:num w:numId="1" w16cid:durableId="534540193">
    <w:abstractNumId w:val="1"/>
  </w:num>
  <w:num w:numId="2" w16cid:durableId="1767799157">
    <w:abstractNumId w:val="27"/>
  </w:num>
  <w:num w:numId="3" w16cid:durableId="252512738">
    <w:abstractNumId w:val="26"/>
  </w:num>
  <w:num w:numId="4" w16cid:durableId="1901548563">
    <w:abstractNumId w:val="33"/>
  </w:num>
  <w:num w:numId="5" w16cid:durableId="1769883512">
    <w:abstractNumId w:val="30"/>
  </w:num>
  <w:num w:numId="6" w16cid:durableId="1885482158">
    <w:abstractNumId w:val="19"/>
  </w:num>
  <w:num w:numId="7" w16cid:durableId="923488259">
    <w:abstractNumId w:val="23"/>
  </w:num>
  <w:num w:numId="8" w16cid:durableId="1242181905">
    <w:abstractNumId w:val="28"/>
  </w:num>
  <w:num w:numId="9" w16cid:durableId="271281091">
    <w:abstractNumId w:val="22"/>
  </w:num>
  <w:num w:numId="10" w16cid:durableId="1577982183">
    <w:abstractNumId w:val="4"/>
  </w:num>
  <w:num w:numId="11" w16cid:durableId="79447536">
    <w:abstractNumId w:val="21"/>
  </w:num>
  <w:num w:numId="12" w16cid:durableId="882133152">
    <w:abstractNumId w:val="24"/>
  </w:num>
  <w:num w:numId="13" w16cid:durableId="1230729475">
    <w:abstractNumId w:val="3"/>
  </w:num>
  <w:num w:numId="14" w16cid:durableId="1252474268">
    <w:abstractNumId w:val="34"/>
  </w:num>
  <w:num w:numId="15" w16cid:durableId="741414217">
    <w:abstractNumId w:val="8"/>
  </w:num>
  <w:num w:numId="16" w16cid:durableId="147283866">
    <w:abstractNumId w:val="42"/>
  </w:num>
  <w:num w:numId="17" w16cid:durableId="485905146">
    <w:abstractNumId w:val="2"/>
  </w:num>
  <w:num w:numId="18" w16cid:durableId="1177306876">
    <w:abstractNumId w:val="38"/>
  </w:num>
  <w:num w:numId="19" w16cid:durableId="1561134965">
    <w:abstractNumId w:val="31"/>
  </w:num>
  <w:num w:numId="20" w16cid:durableId="109590320">
    <w:abstractNumId w:val="41"/>
  </w:num>
  <w:num w:numId="21" w16cid:durableId="2067606758">
    <w:abstractNumId w:val="16"/>
  </w:num>
  <w:num w:numId="22" w16cid:durableId="359014413">
    <w:abstractNumId w:val="20"/>
  </w:num>
  <w:num w:numId="23" w16cid:durableId="1796870303">
    <w:abstractNumId w:val="35"/>
  </w:num>
  <w:num w:numId="24" w16cid:durableId="1155730760">
    <w:abstractNumId w:val="25"/>
  </w:num>
  <w:num w:numId="25" w16cid:durableId="126552788">
    <w:abstractNumId w:val="13"/>
  </w:num>
  <w:num w:numId="26" w16cid:durableId="131942160">
    <w:abstractNumId w:val="39"/>
  </w:num>
  <w:num w:numId="27" w16cid:durableId="1457799561">
    <w:abstractNumId w:val="17"/>
  </w:num>
  <w:num w:numId="28" w16cid:durableId="1906068247">
    <w:abstractNumId w:val="9"/>
  </w:num>
  <w:num w:numId="29" w16cid:durableId="1038774270">
    <w:abstractNumId w:val="37"/>
  </w:num>
  <w:num w:numId="30" w16cid:durableId="839930500">
    <w:abstractNumId w:val="11"/>
  </w:num>
  <w:num w:numId="31" w16cid:durableId="1310011080">
    <w:abstractNumId w:val="15"/>
  </w:num>
  <w:num w:numId="32" w16cid:durableId="1621303655">
    <w:abstractNumId w:val="32"/>
  </w:num>
  <w:num w:numId="33" w16cid:durableId="59593990">
    <w:abstractNumId w:val="29"/>
  </w:num>
  <w:num w:numId="34" w16cid:durableId="1409571958">
    <w:abstractNumId w:val="18"/>
  </w:num>
  <w:num w:numId="35" w16cid:durableId="1834955021">
    <w:abstractNumId w:val="12"/>
  </w:num>
  <w:num w:numId="36" w16cid:durableId="181742603">
    <w:abstractNumId w:val="6"/>
  </w:num>
  <w:num w:numId="37" w16cid:durableId="679507579">
    <w:abstractNumId w:val="36"/>
  </w:num>
  <w:num w:numId="38" w16cid:durableId="856236009">
    <w:abstractNumId w:val="0"/>
  </w:num>
  <w:num w:numId="39" w16cid:durableId="423840893">
    <w:abstractNumId w:val="14"/>
  </w:num>
  <w:num w:numId="40" w16cid:durableId="147864272">
    <w:abstractNumId w:val="7"/>
  </w:num>
  <w:num w:numId="41" w16cid:durableId="1029792233">
    <w:abstractNumId w:val="40"/>
  </w:num>
  <w:num w:numId="42" w16cid:durableId="1798908099">
    <w:abstractNumId w:val="5"/>
  </w:num>
  <w:num w:numId="43" w16cid:durableId="4023373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k1NmVjYjQwN2M1Mzc1Y2IzZmE2MWZhZmUxMWFjMjQifQ=="/>
    <w:docVar w:name="KSO_WPS_MARK_KEY" w:val="68e37fbf-1c88-42be-8cbc-101e80a12f22"/>
  </w:docVars>
  <w:rsids>
    <w:rsidRoot w:val="00172A27"/>
    <w:rsid w:val="00000288"/>
    <w:rsid w:val="00001274"/>
    <w:rsid w:val="00003A31"/>
    <w:rsid w:val="00003D0A"/>
    <w:rsid w:val="0000489B"/>
    <w:rsid w:val="000049C9"/>
    <w:rsid w:val="00004E47"/>
    <w:rsid w:val="000051D8"/>
    <w:rsid w:val="00005C3F"/>
    <w:rsid w:val="00005E07"/>
    <w:rsid w:val="000064E2"/>
    <w:rsid w:val="00006AE5"/>
    <w:rsid w:val="000076D7"/>
    <w:rsid w:val="00007A57"/>
    <w:rsid w:val="00007E22"/>
    <w:rsid w:val="0001002E"/>
    <w:rsid w:val="00010119"/>
    <w:rsid w:val="0001032B"/>
    <w:rsid w:val="00011010"/>
    <w:rsid w:val="000111B3"/>
    <w:rsid w:val="00012D29"/>
    <w:rsid w:val="000132D1"/>
    <w:rsid w:val="0001414F"/>
    <w:rsid w:val="00014FAF"/>
    <w:rsid w:val="00015D6A"/>
    <w:rsid w:val="00016030"/>
    <w:rsid w:val="00016B28"/>
    <w:rsid w:val="00016C18"/>
    <w:rsid w:val="0001708A"/>
    <w:rsid w:val="000170F5"/>
    <w:rsid w:val="00021598"/>
    <w:rsid w:val="00021768"/>
    <w:rsid w:val="00021AFA"/>
    <w:rsid w:val="00021C1C"/>
    <w:rsid w:val="00022B5E"/>
    <w:rsid w:val="000239F3"/>
    <w:rsid w:val="00023C56"/>
    <w:rsid w:val="00023FB8"/>
    <w:rsid w:val="0002437C"/>
    <w:rsid w:val="00024FAD"/>
    <w:rsid w:val="00025AA4"/>
    <w:rsid w:val="0002634B"/>
    <w:rsid w:val="000265AE"/>
    <w:rsid w:val="00027B9F"/>
    <w:rsid w:val="000303E1"/>
    <w:rsid w:val="00030531"/>
    <w:rsid w:val="000307B9"/>
    <w:rsid w:val="00030897"/>
    <w:rsid w:val="00030D74"/>
    <w:rsid w:val="00031600"/>
    <w:rsid w:val="00031AB0"/>
    <w:rsid w:val="000330B9"/>
    <w:rsid w:val="0003380D"/>
    <w:rsid w:val="00033C2F"/>
    <w:rsid w:val="0003626E"/>
    <w:rsid w:val="00036B84"/>
    <w:rsid w:val="00036BC8"/>
    <w:rsid w:val="0003754D"/>
    <w:rsid w:val="000376E0"/>
    <w:rsid w:val="000378BA"/>
    <w:rsid w:val="00040D7E"/>
    <w:rsid w:val="00041212"/>
    <w:rsid w:val="00043C85"/>
    <w:rsid w:val="000441E3"/>
    <w:rsid w:val="00045A7A"/>
    <w:rsid w:val="00045B9F"/>
    <w:rsid w:val="00045BD4"/>
    <w:rsid w:val="00045ECB"/>
    <w:rsid w:val="00045EFC"/>
    <w:rsid w:val="0004614D"/>
    <w:rsid w:val="00046A22"/>
    <w:rsid w:val="00046C06"/>
    <w:rsid w:val="00046F77"/>
    <w:rsid w:val="00046FF8"/>
    <w:rsid w:val="00047390"/>
    <w:rsid w:val="00047701"/>
    <w:rsid w:val="000478E8"/>
    <w:rsid w:val="000479E8"/>
    <w:rsid w:val="0005064C"/>
    <w:rsid w:val="00050BEF"/>
    <w:rsid w:val="00050FF4"/>
    <w:rsid w:val="0005185E"/>
    <w:rsid w:val="00051FFA"/>
    <w:rsid w:val="00052448"/>
    <w:rsid w:val="00053797"/>
    <w:rsid w:val="00053D8A"/>
    <w:rsid w:val="00054769"/>
    <w:rsid w:val="00054D3B"/>
    <w:rsid w:val="00054FCE"/>
    <w:rsid w:val="00055F8D"/>
    <w:rsid w:val="00057523"/>
    <w:rsid w:val="0005791A"/>
    <w:rsid w:val="00061C4B"/>
    <w:rsid w:val="00062B6B"/>
    <w:rsid w:val="00063595"/>
    <w:rsid w:val="00063A1C"/>
    <w:rsid w:val="00063B84"/>
    <w:rsid w:val="000659AA"/>
    <w:rsid w:val="00065A4C"/>
    <w:rsid w:val="00065CAD"/>
    <w:rsid w:val="0006678D"/>
    <w:rsid w:val="00066B04"/>
    <w:rsid w:val="000676E8"/>
    <w:rsid w:val="00071061"/>
    <w:rsid w:val="0007153F"/>
    <w:rsid w:val="00071699"/>
    <w:rsid w:val="00072114"/>
    <w:rsid w:val="00073893"/>
    <w:rsid w:val="000745F6"/>
    <w:rsid w:val="00074A5B"/>
    <w:rsid w:val="00074B74"/>
    <w:rsid w:val="00074DB9"/>
    <w:rsid w:val="00074EB0"/>
    <w:rsid w:val="00076B73"/>
    <w:rsid w:val="00077711"/>
    <w:rsid w:val="00080417"/>
    <w:rsid w:val="00080543"/>
    <w:rsid w:val="000812F0"/>
    <w:rsid w:val="00081AF7"/>
    <w:rsid w:val="00081BB0"/>
    <w:rsid w:val="0008242A"/>
    <w:rsid w:val="0008266D"/>
    <w:rsid w:val="00082A80"/>
    <w:rsid w:val="00083C64"/>
    <w:rsid w:val="000846AF"/>
    <w:rsid w:val="00084AB2"/>
    <w:rsid w:val="000853FB"/>
    <w:rsid w:val="0008540B"/>
    <w:rsid w:val="000856BC"/>
    <w:rsid w:val="0009022C"/>
    <w:rsid w:val="00091436"/>
    <w:rsid w:val="0009151B"/>
    <w:rsid w:val="00091D49"/>
    <w:rsid w:val="0009237B"/>
    <w:rsid w:val="00092676"/>
    <w:rsid w:val="00092754"/>
    <w:rsid w:val="00094199"/>
    <w:rsid w:val="00095609"/>
    <w:rsid w:val="00096026"/>
    <w:rsid w:val="00096364"/>
    <w:rsid w:val="00096F36"/>
    <w:rsid w:val="00097029"/>
    <w:rsid w:val="0009782E"/>
    <w:rsid w:val="000A0EFB"/>
    <w:rsid w:val="000A0FEC"/>
    <w:rsid w:val="000A1248"/>
    <w:rsid w:val="000A250E"/>
    <w:rsid w:val="000A2FFE"/>
    <w:rsid w:val="000A3C59"/>
    <w:rsid w:val="000A49BD"/>
    <w:rsid w:val="000A4BA7"/>
    <w:rsid w:val="000A507C"/>
    <w:rsid w:val="000A5149"/>
    <w:rsid w:val="000A5C26"/>
    <w:rsid w:val="000A5EC4"/>
    <w:rsid w:val="000A6E99"/>
    <w:rsid w:val="000A73DC"/>
    <w:rsid w:val="000B0031"/>
    <w:rsid w:val="000B0486"/>
    <w:rsid w:val="000B058C"/>
    <w:rsid w:val="000B1181"/>
    <w:rsid w:val="000B17A2"/>
    <w:rsid w:val="000B3AEB"/>
    <w:rsid w:val="000B48EA"/>
    <w:rsid w:val="000B5A43"/>
    <w:rsid w:val="000B6388"/>
    <w:rsid w:val="000B7319"/>
    <w:rsid w:val="000B7932"/>
    <w:rsid w:val="000C004D"/>
    <w:rsid w:val="000C0EB0"/>
    <w:rsid w:val="000C2948"/>
    <w:rsid w:val="000C2B62"/>
    <w:rsid w:val="000C3952"/>
    <w:rsid w:val="000C3A94"/>
    <w:rsid w:val="000C45D3"/>
    <w:rsid w:val="000C4602"/>
    <w:rsid w:val="000C46D0"/>
    <w:rsid w:val="000C4FA6"/>
    <w:rsid w:val="000C53BE"/>
    <w:rsid w:val="000C5633"/>
    <w:rsid w:val="000C6052"/>
    <w:rsid w:val="000C6186"/>
    <w:rsid w:val="000C759B"/>
    <w:rsid w:val="000C7DAF"/>
    <w:rsid w:val="000D2752"/>
    <w:rsid w:val="000D2AB9"/>
    <w:rsid w:val="000D3E7B"/>
    <w:rsid w:val="000D43C8"/>
    <w:rsid w:val="000D4896"/>
    <w:rsid w:val="000D571C"/>
    <w:rsid w:val="000D5BB6"/>
    <w:rsid w:val="000D5FBC"/>
    <w:rsid w:val="000D74CF"/>
    <w:rsid w:val="000D77AB"/>
    <w:rsid w:val="000D7D51"/>
    <w:rsid w:val="000E0152"/>
    <w:rsid w:val="000E121E"/>
    <w:rsid w:val="000E18A5"/>
    <w:rsid w:val="000E1D13"/>
    <w:rsid w:val="000E24D8"/>
    <w:rsid w:val="000E3296"/>
    <w:rsid w:val="000E3599"/>
    <w:rsid w:val="000E3688"/>
    <w:rsid w:val="000E3886"/>
    <w:rsid w:val="000E5024"/>
    <w:rsid w:val="000E5DB3"/>
    <w:rsid w:val="000E6495"/>
    <w:rsid w:val="000E69D1"/>
    <w:rsid w:val="000E6E42"/>
    <w:rsid w:val="000E75B2"/>
    <w:rsid w:val="000E78EE"/>
    <w:rsid w:val="000E7A1F"/>
    <w:rsid w:val="000E7A51"/>
    <w:rsid w:val="000E7D34"/>
    <w:rsid w:val="000F06E5"/>
    <w:rsid w:val="000F1442"/>
    <w:rsid w:val="000F18CC"/>
    <w:rsid w:val="000F2282"/>
    <w:rsid w:val="000F2A0D"/>
    <w:rsid w:val="000F450E"/>
    <w:rsid w:val="000F4A7C"/>
    <w:rsid w:val="000F59C8"/>
    <w:rsid w:val="000F5B3F"/>
    <w:rsid w:val="00100C50"/>
    <w:rsid w:val="00100C53"/>
    <w:rsid w:val="00100E59"/>
    <w:rsid w:val="00100FE8"/>
    <w:rsid w:val="00102294"/>
    <w:rsid w:val="0010248B"/>
    <w:rsid w:val="00102C6B"/>
    <w:rsid w:val="00103791"/>
    <w:rsid w:val="00104C9F"/>
    <w:rsid w:val="00105375"/>
    <w:rsid w:val="00105B8B"/>
    <w:rsid w:val="00106CE3"/>
    <w:rsid w:val="00107703"/>
    <w:rsid w:val="00107999"/>
    <w:rsid w:val="00107E50"/>
    <w:rsid w:val="00110375"/>
    <w:rsid w:val="00110DED"/>
    <w:rsid w:val="00111156"/>
    <w:rsid w:val="0011186E"/>
    <w:rsid w:val="00111908"/>
    <w:rsid w:val="001122A7"/>
    <w:rsid w:val="00112A9E"/>
    <w:rsid w:val="00112B7B"/>
    <w:rsid w:val="00115337"/>
    <w:rsid w:val="001154FE"/>
    <w:rsid w:val="0011704D"/>
    <w:rsid w:val="0011730C"/>
    <w:rsid w:val="001201F9"/>
    <w:rsid w:val="00120B11"/>
    <w:rsid w:val="00123AAC"/>
    <w:rsid w:val="00123C21"/>
    <w:rsid w:val="001247D5"/>
    <w:rsid w:val="00125B70"/>
    <w:rsid w:val="0013003B"/>
    <w:rsid w:val="00130246"/>
    <w:rsid w:val="0013066A"/>
    <w:rsid w:val="00130887"/>
    <w:rsid w:val="00130C23"/>
    <w:rsid w:val="001319D5"/>
    <w:rsid w:val="00132475"/>
    <w:rsid w:val="00132D5A"/>
    <w:rsid w:val="00133609"/>
    <w:rsid w:val="0013361A"/>
    <w:rsid w:val="0013378B"/>
    <w:rsid w:val="00134CAA"/>
    <w:rsid w:val="00135FF5"/>
    <w:rsid w:val="00136125"/>
    <w:rsid w:val="00136513"/>
    <w:rsid w:val="00140A29"/>
    <w:rsid w:val="00141485"/>
    <w:rsid w:val="00143A6A"/>
    <w:rsid w:val="00143AA9"/>
    <w:rsid w:val="00143AB7"/>
    <w:rsid w:val="00143B99"/>
    <w:rsid w:val="00144558"/>
    <w:rsid w:val="0014495F"/>
    <w:rsid w:val="00144FE9"/>
    <w:rsid w:val="0014545E"/>
    <w:rsid w:val="001459DC"/>
    <w:rsid w:val="0014625C"/>
    <w:rsid w:val="00146604"/>
    <w:rsid w:val="00146623"/>
    <w:rsid w:val="00146BA5"/>
    <w:rsid w:val="001471BA"/>
    <w:rsid w:val="00147CD9"/>
    <w:rsid w:val="00150498"/>
    <w:rsid w:val="00152555"/>
    <w:rsid w:val="0015291C"/>
    <w:rsid w:val="00153339"/>
    <w:rsid w:val="001548CD"/>
    <w:rsid w:val="00154DD2"/>
    <w:rsid w:val="00155FC2"/>
    <w:rsid w:val="001560FA"/>
    <w:rsid w:val="00157DDC"/>
    <w:rsid w:val="00160DC5"/>
    <w:rsid w:val="00163C76"/>
    <w:rsid w:val="00164F67"/>
    <w:rsid w:val="00165680"/>
    <w:rsid w:val="00165F14"/>
    <w:rsid w:val="00167462"/>
    <w:rsid w:val="001678F7"/>
    <w:rsid w:val="00167FD1"/>
    <w:rsid w:val="001701FD"/>
    <w:rsid w:val="0017060B"/>
    <w:rsid w:val="00171240"/>
    <w:rsid w:val="001712DC"/>
    <w:rsid w:val="00171A39"/>
    <w:rsid w:val="00172A27"/>
    <w:rsid w:val="00172D28"/>
    <w:rsid w:val="001746B0"/>
    <w:rsid w:val="00174FAC"/>
    <w:rsid w:val="001756C6"/>
    <w:rsid w:val="00176A8C"/>
    <w:rsid w:val="00177449"/>
    <w:rsid w:val="00180F95"/>
    <w:rsid w:val="00181355"/>
    <w:rsid w:val="00181BFF"/>
    <w:rsid w:val="00182A5F"/>
    <w:rsid w:val="00182E31"/>
    <w:rsid w:val="001843D2"/>
    <w:rsid w:val="001843FF"/>
    <w:rsid w:val="00184739"/>
    <w:rsid w:val="001848F7"/>
    <w:rsid w:val="00184C5D"/>
    <w:rsid w:val="00191DC9"/>
    <w:rsid w:val="001924F1"/>
    <w:rsid w:val="00192636"/>
    <w:rsid w:val="00193631"/>
    <w:rsid w:val="00193DE2"/>
    <w:rsid w:val="001940CF"/>
    <w:rsid w:val="00194935"/>
    <w:rsid w:val="00194F73"/>
    <w:rsid w:val="00195482"/>
    <w:rsid w:val="00195948"/>
    <w:rsid w:val="001962B7"/>
    <w:rsid w:val="001A4CBB"/>
    <w:rsid w:val="001A58D5"/>
    <w:rsid w:val="001A6605"/>
    <w:rsid w:val="001A668E"/>
    <w:rsid w:val="001A7152"/>
    <w:rsid w:val="001A7F80"/>
    <w:rsid w:val="001B003D"/>
    <w:rsid w:val="001B04AA"/>
    <w:rsid w:val="001B120B"/>
    <w:rsid w:val="001B1547"/>
    <w:rsid w:val="001B1709"/>
    <w:rsid w:val="001B1962"/>
    <w:rsid w:val="001B1A51"/>
    <w:rsid w:val="001B2114"/>
    <w:rsid w:val="001B2B95"/>
    <w:rsid w:val="001B2C9B"/>
    <w:rsid w:val="001B2F7F"/>
    <w:rsid w:val="001B33A2"/>
    <w:rsid w:val="001B37FE"/>
    <w:rsid w:val="001B3D3E"/>
    <w:rsid w:val="001B4B47"/>
    <w:rsid w:val="001B659F"/>
    <w:rsid w:val="001B6FA1"/>
    <w:rsid w:val="001B7596"/>
    <w:rsid w:val="001B7DA9"/>
    <w:rsid w:val="001C0738"/>
    <w:rsid w:val="001C0925"/>
    <w:rsid w:val="001C1520"/>
    <w:rsid w:val="001C1DCE"/>
    <w:rsid w:val="001C1EFB"/>
    <w:rsid w:val="001C2329"/>
    <w:rsid w:val="001C2367"/>
    <w:rsid w:val="001C2F2B"/>
    <w:rsid w:val="001C3AD3"/>
    <w:rsid w:val="001C3AE8"/>
    <w:rsid w:val="001C4B78"/>
    <w:rsid w:val="001C5297"/>
    <w:rsid w:val="001C535F"/>
    <w:rsid w:val="001C55BA"/>
    <w:rsid w:val="001C635F"/>
    <w:rsid w:val="001D0C2B"/>
    <w:rsid w:val="001D0DB2"/>
    <w:rsid w:val="001D10CF"/>
    <w:rsid w:val="001D14F6"/>
    <w:rsid w:val="001D1AD4"/>
    <w:rsid w:val="001D1E5C"/>
    <w:rsid w:val="001D29E4"/>
    <w:rsid w:val="001D39F5"/>
    <w:rsid w:val="001D3EF9"/>
    <w:rsid w:val="001D45E6"/>
    <w:rsid w:val="001D5071"/>
    <w:rsid w:val="001D7548"/>
    <w:rsid w:val="001E0424"/>
    <w:rsid w:val="001E1475"/>
    <w:rsid w:val="001E26CC"/>
    <w:rsid w:val="001E2F58"/>
    <w:rsid w:val="001E3553"/>
    <w:rsid w:val="001E3DBB"/>
    <w:rsid w:val="001E41CA"/>
    <w:rsid w:val="001E5074"/>
    <w:rsid w:val="001E59D0"/>
    <w:rsid w:val="001E6200"/>
    <w:rsid w:val="001E67BB"/>
    <w:rsid w:val="001E6B36"/>
    <w:rsid w:val="001E7190"/>
    <w:rsid w:val="001E7AE5"/>
    <w:rsid w:val="001F0465"/>
    <w:rsid w:val="001F1AC7"/>
    <w:rsid w:val="001F203B"/>
    <w:rsid w:val="001F27D8"/>
    <w:rsid w:val="001F3307"/>
    <w:rsid w:val="001F3318"/>
    <w:rsid w:val="001F3ADD"/>
    <w:rsid w:val="001F3DA1"/>
    <w:rsid w:val="001F477C"/>
    <w:rsid w:val="001F4A35"/>
    <w:rsid w:val="001F4E33"/>
    <w:rsid w:val="001F4F59"/>
    <w:rsid w:val="001F64A8"/>
    <w:rsid w:val="001F6EFF"/>
    <w:rsid w:val="002008A3"/>
    <w:rsid w:val="00200CDE"/>
    <w:rsid w:val="00201017"/>
    <w:rsid w:val="00201375"/>
    <w:rsid w:val="002013C9"/>
    <w:rsid w:val="00201B11"/>
    <w:rsid w:val="00202211"/>
    <w:rsid w:val="00202651"/>
    <w:rsid w:val="00202A6B"/>
    <w:rsid w:val="002039AF"/>
    <w:rsid w:val="00203A42"/>
    <w:rsid w:val="00204027"/>
    <w:rsid w:val="002044A2"/>
    <w:rsid w:val="00204A4A"/>
    <w:rsid w:val="00204EE7"/>
    <w:rsid w:val="0020556F"/>
    <w:rsid w:val="002066F5"/>
    <w:rsid w:val="00210032"/>
    <w:rsid w:val="002105F8"/>
    <w:rsid w:val="002122E1"/>
    <w:rsid w:val="002131D6"/>
    <w:rsid w:val="002131F6"/>
    <w:rsid w:val="002134CB"/>
    <w:rsid w:val="00213CCA"/>
    <w:rsid w:val="0021442A"/>
    <w:rsid w:val="00214EE6"/>
    <w:rsid w:val="00214FFF"/>
    <w:rsid w:val="00216337"/>
    <w:rsid w:val="0021689F"/>
    <w:rsid w:val="00217A2B"/>
    <w:rsid w:val="0022108D"/>
    <w:rsid w:val="002211AC"/>
    <w:rsid w:val="00221C3E"/>
    <w:rsid w:val="00222591"/>
    <w:rsid w:val="002233A3"/>
    <w:rsid w:val="00223E1A"/>
    <w:rsid w:val="0022503A"/>
    <w:rsid w:val="002263DD"/>
    <w:rsid w:val="00227C3E"/>
    <w:rsid w:val="00227ECA"/>
    <w:rsid w:val="002307F7"/>
    <w:rsid w:val="00230D86"/>
    <w:rsid w:val="00233279"/>
    <w:rsid w:val="00233438"/>
    <w:rsid w:val="00234E3C"/>
    <w:rsid w:val="002362A7"/>
    <w:rsid w:val="0023733E"/>
    <w:rsid w:val="00237679"/>
    <w:rsid w:val="00237DDF"/>
    <w:rsid w:val="00240A28"/>
    <w:rsid w:val="00240E28"/>
    <w:rsid w:val="00241024"/>
    <w:rsid w:val="00241B7E"/>
    <w:rsid w:val="00241F6F"/>
    <w:rsid w:val="00243CB9"/>
    <w:rsid w:val="00243D56"/>
    <w:rsid w:val="00243E9D"/>
    <w:rsid w:val="00244844"/>
    <w:rsid w:val="00245525"/>
    <w:rsid w:val="00246102"/>
    <w:rsid w:val="002463A4"/>
    <w:rsid w:val="00247083"/>
    <w:rsid w:val="0024719A"/>
    <w:rsid w:val="002473E9"/>
    <w:rsid w:val="002479C9"/>
    <w:rsid w:val="00247D39"/>
    <w:rsid w:val="00250245"/>
    <w:rsid w:val="002503F5"/>
    <w:rsid w:val="002528E9"/>
    <w:rsid w:val="00253DDB"/>
    <w:rsid w:val="00254318"/>
    <w:rsid w:val="00254F27"/>
    <w:rsid w:val="0025517C"/>
    <w:rsid w:val="00255F9F"/>
    <w:rsid w:val="0025636F"/>
    <w:rsid w:val="00256383"/>
    <w:rsid w:val="002569A0"/>
    <w:rsid w:val="00257503"/>
    <w:rsid w:val="002577F8"/>
    <w:rsid w:val="00260111"/>
    <w:rsid w:val="00260F9F"/>
    <w:rsid w:val="00261324"/>
    <w:rsid w:val="00262910"/>
    <w:rsid w:val="00262EEE"/>
    <w:rsid w:val="002657C6"/>
    <w:rsid w:val="00265952"/>
    <w:rsid w:val="00265A3E"/>
    <w:rsid w:val="002663E6"/>
    <w:rsid w:val="002665CB"/>
    <w:rsid w:val="002677F2"/>
    <w:rsid w:val="00267A0E"/>
    <w:rsid w:val="002705B0"/>
    <w:rsid w:val="002709CF"/>
    <w:rsid w:val="00270EB6"/>
    <w:rsid w:val="00270F27"/>
    <w:rsid w:val="00271002"/>
    <w:rsid w:val="002712AA"/>
    <w:rsid w:val="0027165E"/>
    <w:rsid w:val="00271930"/>
    <w:rsid w:val="00272C0B"/>
    <w:rsid w:val="00272CAD"/>
    <w:rsid w:val="00272D40"/>
    <w:rsid w:val="00273AE0"/>
    <w:rsid w:val="00273C14"/>
    <w:rsid w:val="002740DF"/>
    <w:rsid w:val="00275F22"/>
    <w:rsid w:val="002764D6"/>
    <w:rsid w:val="00277224"/>
    <w:rsid w:val="00280294"/>
    <w:rsid w:val="002803A3"/>
    <w:rsid w:val="00280F85"/>
    <w:rsid w:val="00282912"/>
    <w:rsid w:val="0028340B"/>
    <w:rsid w:val="00283F59"/>
    <w:rsid w:val="00284122"/>
    <w:rsid w:val="002844CB"/>
    <w:rsid w:val="002846A6"/>
    <w:rsid w:val="00284D21"/>
    <w:rsid w:val="00285850"/>
    <w:rsid w:val="002859DD"/>
    <w:rsid w:val="00286CA6"/>
    <w:rsid w:val="00286D3F"/>
    <w:rsid w:val="00287396"/>
    <w:rsid w:val="002873B0"/>
    <w:rsid w:val="002908F1"/>
    <w:rsid w:val="0029110B"/>
    <w:rsid w:val="00291872"/>
    <w:rsid w:val="00291AF5"/>
    <w:rsid w:val="00291E53"/>
    <w:rsid w:val="002931B3"/>
    <w:rsid w:val="00293257"/>
    <w:rsid w:val="002933A6"/>
    <w:rsid w:val="0029626E"/>
    <w:rsid w:val="00296E06"/>
    <w:rsid w:val="002A02C0"/>
    <w:rsid w:val="002A1803"/>
    <w:rsid w:val="002A228F"/>
    <w:rsid w:val="002A294E"/>
    <w:rsid w:val="002A2FFE"/>
    <w:rsid w:val="002A35D1"/>
    <w:rsid w:val="002A3635"/>
    <w:rsid w:val="002A383F"/>
    <w:rsid w:val="002A38CF"/>
    <w:rsid w:val="002A3B72"/>
    <w:rsid w:val="002A3DD6"/>
    <w:rsid w:val="002A3FDF"/>
    <w:rsid w:val="002A4B10"/>
    <w:rsid w:val="002A4D87"/>
    <w:rsid w:val="002A54C8"/>
    <w:rsid w:val="002A63E4"/>
    <w:rsid w:val="002A75C3"/>
    <w:rsid w:val="002A7D01"/>
    <w:rsid w:val="002A7DC1"/>
    <w:rsid w:val="002B0014"/>
    <w:rsid w:val="002B165A"/>
    <w:rsid w:val="002B17E3"/>
    <w:rsid w:val="002B29CC"/>
    <w:rsid w:val="002B3676"/>
    <w:rsid w:val="002B41E6"/>
    <w:rsid w:val="002B4B7E"/>
    <w:rsid w:val="002B52DC"/>
    <w:rsid w:val="002B5BD9"/>
    <w:rsid w:val="002B6B05"/>
    <w:rsid w:val="002B6DD6"/>
    <w:rsid w:val="002B7C04"/>
    <w:rsid w:val="002B7D41"/>
    <w:rsid w:val="002C02D5"/>
    <w:rsid w:val="002C054B"/>
    <w:rsid w:val="002C0588"/>
    <w:rsid w:val="002C123D"/>
    <w:rsid w:val="002C1884"/>
    <w:rsid w:val="002C258B"/>
    <w:rsid w:val="002C25EE"/>
    <w:rsid w:val="002C2B6F"/>
    <w:rsid w:val="002C2EDD"/>
    <w:rsid w:val="002C37F5"/>
    <w:rsid w:val="002C3F9D"/>
    <w:rsid w:val="002C46F1"/>
    <w:rsid w:val="002C4878"/>
    <w:rsid w:val="002C5B97"/>
    <w:rsid w:val="002C604B"/>
    <w:rsid w:val="002C6468"/>
    <w:rsid w:val="002C6606"/>
    <w:rsid w:val="002C6CFD"/>
    <w:rsid w:val="002C6E9D"/>
    <w:rsid w:val="002C7A7E"/>
    <w:rsid w:val="002D031A"/>
    <w:rsid w:val="002D0560"/>
    <w:rsid w:val="002D0AE9"/>
    <w:rsid w:val="002D0B0D"/>
    <w:rsid w:val="002D107D"/>
    <w:rsid w:val="002D1A98"/>
    <w:rsid w:val="002D2595"/>
    <w:rsid w:val="002D25B7"/>
    <w:rsid w:val="002D3906"/>
    <w:rsid w:val="002D3E3A"/>
    <w:rsid w:val="002D41D1"/>
    <w:rsid w:val="002D46C0"/>
    <w:rsid w:val="002D49BA"/>
    <w:rsid w:val="002D50F7"/>
    <w:rsid w:val="002D59AD"/>
    <w:rsid w:val="002D6077"/>
    <w:rsid w:val="002D60F8"/>
    <w:rsid w:val="002D65C0"/>
    <w:rsid w:val="002D6B8F"/>
    <w:rsid w:val="002D764A"/>
    <w:rsid w:val="002E0768"/>
    <w:rsid w:val="002E0875"/>
    <w:rsid w:val="002E1BC4"/>
    <w:rsid w:val="002E25B7"/>
    <w:rsid w:val="002E394D"/>
    <w:rsid w:val="002E3BE7"/>
    <w:rsid w:val="002E43BB"/>
    <w:rsid w:val="002E44B0"/>
    <w:rsid w:val="002E580B"/>
    <w:rsid w:val="002E593F"/>
    <w:rsid w:val="002E59EF"/>
    <w:rsid w:val="002E5D8C"/>
    <w:rsid w:val="002E7E77"/>
    <w:rsid w:val="002F21AE"/>
    <w:rsid w:val="002F278D"/>
    <w:rsid w:val="002F353E"/>
    <w:rsid w:val="002F369B"/>
    <w:rsid w:val="002F3D38"/>
    <w:rsid w:val="002F52F7"/>
    <w:rsid w:val="002F563D"/>
    <w:rsid w:val="002F5E0F"/>
    <w:rsid w:val="002F5FBA"/>
    <w:rsid w:val="002F74C7"/>
    <w:rsid w:val="002F75B4"/>
    <w:rsid w:val="002F7B94"/>
    <w:rsid w:val="00300573"/>
    <w:rsid w:val="003011EA"/>
    <w:rsid w:val="003039B2"/>
    <w:rsid w:val="00303F05"/>
    <w:rsid w:val="00303F5C"/>
    <w:rsid w:val="003060E3"/>
    <w:rsid w:val="00306104"/>
    <w:rsid w:val="0030663F"/>
    <w:rsid w:val="003072D6"/>
    <w:rsid w:val="00310314"/>
    <w:rsid w:val="00311E92"/>
    <w:rsid w:val="00315C38"/>
    <w:rsid w:val="00315C8E"/>
    <w:rsid w:val="00315D51"/>
    <w:rsid w:val="00315FFA"/>
    <w:rsid w:val="0031622A"/>
    <w:rsid w:val="003163A7"/>
    <w:rsid w:val="00316AD0"/>
    <w:rsid w:val="00316EC1"/>
    <w:rsid w:val="00320F1B"/>
    <w:rsid w:val="00322482"/>
    <w:rsid w:val="00322AAB"/>
    <w:rsid w:val="00322CBE"/>
    <w:rsid w:val="003234F7"/>
    <w:rsid w:val="00323663"/>
    <w:rsid w:val="003249D8"/>
    <w:rsid w:val="00325C9E"/>
    <w:rsid w:val="00325F0D"/>
    <w:rsid w:val="00326DF9"/>
    <w:rsid w:val="003310F3"/>
    <w:rsid w:val="003317D0"/>
    <w:rsid w:val="00333210"/>
    <w:rsid w:val="0033445E"/>
    <w:rsid w:val="00334518"/>
    <w:rsid w:val="003346E9"/>
    <w:rsid w:val="00334FE7"/>
    <w:rsid w:val="003355D0"/>
    <w:rsid w:val="00335AD8"/>
    <w:rsid w:val="00337735"/>
    <w:rsid w:val="003378E8"/>
    <w:rsid w:val="00337EDD"/>
    <w:rsid w:val="003407D3"/>
    <w:rsid w:val="00340AE3"/>
    <w:rsid w:val="00341D70"/>
    <w:rsid w:val="00341DFE"/>
    <w:rsid w:val="00342482"/>
    <w:rsid w:val="00342B02"/>
    <w:rsid w:val="00342C2C"/>
    <w:rsid w:val="00342CF6"/>
    <w:rsid w:val="00342F14"/>
    <w:rsid w:val="00342F74"/>
    <w:rsid w:val="00343006"/>
    <w:rsid w:val="00343379"/>
    <w:rsid w:val="00343611"/>
    <w:rsid w:val="00343E82"/>
    <w:rsid w:val="00343EDB"/>
    <w:rsid w:val="0034475F"/>
    <w:rsid w:val="003451F5"/>
    <w:rsid w:val="0034535A"/>
    <w:rsid w:val="00345746"/>
    <w:rsid w:val="00345DC0"/>
    <w:rsid w:val="00346310"/>
    <w:rsid w:val="00346B19"/>
    <w:rsid w:val="00347A68"/>
    <w:rsid w:val="00347B01"/>
    <w:rsid w:val="003520E0"/>
    <w:rsid w:val="00352D5B"/>
    <w:rsid w:val="003548EC"/>
    <w:rsid w:val="00354C36"/>
    <w:rsid w:val="00354E14"/>
    <w:rsid w:val="00355995"/>
    <w:rsid w:val="00355C39"/>
    <w:rsid w:val="00355F12"/>
    <w:rsid w:val="00357A73"/>
    <w:rsid w:val="00360362"/>
    <w:rsid w:val="003607F0"/>
    <w:rsid w:val="00360805"/>
    <w:rsid w:val="00360A09"/>
    <w:rsid w:val="00360C02"/>
    <w:rsid w:val="00360FCA"/>
    <w:rsid w:val="0036167E"/>
    <w:rsid w:val="00362484"/>
    <w:rsid w:val="00362961"/>
    <w:rsid w:val="00362CB5"/>
    <w:rsid w:val="003637A7"/>
    <w:rsid w:val="0036388C"/>
    <w:rsid w:val="00363B24"/>
    <w:rsid w:val="00366627"/>
    <w:rsid w:val="00366B2E"/>
    <w:rsid w:val="00366BF4"/>
    <w:rsid w:val="00366CE3"/>
    <w:rsid w:val="00367086"/>
    <w:rsid w:val="00367A2C"/>
    <w:rsid w:val="00371DFB"/>
    <w:rsid w:val="0037276E"/>
    <w:rsid w:val="00372846"/>
    <w:rsid w:val="00373225"/>
    <w:rsid w:val="00373733"/>
    <w:rsid w:val="003738DA"/>
    <w:rsid w:val="00374250"/>
    <w:rsid w:val="00374678"/>
    <w:rsid w:val="00374B0C"/>
    <w:rsid w:val="00375316"/>
    <w:rsid w:val="003758B8"/>
    <w:rsid w:val="003759D9"/>
    <w:rsid w:val="00375A92"/>
    <w:rsid w:val="00376CA9"/>
    <w:rsid w:val="0037741B"/>
    <w:rsid w:val="00377856"/>
    <w:rsid w:val="00380FA6"/>
    <w:rsid w:val="00381465"/>
    <w:rsid w:val="0038165C"/>
    <w:rsid w:val="00382345"/>
    <w:rsid w:val="00383BA0"/>
    <w:rsid w:val="003842DF"/>
    <w:rsid w:val="00384472"/>
    <w:rsid w:val="003846ED"/>
    <w:rsid w:val="00384738"/>
    <w:rsid w:val="003852A3"/>
    <w:rsid w:val="00386C7C"/>
    <w:rsid w:val="00386CE2"/>
    <w:rsid w:val="00387225"/>
    <w:rsid w:val="003901A4"/>
    <w:rsid w:val="00391900"/>
    <w:rsid w:val="00391D9D"/>
    <w:rsid w:val="003931CB"/>
    <w:rsid w:val="00393C8B"/>
    <w:rsid w:val="00394FFE"/>
    <w:rsid w:val="0039534C"/>
    <w:rsid w:val="003955BE"/>
    <w:rsid w:val="00395BDB"/>
    <w:rsid w:val="003965AC"/>
    <w:rsid w:val="00396FD5"/>
    <w:rsid w:val="003972CA"/>
    <w:rsid w:val="00397F6F"/>
    <w:rsid w:val="003A00FB"/>
    <w:rsid w:val="003A0A34"/>
    <w:rsid w:val="003A0AC4"/>
    <w:rsid w:val="003A0E66"/>
    <w:rsid w:val="003A2644"/>
    <w:rsid w:val="003A274A"/>
    <w:rsid w:val="003A2B44"/>
    <w:rsid w:val="003A3155"/>
    <w:rsid w:val="003A329E"/>
    <w:rsid w:val="003A360A"/>
    <w:rsid w:val="003A39FD"/>
    <w:rsid w:val="003A3DCB"/>
    <w:rsid w:val="003A528F"/>
    <w:rsid w:val="003A5A0E"/>
    <w:rsid w:val="003A633E"/>
    <w:rsid w:val="003A6AD8"/>
    <w:rsid w:val="003A72FE"/>
    <w:rsid w:val="003A7EB7"/>
    <w:rsid w:val="003B01A8"/>
    <w:rsid w:val="003B079B"/>
    <w:rsid w:val="003B0E39"/>
    <w:rsid w:val="003B13A8"/>
    <w:rsid w:val="003B1C37"/>
    <w:rsid w:val="003B1E70"/>
    <w:rsid w:val="003B2723"/>
    <w:rsid w:val="003B2FD2"/>
    <w:rsid w:val="003B30C4"/>
    <w:rsid w:val="003B331C"/>
    <w:rsid w:val="003B3A05"/>
    <w:rsid w:val="003B3F2B"/>
    <w:rsid w:val="003B48F6"/>
    <w:rsid w:val="003B57ED"/>
    <w:rsid w:val="003B5C62"/>
    <w:rsid w:val="003B67CC"/>
    <w:rsid w:val="003B6BD4"/>
    <w:rsid w:val="003B7326"/>
    <w:rsid w:val="003B762C"/>
    <w:rsid w:val="003B7E91"/>
    <w:rsid w:val="003C0518"/>
    <w:rsid w:val="003C0698"/>
    <w:rsid w:val="003C0EBE"/>
    <w:rsid w:val="003C1CC7"/>
    <w:rsid w:val="003C1F14"/>
    <w:rsid w:val="003C2630"/>
    <w:rsid w:val="003C3CD9"/>
    <w:rsid w:val="003C3E42"/>
    <w:rsid w:val="003C4102"/>
    <w:rsid w:val="003C54A3"/>
    <w:rsid w:val="003C564C"/>
    <w:rsid w:val="003C6363"/>
    <w:rsid w:val="003C6997"/>
    <w:rsid w:val="003C6CEB"/>
    <w:rsid w:val="003C6FB0"/>
    <w:rsid w:val="003C743D"/>
    <w:rsid w:val="003D0988"/>
    <w:rsid w:val="003D105C"/>
    <w:rsid w:val="003D1906"/>
    <w:rsid w:val="003D1E6E"/>
    <w:rsid w:val="003D22CF"/>
    <w:rsid w:val="003D2768"/>
    <w:rsid w:val="003D2C06"/>
    <w:rsid w:val="003D30F2"/>
    <w:rsid w:val="003D312C"/>
    <w:rsid w:val="003D3A5A"/>
    <w:rsid w:val="003D5534"/>
    <w:rsid w:val="003D704B"/>
    <w:rsid w:val="003D7A86"/>
    <w:rsid w:val="003D7BCB"/>
    <w:rsid w:val="003D7E19"/>
    <w:rsid w:val="003E0138"/>
    <w:rsid w:val="003E1259"/>
    <w:rsid w:val="003E1506"/>
    <w:rsid w:val="003E3052"/>
    <w:rsid w:val="003E3966"/>
    <w:rsid w:val="003E3F7F"/>
    <w:rsid w:val="003E42B8"/>
    <w:rsid w:val="003E4A42"/>
    <w:rsid w:val="003E4F86"/>
    <w:rsid w:val="003E649C"/>
    <w:rsid w:val="003E6A79"/>
    <w:rsid w:val="003E6AA1"/>
    <w:rsid w:val="003E72A1"/>
    <w:rsid w:val="003E78C4"/>
    <w:rsid w:val="003E7C6F"/>
    <w:rsid w:val="003E7C9F"/>
    <w:rsid w:val="003F0084"/>
    <w:rsid w:val="003F0990"/>
    <w:rsid w:val="003F0D0E"/>
    <w:rsid w:val="003F0FF0"/>
    <w:rsid w:val="003F1168"/>
    <w:rsid w:val="003F14F4"/>
    <w:rsid w:val="003F17E7"/>
    <w:rsid w:val="003F311B"/>
    <w:rsid w:val="003F3450"/>
    <w:rsid w:val="003F35EE"/>
    <w:rsid w:val="003F3FD2"/>
    <w:rsid w:val="003F4229"/>
    <w:rsid w:val="003F441E"/>
    <w:rsid w:val="003F5BC4"/>
    <w:rsid w:val="003F5CFF"/>
    <w:rsid w:val="003F74FD"/>
    <w:rsid w:val="003F766D"/>
    <w:rsid w:val="003F7DF0"/>
    <w:rsid w:val="004011AF"/>
    <w:rsid w:val="00401C49"/>
    <w:rsid w:val="00401C6B"/>
    <w:rsid w:val="0040252A"/>
    <w:rsid w:val="00403053"/>
    <w:rsid w:val="004034E5"/>
    <w:rsid w:val="00403824"/>
    <w:rsid w:val="0040387F"/>
    <w:rsid w:val="00403BB1"/>
    <w:rsid w:val="00403E4D"/>
    <w:rsid w:val="00404C51"/>
    <w:rsid w:val="00405957"/>
    <w:rsid w:val="004062F0"/>
    <w:rsid w:val="0040720D"/>
    <w:rsid w:val="00407439"/>
    <w:rsid w:val="00410535"/>
    <w:rsid w:val="00411E00"/>
    <w:rsid w:val="00412E54"/>
    <w:rsid w:val="0041327C"/>
    <w:rsid w:val="00413329"/>
    <w:rsid w:val="0041358B"/>
    <w:rsid w:val="004146E6"/>
    <w:rsid w:val="00415040"/>
    <w:rsid w:val="00415CC5"/>
    <w:rsid w:val="00415D93"/>
    <w:rsid w:val="004160E3"/>
    <w:rsid w:val="00416123"/>
    <w:rsid w:val="0041614B"/>
    <w:rsid w:val="00420651"/>
    <w:rsid w:val="004214C0"/>
    <w:rsid w:val="00421754"/>
    <w:rsid w:val="00421879"/>
    <w:rsid w:val="004221BE"/>
    <w:rsid w:val="004221E3"/>
    <w:rsid w:val="00423BCD"/>
    <w:rsid w:val="00423ED6"/>
    <w:rsid w:val="0042439D"/>
    <w:rsid w:val="004244A5"/>
    <w:rsid w:val="00424A14"/>
    <w:rsid w:val="00425C16"/>
    <w:rsid w:val="00426AA2"/>
    <w:rsid w:val="004271C1"/>
    <w:rsid w:val="004276F3"/>
    <w:rsid w:val="004309CF"/>
    <w:rsid w:val="00430E81"/>
    <w:rsid w:val="004315BF"/>
    <w:rsid w:val="00431A4A"/>
    <w:rsid w:val="00431AD0"/>
    <w:rsid w:val="00431CB0"/>
    <w:rsid w:val="00432635"/>
    <w:rsid w:val="00433706"/>
    <w:rsid w:val="004340EA"/>
    <w:rsid w:val="0043436F"/>
    <w:rsid w:val="004351B4"/>
    <w:rsid w:val="00436054"/>
    <w:rsid w:val="00436510"/>
    <w:rsid w:val="004368F2"/>
    <w:rsid w:val="00436B77"/>
    <w:rsid w:val="00440137"/>
    <w:rsid w:val="00440C49"/>
    <w:rsid w:val="00441160"/>
    <w:rsid w:val="00441509"/>
    <w:rsid w:val="00443CE5"/>
    <w:rsid w:val="0044400D"/>
    <w:rsid w:val="0044456E"/>
    <w:rsid w:val="00445A76"/>
    <w:rsid w:val="00445E5F"/>
    <w:rsid w:val="0044631E"/>
    <w:rsid w:val="00447203"/>
    <w:rsid w:val="004501D1"/>
    <w:rsid w:val="00450E5B"/>
    <w:rsid w:val="004510E7"/>
    <w:rsid w:val="004513A7"/>
    <w:rsid w:val="00451DE2"/>
    <w:rsid w:val="00452AB8"/>
    <w:rsid w:val="00452C38"/>
    <w:rsid w:val="004536E8"/>
    <w:rsid w:val="004545B9"/>
    <w:rsid w:val="004550BD"/>
    <w:rsid w:val="0045513E"/>
    <w:rsid w:val="00455C8A"/>
    <w:rsid w:val="00456908"/>
    <w:rsid w:val="004577D3"/>
    <w:rsid w:val="004603B0"/>
    <w:rsid w:val="00460958"/>
    <w:rsid w:val="004623C0"/>
    <w:rsid w:val="00462BF7"/>
    <w:rsid w:val="00462DCD"/>
    <w:rsid w:val="004631DD"/>
    <w:rsid w:val="00464131"/>
    <w:rsid w:val="004642C9"/>
    <w:rsid w:val="00464A3D"/>
    <w:rsid w:val="0046533E"/>
    <w:rsid w:val="004654B7"/>
    <w:rsid w:val="00466465"/>
    <w:rsid w:val="00466795"/>
    <w:rsid w:val="0046698B"/>
    <w:rsid w:val="00467377"/>
    <w:rsid w:val="00467694"/>
    <w:rsid w:val="00472F30"/>
    <w:rsid w:val="00473B83"/>
    <w:rsid w:val="00473F7A"/>
    <w:rsid w:val="00475C15"/>
    <w:rsid w:val="00476748"/>
    <w:rsid w:val="0047691C"/>
    <w:rsid w:val="004773EF"/>
    <w:rsid w:val="00477445"/>
    <w:rsid w:val="00477F24"/>
    <w:rsid w:val="00481455"/>
    <w:rsid w:val="00481B6C"/>
    <w:rsid w:val="00482162"/>
    <w:rsid w:val="004827EF"/>
    <w:rsid w:val="00482BB0"/>
    <w:rsid w:val="00483066"/>
    <w:rsid w:val="004842EB"/>
    <w:rsid w:val="0048560F"/>
    <w:rsid w:val="00486C30"/>
    <w:rsid w:val="004875B6"/>
    <w:rsid w:val="00490347"/>
    <w:rsid w:val="00490E76"/>
    <w:rsid w:val="00491427"/>
    <w:rsid w:val="00492252"/>
    <w:rsid w:val="00492E75"/>
    <w:rsid w:val="00493BC7"/>
    <w:rsid w:val="0049404A"/>
    <w:rsid w:val="00494AB0"/>
    <w:rsid w:val="0049723A"/>
    <w:rsid w:val="004A0355"/>
    <w:rsid w:val="004A0934"/>
    <w:rsid w:val="004A0D16"/>
    <w:rsid w:val="004A2E82"/>
    <w:rsid w:val="004A2EA0"/>
    <w:rsid w:val="004A3632"/>
    <w:rsid w:val="004A3AFB"/>
    <w:rsid w:val="004A3C8F"/>
    <w:rsid w:val="004A3DAA"/>
    <w:rsid w:val="004A46F2"/>
    <w:rsid w:val="004A51D7"/>
    <w:rsid w:val="004A5960"/>
    <w:rsid w:val="004B00B2"/>
    <w:rsid w:val="004B02CA"/>
    <w:rsid w:val="004B129E"/>
    <w:rsid w:val="004B1E7A"/>
    <w:rsid w:val="004B3319"/>
    <w:rsid w:val="004B3B5C"/>
    <w:rsid w:val="004B55F6"/>
    <w:rsid w:val="004B5F95"/>
    <w:rsid w:val="004B7B85"/>
    <w:rsid w:val="004C09AC"/>
    <w:rsid w:val="004C16F8"/>
    <w:rsid w:val="004C1C09"/>
    <w:rsid w:val="004C211E"/>
    <w:rsid w:val="004C3E96"/>
    <w:rsid w:val="004C44F1"/>
    <w:rsid w:val="004C4682"/>
    <w:rsid w:val="004C5241"/>
    <w:rsid w:val="004C54C4"/>
    <w:rsid w:val="004C5CA7"/>
    <w:rsid w:val="004C67EC"/>
    <w:rsid w:val="004C6913"/>
    <w:rsid w:val="004C6C80"/>
    <w:rsid w:val="004C6F58"/>
    <w:rsid w:val="004C74FD"/>
    <w:rsid w:val="004C7526"/>
    <w:rsid w:val="004C7FAA"/>
    <w:rsid w:val="004D08A0"/>
    <w:rsid w:val="004D166F"/>
    <w:rsid w:val="004D217F"/>
    <w:rsid w:val="004D2319"/>
    <w:rsid w:val="004D3711"/>
    <w:rsid w:val="004D3F66"/>
    <w:rsid w:val="004D5155"/>
    <w:rsid w:val="004D51EF"/>
    <w:rsid w:val="004D6B75"/>
    <w:rsid w:val="004D6BCE"/>
    <w:rsid w:val="004D708F"/>
    <w:rsid w:val="004D713F"/>
    <w:rsid w:val="004D792F"/>
    <w:rsid w:val="004D7A9C"/>
    <w:rsid w:val="004E000C"/>
    <w:rsid w:val="004E0C21"/>
    <w:rsid w:val="004E0FDB"/>
    <w:rsid w:val="004E1F71"/>
    <w:rsid w:val="004E3DD8"/>
    <w:rsid w:val="004E458D"/>
    <w:rsid w:val="004E4988"/>
    <w:rsid w:val="004E4B38"/>
    <w:rsid w:val="004E50B6"/>
    <w:rsid w:val="004E51B4"/>
    <w:rsid w:val="004E5E50"/>
    <w:rsid w:val="004E64B2"/>
    <w:rsid w:val="004E6615"/>
    <w:rsid w:val="004E6C2E"/>
    <w:rsid w:val="004E702F"/>
    <w:rsid w:val="004E7355"/>
    <w:rsid w:val="004E7424"/>
    <w:rsid w:val="004E772A"/>
    <w:rsid w:val="004E780A"/>
    <w:rsid w:val="004F038B"/>
    <w:rsid w:val="004F09BE"/>
    <w:rsid w:val="004F1DED"/>
    <w:rsid w:val="004F29ED"/>
    <w:rsid w:val="004F32CF"/>
    <w:rsid w:val="004F382C"/>
    <w:rsid w:val="004F3E37"/>
    <w:rsid w:val="004F5E7A"/>
    <w:rsid w:val="004F6917"/>
    <w:rsid w:val="004F69A9"/>
    <w:rsid w:val="004F6EB0"/>
    <w:rsid w:val="004F77E4"/>
    <w:rsid w:val="004F7960"/>
    <w:rsid w:val="005010F8"/>
    <w:rsid w:val="00501411"/>
    <w:rsid w:val="00501A2B"/>
    <w:rsid w:val="0050293A"/>
    <w:rsid w:val="00503CB5"/>
    <w:rsid w:val="005040C0"/>
    <w:rsid w:val="005046E5"/>
    <w:rsid w:val="005048F3"/>
    <w:rsid w:val="0050589F"/>
    <w:rsid w:val="005058AB"/>
    <w:rsid w:val="005059E0"/>
    <w:rsid w:val="00505DEB"/>
    <w:rsid w:val="005060A2"/>
    <w:rsid w:val="0050650C"/>
    <w:rsid w:val="005070BE"/>
    <w:rsid w:val="00507CC1"/>
    <w:rsid w:val="0051075A"/>
    <w:rsid w:val="00510EE2"/>
    <w:rsid w:val="00510F7D"/>
    <w:rsid w:val="005118D5"/>
    <w:rsid w:val="005119DA"/>
    <w:rsid w:val="00512331"/>
    <w:rsid w:val="005129C6"/>
    <w:rsid w:val="005133D8"/>
    <w:rsid w:val="00514A77"/>
    <w:rsid w:val="005156D4"/>
    <w:rsid w:val="005159A0"/>
    <w:rsid w:val="00515A7C"/>
    <w:rsid w:val="005169A6"/>
    <w:rsid w:val="00517351"/>
    <w:rsid w:val="00517660"/>
    <w:rsid w:val="00517BA6"/>
    <w:rsid w:val="00517F5E"/>
    <w:rsid w:val="00520230"/>
    <w:rsid w:val="005208D8"/>
    <w:rsid w:val="0052101D"/>
    <w:rsid w:val="00521708"/>
    <w:rsid w:val="00521F41"/>
    <w:rsid w:val="00522591"/>
    <w:rsid w:val="00522644"/>
    <w:rsid w:val="005227E3"/>
    <w:rsid w:val="00523009"/>
    <w:rsid w:val="00523186"/>
    <w:rsid w:val="00523251"/>
    <w:rsid w:val="00524778"/>
    <w:rsid w:val="00525250"/>
    <w:rsid w:val="00525307"/>
    <w:rsid w:val="0052566B"/>
    <w:rsid w:val="00525939"/>
    <w:rsid w:val="00525AE1"/>
    <w:rsid w:val="005265B9"/>
    <w:rsid w:val="005265E5"/>
    <w:rsid w:val="005270C9"/>
    <w:rsid w:val="005275E1"/>
    <w:rsid w:val="005279EB"/>
    <w:rsid w:val="00530211"/>
    <w:rsid w:val="00530567"/>
    <w:rsid w:val="00530BC6"/>
    <w:rsid w:val="0053171F"/>
    <w:rsid w:val="0053176E"/>
    <w:rsid w:val="00531BAD"/>
    <w:rsid w:val="00531F4C"/>
    <w:rsid w:val="00531F57"/>
    <w:rsid w:val="005321FD"/>
    <w:rsid w:val="00532D91"/>
    <w:rsid w:val="00532EAB"/>
    <w:rsid w:val="005331EA"/>
    <w:rsid w:val="00534BE8"/>
    <w:rsid w:val="0053525E"/>
    <w:rsid w:val="00536DFA"/>
    <w:rsid w:val="0053704F"/>
    <w:rsid w:val="005409D5"/>
    <w:rsid w:val="005418A5"/>
    <w:rsid w:val="0054208E"/>
    <w:rsid w:val="00542280"/>
    <w:rsid w:val="0054283B"/>
    <w:rsid w:val="00542E00"/>
    <w:rsid w:val="005439C2"/>
    <w:rsid w:val="00544649"/>
    <w:rsid w:val="005446AA"/>
    <w:rsid w:val="00544E05"/>
    <w:rsid w:val="00544FA4"/>
    <w:rsid w:val="0054558B"/>
    <w:rsid w:val="00545F12"/>
    <w:rsid w:val="0054648D"/>
    <w:rsid w:val="0054675F"/>
    <w:rsid w:val="00546A9B"/>
    <w:rsid w:val="00546C82"/>
    <w:rsid w:val="00547B68"/>
    <w:rsid w:val="00547C5D"/>
    <w:rsid w:val="00547C99"/>
    <w:rsid w:val="00550C33"/>
    <w:rsid w:val="005516B1"/>
    <w:rsid w:val="005519A6"/>
    <w:rsid w:val="00551B7B"/>
    <w:rsid w:val="005522CF"/>
    <w:rsid w:val="00552538"/>
    <w:rsid w:val="0055255F"/>
    <w:rsid w:val="0055310D"/>
    <w:rsid w:val="00553AB8"/>
    <w:rsid w:val="00554252"/>
    <w:rsid w:val="00554516"/>
    <w:rsid w:val="00554A99"/>
    <w:rsid w:val="00554EB6"/>
    <w:rsid w:val="00556066"/>
    <w:rsid w:val="00556A04"/>
    <w:rsid w:val="00560892"/>
    <w:rsid w:val="005624E1"/>
    <w:rsid w:val="00562EB0"/>
    <w:rsid w:val="00562F95"/>
    <w:rsid w:val="005638BB"/>
    <w:rsid w:val="00563B66"/>
    <w:rsid w:val="005649CC"/>
    <w:rsid w:val="00565F8D"/>
    <w:rsid w:val="005668A8"/>
    <w:rsid w:val="00566F7B"/>
    <w:rsid w:val="005673E8"/>
    <w:rsid w:val="005674DE"/>
    <w:rsid w:val="00567BE0"/>
    <w:rsid w:val="0057022E"/>
    <w:rsid w:val="00570D03"/>
    <w:rsid w:val="00571406"/>
    <w:rsid w:val="005719E0"/>
    <w:rsid w:val="00571B93"/>
    <w:rsid w:val="00573B0E"/>
    <w:rsid w:val="00573BD6"/>
    <w:rsid w:val="00573E5A"/>
    <w:rsid w:val="0057427E"/>
    <w:rsid w:val="00574340"/>
    <w:rsid w:val="00574970"/>
    <w:rsid w:val="00575766"/>
    <w:rsid w:val="005766A9"/>
    <w:rsid w:val="0057715F"/>
    <w:rsid w:val="00581AAE"/>
    <w:rsid w:val="00582380"/>
    <w:rsid w:val="00583161"/>
    <w:rsid w:val="00583393"/>
    <w:rsid w:val="00583498"/>
    <w:rsid w:val="00585868"/>
    <w:rsid w:val="00585EC2"/>
    <w:rsid w:val="0058617B"/>
    <w:rsid w:val="00586320"/>
    <w:rsid w:val="0058786E"/>
    <w:rsid w:val="005907A3"/>
    <w:rsid w:val="00590D29"/>
    <w:rsid w:val="00591448"/>
    <w:rsid w:val="0059214D"/>
    <w:rsid w:val="005927C1"/>
    <w:rsid w:val="005933CA"/>
    <w:rsid w:val="00593A90"/>
    <w:rsid w:val="00593BB1"/>
    <w:rsid w:val="00596F0D"/>
    <w:rsid w:val="005A01DE"/>
    <w:rsid w:val="005A162B"/>
    <w:rsid w:val="005A33AA"/>
    <w:rsid w:val="005A66DF"/>
    <w:rsid w:val="005A6A11"/>
    <w:rsid w:val="005A703B"/>
    <w:rsid w:val="005A716E"/>
    <w:rsid w:val="005A7251"/>
    <w:rsid w:val="005A729D"/>
    <w:rsid w:val="005A78C4"/>
    <w:rsid w:val="005A7C11"/>
    <w:rsid w:val="005A7F3C"/>
    <w:rsid w:val="005B02E2"/>
    <w:rsid w:val="005B1275"/>
    <w:rsid w:val="005B1A0E"/>
    <w:rsid w:val="005B1E52"/>
    <w:rsid w:val="005B1FE9"/>
    <w:rsid w:val="005B2014"/>
    <w:rsid w:val="005B3363"/>
    <w:rsid w:val="005B34AB"/>
    <w:rsid w:val="005B4216"/>
    <w:rsid w:val="005B4291"/>
    <w:rsid w:val="005B462E"/>
    <w:rsid w:val="005B49EB"/>
    <w:rsid w:val="005B6221"/>
    <w:rsid w:val="005B6619"/>
    <w:rsid w:val="005C00C4"/>
    <w:rsid w:val="005C00C8"/>
    <w:rsid w:val="005C082D"/>
    <w:rsid w:val="005C1442"/>
    <w:rsid w:val="005C22DE"/>
    <w:rsid w:val="005C2686"/>
    <w:rsid w:val="005C3371"/>
    <w:rsid w:val="005C3B46"/>
    <w:rsid w:val="005C4324"/>
    <w:rsid w:val="005C45C3"/>
    <w:rsid w:val="005C536E"/>
    <w:rsid w:val="005C5751"/>
    <w:rsid w:val="005C5F26"/>
    <w:rsid w:val="005C6197"/>
    <w:rsid w:val="005C6961"/>
    <w:rsid w:val="005C69BB"/>
    <w:rsid w:val="005C735E"/>
    <w:rsid w:val="005C7FA2"/>
    <w:rsid w:val="005D09FE"/>
    <w:rsid w:val="005D171D"/>
    <w:rsid w:val="005D1FDE"/>
    <w:rsid w:val="005D268C"/>
    <w:rsid w:val="005D269E"/>
    <w:rsid w:val="005D3078"/>
    <w:rsid w:val="005D37E8"/>
    <w:rsid w:val="005D4630"/>
    <w:rsid w:val="005D46A1"/>
    <w:rsid w:val="005D46BC"/>
    <w:rsid w:val="005D7599"/>
    <w:rsid w:val="005D78F1"/>
    <w:rsid w:val="005D7DC9"/>
    <w:rsid w:val="005E1CB0"/>
    <w:rsid w:val="005E30B9"/>
    <w:rsid w:val="005E3207"/>
    <w:rsid w:val="005E3372"/>
    <w:rsid w:val="005E381A"/>
    <w:rsid w:val="005E3893"/>
    <w:rsid w:val="005E41A9"/>
    <w:rsid w:val="005E50B6"/>
    <w:rsid w:val="005E51D6"/>
    <w:rsid w:val="005E51E9"/>
    <w:rsid w:val="005E6C19"/>
    <w:rsid w:val="005E6FCC"/>
    <w:rsid w:val="005E7F70"/>
    <w:rsid w:val="005F037B"/>
    <w:rsid w:val="005F0B07"/>
    <w:rsid w:val="005F0B18"/>
    <w:rsid w:val="005F1640"/>
    <w:rsid w:val="005F1B89"/>
    <w:rsid w:val="005F1CCE"/>
    <w:rsid w:val="005F2697"/>
    <w:rsid w:val="005F2D85"/>
    <w:rsid w:val="005F33D3"/>
    <w:rsid w:val="005F361C"/>
    <w:rsid w:val="005F391D"/>
    <w:rsid w:val="005F47AF"/>
    <w:rsid w:val="005F69C4"/>
    <w:rsid w:val="005F6E64"/>
    <w:rsid w:val="005F7BBE"/>
    <w:rsid w:val="006008D2"/>
    <w:rsid w:val="00600D0E"/>
    <w:rsid w:val="006012A6"/>
    <w:rsid w:val="00602BCB"/>
    <w:rsid w:val="00605189"/>
    <w:rsid w:val="006058CC"/>
    <w:rsid w:val="00606058"/>
    <w:rsid w:val="0060621B"/>
    <w:rsid w:val="00606636"/>
    <w:rsid w:val="00606F7D"/>
    <w:rsid w:val="00607329"/>
    <w:rsid w:val="0060738A"/>
    <w:rsid w:val="006115B4"/>
    <w:rsid w:val="00612498"/>
    <w:rsid w:val="00612739"/>
    <w:rsid w:val="006133CC"/>
    <w:rsid w:val="00614A6C"/>
    <w:rsid w:val="00614A9D"/>
    <w:rsid w:val="00614F94"/>
    <w:rsid w:val="00615570"/>
    <w:rsid w:val="00615AE5"/>
    <w:rsid w:val="00615F7D"/>
    <w:rsid w:val="00616C3F"/>
    <w:rsid w:val="0061719A"/>
    <w:rsid w:val="00617FAB"/>
    <w:rsid w:val="006203F2"/>
    <w:rsid w:val="00620BE5"/>
    <w:rsid w:val="006218FD"/>
    <w:rsid w:val="006219E9"/>
    <w:rsid w:val="00622199"/>
    <w:rsid w:val="00623069"/>
    <w:rsid w:val="00624802"/>
    <w:rsid w:val="0062511C"/>
    <w:rsid w:val="00625653"/>
    <w:rsid w:val="00625B9F"/>
    <w:rsid w:val="0062663A"/>
    <w:rsid w:val="006268D0"/>
    <w:rsid w:val="00627AF4"/>
    <w:rsid w:val="00630468"/>
    <w:rsid w:val="00630510"/>
    <w:rsid w:val="0063088C"/>
    <w:rsid w:val="00630FF0"/>
    <w:rsid w:val="006313F2"/>
    <w:rsid w:val="00631CC6"/>
    <w:rsid w:val="006321AE"/>
    <w:rsid w:val="006324C6"/>
    <w:rsid w:val="00632810"/>
    <w:rsid w:val="0063293C"/>
    <w:rsid w:val="006346D9"/>
    <w:rsid w:val="00634A94"/>
    <w:rsid w:val="00634BB0"/>
    <w:rsid w:val="00635256"/>
    <w:rsid w:val="00635D71"/>
    <w:rsid w:val="00636345"/>
    <w:rsid w:val="006412C9"/>
    <w:rsid w:val="00641D77"/>
    <w:rsid w:val="00641E67"/>
    <w:rsid w:val="00642A80"/>
    <w:rsid w:val="00643B58"/>
    <w:rsid w:val="00644395"/>
    <w:rsid w:val="00645EBA"/>
    <w:rsid w:val="006466DA"/>
    <w:rsid w:val="0064692E"/>
    <w:rsid w:val="00646C3F"/>
    <w:rsid w:val="00646E47"/>
    <w:rsid w:val="00647B26"/>
    <w:rsid w:val="00647E30"/>
    <w:rsid w:val="006506B9"/>
    <w:rsid w:val="0065083A"/>
    <w:rsid w:val="0065106B"/>
    <w:rsid w:val="00651A17"/>
    <w:rsid w:val="006521C5"/>
    <w:rsid w:val="00653EB7"/>
    <w:rsid w:val="00654A2B"/>
    <w:rsid w:val="00654A47"/>
    <w:rsid w:val="00655BB6"/>
    <w:rsid w:val="006569EC"/>
    <w:rsid w:val="00656C4A"/>
    <w:rsid w:val="00656CC6"/>
    <w:rsid w:val="0065789E"/>
    <w:rsid w:val="006604AE"/>
    <w:rsid w:val="00660AC8"/>
    <w:rsid w:val="0066100E"/>
    <w:rsid w:val="0066117D"/>
    <w:rsid w:val="006613A0"/>
    <w:rsid w:val="00662486"/>
    <w:rsid w:val="00662719"/>
    <w:rsid w:val="00662AAB"/>
    <w:rsid w:val="006636D4"/>
    <w:rsid w:val="00665377"/>
    <w:rsid w:val="00665542"/>
    <w:rsid w:val="00665773"/>
    <w:rsid w:val="006664D3"/>
    <w:rsid w:val="00666AB1"/>
    <w:rsid w:val="00667F8C"/>
    <w:rsid w:val="00670726"/>
    <w:rsid w:val="00670848"/>
    <w:rsid w:val="00670BE9"/>
    <w:rsid w:val="00670F2F"/>
    <w:rsid w:val="006737A2"/>
    <w:rsid w:val="0067482E"/>
    <w:rsid w:val="00674BDA"/>
    <w:rsid w:val="0067507B"/>
    <w:rsid w:val="00676AFA"/>
    <w:rsid w:val="006771EE"/>
    <w:rsid w:val="00677600"/>
    <w:rsid w:val="00677659"/>
    <w:rsid w:val="00680A8C"/>
    <w:rsid w:val="00680F0C"/>
    <w:rsid w:val="00680F7B"/>
    <w:rsid w:val="0068179A"/>
    <w:rsid w:val="0068246C"/>
    <w:rsid w:val="00682A9D"/>
    <w:rsid w:val="00682B96"/>
    <w:rsid w:val="006831C0"/>
    <w:rsid w:val="00683B50"/>
    <w:rsid w:val="0068416C"/>
    <w:rsid w:val="00684490"/>
    <w:rsid w:val="006845D2"/>
    <w:rsid w:val="00684AEA"/>
    <w:rsid w:val="00684B61"/>
    <w:rsid w:val="00684D49"/>
    <w:rsid w:val="00684FF0"/>
    <w:rsid w:val="006856F2"/>
    <w:rsid w:val="00685791"/>
    <w:rsid w:val="00685ADC"/>
    <w:rsid w:val="00685FAE"/>
    <w:rsid w:val="00686313"/>
    <w:rsid w:val="006872F4"/>
    <w:rsid w:val="006900EE"/>
    <w:rsid w:val="0069071A"/>
    <w:rsid w:val="00691443"/>
    <w:rsid w:val="00692663"/>
    <w:rsid w:val="0069331A"/>
    <w:rsid w:val="00693865"/>
    <w:rsid w:val="00693E70"/>
    <w:rsid w:val="00694F07"/>
    <w:rsid w:val="0069566C"/>
    <w:rsid w:val="00696046"/>
    <w:rsid w:val="006961CC"/>
    <w:rsid w:val="006972EC"/>
    <w:rsid w:val="00697A95"/>
    <w:rsid w:val="006A0257"/>
    <w:rsid w:val="006A043C"/>
    <w:rsid w:val="006A0715"/>
    <w:rsid w:val="006A0FF4"/>
    <w:rsid w:val="006A179E"/>
    <w:rsid w:val="006A1901"/>
    <w:rsid w:val="006A2650"/>
    <w:rsid w:val="006A38C6"/>
    <w:rsid w:val="006A41DF"/>
    <w:rsid w:val="006A4361"/>
    <w:rsid w:val="006A45BF"/>
    <w:rsid w:val="006A5483"/>
    <w:rsid w:val="006A5C9A"/>
    <w:rsid w:val="006A5F78"/>
    <w:rsid w:val="006A68BE"/>
    <w:rsid w:val="006A7A4D"/>
    <w:rsid w:val="006A7B28"/>
    <w:rsid w:val="006B1B36"/>
    <w:rsid w:val="006B2627"/>
    <w:rsid w:val="006B27A8"/>
    <w:rsid w:val="006B3C20"/>
    <w:rsid w:val="006B6FCC"/>
    <w:rsid w:val="006B7126"/>
    <w:rsid w:val="006B7A00"/>
    <w:rsid w:val="006B7B37"/>
    <w:rsid w:val="006C03E0"/>
    <w:rsid w:val="006C0EA1"/>
    <w:rsid w:val="006C14E5"/>
    <w:rsid w:val="006C2497"/>
    <w:rsid w:val="006C27A3"/>
    <w:rsid w:val="006C3C83"/>
    <w:rsid w:val="006C3ED5"/>
    <w:rsid w:val="006C4403"/>
    <w:rsid w:val="006C497E"/>
    <w:rsid w:val="006C499D"/>
    <w:rsid w:val="006C5896"/>
    <w:rsid w:val="006C5BA6"/>
    <w:rsid w:val="006C5ED5"/>
    <w:rsid w:val="006C6215"/>
    <w:rsid w:val="006C6254"/>
    <w:rsid w:val="006C65FA"/>
    <w:rsid w:val="006C7DD4"/>
    <w:rsid w:val="006D0F80"/>
    <w:rsid w:val="006D169A"/>
    <w:rsid w:val="006D25F4"/>
    <w:rsid w:val="006D2994"/>
    <w:rsid w:val="006D2A54"/>
    <w:rsid w:val="006D2AF0"/>
    <w:rsid w:val="006D2B92"/>
    <w:rsid w:val="006D30EF"/>
    <w:rsid w:val="006D31F0"/>
    <w:rsid w:val="006D33B8"/>
    <w:rsid w:val="006D4F1A"/>
    <w:rsid w:val="006D648F"/>
    <w:rsid w:val="006D689A"/>
    <w:rsid w:val="006D732A"/>
    <w:rsid w:val="006E08CD"/>
    <w:rsid w:val="006E1955"/>
    <w:rsid w:val="006E1963"/>
    <w:rsid w:val="006E1C9F"/>
    <w:rsid w:val="006E2205"/>
    <w:rsid w:val="006E2270"/>
    <w:rsid w:val="006E39C6"/>
    <w:rsid w:val="006E41D6"/>
    <w:rsid w:val="006E4B35"/>
    <w:rsid w:val="006E4E77"/>
    <w:rsid w:val="006E772B"/>
    <w:rsid w:val="006E7EF4"/>
    <w:rsid w:val="006F099F"/>
    <w:rsid w:val="006F1369"/>
    <w:rsid w:val="006F136F"/>
    <w:rsid w:val="006F38C7"/>
    <w:rsid w:val="006F4BB4"/>
    <w:rsid w:val="006F4E35"/>
    <w:rsid w:val="006F5201"/>
    <w:rsid w:val="006F5380"/>
    <w:rsid w:val="006F6704"/>
    <w:rsid w:val="00701056"/>
    <w:rsid w:val="007020BB"/>
    <w:rsid w:val="007020EF"/>
    <w:rsid w:val="00702F57"/>
    <w:rsid w:val="00703193"/>
    <w:rsid w:val="00703AEB"/>
    <w:rsid w:val="00704AA2"/>
    <w:rsid w:val="00704B49"/>
    <w:rsid w:val="00704F1C"/>
    <w:rsid w:val="00705019"/>
    <w:rsid w:val="00705701"/>
    <w:rsid w:val="00706154"/>
    <w:rsid w:val="00706180"/>
    <w:rsid w:val="007071DB"/>
    <w:rsid w:val="0070764C"/>
    <w:rsid w:val="00710A08"/>
    <w:rsid w:val="00711018"/>
    <w:rsid w:val="00711905"/>
    <w:rsid w:val="00711A6C"/>
    <w:rsid w:val="007128A0"/>
    <w:rsid w:val="0071316B"/>
    <w:rsid w:val="00713353"/>
    <w:rsid w:val="00713821"/>
    <w:rsid w:val="007155BA"/>
    <w:rsid w:val="007157F5"/>
    <w:rsid w:val="00715BC3"/>
    <w:rsid w:val="0072056F"/>
    <w:rsid w:val="007210D5"/>
    <w:rsid w:val="00721401"/>
    <w:rsid w:val="00721507"/>
    <w:rsid w:val="00721636"/>
    <w:rsid w:val="00721C67"/>
    <w:rsid w:val="007226A0"/>
    <w:rsid w:val="0072383C"/>
    <w:rsid w:val="00723DEC"/>
    <w:rsid w:val="00725196"/>
    <w:rsid w:val="00725B4F"/>
    <w:rsid w:val="00725F7A"/>
    <w:rsid w:val="00726443"/>
    <w:rsid w:val="00726493"/>
    <w:rsid w:val="00727C58"/>
    <w:rsid w:val="00727CF8"/>
    <w:rsid w:val="00730428"/>
    <w:rsid w:val="007305F5"/>
    <w:rsid w:val="00730DCF"/>
    <w:rsid w:val="007323C2"/>
    <w:rsid w:val="00732936"/>
    <w:rsid w:val="00732C8E"/>
    <w:rsid w:val="007341B4"/>
    <w:rsid w:val="007345AB"/>
    <w:rsid w:val="00737481"/>
    <w:rsid w:val="00740E45"/>
    <w:rsid w:val="007412B7"/>
    <w:rsid w:val="00742DE3"/>
    <w:rsid w:val="00743A33"/>
    <w:rsid w:val="00744F93"/>
    <w:rsid w:val="00745E8E"/>
    <w:rsid w:val="00746397"/>
    <w:rsid w:val="00746730"/>
    <w:rsid w:val="00747057"/>
    <w:rsid w:val="00747F04"/>
    <w:rsid w:val="007508F1"/>
    <w:rsid w:val="007510CF"/>
    <w:rsid w:val="007514FE"/>
    <w:rsid w:val="00751F16"/>
    <w:rsid w:val="00752881"/>
    <w:rsid w:val="007531DA"/>
    <w:rsid w:val="0075370E"/>
    <w:rsid w:val="00753F72"/>
    <w:rsid w:val="00755480"/>
    <w:rsid w:val="007558B8"/>
    <w:rsid w:val="007558E4"/>
    <w:rsid w:val="007558F6"/>
    <w:rsid w:val="007559C6"/>
    <w:rsid w:val="00756AE1"/>
    <w:rsid w:val="00756FF6"/>
    <w:rsid w:val="0075752D"/>
    <w:rsid w:val="007579D2"/>
    <w:rsid w:val="00757C14"/>
    <w:rsid w:val="00760277"/>
    <w:rsid w:val="00761CE9"/>
    <w:rsid w:val="00761EB8"/>
    <w:rsid w:val="00762E32"/>
    <w:rsid w:val="007637AA"/>
    <w:rsid w:val="00763B48"/>
    <w:rsid w:val="0076406F"/>
    <w:rsid w:val="00764CE2"/>
    <w:rsid w:val="007651E1"/>
    <w:rsid w:val="00765A00"/>
    <w:rsid w:val="00765A1B"/>
    <w:rsid w:val="007667E8"/>
    <w:rsid w:val="007678BE"/>
    <w:rsid w:val="0077062A"/>
    <w:rsid w:val="00770DBD"/>
    <w:rsid w:val="00770EFB"/>
    <w:rsid w:val="00771550"/>
    <w:rsid w:val="00771ACF"/>
    <w:rsid w:val="00771D9E"/>
    <w:rsid w:val="00772344"/>
    <w:rsid w:val="00772445"/>
    <w:rsid w:val="00772ED5"/>
    <w:rsid w:val="00773455"/>
    <w:rsid w:val="00774002"/>
    <w:rsid w:val="00774BE1"/>
    <w:rsid w:val="00774C37"/>
    <w:rsid w:val="00775178"/>
    <w:rsid w:val="00775D50"/>
    <w:rsid w:val="0077620E"/>
    <w:rsid w:val="0077685A"/>
    <w:rsid w:val="00776EA5"/>
    <w:rsid w:val="00776EB8"/>
    <w:rsid w:val="00777231"/>
    <w:rsid w:val="007776D8"/>
    <w:rsid w:val="0077783D"/>
    <w:rsid w:val="00777974"/>
    <w:rsid w:val="00777E72"/>
    <w:rsid w:val="007802A3"/>
    <w:rsid w:val="00780318"/>
    <w:rsid w:val="007807E9"/>
    <w:rsid w:val="00780CF6"/>
    <w:rsid w:val="00781E35"/>
    <w:rsid w:val="00782126"/>
    <w:rsid w:val="0078263D"/>
    <w:rsid w:val="00783D1E"/>
    <w:rsid w:val="00783E26"/>
    <w:rsid w:val="00783FAF"/>
    <w:rsid w:val="00785074"/>
    <w:rsid w:val="00785F53"/>
    <w:rsid w:val="007876F9"/>
    <w:rsid w:val="007878A5"/>
    <w:rsid w:val="00787CA8"/>
    <w:rsid w:val="00790932"/>
    <w:rsid w:val="00792780"/>
    <w:rsid w:val="00792A69"/>
    <w:rsid w:val="00792B4B"/>
    <w:rsid w:val="0079326E"/>
    <w:rsid w:val="00793A37"/>
    <w:rsid w:val="0079529D"/>
    <w:rsid w:val="00795323"/>
    <w:rsid w:val="00795487"/>
    <w:rsid w:val="007957B5"/>
    <w:rsid w:val="00796D43"/>
    <w:rsid w:val="00797343"/>
    <w:rsid w:val="00797CAC"/>
    <w:rsid w:val="007A0ABE"/>
    <w:rsid w:val="007A0D3D"/>
    <w:rsid w:val="007A16F6"/>
    <w:rsid w:val="007A173A"/>
    <w:rsid w:val="007A2E38"/>
    <w:rsid w:val="007A306F"/>
    <w:rsid w:val="007A31DA"/>
    <w:rsid w:val="007A3600"/>
    <w:rsid w:val="007A3798"/>
    <w:rsid w:val="007A3A20"/>
    <w:rsid w:val="007A3DD0"/>
    <w:rsid w:val="007A4CB0"/>
    <w:rsid w:val="007A4D58"/>
    <w:rsid w:val="007A536A"/>
    <w:rsid w:val="007A64A5"/>
    <w:rsid w:val="007A6606"/>
    <w:rsid w:val="007A7951"/>
    <w:rsid w:val="007B0AB0"/>
    <w:rsid w:val="007B1C93"/>
    <w:rsid w:val="007B1F78"/>
    <w:rsid w:val="007B2A37"/>
    <w:rsid w:val="007B35BD"/>
    <w:rsid w:val="007B4534"/>
    <w:rsid w:val="007B4AC9"/>
    <w:rsid w:val="007B511F"/>
    <w:rsid w:val="007B5339"/>
    <w:rsid w:val="007B5536"/>
    <w:rsid w:val="007B59D7"/>
    <w:rsid w:val="007B6310"/>
    <w:rsid w:val="007B69DC"/>
    <w:rsid w:val="007B6DC3"/>
    <w:rsid w:val="007C03D2"/>
    <w:rsid w:val="007C0703"/>
    <w:rsid w:val="007C0B07"/>
    <w:rsid w:val="007C0C23"/>
    <w:rsid w:val="007C1619"/>
    <w:rsid w:val="007C2148"/>
    <w:rsid w:val="007C31EB"/>
    <w:rsid w:val="007C3C01"/>
    <w:rsid w:val="007C4D41"/>
    <w:rsid w:val="007C50D0"/>
    <w:rsid w:val="007C53F0"/>
    <w:rsid w:val="007C5B0B"/>
    <w:rsid w:val="007C5E61"/>
    <w:rsid w:val="007C5E7B"/>
    <w:rsid w:val="007C61BC"/>
    <w:rsid w:val="007C65E8"/>
    <w:rsid w:val="007C7083"/>
    <w:rsid w:val="007C77F7"/>
    <w:rsid w:val="007D0645"/>
    <w:rsid w:val="007D06FD"/>
    <w:rsid w:val="007D0730"/>
    <w:rsid w:val="007D10CE"/>
    <w:rsid w:val="007D196E"/>
    <w:rsid w:val="007D1EFC"/>
    <w:rsid w:val="007D2945"/>
    <w:rsid w:val="007D3215"/>
    <w:rsid w:val="007D329D"/>
    <w:rsid w:val="007D3377"/>
    <w:rsid w:val="007D40E1"/>
    <w:rsid w:val="007D41AA"/>
    <w:rsid w:val="007D51AC"/>
    <w:rsid w:val="007D5557"/>
    <w:rsid w:val="007D57EA"/>
    <w:rsid w:val="007D594F"/>
    <w:rsid w:val="007D59FB"/>
    <w:rsid w:val="007D5B7B"/>
    <w:rsid w:val="007D6222"/>
    <w:rsid w:val="007D69CA"/>
    <w:rsid w:val="007D70B0"/>
    <w:rsid w:val="007D71F2"/>
    <w:rsid w:val="007D7492"/>
    <w:rsid w:val="007D74D9"/>
    <w:rsid w:val="007D7DB1"/>
    <w:rsid w:val="007E0575"/>
    <w:rsid w:val="007E06D9"/>
    <w:rsid w:val="007E0D65"/>
    <w:rsid w:val="007E14EB"/>
    <w:rsid w:val="007E1D74"/>
    <w:rsid w:val="007E2D7A"/>
    <w:rsid w:val="007E329A"/>
    <w:rsid w:val="007E3354"/>
    <w:rsid w:val="007E35B3"/>
    <w:rsid w:val="007E3726"/>
    <w:rsid w:val="007E4061"/>
    <w:rsid w:val="007E4BFD"/>
    <w:rsid w:val="007E4E03"/>
    <w:rsid w:val="007E51AD"/>
    <w:rsid w:val="007E55A6"/>
    <w:rsid w:val="007E6480"/>
    <w:rsid w:val="007E6E3E"/>
    <w:rsid w:val="007E7227"/>
    <w:rsid w:val="007E74FD"/>
    <w:rsid w:val="007E767E"/>
    <w:rsid w:val="007F053B"/>
    <w:rsid w:val="007F1CBF"/>
    <w:rsid w:val="007F1EF8"/>
    <w:rsid w:val="007F23F0"/>
    <w:rsid w:val="007F26B4"/>
    <w:rsid w:val="007F3838"/>
    <w:rsid w:val="007F4231"/>
    <w:rsid w:val="007F4374"/>
    <w:rsid w:val="007F4AE4"/>
    <w:rsid w:val="007F60A8"/>
    <w:rsid w:val="007F6262"/>
    <w:rsid w:val="007F62B5"/>
    <w:rsid w:val="007F6846"/>
    <w:rsid w:val="007F69D9"/>
    <w:rsid w:val="007F72B3"/>
    <w:rsid w:val="007F78FE"/>
    <w:rsid w:val="007F7AD1"/>
    <w:rsid w:val="007F7D4B"/>
    <w:rsid w:val="007F7EEA"/>
    <w:rsid w:val="00800A0F"/>
    <w:rsid w:val="00800DCC"/>
    <w:rsid w:val="00801716"/>
    <w:rsid w:val="0080290C"/>
    <w:rsid w:val="00802EC8"/>
    <w:rsid w:val="00805051"/>
    <w:rsid w:val="00805973"/>
    <w:rsid w:val="00806621"/>
    <w:rsid w:val="00806B59"/>
    <w:rsid w:val="00806CFE"/>
    <w:rsid w:val="00807324"/>
    <w:rsid w:val="008074D9"/>
    <w:rsid w:val="0081015A"/>
    <w:rsid w:val="00810F66"/>
    <w:rsid w:val="0081119B"/>
    <w:rsid w:val="008128C9"/>
    <w:rsid w:val="00814906"/>
    <w:rsid w:val="0081506B"/>
    <w:rsid w:val="00815586"/>
    <w:rsid w:val="008156E3"/>
    <w:rsid w:val="00816BC2"/>
    <w:rsid w:val="00816E55"/>
    <w:rsid w:val="00817D39"/>
    <w:rsid w:val="00820405"/>
    <w:rsid w:val="00820763"/>
    <w:rsid w:val="00820FDC"/>
    <w:rsid w:val="00821CAE"/>
    <w:rsid w:val="0082232F"/>
    <w:rsid w:val="00822B7B"/>
    <w:rsid w:val="00822D88"/>
    <w:rsid w:val="00824D05"/>
    <w:rsid w:val="008251CF"/>
    <w:rsid w:val="008263E4"/>
    <w:rsid w:val="008268E1"/>
    <w:rsid w:val="00827FF1"/>
    <w:rsid w:val="00831496"/>
    <w:rsid w:val="00831811"/>
    <w:rsid w:val="00831B07"/>
    <w:rsid w:val="00831B0E"/>
    <w:rsid w:val="00832B92"/>
    <w:rsid w:val="00834294"/>
    <w:rsid w:val="008342A9"/>
    <w:rsid w:val="008347E6"/>
    <w:rsid w:val="00834D04"/>
    <w:rsid w:val="00835007"/>
    <w:rsid w:val="0083754F"/>
    <w:rsid w:val="00837924"/>
    <w:rsid w:val="00837AEE"/>
    <w:rsid w:val="008400D1"/>
    <w:rsid w:val="0084027A"/>
    <w:rsid w:val="0084140F"/>
    <w:rsid w:val="00841B8D"/>
    <w:rsid w:val="00841C9B"/>
    <w:rsid w:val="008432A5"/>
    <w:rsid w:val="00845658"/>
    <w:rsid w:val="00847054"/>
    <w:rsid w:val="00847D51"/>
    <w:rsid w:val="008501D3"/>
    <w:rsid w:val="00851449"/>
    <w:rsid w:val="008518A1"/>
    <w:rsid w:val="0085227C"/>
    <w:rsid w:val="008524A3"/>
    <w:rsid w:val="00853FBA"/>
    <w:rsid w:val="00854398"/>
    <w:rsid w:val="008549E1"/>
    <w:rsid w:val="00854A81"/>
    <w:rsid w:val="00855537"/>
    <w:rsid w:val="00856887"/>
    <w:rsid w:val="00856E93"/>
    <w:rsid w:val="0085725D"/>
    <w:rsid w:val="00857443"/>
    <w:rsid w:val="008601E0"/>
    <w:rsid w:val="00860E8D"/>
    <w:rsid w:val="00860F11"/>
    <w:rsid w:val="00861B72"/>
    <w:rsid w:val="00862107"/>
    <w:rsid w:val="00862227"/>
    <w:rsid w:val="00863582"/>
    <w:rsid w:val="00864B3D"/>
    <w:rsid w:val="00864CF3"/>
    <w:rsid w:val="00866AC9"/>
    <w:rsid w:val="00866CE4"/>
    <w:rsid w:val="00866E99"/>
    <w:rsid w:val="00867B66"/>
    <w:rsid w:val="00867CED"/>
    <w:rsid w:val="00867FD6"/>
    <w:rsid w:val="0087053B"/>
    <w:rsid w:val="0087054D"/>
    <w:rsid w:val="00870B4C"/>
    <w:rsid w:val="008711B5"/>
    <w:rsid w:val="008718C6"/>
    <w:rsid w:val="008739C8"/>
    <w:rsid w:val="00873F1E"/>
    <w:rsid w:val="00873FC4"/>
    <w:rsid w:val="00875561"/>
    <w:rsid w:val="00876FDF"/>
    <w:rsid w:val="008775AC"/>
    <w:rsid w:val="008779E2"/>
    <w:rsid w:val="00877A0A"/>
    <w:rsid w:val="008802D4"/>
    <w:rsid w:val="00880379"/>
    <w:rsid w:val="00880934"/>
    <w:rsid w:val="008813D2"/>
    <w:rsid w:val="0088299B"/>
    <w:rsid w:val="00882E3D"/>
    <w:rsid w:val="008857FB"/>
    <w:rsid w:val="00885C45"/>
    <w:rsid w:val="0088736C"/>
    <w:rsid w:val="00887A7B"/>
    <w:rsid w:val="00887ED8"/>
    <w:rsid w:val="00887EDE"/>
    <w:rsid w:val="00890358"/>
    <w:rsid w:val="00890C51"/>
    <w:rsid w:val="0089135E"/>
    <w:rsid w:val="00892945"/>
    <w:rsid w:val="00892E5E"/>
    <w:rsid w:val="0089334E"/>
    <w:rsid w:val="008933DF"/>
    <w:rsid w:val="00893515"/>
    <w:rsid w:val="00893649"/>
    <w:rsid w:val="00895770"/>
    <w:rsid w:val="008963EF"/>
    <w:rsid w:val="008968C9"/>
    <w:rsid w:val="00897150"/>
    <w:rsid w:val="008971EF"/>
    <w:rsid w:val="00897C94"/>
    <w:rsid w:val="008A0E2E"/>
    <w:rsid w:val="008A0F87"/>
    <w:rsid w:val="008A17C0"/>
    <w:rsid w:val="008A292F"/>
    <w:rsid w:val="008A343D"/>
    <w:rsid w:val="008A37A5"/>
    <w:rsid w:val="008A3909"/>
    <w:rsid w:val="008A3BC9"/>
    <w:rsid w:val="008A3BD4"/>
    <w:rsid w:val="008A423F"/>
    <w:rsid w:val="008A42F7"/>
    <w:rsid w:val="008A4744"/>
    <w:rsid w:val="008A4E09"/>
    <w:rsid w:val="008A5341"/>
    <w:rsid w:val="008A5476"/>
    <w:rsid w:val="008A55C5"/>
    <w:rsid w:val="008A5C2E"/>
    <w:rsid w:val="008A6286"/>
    <w:rsid w:val="008A6628"/>
    <w:rsid w:val="008A70C5"/>
    <w:rsid w:val="008A7B76"/>
    <w:rsid w:val="008B046C"/>
    <w:rsid w:val="008B179A"/>
    <w:rsid w:val="008B20D9"/>
    <w:rsid w:val="008B29FD"/>
    <w:rsid w:val="008B30DA"/>
    <w:rsid w:val="008B350E"/>
    <w:rsid w:val="008B392B"/>
    <w:rsid w:val="008B3CCC"/>
    <w:rsid w:val="008B3E9D"/>
    <w:rsid w:val="008B53A2"/>
    <w:rsid w:val="008B5A17"/>
    <w:rsid w:val="008B633A"/>
    <w:rsid w:val="008B6494"/>
    <w:rsid w:val="008B7391"/>
    <w:rsid w:val="008C183B"/>
    <w:rsid w:val="008C236B"/>
    <w:rsid w:val="008C260B"/>
    <w:rsid w:val="008C2611"/>
    <w:rsid w:val="008C29F9"/>
    <w:rsid w:val="008C2CFC"/>
    <w:rsid w:val="008C3902"/>
    <w:rsid w:val="008C3B94"/>
    <w:rsid w:val="008C4601"/>
    <w:rsid w:val="008C511B"/>
    <w:rsid w:val="008C5323"/>
    <w:rsid w:val="008C60D8"/>
    <w:rsid w:val="008C61E3"/>
    <w:rsid w:val="008C65D7"/>
    <w:rsid w:val="008C70A8"/>
    <w:rsid w:val="008C7496"/>
    <w:rsid w:val="008D0F6B"/>
    <w:rsid w:val="008D1484"/>
    <w:rsid w:val="008D28DE"/>
    <w:rsid w:val="008D2A35"/>
    <w:rsid w:val="008D2AA3"/>
    <w:rsid w:val="008D35B7"/>
    <w:rsid w:val="008D411A"/>
    <w:rsid w:val="008D49AE"/>
    <w:rsid w:val="008D4A7B"/>
    <w:rsid w:val="008D4FE2"/>
    <w:rsid w:val="008D5BD0"/>
    <w:rsid w:val="008D603E"/>
    <w:rsid w:val="008D60B8"/>
    <w:rsid w:val="008D6354"/>
    <w:rsid w:val="008D6576"/>
    <w:rsid w:val="008D6C02"/>
    <w:rsid w:val="008D6E23"/>
    <w:rsid w:val="008D745C"/>
    <w:rsid w:val="008D76B2"/>
    <w:rsid w:val="008D7C9B"/>
    <w:rsid w:val="008E0754"/>
    <w:rsid w:val="008E075E"/>
    <w:rsid w:val="008E0890"/>
    <w:rsid w:val="008E0AA3"/>
    <w:rsid w:val="008E1887"/>
    <w:rsid w:val="008E1F37"/>
    <w:rsid w:val="008E267E"/>
    <w:rsid w:val="008E3230"/>
    <w:rsid w:val="008E3D3B"/>
    <w:rsid w:val="008E3EF1"/>
    <w:rsid w:val="008E40E5"/>
    <w:rsid w:val="008E47E7"/>
    <w:rsid w:val="008E4953"/>
    <w:rsid w:val="008E5C74"/>
    <w:rsid w:val="008E7110"/>
    <w:rsid w:val="008E75AA"/>
    <w:rsid w:val="008F09ED"/>
    <w:rsid w:val="008F0D66"/>
    <w:rsid w:val="008F1BA3"/>
    <w:rsid w:val="008F273B"/>
    <w:rsid w:val="008F2B7C"/>
    <w:rsid w:val="008F2CB9"/>
    <w:rsid w:val="008F304C"/>
    <w:rsid w:val="008F30E7"/>
    <w:rsid w:val="008F3A42"/>
    <w:rsid w:val="008F4819"/>
    <w:rsid w:val="008F534B"/>
    <w:rsid w:val="008F564C"/>
    <w:rsid w:val="008F6509"/>
    <w:rsid w:val="008F6E0E"/>
    <w:rsid w:val="008F793A"/>
    <w:rsid w:val="008F7CFD"/>
    <w:rsid w:val="00900E9F"/>
    <w:rsid w:val="00901709"/>
    <w:rsid w:val="00901B05"/>
    <w:rsid w:val="00901F42"/>
    <w:rsid w:val="009022FD"/>
    <w:rsid w:val="00902B0A"/>
    <w:rsid w:val="009047B4"/>
    <w:rsid w:val="00904A4C"/>
    <w:rsid w:val="0090641B"/>
    <w:rsid w:val="009069E5"/>
    <w:rsid w:val="009079A3"/>
    <w:rsid w:val="009106FE"/>
    <w:rsid w:val="00910E16"/>
    <w:rsid w:val="00911E50"/>
    <w:rsid w:val="00911FC4"/>
    <w:rsid w:val="0091269F"/>
    <w:rsid w:val="009126CF"/>
    <w:rsid w:val="00913BE5"/>
    <w:rsid w:val="009146BB"/>
    <w:rsid w:val="00914A13"/>
    <w:rsid w:val="009157EC"/>
    <w:rsid w:val="0091630F"/>
    <w:rsid w:val="009169B5"/>
    <w:rsid w:val="009204F0"/>
    <w:rsid w:val="0092120D"/>
    <w:rsid w:val="0092129D"/>
    <w:rsid w:val="009217AC"/>
    <w:rsid w:val="00921D26"/>
    <w:rsid w:val="0092361B"/>
    <w:rsid w:val="00923677"/>
    <w:rsid w:val="00923A01"/>
    <w:rsid w:val="00923A07"/>
    <w:rsid w:val="00923CA9"/>
    <w:rsid w:val="009257AF"/>
    <w:rsid w:val="00925DA2"/>
    <w:rsid w:val="00926414"/>
    <w:rsid w:val="00926579"/>
    <w:rsid w:val="00927814"/>
    <w:rsid w:val="00927BFF"/>
    <w:rsid w:val="00927CF0"/>
    <w:rsid w:val="00930234"/>
    <w:rsid w:val="00930443"/>
    <w:rsid w:val="00931774"/>
    <w:rsid w:val="00931797"/>
    <w:rsid w:val="009319B4"/>
    <w:rsid w:val="00932192"/>
    <w:rsid w:val="0093310C"/>
    <w:rsid w:val="0093425F"/>
    <w:rsid w:val="00934A25"/>
    <w:rsid w:val="00934C13"/>
    <w:rsid w:val="00935206"/>
    <w:rsid w:val="009360B8"/>
    <w:rsid w:val="00936734"/>
    <w:rsid w:val="0094031D"/>
    <w:rsid w:val="00940A63"/>
    <w:rsid w:val="009412C9"/>
    <w:rsid w:val="00941C47"/>
    <w:rsid w:val="00941D49"/>
    <w:rsid w:val="00941ED4"/>
    <w:rsid w:val="00942355"/>
    <w:rsid w:val="009431B3"/>
    <w:rsid w:val="00943331"/>
    <w:rsid w:val="009434EB"/>
    <w:rsid w:val="0094495A"/>
    <w:rsid w:val="00944DA8"/>
    <w:rsid w:val="00944DEF"/>
    <w:rsid w:val="0094524E"/>
    <w:rsid w:val="0094685E"/>
    <w:rsid w:val="00946CA1"/>
    <w:rsid w:val="00946EB4"/>
    <w:rsid w:val="00947848"/>
    <w:rsid w:val="00947E69"/>
    <w:rsid w:val="0095441E"/>
    <w:rsid w:val="00954BD7"/>
    <w:rsid w:val="009557F0"/>
    <w:rsid w:val="00955958"/>
    <w:rsid w:val="00955D5F"/>
    <w:rsid w:val="00955EEB"/>
    <w:rsid w:val="00956C21"/>
    <w:rsid w:val="00957393"/>
    <w:rsid w:val="009578A9"/>
    <w:rsid w:val="00961012"/>
    <w:rsid w:val="0096165A"/>
    <w:rsid w:val="00961A3C"/>
    <w:rsid w:val="009620B3"/>
    <w:rsid w:val="0096223B"/>
    <w:rsid w:val="00963D78"/>
    <w:rsid w:val="00964046"/>
    <w:rsid w:val="009649CA"/>
    <w:rsid w:val="00964B3E"/>
    <w:rsid w:val="00964BE6"/>
    <w:rsid w:val="00964F67"/>
    <w:rsid w:val="00965315"/>
    <w:rsid w:val="009657C5"/>
    <w:rsid w:val="009660A7"/>
    <w:rsid w:val="009661A9"/>
    <w:rsid w:val="00966502"/>
    <w:rsid w:val="00966666"/>
    <w:rsid w:val="00966A5B"/>
    <w:rsid w:val="00966F0D"/>
    <w:rsid w:val="0097016F"/>
    <w:rsid w:val="00970560"/>
    <w:rsid w:val="009720C5"/>
    <w:rsid w:val="009733AB"/>
    <w:rsid w:val="009737DD"/>
    <w:rsid w:val="00974D30"/>
    <w:rsid w:val="00975DC0"/>
    <w:rsid w:val="00975EFB"/>
    <w:rsid w:val="00975FE6"/>
    <w:rsid w:val="00976823"/>
    <w:rsid w:val="009771DC"/>
    <w:rsid w:val="009777DE"/>
    <w:rsid w:val="00977882"/>
    <w:rsid w:val="0098174A"/>
    <w:rsid w:val="00983125"/>
    <w:rsid w:val="00984291"/>
    <w:rsid w:val="009843F8"/>
    <w:rsid w:val="009849C5"/>
    <w:rsid w:val="00985143"/>
    <w:rsid w:val="00985298"/>
    <w:rsid w:val="009858EB"/>
    <w:rsid w:val="00985EB1"/>
    <w:rsid w:val="0098738C"/>
    <w:rsid w:val="009873CC"/>
    <w:rsid w:val="00987A34"/>
    <w:rsid w:val="00991094"/>
    <w:rsid w:val="00991A11"/>
    <w:rsid w:val="00992629"/>
    <w:rsid w:val="009930F6"/>
    <w:rsid w:val="009938FB"/>
    <w:rsid w:val="00994FC1"/>
    <w:rsid w:val="00995DB5"/>
    <w:rsid w:val="009960C0"/>
    <w:rsid w:val="00997B4D"/>
    <w:rsid w:val="00997BDF"/>
    <w:rsid w:val="00997E19"/>
    <w:rsid w:val="009A16EF"/>
    <w:rsid w:val="009A1F5D"/>
    <w:rsid w:val="009A2876"/>
    <w:rsid w:val="009A29B5"/>
    <w:rsid w:val="009A2F93"/>
    <w:rsid w:val="009A38FA"/>
    <w:rsid w:val="009A4531"/>
    <w:rsid w:val="009A4A8E"/>
    <w:rsid w:val="009A5902"/>
    <w:rsid w:val="009A7BD0"/>
    <w:rsid w:val="009B0D73"/>
    <w:rsid w:val="009B1FB7"/>
    <w:rsid w:val="009B23B9"/>
    <w:rsid w:val="009B37A0"/>
    <w:rsid w:val="009B3F0F"/>
    <w:rsid w:val="009B3F49"/>
    <w:rsid w:val="009B4316"/>
    <w:rsid w:val="009B43D4"/>
    <w:rsid w:val="009B47F6"/>
    <w:rsid w:val="009B503D"/>
    <w:rsid w:val="009B53D9"/>
    <w:rsid w:val="009B5F7A"/>
    <w:rsid w:val="009B62FA"/>
    <w:rsid w:val="009B6420"/>
    <w:rsid w:val="009B6A5F"/>
    <w:rsid w:val="009B6C0D"/>
    <w:rsid w:val="009B7491"/>
    <w:rsid w:val="009C0BE0"/>
    <w:rsid w:val="009C1269"/>
    <w:rsid w:val="009C2411"/>
    <w:rsid w:val="009C3698"/>
    <w:rsid w:val="009C3E23"/>
    <w:rsid w:val="009C49D9"/>
    <w:rsid w:val="009C585A"/>
    <w:rsid w:val="009C585D"/>
    <w:rsid w:val="009C58F2"/>
    <w:rsid w:val="009C5CB7"/>
    <w:rsid w:val="009C61BC"/>
    <w:rsid w:val="009C75C0"/>
    <w:rsid w:val="009C7744"/>
    <w:rsid w:val="009D125A"/>
    <w:rsid w:val="009D12F0"/>
    <w:rsid w:val="009D1865"/>
    <w:rsid w:val="009D1D6E"/>
    <w:rsid w:val="009D20E1"/>
    <w:rsid w:val="009D2669"/>
    <w:rsid w:val="009D2AF5"/>
    <w:rsid w:val="009D2CDB"/>
    <w:rsid w:val="009D2D27"/>
    <w:rsid w:val="009D3132"/>
    <w:rsid w:val="009D3F22"/>
    <w:rsid w:val="009D455A"/>
    <w:rsid w:val="009D5439"/>
    <w:rsid w:val="009D5C9E"/>
    <w:rsid w:val="009D664C"/>
    <w:rsid w:val="009D6A9B"/>
    <w:rsid w:val="009D7348"/>
    <w:rsid w:val="009D73F3"/>
    <w:rsid w:val="009D78B4"/>
    <w:rsid w:val="009D7AA8"/>
    <w:rsid w:val="009E0AFB"/>
    <w:rsid w:val="009E14E7"/>
    <w:rsid w:val="009E24FC"/>
    <w:rsid w:val="009E2CE0"/>
    <w:rsid w:val="009E2FC1"/>
    <w:rsid w:val="009E38B8"/>
    <w:rsid w:val="009E56F4"/>
    <w:rsid w:val="009E5F4E"/>
    <w:rsid w:val="009E70A3"/>
    <w:rsid w:val="009E76BC"/>
    <w:rsid w:val="009E77FE"/>
    <w:rsid w:val="009E7F91"/>
    <w:rsid w:val="009F006B"/>
    <w:rsid w:val="009F0396"/>
    <w:rsid w:val="009F044D"/>
    <w:rsid w:val="009F061A"/>
    <w:rsid w:val="009F0924"/>
    <w:rsid w:val="009F0960"/>
    <w:rsid w:val="009F0A3D"/>
    <w:rsid w:val="009F1754"/>
    <w:rsid w:val="009F1CDD"/>
    <w:rsid w:val="009F2345"/>
    <w:rsid w:val="009F2EF2"/>
    <w:rsid w:val="009F3468"/>
    <w:rsid w:val="009F4743"/>
    <w:rsid w:val="009F4D9F"/>
    <w:rsid w:val="009F51C3"/>
    <w:rsid w:val="009F5587"/>
    <w:rsid w:val="009F58D8"/>
    <w:rsid w:val="009F76C1"/>
    <w:rsid w:val="009F7A07"/>
    <w:rsid w:val="009F7B8E"/>
    <w:rsid w:val="009F7C5E"/>
    <w:rsid w:val="009F7EA3"/>
    <w:rsid w:val="00A0034D"/>
    <w:rsid w:val="00A00542"/>
    <w:rsid w:val="00A00D50"/>
    <w:rsid w:val="00A0125D"/>
    <w:rsid w:val="00A0189C"/>
    <w:rsid w:val="00A01D78"/>
    <w:rsid w:val="00A020FE"/>
    <w:rsid w:val="00A02994"/>
    <w:rsid w:val="00A045AC"/>
    <w:rsid w:val="00A04826"/>
    <w:rsid w:val="00A04AE2"/>
    <w:rsid w:val="00A060B7"/>
    <w:rsid w:val="00A06552"/>
    <w:rsid w:val="00A06DB7"/>
    <w:rsid w:val="00A07F20"/>
    <w:rsid w:val="00A10738"/>
    <w:rsid w:val="00A1095A"/>
    <w:rsid w:val="00A1181A"/>
    <w:rsid w:val="00A11D03"/>
    <w:rsid w:val="00A11F8D"/>
    <w:rsid w:val="00A12068"/>
    <w:rsid w:val="00A125ED"/>
    <w:rsid w:val="00A127E7"/>
    <w:rsid w:val="00A12ED8"/>
    <w:rsid w:val="00A136A6"/>
    <w:rsid w:val="00A13B7D"/>
    <w:rsid w:val="00A13C80"/>
    <w:rsid w:val="00A13D51"/>
    <w:rsid w:val="00A144EB"/>
    <w:rsid w:val="00A14F2D"/>
    <w:rsid w:val="00A151C1"/>
    <w:rsid w:val="00A1709D"/>
    <w:rsid w:val="00A17B4C"/>
    <w:rsid w:val="00A17F31"/>
    <w:rsid w:val="00A20664"/>
    <w:rsid w:val="00A208B6"/>
    <w:rsid w:val="00A20CAA"/>
    <w:rsid w:val="00A24751"/>
    <w:rsid w:val="00A24B6B"/>
    <w:rsid w:val="00A24DA0"/>
    <w:rsid w:val="00A253F0"/>
    <w:rsid w:val="00A25484"/>
    <w:rsid w:val="00A2564B"/>
    <w:rsid w:val="00A25A2B"/>
    <w:rsid w:val="00A266B4"/>
    <w:rsid w:val="00A26C82"/>
    <w:rsid w:val="00A27118"/>
    <w:rsid w:val="00A2764F"/>
    <w:rsid w:val="00A304A9"/>
    <w:rsid w:val="00A305B0"/>
    <w:rsid w:val="00A319D2"/>
    <w:rsid w:val="00A33654"/>
    <w:rsid w:val="00A34EB5"/>
    <w:rsid w:val="00A350CE"/>
    <w:rsid w:val="00A358C8"/>
    <w:rsid w:val="00A365D8"/>
    <w:rsid w:val="00A3672F"/>
    <w:rsid w:val="00A371C1"/>
    <w:rsid w:val="00A401CB"/>
    <w:rsid w:val="00A403C0"/>
    <w:rsid w:val="00A403EF"/>
    <w:rsid w:val="00A406C5"/>
    <w:rsid w:val="00A41C87"/>
    <w:rsid w:val="00A42A65"/>
    <w:rsid w:val="00A4317C"/>
    <w:rsid w:val="00A4361B"/>
    <w:rsid w:val="00A436DF"/>
    <w:rsid w:val="00A43DF1"/>
    <w:rsid w:val="00A445C7"/>
    <w:rsid w:val="00A44C43"/>
    <w:rsid w:val="00A44E5E"/>
    <w:rsid w:val="00A45049"/>
    <w:rsid w:val="00A450CE"/>
    <w:rsid w:val="00A4526B"/>
    <w:rsid w:val="00A45CA7"/>
    <w:rsid w:val="00A46343"/>
    <w:rsid w:val="00A47471"/>
    <w:rsid w:val="00A475BB"/>
    <w:rsid w:val="00A4788A"/>
    <w:rsid w:val="00A5054E"/>
    <w:rsid w:val="00A512AD"/>
    <w:rsid w:val="00A51B93"/>
    <w:rsid w:val="00A522B7"/>
    <w:rsid w:val="00A52E41"/>
    <w:rsid w:val="00A531D3"/>
    <w:rsid w:val="00A53577"/>
    <w:rsid w:val="00A5371F"/>
    <w:rsid w:val="00A53790"/>
    <w:rsid w:val="00A53B95"/>
    <w:rsid w:val="00A53F41"/>
    <w:rsid w:val="00A542D7"/>
    <w:rsid w:val="00A54B0F"/>
    <w:rsid w:val="00A55B22"/>
    <w:rsid w:val="00A55D6C"/>
    <w:rsid w:val="00A561A0"/>
    <w:rsid w:val="00A5622A"/>
    <w:rsid w:val="00A56273"/>
    <w:rsid w:val="00A56406"/>
    <w:rsid w:val="00A565A5"/>
    <w:rsid w:val="00A5737F"/>
    <w:rsid w:val="00A578AF"/>
    <w:rsid w:val="00A57A5C"/>
    <w:rsid w:val="00A57DC8"/>
    <w:rsid w:val="00A57E00"/>
    <w:rsid w:val="00A605CC"/>
    <w:rsid w:val="00A60DA4"/>
    <w:rsid w:val="00A614BB"/>
    <w:rsid w:val="00A61828"/>
    <w:rsid w:val="00A61F80"/>
    <w:rsid w:val="00A63468"/>
    <w:rsid w:val="00A6370E"/>
    <w:rsid w:val="00A63851"/>
    <w:rsid w:val="00A638C1"/>
    <w:rsid w:val="00A63F20"/>
    <w:rsid w:val="00A669CE"/>
    <w:rsid w:val="00A66AB6"/>
    <w:rsid w:val="00A67670"/>
    <w:rsid w:val="00A6777D"/>
    <w:rsid w:val="00A67D8B"/>
    <w:rsid w:val="00A701FA"/>
    <w:rsid w:val="00A7039A"/>
    <w:rsid w:val="00A71ADE"/>
    <w:rsid w:val="00A71B97"/>
    <w:rsid w:val="00A72591"/>
    <w:rsid w:val="00A72D69"/>
    <w:rsid w:val="00A72E51"/>
    <w:rsid w:val="00A74259"/>
    <w:rsid w:val="00A74444"/>
    <w:rsid w:val="00A74493"/>
    <w:rsid w:val="00A747A7"/>
    <w:rsid w:val="00A74A68"/>
    <w:rsid w:val="00A74F2C"/>
    <w:rsid w:val="00A750E9"/>
    <w:rsid w:val="00A7514F"/>
    <w:rsid w:val="00A76D11"/>
    <w:rsid w:val="00A77358"/>
    <w:rsid w:val="00A77542"/>
    <w:rsid w:val="00A804B3"/>
    <w:rsid w:val="00A818B9"/>
    <w:rsid w:val="00A82E7D"/>
    <w:rsid w:val="00A835CC"/>
    <w:rsid w:val="00A83AD0"/>
    <w:rsid w:val="00A84FE3"/>
    <w:rsid w:val="00A8503A"/>
    <w:rsid w:val="00A8506F"/>
    <w:rsid w:val="00A853E2"/>
    <w:rsid w:val="00A85DF8"/>
    <w:rsid w:val="00A86ABF"/>
    <w:rsid w:val="00A878D2"/>
    <w:rsid w:val="00A87F1D"/>
    <w:rsid w:val="00A9096A"/>
    <w:rsid w:val="00A91A0F"/>
    <w:rsid w:val="00A92191"/>
    <w:rsid w:val="00A93914"/>
    <w:rsid w:val="00A93BC1"/>
    <w:rsid w:val="00A93E39"/>
    <w:rsid w:val="00A95990"/>
    <w:rsid w:val="00A95F0C"/>
    <w:rsid w:val="00A9635A"/>
    <w:rsid w:val="00A97699"/>
    <w:rsid w:val="00A97915"/>
    <w:rsid w:val="00AA0604"/>
    <w:rsid w:val="00AA0728"/>
    <w:rsid w:val="00AA0B5E"/>
    <w:rsid w:val="00AA0D27"/>
    <w:rsid w:val="00AA162E"/>
    <w:rsid w:val="00AA1B6F"/>
    <w:rsid w:val="00AA1D15"/>
    <w:rsid w:val="00AA2386"/>
    <w:rsid w:val="00AA253C"/>
    <w:rsid w:val="00AA28B8"/>
    <w:rsid w:val="00AA2A96"/>
    <w:rsid w:val="00AA59AC"/>
    <w:rsid w:val="00AA7518"/>
    <w:rsid w:val="00AB0243"/>
    <w:rsid w:val="00AB0607"/>
    <w:rsid w:val="00AB12A6"/>
    <w:rsid w:val="00AB1A05"/>
    <w:rsid w:val="00AB1A1B"/>
    <w:rsid w:val="00AB2140"/>
    <w:rsid w:val="00AB2279"/>
    <w:rsid w:val="00AB2EB0"/>
    <w:rsid w:val="00AB3219"/>
    <w:rsid w:val="00AB33E4"/>
    <w:rsid w:val="00AB4681"/>
    <w:rsid w:val="00AB47C0"/>
    <w:rsid w:val="00AB4ADD"/>
    <w:rsid w:val="00AB5387"/>
    <w:rsid w:val="00AB5871"/>
    <w:rsid w:val="00AB5D66"/>
    <w:rsid w:val="00AB5EA8"/>
    <w:rsid w:val="00AB7B91"/>
    <w:rsid w:val="00AC01D4"/>
    <w:rsid w:val="00AC03E9"/>
    <w:rsid w:val="00AC1A0E"/>
    <w:rsid w:val="00AC2348"/>
    <w:rsid w:val="00AC374A"/>
    <w:rsid w:val="00AC3A01"/>
    <w:rsid w:val="00AC40B4"/>
    <w:rsid w:val="00AC5D74"/>
    <w:rsid w:val="00AC7060"/>
    <w:rsid w:val="00AC709E"/>
    <w:rsid w:val="00AC7174"/>
    <w:rsid w:val="00AC7441"/>
    <w:rsid w:val="00AD0060"/>
    <w:rsid w:val="00AD2945"/>
    <w:rsid w:val="00AD2D21"/>
    <w:rsid w:val="00AD3E7B"/>
    <w:rsid w:val="00AD420F"/>
    <w:rsid w:val="00AD4631"/>
    <w:rsid w:val="00AD46C7"/>
    <w:rsid w:val="00AD6473"/>
    <w:rsid w:val="00AD6670"/>
    <w:rsid w:val="00AD6E19"/>
    <w:rsid w:val="00AD7222"/>
    <w:rsid w:val="00AD739E"/>
    <w:rsid w:val="00AD7A89"/>
    <w:rsid w:val="00AE009A"/>
    <w:rsid w:val="00AE1385"/>
    <w:rsid w:val="00AE1E87"/>
    <w:rsid w:val="00AE20F7"/>
    <w:rsid w:val="00AE2483"/>
    <w:rsid w:val="00AE26FF"/>
    <w:rsid w:val="00AE29B9"/>
    <w:rsid w:val="00AE2CEF"/>
    <w:rsid w:val="00AE2DB6"/>
    <w:rsid w:val="00AE2FB5"/>
    <w:rsid w:val="00AE3EA5"/>
    <w:rsid w:val="00AE47B1"/>
    <w:rsid w:val="00AE4FA0"/>
    <w:rsid w:val="00AE5DD3"/>
    <w:rsid w:val="00AE6C61"/>
    <w:rsid w:val="00AE6D27"/>
    <w:rsid w:val="00AE72C4"/>
    <w:rsid w:val="00AE7A51"/>
    <w:rsid w:val="00AF0111"/>
    <w:rsid w:val="00AF0393"/>
    <w:rsid w:val="00AF05A2"/>
    <w:rsid w:val="00AF0FAC"/>
    <w:rsid w:val="00AF1DBF"/>
    <w:rsid w:val="00AF2191"/>
    <w:rsid w:val="00AF2614"/>
    <w:rsid w:val="00AF2940"/>
    <w:rsid w:val="00AF2F76"/>
    <w:rsid w:val="00AF4175"/>
    <w:rsid w:val="00AF4869"/>
    <w:rsid w:val="00AF633B"/>
    <w:rsid w:val="00AF648B"/>
    <w:rsid w:val="00AF65F8"/>
    <w:rsid w:val="00AF6F05"/>
    <w:rsid w:val="00AF7459"/>
    <w:rsid w:val="00AF75D4"/>
    <w:rsid w:val="00B00245"/>
    <w:rsid w:val="00B00A9B"/>
    <w:rsid w:val="00B00EB9"/>
    <w:rsid w:val="00B00F48"/>
    <w:rsid w:val="00B00FC7"/>
    <w:rsid w:val="00B01196"/>
    <w:rsid w:val="00B0146F"/>
    <w:rsid w:val="00B01634"/>
    <w:rsid w:val="00B020EB"/>
    <w:rsid w:val="00B03BCC"/>
    <w:rsid w:val="00B03CEB"/>
    <w:rsid w:val="00B0411B"/>
    <w:rsid w:val="00B04A34"/>
    <w:rsid w:val="00B0519D"/>
    <w:rsid w:val="00B05BF6"/>
    <w:rsid w:val="00B07DC0"/>
    <w:rsid w:val="00B10264"/>
    <w:rsid w:val="00B10B8B"/>
    <w:rsid w:val="00B10CA2"/>
    <w:rsid w:val="00B10CF2"/>
    <w:rsid w:val="00B129A7"/>
    <w:rsid w:val="00B1443C"/>
    <w:rsid w:val="00B157D0"/>
    <w:rsid w:val="00B15D11"/>
    <w:rsid w:val="00B165F6"/>
    <w:rsid w:val="00B175F8"/>
    <w:rsid w:val="00B20526"/>
    <w:rsid w:val="00B20783"/>
    <w:rsid w:val="00B209A5"/>
    <w:rsid w:val="00B20C3D"/>
    <w:rsid w:val="00B20DEA"/>
    <w:rsid w:val="00B22407"/>
    <w:rsid w:val="00B229EC"/>
    <w:rsid w:val="00B23160"/>
    <w:rsid w:val="00B23A1C"/>
    <w:rsid w:val="00B24482"/>
    <w:rsid w:val="00B24643"/>
    <w:rsid w:val="00B24A81"/>
    <w:rsid w:val="00B24B61"/>
    <w:rsid w:val="00B255DD"/>
    <w:rsid w:val="00B25C03"/>
    <w:rsid w:val="00B263A8"/>
    <w:rsid w:val="00B2664E"/>
    <w:rsid w:val="00B26A19"/>
    <w:rsid w:val="00B2761D"/>
    <w:rsid w:val="00B27AC5"/>
    <w:rsid w:val="00B27FD8"/>
    <w:rsid w:val="00B301B9"/>
    <w:rsid w:val="00B30277"/>
    <w:rsid w:val="00B306FB"/>
    <w:rsid w:val="00B311DB"/>
    <w:rsid w:val="00B3153B"/>
    <w:rsid w:val="00B31990"/>
    <w:rsid w:val="00B31FA8"/>
    <w:rsid w:val="00B321E1"/>
    <w:rsid w:val="00B33F24"/>
    <w:rsid w:val="00B342CB"/>
    <w:rsid w:val="00B349AC"/>
    <w:rsid w:val="00B359A5"/>
    <w:rsid w:val="00B36545"/>
    <w:rsid w:val="00B36854"/>
    <w:rsid w:val="00B40062"/>
    <w:rsid w:val="00B406F6"/>
    <w:rsid w:val="00B41BC5"/>
    <w:rsid w:val="00B44808"/>
    <w:rsid w:val="00B44D9D"/>
    <w:rsid w:val="00B45029"/>
    <w:rsid w:val="00B45B4E"/>
    <w:rsid w:val="00B469F6"/>
    <w:rsid w:val="00B46B45"/>
    <w:rsid w:val="00B47E1C"/>
    <w:rsid w:val="00B47F3F"/>
    <w:rsid w:val="00B508AF"/>
    <w:rsid w:val="00B52474"/>
    <w:rsid w:val="00B53579"/>
    <w:rsid w:val="00B5377E"/>
    <w:rsid w:val="00B541E8"/>
    <w:rsid w:val="00B55D1F"/>
    <w:rsid w:val="00B561EB"/>
    <w:rsid w:val="00B56379"/>
    <w:rsid w:val="00B56EA6"/>
    <w:rsid w:val="00B57B0F"/>
    <w:rsid w:val="00B6014A"/>
    <w:rsid w:val="00B60535"/>
    <w:rsid w:val="00B60B91"/>
    <w:rsid w:val="00B627F3"/>
    <w:rsid w:val="00B63686"/>
    <w:rsid w:val="00B637D9"/>
    <w:rsid w:val="00B642C4"/>
    <w:rsid w:val="00B64C1B"/>
    <w:rsid w:val="00B65897"/>
    <w:rsid w:val="00B65D52"/>
    <w:rsid w:val="00B65E01"/>
    <w:rsid w:val="00B6671E"/>
    <w:rsid w:val="00B704D6"/>
    <w:rsid w:val="00B70B4E"/>
    <w:rsid w:val="00B711A9"/>
    <w:rsid w:val="00B726BE"/>
    <w:rsid w:val="00B72C85"/>
    <w:rsid w:val="00B73296"/>
    <w:rsid w:val="00B733DA"/>
    <w:rsid w:val="00B73831"/>
    <w:rsid w:val="00B73F92"/>
    <w:rsid w:val="00B74997"/>
    <w:rsid w:val="00B7529D"/>
    <w:rsid w:val="00B75891"/>
    <w:rsid w:val="00B75BF1"/>
    <w:rsid w:val="00B76275"/>
    <w:rsid w:val="00B767F9"/>
    <w:rsid w:val="00B772E6"/>
    <w:rsid w:val="00B77457"/>
    <w:rsid w:val="00B77EDD"/>
    <w:rsid w:val="00B81D71"/>
    <w:rsid w:val="00B820C6"/>
    <w:rsid w:val="00B822D5"/>
    <w:rsid w:val="00B82695"/>
    <w:rsid w:val="00B83099"/>
    <w:rsid w:val="00B830B8"/>
    <w:rsid w:val="00B8321C"/>
    <w:rsid w:val="00B8374D"/>
    <w:rsid w:val="00B83F52"/>
    <w:rsid w:val="00B8469F"/>
    <w:rsid w:val="00B8479B"/>
    <w:rsid w:val="00B84E4C"/>
    <w:rsid w:val="00B855F8"/>
    <w:rsid w:val="00B87093"/>
    <w:rsid w:val="00B875B2"/>
    <w:rsid w:val="00B91653"/>
    <w:rsid w:val="00B918CA"/>
    <w:rsid w:val="00B91FB0"/>
    <w:rsid w:val="00B92076"/>
    <w:rsid w:val="00B934A2"/>
    <w:rsid w:val="00B94366"/>
    <w:rsid w:val="00B94B37"/>
    <w:rsid w:val="00B95F58"/>
    <w:rsid w:val="00B9679A"/>
    <w:rsid w:val="00B967EA"/>
    <w:rsid w:val="00B979CA"/>
    <w:rsid w:val="00BA05AA"/>
    <w:rsid w:val="00BA05C0"/>
    <w:rsid w:val="00BA09C4"/>
    <w:rsid w:val="00BA0AD8"/>
    <w:rsid w:val="00BA1E19"/>
    <w:rsid w:val="00BA28B8"/>
    <w:rsid w:val="00BA29FE"/>
    <w:rsid w:val="00BA2E92"/>
    <w:rsid w:val="00BA3673"/>
    <w:rsid w:val="00BA3772"/>
    <w:rsid w:val="00BA46A5"/>
    <w:rsid w:val="00BA5872"/>
    <w:rsid w:val="00BA63B1"/>
    <w:rsid w:val="00BB0002"/>
    <w:rsid w:val="00BB0173"/>
    <w:rsid w:val="00BB0E94"/>
    <w:rsid w:val="00BB17ED"/>
    <w:rsid w:val="00BB1AD7"/>
    <w:rsid w:val="00BB30A4"/>
    <w:rsid w:val="00BB3457"/>
    <w:rsid w:val="00BB363D"/>
    <w:rsid w:val="00BB41BD"/>
    <w:rsid w:val="00BB552D"/>
    <w:rsid w:val="00BB6115"/>
    <w:rsid w:val="00BB63E2"/>
    <w:rsid w:val="00BB6BC5"/>
    <w:rsid w:val="00BB7465"/>
    <w:rsid w:val="00BB7D0C"/>
    <w:rsid w:val="00BB7FCF"/>
    <w:rsid w:val="00BC022A"/>
    <w:rsid w:val="00BC05F3"/>
    <w:rsid w:val="00BC0B5F"/>
    <w:rsid w:val="00BC1667"/>
    <w:rsid w:val="00BC1A42"/>
    <w:rsid w:val="00BC1AF6"/>
    <w:rsid w:val="00BC1C74"/>
    <w:rsid w:val="00BC2A85"/>
    <w:rsid w:val="00BC2AEE"/>
    <w:rsid w:val="00BC2BD4"/>
    <w:rsid w:val="00BC32A4"/>
    <w:rsid w:val="00BC3337"/>
    <w:rsid w:val="00BC3925"/>
    <w:rsid w:val="00BC43EC"/>
    <w:rsid w:val="00BC4B44"/>
    <w:rsid w:val="00BC4CB1"/>
    <w:rsid w:val="00BC4D80"/>
    <w:rsid w:val="00BC5364"/>
    <w:rsid w:val="00BC5E47"/>
    <w:rsid w:val="00BC5F10"/>
    <w:rsid w:val="00BC61CA"/>
    <w:rsid w:val="00BC7471"/>
    <w:rsid w:val="00BC7B4A"/>
    <w:rsid w:val="00BD045C"/>
    <w:rsid w:val="00BD04DB"/>
    <w:rsid w:val="00BD0C9A"/>
    <w:rsid w:val="00BD14A3"/>
    <w:rsid w:val="00BD155B"/>
    <w:rsid w:val="00BD283F"/>
    <w:rsid w:val="00BD28A5"/>
    <w:rsid w:val="00BD5E81"/>
    <w:rsid w:val="00BD6F87"/>
    <w:rsid w:val="00BD714E"/>
    <w:rsid w:val="00BD7280"/>
    <w:rsid w:val="00BE0077"/>
    <w:rsid w:val="00BE0168"/>
    <w:rsid w:val="00BE0362"/>
    <w:rsid w:val="00BE04BC"/>
    <w:rsid w:val="00BE06D6"/>
    <w:rsid w:val="00BE14B4"/>
    <w:rsid w:val="00BE1A69"/>
    <w:rsid w:val="00BE266C"/>
    <w:rsid w:val="00BE2F84"/>
    <w:rsid w:val="00BE3F34"/>
    <w:rsid w:val="00BE3FE5"/>
    <w:rsid w:val="00BE4652"/>
    <w:rsid w:val="00BE5738"/>
    <w:rsid w:val="00BE7317"/>
    <w:rsid w:val="00BE7764"/>
    <w:rsid w:val="00BF0A9B"/>
    <w:rsid w:val="00BF1102"/>
    <w:rsid w:val="00BF20CB"/>
    <w:rsid w:val="00BF5376"/>
    <w:rsid w:val="00BF5C92"/>
    <w:rsid w:val="00BF5E8A"/>
    <w:rsid w:val="00BF6186"/>
    <w:rsid w:val="00BF64F9"/>
    <w:rsid w:val="00BF682B"/>
    <w:rsid w:val="00BF6ABD"/>
    <w:rsid w:val="00BF7C81"/>
    <w:rsid w:val="00C01080"/>
    <w:rsid w:val="00C01B8B"/>
    <w:rsid w:val="00C035B3"/>
    <w:rsid w:val="00C03F45"/>
    <w:rsid w:val="00C0401D"/>
    <w:rsid w:val="00C04714"/>
    <w:rsid w:val="00C05442"/>
    <w:rsid w:val="00C0606D"/>
    <w:rsid w:val="00C0663B"/>
    <w:rsid w:val="00C07505"/>
    <w:rsid w:val="00C07C33"/>
    <w:rsid w:val="00C101BE"/>
    <w:rsid w:val="00C101C0"/>
    <w:rsid w:val="00C10238"/>
    <w:rsid w:val="00C10CD0"/>
    <w:rsid w:val="00C11499"/>
    <w:rsid w:val="00C11ACA"/>
    <w:rsid w:val="00C124FB"/>
    <w:rsid w:val="00C13EEA"/>
    <w:rsid w:val="00C14B7B"/>
    <w:rsid w:val="00C16787"/>
    <w:rsid w:val="00C170C8"/>
    <w:rsid w:val="00C202E7"/>
    <w:rsid w:val="00C20AF8"/>
    <w:rsid w:val="00C21301"/>
    <w:rsid w:val="00C2133B"/>
    <w:rsid w:val="00C22E99"/>
    <w:rsid w:val="00C23FC1"/>
    <w:rsid w:val="00C24BBF"/>
    <w:rsid w:val="00C25014"/>
    <w:rsid w:val="00C25359"/>
    <w:rsid w:val="00C2548B"/>
    <w:rsid w:val="00C26553"/>
    <w:rsid w:val="00C269FA"/>
    <w:rsid w:val="00C27D77"/>
    <w:rsid w:val="00C27F65"/>
    <w:rsid w:val="00C312B4"/>
    <w:rsid w:val="00C318F4"/>
    <w:rsid w:val="00C32964"/>
    <w:rsid w:val="00C33403"/>
    <w:rsid w:val="00C34532"/>
    <w:rsid w:val="00C34A47"/>
    <w:rsid w:val="00C35175"/>
    <w:rsid w:val="00C3533B"/>
    <w:rsid w:val="00C36059"/>
    <w:rsid w:val="00C36478"/>
    <w:rsid w:val="00C36912"/>
    <w:rsid w:val="00C36D29"/>
    <w:rsid w:val="00C378F7"/>
    <w:rsid w:val="00C379F0"/>
    <w:rsid w:val="00C37A7F"/>
    <w:rsid w:val="00C37CFA"/>
    <w:rsid w:val="00C4094E"/>
    <w:rsid w:val="00C411C2"/>
    <w:rsid w:val="00C411E4"/>
    <w:rsid w:val="00C41492"/>
    <w:rsid w:val="00C41DC2"/>
    <w:rsid w:val="00C4203A"/>
    <w:rsid w:val="00C4243B"/>
    <w:rsid w:val="00C425FA"/>
    <w:rsid w:val="00C431E9"/>
    <w:rsid w:val="00C43496"/>
    <w:rsid w:val="00C435B0"/>
    <w:rsid w:val="00C43746"/>
    <w:rsid w:val="00C43751"/>
    <w:rsid w:val="00C44911"/>
    <w:rsid w:val="00C453D1"/>
    <w:rsid w:val="00C45488"/>
    <w:rsid w:val="00C45FEF"/>
    <w:rsid w:val="00C470BB"/>
    <w:rsid w:val="00C47557"/>
    <w:rsid w:val="00C47C42"/>
    <w:rsid w:val="00C47D1A"/>
    <w:rsid w:val="00C47E20"/>
    <w:rsid w:val="00C503BC"/>
    <w:rsid w:val="00C5053E"/>
    <w:rsid w:val="00C50C95"/>
    <w:rsid w:val="00C50D06"/>
    <w:rsid w:val="00C51D89"/>
    <w:rsid w:val="00C528CF"/>
    <w:rsid w:val="00C52E06"/>
    <w:rsid w:val="00C5335F"/>
    <w:rsid w:val="00C53DEF"/>
    <w:rsid w:val="00C5578A"/>
    <w:rsid w:val="00C5758C"/>
    <w:rsid w:val="00C60592"/>
    <w:rsid w:val="00C60BAB"/>
    <w:rsid w:val="00C62847"/>
    <w:rsid w:val="00C6287D"/>
    <w:rsid w:val="00C62967"/>
    <w:rsid w:val="00C63ECB"/>
    <w:rsid w:val="00C63FCE"/>
    <w:rsid w:val="00C64F36"/>
    <w:rsid w:val="00C65299"/>
    <w:rsid w:val="00C65B41"/>
    <w:rsid w:val="00C65EEF"/>
    <w:rsid w:val="00C66083"/>
    <w:rsid w:val="00C66B5C"/>
    <w:rsid w:val="00C67865"/>
    <w:rsid w:val="00C70520"/>
    <w:rsid w:val="00C717BB"/>
    <w:rsid w:val="00C71CE7"/>
    <w:rsid w:val="00C71ED4"/>
    <w:rsid w:val="00C71F3F"/>
    <w:rsid w:val="00C72C8F"/>
    <w:rsid w:val="00C73988"/>
    <w:rsid w:val="00C73B49"/>
    <w:rsid w:val="00C74101"/>
    <w:rsid w:val="00C74A63"/>
    <w:rsid w:val="00C7541B"/>
    <w:rsid w:val="00C76646"/>
    <w:rsid w:val="00C76979"/>
    <w:rsid w:val="00C76FE3"/>
    <w:rsid w:val="00C77052"/>
    <w:rsid w:val="00C770DD"/>
    <w:rsid w:val="00C77AD9"/>
    <w:rsid w:val="00C80060"/>
    <w:rsid w:val="00C8039E"/>
    <w:rsid w:val="00C80E25"/>
    <w:rsid w:val="00C8152E"/>
    <w:rsid w:val="00C820CE"/>
    <w:rsid w:val="00C822C5"/>
    <w:rsid w:val="00C82C5A"/>
    <w:rsid w:val="00C83155"/>
    <w:rsid w:val="00C846E1"/>
    <w:rsid w:val="00C85A9B"/>
    <w:rsid w:val="00C863A4"/>
    <w:rsid w:val="00C875FF"/>
    <w:rsid w:val="00C8762C"/>
    <w:rsid w:val="00C87966"/>
    <w:rsid w:val="00C90355"/>
    <w:rsid w:val="00C904A8"/>
    <w:rsid w:val="00C90DA6"/>
    <w:rsid w:val="00C90FA5"/>
    <w:rsid w:val="00C91611"/>
    <w:rsid w:val="00C916F0"/>
    <w:rsid w:val="00C92447"/>
    <w:rsid w:val="00C92F86"/>
    <w:rsid w:val="00C9349F"/>
    <w:rsid w:val="00C936E8"/>
    <w:rsid w:val="00C93D2F"/>
    <w:rsid w:val="00C93F8E"/>
    <w:rsid w:val="00C94252"/>
    <w:rsid w:val="00C94BA9"/>
    <w:rsid w:val="00C950F2"/>
    <w:rsid w:val="00C95710"/>
    <w:rsid w:val="00C96165"/>
    <w:rsid w:val="00C96BA1"/>
    <w:rsid w:val="00C974C1"/>
    <w:rsid w:val="00CA03C7"/>
    <w:rsid w:val="00CA15DE"/>
    <w:rsid w:val="00CA1849"/>
    <w:rsid w:val="00CA1D1A"/>
    <w:rsid w:val="00CA3073"/>
    <w:rsid w:val="00CA415F"/>
    <w:rsid w:val="00CA4AD6"/>
    <w:rsid w:val="00CA50F8"/>
    <w:rsid w:val="00CA529C"/>
    <w:rsid w:val="00CA6513"/>
    <w:rsid w:val="00CA6D1B"/>
    <w:rsid w:val="00CB025F"/>
    <w:rsid w:val="00CB064C"/>
    <w:rsid w:val="00CB1476"/>
    <w:rsid w:val="00CB1891"/>
    <w:rsid w:val="00CB1D0A"/>
    <w:rsid w:val="00CB2AE6"/>
    <w:rsid w:val="00CB30B3"/>
    <w:rsid w:val="00CB36B3"/>
    <w:rsid w:val="00CB4FA9"/>
    <w:rsid w:val="00CB5529"/>
    <w:rsid w:val="00CB593B"/>
    <w:rsid w:val="00CB6EC5"/>
    <w:rsid w:val="00CB7465"/>
    <w:rsid w:val="00CB78EF"/>
    <w:rsid w:val="00CB79CE"/>
    <w:rsid w:val="00CC005F"/>
    <w:rsid w:val="00CC35C4"/>
    <w:rsid w:val="00CC3CB6"/>
    <w:rsid w:val="00CC42A0"/>
    <w:rsid w:val="00CC633E"/>
    <w:rsid w:val="00CC6416"/>
    <w:rsid w:val="00CC6A61"/>
    <w:rsid w:val="00CC6ADD"/>
    <w:rsid w:val="00CC6F74"/>
    <w:rsid w:val="00CC700E"/>
    <w:rsid w:val="00CC70D0"/>
    <w:rsid w:val="00CD0210"/>
    <w:rsid w:val="00CD0A81"/>
    <w:rsid w:val="00CD1065"/>
    <w:rsid w:val="00CD110C"/>
    <w:rsid w:val="00CD1987"/>
    <w:rsid w:val="00CD2230"/>
    <w:rsid w:val="00CD2C0A"/>
    <w:rsid w:val="00CD348D"/>
    <w:rsid w:val="00CD3E48"/>
    <w:rsid w:val="00CD5686"/>
    <w:rsid w:val="00CD6BDF"/>
    <w:rsid w:val="00CD7600"/>
    <w:rsid w:val="00CD7A98"/>
    <w:rsid w:val="00CE0314"/>
    <w:rsid w:val="00CE234D"/>
    <w:rsid w:val="00CE265B"/>
    <w:rsid w:val="00CE29D2"/>
    <w:rsid w:val="00CE2E82"/>
    <w:rsid w:val="00CE2EA6"/>
    <w:rsid w:val="00CE33E5"/>
    <w:rsid w:val="00CE3588"/>
    <w:rsid w:val="00CE3BDE"/>
    <w:rsid w:val="00CE688D"/>
    <w:rsid w:val="00CE6B61"/>
    <w:rsid w:val="00CF25CD"/>
    <w:rsid w:val="00CF2E50"/>
    <w:rsid w:val="00CF3123"/>
    <w:rsid w:val="00CF33B9"/>
    <w:rsid w:val="00CF3B7F"/>
    <w:rsid w:val="00CF3C59"/>
    <w:rsid w:val="00CF413A"/>
    <w:rsid w:val="00CF443A"/>
    <w:rsid w:val="00CF50A9"/>
    <w:rsid w:val="00CF54EE"/>
    <w:rsid w:val="00CF711D"/>
    <w:rsid w:val="00CF73D5"/>
    <w:rsid w:val="00CF7518"/>
    <w:rsid w:val="00CF7BAC"/>
    <w:rsid w:val="00CF7D22"/>
    <w:rsid w:val="00CF7FF4"/>
    <w:rsid w:val="00D0187B"/>
    <w:rsid w:val="00D027D6"/>
    <w:rsid w:val="00D02AFA"/>
    <w:rsid w:val="00D03B52"/>
    <w:rsid w:val="00D0554D"/>
    <w:rsid w:val="00D05BA2"/>
    <w:rsid w:val="00D05EBA"/>
    <w:rsid w:val="00D078C9"/>
    <w:rsid w:val="00D1035B"/>
    <w:rsid w:val="00D106E4"/>
    <w:rsid w:val="00D117D4"/>
    <w:rsid w:val="00D123CF"/>
    <w:rsid w:val="00D1291B"/>
    <w:rsid w:val="00D12ADF"/>
    <w:rsid w:val="00D12C5B"/>
    <w:rsid w:val="00D13205"/>
    <w:rsid w:val="00D14A42"/>
    <w:rsid w:val="00D15049"/>
    <w:rsid w:val="00D16E2B"/>
    <w:rsid w:val="00D173AA"/>
    <w:rsid w:val="00D178A8"/>
    <w:rsid w:val="00D204E3"/>
    <w:rsid w:val="00D20F2C"/>
    <w:rsid w:val="00D21864"/>
    <w:rsid w:val="00D21DDA"/>
    <w:rsid w:val="00D22291"/>
    <w:rsid w:val="00D22E10"/>
    <w:rsid w:val="00D23889"/>
    <w:rsid w:val="00D2395E"/>
    <w:rsid w:val="00D23B7D"/>
    <w:rsid w:val="00D2433F"/>
    <w:rsid w:val="00D24593"/>
    <w:rsid w:val="00D2515E"/>
    <w:rsid w:val="00D254D6"/>
    <w:rsid w:val="00D25A72"/>
    <w:rsid w:val="00D25EAC"/>
    <w:rsid w:val="00D26180"/>
    <w:rsid w:val="00D30005"/>
    <w:rsid w:val="00D3033E"/>
    <w:rsid w:val="00D30DCA"/>
    <w:rsid w:val="00D31707"/>
    <w:rsid w:val="00D31B32"/>
    <w:rsid w:val="00D33CE4"/>
    <w:rsid w:val="00D33E77"/>
    <w:rsid w:val="00D34DE3"/>
    <w:rsid w:val="00D36046"/>
    <w:rsid w:val="00D367FE"/>
    <w:rsid w:val="00D36DBB"/>
    <w:rsid w:val="00D37493"/>
    <w:rsid w:val="00D4074E"/>
    <w:rsid w:val="00D41BBF"/>
    <w:rsid w:val="00D41C1D"/>
    <w:rsid w:val="00D4241B"/>
    <w:rsid w:val="00D43A2F"/>
    <w:rsid w:val="00D44087"/>
    <w:rsid w:val="00D44115"/>
    <w:rsid w:val="00D44CEA"/>
    <w:rsid w:val="00D45A81"/>
    <w:rsid w:val="00D46691"/>
    <w:rsid w:val="00D4766C"/>
    <w:rsid w:val="00D47DAE"/>
    <w:rsid w:val="00D47E96"/>
    <w:rsid w:val="00D50369"/>
    <w:rsid w:val="00D514EE"/>
    <w:rsid w:val="00D515E6"/>
    <w:rsid w:val="00D517BF"/>
    <w:rsid w:val="00D51A18"/>
    <w:rsid w:val="00D51DEC"/>
    <w:rsid w:val="00D52674"/>
    <w:rsid w:val="00D52EA6"/>
    <w:rsid w:val="00D5492B"/>
    <w:rsid w:val="00D54BD1"/>
    <w:rsid w:val="00D55E1D"/>
    <w:rsid w:val="00D55FCC"/>
    <w:rsid w:val="00D56685"/>
    <w:rsid w:val="00D56719"/>
    <w:rsid w:val="00D57713"/>
    <w:rsid w:val="00D57A00"/>
    <w:rsid w:val="00D57DEA"/>
    <w:rsid w:val="00D57FA9"/>
    <w:rsid w:val="00D604DE"/>
    <w:rsid w:val="00D6078F"/>
    <w:rsid w:val="00D61F9C"/>
    <w:rsid w:val="00D62B37"/>
    <w:rsid w:val="00D642CF"/>
    <w:rsid w:val="00D64F0F"/>
    <w:rsid w:val="00D65410"/>
    <w:rsid w:val="00D65787"/>
    <w:rsid w:val="00D65CE6"/>
    <w:rsid w:val="00D65F6E"/>
    <w:rsid w:val="00D66003"/>
    <w:rsid w:val="00D66F6D"/>
    <w:rsid w:val="00D71BBC"/>
    <w:rsid w:val="00D731B3"/>
    <w:rsid w:val="00D73559"/>
    <w:rsid w:val="00D735FD"/>
    <w:rsid w:val="00D7361C"/>
    <w:rsid w:val="00D7397C"/>
    <w:rsid w:val="00D73E1D"/>
    <w:rsid w:val="00D73F1A"/>
    <w:rsid w:val="00D74739"/>
    <w:rsid w:val="00D7480A"/>
    <w:rsid w:val="00D748E0"/>
    <w:rsid w:val="00D74AB1"/>
    <w:rsid w:val="00D751B2"/>
    <w:rsid w:val="00D758F5"/>
    <w:rsid w:val="00D75D32"/>
    <w:rsid w:val="00D7694E"/>
    <w:rsid w:val="00D76B35"/>
    <w:rsid w:val="00D76E29"/>
    <w:rsid w:val="00D77AE2"/>
    <w:rsid w:val="00D81AA5"/>
    <w:rsid w:val="00D81BDB"/>
    <w:rsid w:val="00D82353"/>
    <w:rsid w:val="00D8267F"/>
    <w:rsid w:val="00D828CA"/>
    <w:rsid w:val="00D82AA9"/>
    <w:rsid w:val="00D82B78"/>
    <w:rsid w:val="00D82E3F"/>
    <w:rsid w:val="00D833CA"/>
    <w:rsid w:val="00D83526"/>
    <w:rsid w:val="00D8386F"/>
    <w:rsid w:val="00D843B6"/>
    <w:rsid w:val="00D84B4C"/>
    <w:rsid w:val="00D8665C"/>
    <w:rsid w:val="00D875CB"/>
    <w:rsid w:val="00D87C43"/>
    <w:rsid w:val="00D87D8A"/>
    <w:rsid w:val="00D87F5E"/>
    <w:rsid w:val="00D90268"/>
    <w:rsid w:val="00D90FA6"/>
    <w:rsid w:val="00D919A2"/>
    <w:rsid w:val="00D91CDB"/>
    <w:rsid w:val="00D92582"/>
    <w:rsid w:val="00D92605"/>
    <w:rsid w:val="00D927A2"/>
    <w:rsid w:val="00D93A48"/>
    <w:rsid w:val="00D947DA"/>
    <w:rsid w:val="00D94D94"/>
    <w:rsid w:val="00D95012"/>
    <w:rsid w:val="00D95519"/>
    <w:rsid w:val="00D9699E"/>
    <w:rsid w:val="00D977D5"/>
    <w:rsid w:val="00D97864"/>
    <w:rsid w:val="00D97A16"/>
    <w:rsid w:val="00DA014C"/>
    <w:rsid w:val="00DA18F0"/>
    <w:rsid w:val="00DA1F4F"/>
    <w:rsid w:val="00DA282F"/>
    <w:rsid w:val="00DA29A6"/>
    <w:rsid w:val="00DA2E5D"/>
    <w:rsid w:val="00DA323F"/>
    <w:rsid w:val="00DA3C9E"/>
    <w:rsid w:val="00DA3DB9"/>
    <w:rsid w:val="00DA3DBC"/>
    <w:rsid w:val="00DA3F53"/>
    <w:rsid w:val="00DA47C4"/>
    <w:rsid w:val="00DA4B22"/>
    <w:rsid w:val="00DA571D"/>
    <w:rsid w:val="00DA7802"/>
    <w:rsid w:val="00DB1257"/>
    <w:rsid w:val="00DB13B8"/>
    <w:rsid w:val="00DB14D9"/>
    <w:rsid w:val="00DB1BCC"/>
    <w:rsid w:val="00DB1F9E"/>
    <w:rsid w:val="00DB3927"/>
    <w:rsid w:val="00DB42C2"/>
    <w:rsid w:val="00DB57F0"/>
    <w:rsid w:val="00DB5AF4"/>
    <w:rsid w:val="00DB6F36"/>
    <w:rsid w:val="00DB7688"/>
    <w:rsid w:val="00DB7EC5"/>
    <w:rsid w:val="00DC051B"/>
    <w:rsid w:val="00DC0B93"/>
    <w:rsid w:val="00DC0BB8"/>
    <w:rsid w:val="00DC1143"/>
    <w:rsid w:val="00DC2025"/>
    <w:rsid w:val="00DC2DA5"/>
    <w:rsid w:val="00DC331F"/>
    <w:rsid w:val="00DC44EA"/>
    <w:rsid w:val="00DC4CBB"/>
    <w:rsid w:val="00DC4E8A"/>
    <w:rsid w:val="00DC4FF5"/>
    <w:rsid w:val="00DC5E0C"/>
    <w:rsid w:val="00DC69BD"/>
    <w:rsid w:val="00DC7526"/>
    <w:rsid w:val="00DC7ECB"/>
    <w:rsid w:val="00DD0A39"/>
    <w:rsid w:val="00DD0E19"/>
    <w:rsid w:val="00DD189E"/>
    <w:rsid w:val="00DD2A5F"/>
    <w:rsid w:val="00DD2B48"/>
    <w:rsid w:val="00DD3059"/>
    <w:rsid w:val="00DD31DF"/>
    <w:rsid w:val="00DD359B"/>
    <w:rsid w:val="00DD365C"/>
    <w:rsid w:val="00DD4BAA"/>
    <w:rsid w:val="00DD64F9"/>
    <w:rsid w:val="00DD7025"/>
    <w:rsid w:val="00DE086D"/>
    <w:rsid w:val="00DE134B"/>
    <w:rsid w:val="00DE175E"/>
    <w:rsid w:val="00DE1C49"/>
    <w:rsid w:val="00DE1EC3"/>
    <w:rsid w:val="00DE1F01"/>
    <w:rsid w:val="00DE253B"/>
    <w:rsid w:val="00DE29AB"/>
    <w:rsid w:val="00DE336C"/>
    <w:rsid w:val="00DE3486"/>
    <w:rsid w:val="00DE36DE"/>
    <w:rsid w:val="00DE3A83"/>
    <w:rsid w:val="00DE3DE5"/>
    <w:rsid w:val="00DE4C81"/>
    <w:rsid w:val="00DE5056"/>
    <w:rsid w:val="00DE79F3"/>
    <w:rsid w:val="00DE7CBE"/>
    <w:rsid w:val="00DF046F"/>
    <w:rsid w:val="00DF1066"/>
    <w:rsid w:val="00DF18C3"/>
    <w:rsid w:val="00DF2327"/>
    <w:rsid w:val="00DF23D6"/>
    <w:rsid w:val="00DF253F"/>
    <w:rsid w:val="00DF2CCC"/>
    <w:rsid w:val="00DF414F"/>
    <w:rsid w:val="00DF45FA"/>
    <w:rsid w:val="00DF526A"/>
    <w:rsid w:val="00DF5F47"/>
    <w:rsid w:val="00DF61F4"/>
    <w:rsid w:val="00DF659D"/>
    <w:rsid w:val="00DF665A"/>
    <w:rsid w:val="00DF6E2C"/>
    <w:rsid w:val="00DF6F7E"/>
    <w:rsid w:val="00DF745B"/>
    <w:rsid w:val="00DF7A68"/>
    <w:rsid w:val="00E0027C"/>
    <w:rsid w:val="00E0168B"/>
    <w:rsid w:val="00E01CCE"/>
    <w:rsid w:val="00E0203F"/>
    <w:rsid w:val="00E030B6"/>
    <w:rsid w:val="00E03FEE"/>
    <w:rsid w:val="00E05496"/>
    <w:rsid w:val="00E0578F"/>
    <w:rsid w:val="00E05FDA"/>
    <w:rsid w:val="00E0618D"/>
    <w:rsid w:val="00E063BB"/>
    <w:rsid w:val="00E06A7F"/>
    <w:rsid w:val="00E07A72"/>
    <w:rsid w:val="00E07D6A"/>
    <w:rsid w:val="00E106FE"/>
    <w:rsid w:val="00E12606"/>
    <w:rsid w:val="00E12C81"/>
    <w:rsid w:val="00E135F1"/>
    <w:rsid w:val="00E136AA"/>
    <w:rsid w:val="00E13D38"/>
    <w:rsid w:val="00E1486F"/>
    <w:rsid w:val="00E14E23"/>
    <w:rsid w:val="00E1500D"/>
    <w:rsid w:val="00E15947"/>
    <w:rsid w:val="00E16B06"/>
    <w:rsid w:val="00E2031B"/>
    <w:rsid w:val="00E2047D"/>
    <w:rsid w:val="00E20AEE"/>
    <w:rsid w:val="00E20EDD"/>
    <w:rsid w:val="00E2110F"/>
    <w:rsid w:val="00E21C05"/>
    <w:rsid w:val="00E21F80"/>
    <w:rsid w:val="00E227E3"/>
    <w:rsid w:val="00E231C0"/>
    <w:rsid w:val="00E24942"/>
    <w:rsid w:val="00E24BE5"/>
    <w:rsid w:val="00E2585F"/>
    <w:rsid w:val="00E2720A"/>
    <w:rsid w:val="00E27D7A"/>
    <w:rsid w:val="00E3036A"/>
    <w:rsid w:val="00E31F57"/>
    <w:rsid w:val="00E33C0C"/>
    <w:rsid w:val="00E341E8"/>
    <w:rsid w:val="00E3446B"/>
    <w:rsid w:val="00E353CA"/>
    <w:rsid w:val="00E35A17"/>
    <w:rsid w:val="00E37274"/>
    <w:rsid w:val="00E37566"/>
    <w:rsid w:val="00E4137F"/>
    <w:rsid w:val="00E41B15"/>
    <w:rsid w:val="00E4335F"/>
    <w:rsid w:val="00E439E0"/>
    <w:rsid w:val="00E44EE5"/>
    <w:rsid w:val="00E4655A"/>
    <w:rsid w:val="00E4799C"/>
    <w:rsid w:val="00E47EA5"/>
    <w:rsid w:val="00E506A6"/>
    <w:rsid w:val="00E50A4A"/>
    <w:rsid w:val="00E51323"/>
    <w:rsid w:val="00E5166A"/>
    <w:rsid w:val="00E51973"/>
    <w:rsid w:val="00E51E8B"/>
    <w:rsid w:val="00E5205E"/>
    <w:rsid w:val="00E521B6"/>
    <w:rsid w:val="00E5259C"/>
    <w:rsid w:val="00E53485"/>
    <w:rsid w:val="00E53CEC"/>
    <w:rsid w:val="00E541D5"/>
    <w:rsid w:val="00E545D8"/>
    <w:rsid w:val="00E5473F"/>
    <w:rsid w:val="00E5480F"/>
    <w:rsid w:val="00E55C19"/>
    <w:rsid w:val="00E55D85"/>
    <w:rsid w:val="00E55FB8"/>
    <w:rsid w:val="00E606D9"/>
    <w:rsid w:val="00E612A6"/>
    <w:rsid w:val="00E61668"/>
    <w:rsid w:val="00E626DA"/>
    <w:rsid w:val="00E631EB"/>
    <w:rsid w:val="00E657ED"/>
    <w:rsid w:val="00E66951"/>
    <w:rsid w:val="00E66D86"/>
    <w:rsid w:val="00E66E91"/>
    <w:rsid w:val="00E676E2"/>
    <w:rsid w:val="00E67D9E"/>
    <w:rsid w:val="00E70956"/>
    <w:rsid w:val="00E70A6E"/>
    <w:rsid w:val="00E71790"/>
    <w:rsid w:val="00E727E6"/>
    <w:rsid w:val="00E72EE3"/>
    <w:rsid w:val="00E73BC9"/>
    <w:rsid w:val="00E73D91"/>
    <w:rsid w:val="00E74705"/>
    <w:rsid w:val="00E753DB"/>
    <w:rsid w:val="00E75562"/>
    <w:rsid w:val="00E758B2"/>
    <w:rsid w:val="00E76075"/>
    <w:rsid w:val="00E765AE"/>
    <w:rsid w:val="00E76CA8"/>
    <w:rsid w:val="00E80820"/>
    <w:rsid w:val="00E812C7"/>
    <w:rsid w:val="00E81518"/>
    <w:rsid w:val="00E8168D"/>
    <w:rsid w:val="00E8169F"/>
    <w:rsid w:val="00E81846"/>
    <w:rsid w:val="00E81AE4"/>
    <w:rsid w:val="00E81C83"/>
    <w:rsid w:val="00E82E6C"/>
    <w:rsid w:val="00E83A3C"/>
    <w:rsid w:val="00E846FF"/>
    <w:rsid w:val="00E85093"/>
    <w:rsid w:val="00E8537E"/>
    <w:rsid w:val="00E858F2"/>
    <w:rsid w:val="00E85E39"/>
    <w:rsid w:val="00E86EC0"/>
    <w:rsid w:val="00E900E6"/>
    <w:rsid w:val="00E91319"/>
    <w:rsid w:val="00E9256A"/>
    <w:rsid w:val="00E92DF9"/>
    <w:rsid w:val="00E94583"/>
    <w:rsid w:val="00E955F2"/>
    <w:rsid w:val="00E9681F"/>
    <w:rsid w:val="00E96DA4"/>
    <w:rsid w:val="00E96E4E"/>
    <w:rsid w:val="00E9789A"/>
    <w:rsid w:val="00E97FD0"/>
    <w:rsid w:val="00EA0585"/>
    <w:rsid w:val="00EA0B3C"/>
    <w:rsid w:val="00EA0FB2"/>
    <w:rsid w:val="00EA244E"/>
    <w:rsid w:val="00EA3A95"/>
    <w:rsid w:val="00EA4209"/>
    <w:rsid w:val="00EA44BA"/>
    <w:rsid w:val="00EA4FFF"/>
    <w:rsid w:val="00EA514D"/>
    <w:rsid w:val="00EA569B"/>
    <w:rsid w:val="00EA5AFF"/>
    <w:rsid w:val="00EA5DE9"/>
    <w:rsid w:val="00EA5F45"/>
    <w:rsid w:val="00EA7013"/>
    <w:rsid w:val="00EA7324"/>
    <w:rsid w:val="00EA7BD5"/>
    <w:rsid w:val="00EA7BE2"/>
    <w:rsid w:val="00EA7E58"/>
    <w:rsid w:val="00EB006A"/>
    <w:rsid w:val="00EB04C3"/>
    <w:rsid w:val="00EB0A87"/>
    <w:rsid w:val="00EB0AFB"/>
    <w:rsid w:val="00EB12B1"/>
    <w:rsid w:val="00EB1A36"/>
    <w:rsid w:val="00EB1CAE"/>
    <w:rsid w:val="00EB1E44"/>
    <w:rsid w:val="00EB21C1"/>
    <w:rsid w:val="00EB3367"/>
    <w:rsid w:val="00EB3BAB"/>
    <w:rsid w:val="00EB3CC2"/>
    <w:rsid w:val="00EB3E6D"/>
    <w:rsid w:val="00EB51AA"/>
    <w:rsid w:val="00EB54EF"/>
    <w:rsid w:val="00EB590D"/>
    <w:rsid w:val="00EB5EB9"/>
    <w:rsid w:val="00EB6957"/>
    <w:rsid w:val="00EB6D11"/>
    <w:rsid w:val="00EB715A"/>
    <w:rsid w:val="00EB7B5D"/>
    <w:rsid w:val="00EC02B2"/>
    <w:rsid w:val="00EC05E2"/>
    <w:rsid w:val="00EC0680"/>
    <w:rsid w:val="00EC13F7"/>
    <w:rsid w:val="00EC27F2"/>
    <w:rsid w:val="00EC29F8"/>
    <w:rsid w:val="00EC2C98"/>
    <w:rsid w:val="00EC3334"/>
    <w:rsid w:val="00EC428E"/>
    <w:rsid w:val="00EC4ACD"/>
    <w:rsid w:val="00EC66E8"/>
    <w:rsid w:val="00EC74F8"/>
    <w:rsid w:val="00ED0185"/>
    <w:rsid w:val="00ED090E"/>
    <w:rsid w:val="00ED1048"/>
    <w:rsid w:val="00ED1CA1"/>
    <w:rsid w:val="00ED1E28"/>
    <w:rsid w:val="00ED2786"/>
    <w:rsid w:val="00ED2794"/>
    <w:rsid w:val="00ED2BFA"/>
    <w:rsid w:val="00ED2D90"/>
    <w:rsid w:val="00ED2E57"/>
    <w:rsid w:val="00ED323D"/>
    <w:rsid w:val="00ED48BD"/>
    <w:rsid w:val="00ED69DE"/>
    <w:rsid w:val="00ED7339"/>
    <w:rsid w:val="00ED7998"/>
    <w:rsid w:val="00EE0F7E"/>
    <w:rsid w:val="00EE1329"/>
    <w:rsid w:val="00EE23EB"/>
    <w:rsid w:val="00EE26F7"/>
    <w:rsid w:val="00EE466C"/>
    <w:rsid w:val="00EE4D64"/>
    <w:rsid w:val="00EE4EB1"/>
    <w:rsid w:val="00EE51FD"/>
    <w:rsid w:val="00EE54EB"/>
    <w:rsid w:val="00EE613D"/>
    <w:rsid w:val="00EE6461"/>
    <w:rsid w:val="00EE7D99"/>
    <w:rsid w:val="00EF1083"/>
    <w:rsid w:val="00EF1336"/>
    <w:rsid w:val="00EF291D"/>
    <w:rsid w:val="00EF3DB4"/>
    <w:rsid w:val="00EF4EC9"/>
    <w:rsid w:val="00EF4FC2"/>
    <w:rsid w:val="00EF5F3C"/>
    <w:rsid w:val="00EF6451"/>
    <w:rsid w:val="00EF6853"/>
    <w:rsid w:val="00EF6DF5"/>
    <w:rsid w:val="00EF77D1"/>
    <w:rsid w:val="00F00A9A"/>
    <w:rsid w:val="00F00F68"/>
    <w:rsid w:val="00F0137D"/>
    <w:rsid w:val="00F01401"/>
    <w:rsid w:val="00F01CED"/>
    <w:rsid w:val="00F02972"/>
    <w:rsid w:val="00F03A65"/>
    <w:rsid w:val="00F05322"/>
    <w:rsid w:val="00F05CB6"/>
    <w:rsid w:val="00F05DFF"/>
    <w:rsid w:val="00F06AD5"/>
    <w:rsid w:val="00F06BC5"/>
    <w:rsid w:val="00F07049"/>
    <w:rsid w:val="00F0712F"/>
    <w:rsid w:val="00F0727B"/>
    <w:rsid w:val="00F07DD2"/>
    <w:rsid w:val="00F10538"/>
    <w:rsid w:val="00F1069D"/>
    <w:rsid w:val="00F122DC"/>
    <w:rsid w:val="00F1313D"/>
    <w:rsid w:val="00F13CA9"/>
    <w:rsid w:val="00F13D59"/>
    <w:rsid w:val="00F13FFA"/>
    <w:rsid w:val="00F142A5"/>
    <w:rsid w:val="00F1433C"/>
    <w:rsid w:val="00F1529D"/>
    <w:rsid w:val="00F159F3"/>
    <w:rsid w:val="00F15AD3"/>
    <w:rsid w:val="00F15B93"/>
    <w:rsid w:val="00F16443"/>
    <w:rsid w:val="00F1677B"/>
    <w:rsid w:val="00F16ACE"/>
    <w:rsid w:val="00F1727C"/>
    <w:rsid w:val="00F17DE1"/>
    <w:rsid w:val="00F20E18"/>
    <w:rsid w:val="00F214B6"/>
    <w:rsid w:val="00F2191A"/>
    <w:rsid w:val="00F2232B"/>
    <w:rsid w:val="00F226DB"/>
    <w:rsid w:val="00F22F9D"/>
    <w:rsid w:val="00F233E5"/>
    <w:rsid w:val="00F23F14"/>
    <w:rsid w:val="00F24C97"/>
    <w:rsid w:val="00F24F32"/>
    <w:rsid w:val="00F27031"/>
    <w:rsid w:val="00F27F81"/>
    <w:rsid w:val="00F3196C"/>
    <w:rsid w:val="00F31A1C"/>
    <w:rsid w:val="00F3271F"/>
    <w:rsid w:val="00F32A95"/>
    <w:rsid w:val="00F32F56"/>
    <w:rsid w:val="00F33D8A"/>
    <w:rsid w:val="00F33EF6"/>
    <w:rsid w:val="00F356B5"/>
    <w:rsid w:val="00F35AC7"/>
    <w:rsid w:val="00F35ED5"/>
    <w:rsid w:val="00F36197"/>
    <w:rsid w:val="00F36382"/>
    <w:rsid w:val="00F364BD"/>
    <w:rsid w:val="00F36867"/>
    <w:rsid w:val="00F4197A"/>
    <w:rsid w:val="00F4231E"/>
    <w:rsid w:val="00F42C55"/>
    <w:rsid w:val="00F4347C"/>
    <w:rsid w:val="00F438F8"/>
    <w:rsid w:val="00F43B7C"/>
    <w:rsid w:val="00F449B3"/>
    <w:rsid w:val="00F44ADD"/>
    <w:rsid w:val="00F44DD5"/>
    <w:rsid w:val="00F45157"/>
    <w:rsid w:val="00F45750"/>
    <w:rsid w:val="00F45CE1"/>
    <w:rsid w:val="00F4693D"/>
    <w:rsid w:val="00F471D4"/>
    <w:rsid w:val="00F47C7B"/>
    <w:rsid w:val="00F50245"/>
    <w:rsid w:val="00F5036B"/>
    <w:rsid w:val="00F5096A"/>
    <w:rsid w:val="00F509F1"/>
    <w:rsid w:val="00F50CFD"/>
    <w:rsid w:val="00F51BE0"/>
    <w:rsid w:val="00F5236A"/>
    <w:rsid w:val="00F5250E"/>
    <w:rsid w:val="00F52923"/>
    <w:rsid w:val="00F534D6"/>
    <w:rsid w:val="00F535D8"/>
    <w:rsid w:val="00F5366A"/>
    <w:rsid w:val="00F53DDA"/>
    <w:rsid w:val="00F5403B"/>
    <w:rsid w:val="00F5421C"/>
    <w:rsid w:val="00F54970"/>
    <w:rsid w:val="00F54BFA"/>
    <w:rsid w:val="00F559ED"/>
    <w:rsid w:val="00F55A0C"/>
    <w:rsid w:val="00F56187"/>
    <w:rsid w:val="00F56832"/>
    <w:rsid w:val="00F56D4A"/>
    <w:rsid w:val="00F57A0A"/>
    <w:rsid w:val="00F60C13"/>
    <w:rsid w:val="00F62834"/>
    <w:rsid w:val="00F62DEA"/>
    <w:rsid w:val="00F630DC"/>
    <w:rsid w:val="00F63568"/>
    <w:rsid w:val="00F63B2B"/>
    <w:rsid w:val="00F63FB7"/>
    <w:rsid w:val="00F65FF4"/>
    <w:rsid w:val="00F66831"/>
    <w:rsid w:val="00F67314"/>
    <w:rsid w:val="00F67E4D"/>
    <w:rsid w:val="00F704C4"/>
    <w:rsid w:val="00F72727"/>
    <w:rsid w:val="00F7300C"/>
    <w:rsid w:val="00F73760"/>
    <w:rsid w:val="00F74502"/>
    <w:rsid w:val="00F74EE3"/>
    <w:rsid w:val="00F755F2"/>
    <w:rsid w:val="00F75BEB"/>
    <w:rsid w:val="00F766BB"/>
    <w:rsid w:val="00F767D2"/>
    <w:rsid w:val="00F76B71"/>
    <w:rsid w:val="00F76BDA"/>
    <w:rsid w:val="00F77576"/>
    <w:rsid w:val="00F77C94"/>
    <w:rsid w:val="00F8279F"/>
    <w:rsid w:val="00F82C7B"/>
    <w:rsid w:val="00F83C07"/>
    <w:rsid w:val="00F84182"/>
    <w:rsid w:val="00F84271"/>
    <w:rsid w:val="00F8484D"/>
    <w:rsid w:val="00F84EA0"/>
    <w:rsid w:val="00F85105"/>
    <w:rsid w:val="00F85D1F"/>
    <w:rsid w:val="00F8624B"/>
    <w:rsid w:val="00F87464"/>
    <w:rsid w:val="00F90224"/>
    <w:rsid w:val="00F91A4A"/>
    <w:rsid w:val="00F91ED1"/>
    <w:rsid w:val="00F92171"/>
    <w:rsid w:val="00F929A6"/>
    <w:rsid w:val="00F94386"/>
    <w:rsid w:val="00F9479B"/>
    <w:rsid w:val="00F949C5"/>
    <w:rsid w:val="00F9509B"/>
    <w:rsid w:val="00F96329"/>
    <w:rsid w:val="00F9677B"/>
    <w:rsid w:val="00FA18CD"/>
    <w:rsid w:val="00FA1927"/>
    <w:rsid w:val="00FA21EA"/>
    <w:rsid w:val="00FA2989"/>
    <w:rsid w:val="00FA460F"/>
    <w:rsid w:val="00FA4818"/>
    <w:rsid w:val="00FA6416"/>
    <w:rsid w:val="00FA6A79"/>
    <w:rsid w:val="00FA71B3"/>
    <w:rsid w:val="00FA76A4"/>
    <w:rsid w:val="00FB03DB"/>
    <w:rsid w:val="00FB04BE"/>
    <w:rsid w:val="00FB0DBF"/>
    <w:rsid w:val="00FB1FD0"/>
    <w:rsid w:val="00FB243B"/>
    <w:rsid w:val="00FB2577"/>
    <w:rsid w:val="00FB3515"/>
    <w:rsid w:val="00FB38A4"/>
    <w:rsid w:val="00FB477D"/>
    <w:rsid w:val="00FB4B6F"/>
    <w:rsid w:val="00FB5074"/>
    <w:rsid w:val="00FB62CE"/>
    <w:rsid w:val="00FB661E"/>
    <w:rsid w:val="00FB72E8"/>
    <w:rsid w:val="00FB7685"/>
    <w:rsid w:val="00FB7967"/>
    <w:rsid w:val="00FC0617"/>
    <w:rsid w:val="00FC0861"/>
    <w:rsid w:val="00FC0CD3"/>
    <w:rsid w:val="00FC3ECA"/>
    <w:rsid w:val="00FC5BC0"/>
    <w:rsid w:val="00FC5CAB"/>
    <w:rsid w:val="00FC5F83"/>
    <w:rsid w:val="00FC61FD"/>
    <w:rsid w:val="00FC6A3C"/>
    <w:rsid w:val="00FC6EED"/>
    <w:rsid w:val="00FD0994"/>
    <w:rsid w:val="00FD1892"/>
    <w:rsid w:val="00FD2811"/>
    <w:rsid w:val="00FD34D9"/>
    <w:rsid w:val="00FD3E82"/>
    <w:rsid w:val="00FD3F3D"/>
    <w:rsid w:val="00FD4758"/>
    <w:rsid w:val="00FD4923"/>
    <w:rsid w:val="00FD622C"/>
    <w:rsid w:val="00FD6AE8"/>
    <w:rsid w:val="00FD6E22"/>
    <w:rsid w:val="00FD756E"/>
    <w:rsid w:val="00FD763A"/>
    <w:rsid w:val="00FD77D5"/>
    <w:rsid w:val="00FE0DE6"/>
    <w:rsid w:val="00FE1FAE"/>
    <w:rsid w:val="00FE249D"/>
    <w:rsid w:val="00FE45E6"/>
    <w:rsid w:val="00FE4CD1"/>
    <w:rsid w:val="00FE61D7"/>
    <w:rsid w:val="00FF089D"/>
    <w:rsid w:val="00FF0CA5"/>
    <w:rsid w:val="00FF0EB8"/>
    <w:rsid w:val="00FF13CF"/>
    <w:rsid w:val="00FF264A"/>
    <w:rsid w:val="00FF2B89"/>
    <w:rsid w:val="00FF2DFD"/>
    <w:rsid w:val="00FF3DD2"/>
    <w:rsid w:val="00FF47CD"/>
    <w:rsid w:val="00FF49B7"/>
    <w:rsid w:val="00FF4AE9"/>
    <w:rsid w:val="00FF5ABD"/>
    <w:rsid w:val="00FF5EAD"/>
    <w:rsid w:val="00FF6186"/>
    <w:rsid w:val="00FF7EDC"/>
    <w:rsid w:val="011959AD"/>
    <w:rsid w:val="013E02FC"/>
    <w:rsid w:val="0171787E"/>
    <w:rsid w:val="01762432"/>
    <w:rsid w:val="017924E0"/>
    <w:rsid w:val="019A4749"/>
    <w:rsid w:val="01E925F2"/>
    <w:rsid w:val="01F3521E"/>
    <w:rsid w:val="021527A1"/>
    <w:rsid w:val="024429CC"/>
    <w:rsid w:val="02930952"/>
    <w:rsid w:val="029F0F02"/>
    <w:rsid w:val="02B50726"/>
    <w:rsid w:val="02E839D9"/>
    <w:rsid w:val="02E951B4"/>
    <w:rsid w:val="03145A48"/>
    <w:rsid w:val="03167E66"/>
    <w:rsid w:val="038503DC"/>
    <w:rsid w:val="03922815"/>
    <w:rsid w:val="03981F66"/>
    <w:rsid w:val="03C1671A"/>
    <w:rsid w:val="03D2580E"/>
    <w:rsid w:val="03D6055B"/>
    <w:rsid w:val="03DE3AC0"/>
    <w:rsid w:val="041A7877"/>
    <w:rsid w:val="04C43AA8"/>
    <w:rsid w:val="04DF1A8A"/>
    <w:rsid w:val="051E6A56"/>
    <w:rsid w:val="052676B9"/>
    <w:rsid w:val="05780D78"/>
    <w:rsid w:val="05D62E8D"/>
    <w:rsid w:val="05D71325"/>
    <w:rsid w:val="060405B5"/>
    <w:rsid w:val="06145C04"/>
    <w:rsid w:val="063537C9"/>
    <w:rsid w:val="063A218D"/>
    <w:rsid w:val="063C6170"/>
    <w:rsid w:val="063E7D75"/>
    <w:rsid w:val="065546FA"/>
    <w:rsid w:val="06622973"/>
    <w:rsid w:val="067367D8"/>
    <w:rsid w:val="06A116ED"/>
    <w:rsid w:val="06C62F02"/>
    <w:rsid w:val="06DA69AD"/>
    <w:rsid w:val="06EF0A71"/>
    <w:rsid w:val="06FD269B"/>
    <w:rsid w:val="07860FE4"/>
    <w:rsid w:val="07866B35"/>
    <w:rsid w:val="07943000"/>
    <w:rsid w:val="07AD5E6F"/>
    <w:rsid w:val="07C733D5"/>
    <w:rsid w:val="07E8334B"/>
    <w:rsid w:val="07F5566C"/>
    <w:rsid w:val="08346D03"/>
    <w:rsid w:val="085C3CE3"/>
    <w:rsid w:val="085E716A"/>
    <w:rsid w:val="086D11A9"/>
    <w:rsid w:val="088968DD"/>
    <w:rsid w:val="089239B9"/>
    <w:rsid w:val="08962DA7"/>
    <w:rsid w:val="08D86767"/>
    <w:rsid w:val="08EF7EBA"/>
    <w:rsid w:val="08F0798B"/>
    <w:rsid w:val="09095327"/>
    <w:rsid w:val="092D1569"/>
    <w:rsid w:val="093F51ED"/>
    <w:rsid w:val="09425662"/>
    <w:rsid w:val="094A097B"/>
    <w:rsid w:val="094A6D62"/>
    <w:rsid w:val="095347F5"/>
    <w:rsid w:val="098F1C28"/>
    <w:rsid w:val="09B23C11"/>
    <w:rsid w:val="09C660A8"/>
    <w:rsid w:val="09E6676A"/>
    <w:rsid w:val="09F4422A"/>
    <w:rsid w:val="0A0714EF"/>
    <w:rsid w:val="0A2368BD"/>
    <w:rsid w:val="0A556F05"/>
    <w:rsid w:val="0A824180"/>
    <w:rsid w:val="0AA3501D"/>
    <w:rsid w:val="0B713897"/>
    <w:rsid w:val="0B786794"/>
    <w:rsid w:val="0BA105F6"/>
    <w:rsid w:val="0BED7182"/>
    <w:rsid w:val="0C047F24"/>
    <w:rsid w:val="0C08601C"/>
    <w:rsid w:val="0C7358DA"/>
    <w:rsid w:val="0C847C19"/>
    <w:rsid w:val="0CB63A18"/>
    <w:rsid w:val="0CF42BA2"/>
    <w:rsid w:val="0D5374B9"/>
    <w:rsid w:val="0D796D51"/>
    <w:rsid w:val="0D960685"/>
    <w:rsid w:val="0D9E6986"/>
    <w:rsid w:val="0DB52116"/>
    <w:rsid w:val="0DDA5726"/>
    <w:rsid w:val="0DE16873"/>
    <w:rsid w:val="0DF57CE4"/>
    <w:rsid w:val="0E1A2DE0"/>
    <w:rsid w:val="0E3F5EF0"/>
    <w:rsid w:val="0E686F94"/>
    <w:rsid w:val="0E8F7D1F"/>
    <w:rsid w:val="0EB16245"/>
    <w:rsid w:val="0EC363F2"/>
    <w:rsid w:val="0EDC703A"/>
    <w:rsid w:val="0EE849F5"/>
    <w:rsid w:val="0EE95F3F"/>
    <w:rsid w:val="0EF66546"/>
    <w:rsid w:val="0F136F00"/>
    <w:rsid w:val="0F3341F4"/>
    <w:rsid w:val="0F4672D5"/>
    <w:rsid w:val="0F6A69DA"/>
    <w:rsid w:val="0F803C8A"/>
    <w:rsid w:val="0F9C6EF5"/>
    <w:rsid w:val="0FA729EC"/>
    <w:rsid w:val="0FD3043D"/>
    <w:rsid w:val="0FF84BE0"/>
    <w:rsid w:val="0FFA3C1C"/>
    <w:rsid w:val="1015525D"/>
    <w:rsid w:val="101F3682"/>
    <w:rsid w:val="10EA0B23"/>
    <w:rsid w:val="10F04382"/>
    <w:rsid w:val="111D6521"/>
    <w:rsid w:val="117F6ACF"/>
    <w:rsid w:val="11C241BF"/>
    <w:rsid w:val="120604F9"/>
    <w:rsid w:val="120B0362"/>
    <w:rsid w:val="121B3FA1"/>
    <w:rsid w:val="12301B77"/>
    <w:rsid w:val="1254407C"/>
    <w:rsid w:val="12681311"/>
    <w:rsid w:val="12861A48"/>
    <w:rsid w:val="12EB0686"/>
    <w:rsid w:val="12EF1A32"/>
    <w:rsid w:val="12F90BA6"/>
    <w:rsid w:val="131274CE"/>
    <w:rsid w:val="133631BD"/>
    <w:rsid w:val="13630E68"/>
    <w:rsid w:val="13750189"/>
    <w:rsid w:val="139705EA"/>
    <w:rsid w:val="13AB3BAB"/>
    <w:rsid w:val="13BD3271"/>
    <w:rsid w:val="13C403B4"/>
    <w:rsid w:val="13C813DA"/>
    <w:rsid w:val="13E04F18"/>
    <w:rsid w:val="13F36B0C"/>
    <w:rsid w:val="14125594"/>
    <w:rsid w:val="14261483"/>
    <w:rsid w:val="142A25EB"/>
    <w:rsid w:val="14661880"/>
    <w:rsid w:val="1476752B"/>
    <w:rsid w:val="1481490C"/>
    <w:rsid w:val="15191E30"/>
    <w:rsid w:val="15DD3DC4"/>
    <w:rsid w:val="15F66D39"/>
    <w:rsid w:val="162B0FD3"/>
    <w:rsid w:val="163E69B2"/>
    <w:rsid w:val="165D4F05"/>
    <w:rsid w:val="168E1562"/>
    <w:rsid w:val="16A14DF1"/>
    <w:rsid w:val="16C84A74"/>
    <w:rsid w:val="16CA3460"/>
    <w:rsid w:val="16D707C8"/>
    <w:rsid w:val="16E9312B"/>
    <w:rsid w:val="16FF3277"/>
    <w:rsid w:val="172C5003"/>
    <w:rsid w:val="17372583"/>
    <w:rsid w:val="17D17958"/>
    <w:rsid w:val="17E020A4"/>
    <w:rsid w:val="18001FEB"/>
    <w:rsid w:val="181B5077"/>
    <w:rsid w:val="18307D10"/>
    <w:rsid w:val="183711DA"/>
    <w:rsid w:val="186C142F"/>
    <w:rsid w:val="18766EFE"/>
    <w:rsid w:val="1880299A"/>
    <w:rsid w:val="188E325C"/>
    <w:rsid w:val="18BB169F"/>
    <w:rsid w:val="18D80511"/>
    <w:rsid w:val="196124BF"/>
    <w:rsid w:val="196547FC"/>
    <w:rsid w:val="19921369"/>
    <w:rsid w:val="1A4A57A0"/>
    <w:rsid w:val="1A4C1518"/>
    <w:rsid w:val="1A6425EB"/>
    <w:rsid w:val="1A6E148E"/>
    <w:rsid w:val="1A710D5C"/>
    <w:rsid w:val="1A7171D0"/>
    <w:rsid w:val="1A8962C8"/>
    <w:rsid w:val="1A8E38DF"/>
    <w:rsid w:val="1A951111"/>
    <w:rsid w:val="1AB136EC"/>
    <w:rsid w:val="1ABD60EA"/>
    <w:rsid w:val="1AC63078"/>
    <w:rsid w:val="1ACA2C13"/>
    <w:rsid w:val="1AE1472D"/>
    <w:rsid w:val="1B1262BE"/>
    <w:rsid w:val="1B193AF0"/>
    <w:rsid w:val="1B1F4E7E"/>
    <w:rsid w:val="1B2B0B2B"/>
    <w:rsid w:val="1B391A9C"/>
    <w:rsid w:val="1B395F40"/>
    <w:rsid w:val="1B5B65FA"/>
    <w:rsid w:val="1B776A68"/>
    <w:rsid w:val="1BC021BE"/>
    <w:rsid w:val="1BD9502D"/>
    <w:rsid w:val="1BDD4B1E"/>
    <w:rsid w:val="1C2E35CB"/>
    <w:rsid w:val="1C346708"/>
    <w:rsid w:val="1C427076"/>
    <w:rsid w:val="1C735482"/>
    <w:rsid w:val="1C7903AF"/>
    <w:rsid w:val="1C8C6544"/>
    <w:rsid w:val="1C8E5E18"/>
    <w:rsid w:val="1CAC2742"/>
    <w:rsid w:val="1CAC44F0"/>
    <w:rsid w:val="1CDA56FF"/>
    <w:rsid w:val="1CEC7907"/>
    <w:rsid w:val="1CEF0D27"/>
    <w:rsid w:val="1D397A56"/>
    <w:rsid w:val="1D526E45"/>
    <w:rsid w:val="1D6D0123"/>
    <w:rsid w:val="1DB95116"/>
    <w:rsid w:val="1DBE5CA5"/>
    <w:rsid w:val="1DF93765"/>
    <w:rsid w:val="1E1D17A9"/>
    <w:rsid w:val="1E2F362A"/>
    <w:rsid w:val="1ECB5F13"/>
    <w:rsid w:val="1EDA13D6"/>
    <w:rsid w:val="1EF86EC7"/>
    <w:rsid w:val="1F175742"/>
    <w:rsid w:val="1FA45952"/>
    <w:rsid w:val="1FD977E8"/>
    <w:rsid w:val="1FE10954"/>
    <w:rsid w:val="200A7EAB"/>
    <w:rsid w:val="2011123A"/>
    <w:rsid w:val="203B655F"/>
    <w:rsid w:val="206155F1"/>
    <w:rsid w:val="2062195B"/>
    <w:rsid w:val="207B2B57"/>
    <w:rsid w:val="20937EA1"/>
    <w:rsid w:val="20BC50D1"/>
    <w:rsid w:val="20BD3FB9"/>
    <w:rsid w:val="20C444FE"/>
    <w:rsid w:val="20C93714"/>
    <w:rsid w:val="20CF0551"/>
    <w:rsid w:val="20F841A8"/>
    <w:rsid w:val="21374CD0"/>
    <w:rsid w:val="214B077B"/>
    <w:rsid w:val="219C2EAA"/>
    <w:rsid w:val="21D0685C"/>
    <w:rsid w:val="21D462C2"/>
    <w:rsid w:val="21D80EA9"/>
    <w:rsid w:val="21E169EA"/>
    <w:rsid w:val="21FC01FD"/>
    <w:rsid w:val="223661F5"/>
    <w:rsid w:val="22372AAE"/>
    <w:rsid w:val="224C0212"/>
    <w:rsid w:val="22680EB9"/>
    <w:rsid w:val="22AB307D"/>
    <w:rsid w:val="22B8599C"/>
    <w:rsid w:val="22BD1205"/>
    <w:rsid w:val="22BD2FB3"/>
    <w:rsid w:val="22D24584"/>
    <w:rsid w:val="22E06CA1"/>
    <w:rsid w:val="22F95FB5"/>
    <w:rsid w:val="2322550C"/>
    <w:rsid w:val="2352435A"/>
    <w:rsid w:val="23597536"/>
    <w:rsid w:val="237D11EE"/>
    <w:rsid w:val="239B5F7F"/>
    <w:rsid w:val="23C03737"/>
    <w:rsid w:val="23E427C1"/>
    <w:rsid w:val="23F76998"/>
    <w:rsid w:val="24150BCD"/>
    <w:rsid w:val="244F484B"/>
    <w:rsid w:val="2475119A"/>
    <w:rsid w:val="2481056C"/>
    <w:rsid w:val="24B97FD8"/>
    <w:rsid w:val="25311A36"/>
    <w:rsid w:val="257C53A7"/>
    <w:rsid w:val="259F4BF2"/>
    <w:rsid w:val="25AA531E"/>
    <w:rsid w:val="25BE719C"/>
    <w:rsid w:val="25F97B9D"/>
    <w:rsid w:val="260561F8"/>
    <w:rsid w:val="26215F4F"/>
    <w:rsid w:val="26264E67"/>
    <w:rsid w:val="266A16A4"/>
    <w:rsid w:val="2681079B"/>
    <w:rsid w:val="26815E21"/>
    <w:rsid w:val="26CC624A"/>
    <w:rsid w:val="26CF1507"/>
    <w:rsid w:val="26EB1081"/>
    <w:rsid w:val="26FD5492"/>
    <w:rsid w:val="27113863"/>
    <w:rsid w:val="27135897"/>
    <w:rsid w:val="27361586"/>
    <w:rsid w:val="27464121"/>
    <w:rsid w:val="279938C3"/>
    <w:rsid w:val="27A40BE5"/>
    <w:rsid w:val="27AC5CEC"/>
    <w:rsid w:val="27C941A8"/>
    <w:rsid w:val="27E94FC7"/>
    <w:rsid w:val="28014434"/>
    <w:rsid w:val="28133675"/>
    <w:rsid w:val="281C4AA8"/>
    <w:rsid w:val="284877C3"/>
    <w:rsid w:val="289522DC"/>
    <w:rsid w:val="294F4B81"/>
    <w:rsid w:val="297840D8"/>
    <w:rsid w:val="29927ADD"/>
    <w:rsid w:val="299627B0"/>
    <w:rsid w:val="29B07417"/>
    <w:rsid w:val="29C83614"/>
    <w:rsid w:val="29DE2FC7"/>
    <w:rsid w:val="29EB2AFB"/>
    <w:rsid w:val="29EE6148"/>
    <w:rsid w:val="29EF3C6E"/>
    <w:rsid w:val="29FB3766"/>
    <w:rsid w:val="2A1E3115"/>
    <w:rsid w:val="2A3D348A"/>
    <w:rsid w:val="2A6851B9"/>
    <w:rsid w:val="2AB77BA3"/>
    <w:rsid w:val="2AD91C3E"/>
    <w:rsid w:val="2B0025D7"/>
    <w:rsid w:val="2B0B3E08"/>
    <w:rsid w:val="2B62355F"/>
    <w:rsid w:val="2B6568DD"/>
    <w:rsid w:val="2B940F71"/>
    <w:rsid w:val="2BB83645"/>
    <w:rsid w:val="2BC07D91"/>
    <w:rsid w:val="2BCC2D4B"/>
    <w:rsid w:val="2BD870AF"/>
    <w:rsid w:val="2BF37A45"/>
    <w:rsid w:val="2C131E96"/>
    <w:rsid w:val="2C1F1C30"/>
    <w:rsid w:val="2C444745"/>
    <w:rsid w:val="2C540D07"/>
    <w:rsid w:val="2C555FB1"/>
    <w:rsid w:val="2C5C1A8E"/>
    <w:rsid w:val="2D2A0B7C"/>
    <w:rsid w:val="2D40315E"/>
    <w:rsid w:val="2D75573C"/>
    <w:rsid w:val="2DAE4D9D"/>
    <w:rsid w:val="2DE27D71"/>
    <w:rsid w:val="2DFA12E6"/>
    <w:rsid w:val="2E505623"/>
    <w:rsid w:val="2E5A33D6"/>
    <w:rsid w:val="2E7C6418"/>
    <w:rsid w:val="2E894691"/>
    <w:rsid w:val="2EBD3D50"/>
    <w:rsid w:val="2F25260C"/>
    <w:rsid w:val="2F26275E"/>
    <w:rsid w:val="2F3740ED"/>
    <w:rsid w:val="2F3B577B"/>
    <w:rsid w:val="2F68074A"/>
    <w:rsid w:val="2F69044A"/>
    <w:rsid w:val="2F736F48"/>
    <w:rsid w:val="2F974B8C"/>
    <w:rsid w:val="2FC82F97"/>
    <w:rsid w:val="2FD012C5"/>
    <w:rsid w:val="2FE57FED"/>
    <w:rsid w:val="30142680"/>
    <w:rsid w:val="30413E8E"/>
    <w:rsid w:val="305D74FA"/>
    <w:rsid w:val="30AC377D"/>
    <w:rsid w:val="30C10112"/>
    <w:rsid w:val="30C96FC7"/>
    <w:rsid w:val="30DD55A9"/>
    <w:rsid w:val="30E06A1A"/>
    <w:rsid w:val="30E262DA"/>
    <w:rsid w:val="30ED53AB"/>
    <w:rsid w:val="31247A37"/>
    <w:rsid w:val="31354E31"/>
    <w:rsid w:val="31395838"/>
    <w:rsid w:val="313F0345"/>
    <w:rsid w:val="31496359"/>
    <w:rsid w:val="31757185"/>
    <w:rsid w:val="31837ABD"/>
    <w:rsid w:val="31A517E2"/>
    <w:rsid w:val="31CF685F"/>
    <w:rsid w:val="31D50C34"/>
    <w:rsid w:val="32252923"/>
    <w:rsid w:val="323E37B9"/>
    <w:rsid w:val="327F3D67"/>
    <w:rsid w:val="329A6E6D"/>
    <w:rsid w:val="32D31CC3"/>
    <w:rsid w:val="32D36968"/>
    <w:rsid w:val="32D506A6"/>
    <w:rsid w:val="32D560F7"/>
    <w:rsid w:val="32DD5BCB"/>
    <w:rsid w:val="32E27B5A"/>
    <w:rsid w:val="32F02ADF"/>
    <w:rsid w:val="33194EE4"/>
    <w:rsid w:val="331F2F5F"/>
    <w:rsid w:val="33270FD5"/>
    <w:rsid w:val="33346287"/>
    <w:rsid w:val="334A5491"/>
    <w:rsid w:val="334F1EFB"/>
    <w:rsid w:val="33723946"/>
    <w:rsid w:val="33726B96"/>
    <w:rsid w:val="338F274A"/>
    <w:rsid w:val="33A1247D"/>
    <w:rsid w:val="33A16D37"/>
    <w:rsid w:val="33B77862"/>
    <w:rsid w:val="33BC2E13"/>
    <w:rsid w:val="33D04B10"/>
    <w:rsid w:val="340F7D26"/>
    <w:rsid w:val="341165E5"/>
    <w:rsid w:val="343016AC"/>
    <w:rsid w:val="34386562"/>
    <w:rsid w:val="344D6161"/>
    <w:rsid w:val="345D63A4"/>
    <w:rsid w:val="348C0A37"/>
    <w:rsid w:val="349B6E92"/>
    <w:rsid w:val="34A2025B"/>
    <w:rsid w:val="34C5219B"/>
    <w:rsid w:val="35154ED0"/>
    <w:rsid w:val="352073D1"/>
    <w:rsid w:val="35262C3A"/>
    <w:rsid w:val="35386E11"/>
    <w:rsid w:val="355244B1"/>
    <w:rsid w:val="355D6D9F"/>
    <w:rsid w:val="35942DD5"/>
    <w:rsid w:val="35957DBF"/>
    <w:rsid w:val="360A35C3"/>
    <w:rsid w:val="3655592F"/>
    <w:rsid w:val="366A124C"/>
    <w:rsid w:val="36777392"/>
    <w:rsid w:val="36C175C6"/>
    <w:rsid w:val="36C739BA"/>
    <w:rsid w:val="370F76FD"/>
    <w:rsid w:val="371A3137"/>
    <w:rsid w:val="37256F21"/>
    <w:rsid w:val="37397DA9"/>
    <w:rsid w:val="373F3FD8"/>
    <w:rsid w:val="375C0FF0"/>
    <w:rsid w:val="37701FF4"/>
    <w:rsid w:val="377A3591"/>
    <w:rsid w:val="37B02C8E"/>
    <w:rsid w:val="37B0756F"/>
    <w:rsid w:val="37BE184F"/>
    <w:rsid w:val="37C51108"/>
    <w:rsid w:val="37EA2644"/>
    <w:rsid w:val="38231F83"/>
    <w:rsid w:val="383536E7"/>
    <w:rsid w:val="384F0461"/>
    <w:rsid w:val="38AA1DD4"/>
    <w:rsid w:val="38AB697A"/>
    <w:rsid w:val="38B60DFD"/>
    <w:rsid w:val="38CA7D80"/>
    <w:rsid w:val="38FC4729"/>
    <w:rsid w:val="39027EFE"/>
    <w:rsid w:val="390E4110"/>
    <w:rsid w:val="390F1C37"/>
    <w:rsid w:val="39331DC9"/>
    <w:rsid w:val="39335925"/>
    <w:rsid w:val="394C4C39"/>
    <w:rsid w:val="395125A7"/>
    <w:rsid w:val="396509C3"/>
    <w:rsid w:val="39842625"/>
    <w:rsid w:val="39D935EE"/>
    <w:rsid w:val="39DA7253"/>
    <w:rsid w:val="3A1219DE"/>
    <w:rsid w:val="3A192187"/>
    <w:rsid w:val="3A1D7D60"/>
    <w:rsid w:val="3A655F05"/>
    <w:rsid w:val="3A726921"/>
    <w:rsid w:val="3A8C79E3"/>
    <w:rsid w:val="3AAF1923"/>
    <w:rsid w:val="3B762441"/>
    <w:rsid w:val="3B873D8B"/>
    <w:rsid w:val="3B903503"/>
    <w:rsid w:val="3C0047FB"/>
    <w:rsid w:val="3C137C90"/>
    <w:rsid w:val="3C2C6CFD"/>
    <w:rsid w:val="3C3C71E7"/>
    <w:rsid w:val="3C4E1808"/>
    <w:rsid w:val="3C5E53AF"/>
    <w:rsid w:val="3C6A096A"/>
    <w:rsid w:val="3C7921E9"/>
    <w:rsid w:val="3C8A61A4"/>
    <w:rsid w:val="3C920BB5"/>
    <w:rsid w:val="3C926F85"/>
    <w:rsid w:val="3CA04C91"/>
    <w:rsid w:val="3CAF79B9"/>
    <w:rsid w:val="3CCA47F2"/>
    <w:rsid w:val="3CEE7165"/>
    <w:rsid w:val="3CF04229"/>
    <w:rsid w:val="3D1011F0"/>
    <w:rsid w:val="3D4610AE"/>
    <w:rsid w:val="3D5B369C"/>
    <w:rsid w:val="3DE15D8D"/>
    <w:rsid w:val="3E071210"/>
    <w:rsid w:val="3E170C82"/>
    <w:rsid w:val="3E2B6208"/>
    <w:rsid w:val="3E350E7D"/>
    <w:rsid w:val="3E443E7E"/>
    <w:rsid w:val="3E7464B2"/>
    <w:rsid w:val="3E8D3D29"/>
    <w:rsid w:val="3EA01683"/>
    <w:rsid w:val="3EB219E2"/>
    <w:rsid w:val="3EEF0540"/>
    <w:rsid w:val="3F0C1519"/>
    <w:rsid w:val="3F4E57AE"/>
    <w:rsid w:val="3F7472C9"/>
    <w:rsid w:val="3FC052F0"/>
    <w:rsid w:val="40457E6C"/>
    <w:rsid w:val="4059710D"/>
    <w:rsid w:val="405A5E8D"/>
    <w:rsid w:val="40624D42"/>
    <w:rsid w:val="406311E6"/>
    <w:rsid w:val="40730EE3"/>
    <w:rsid w:val="407927B7"/>
    <w:rsid w:val="40A20BE4"/>
    <w:rsid w:val="40A4535A"/>
    <w:rsid w:val="40FC5196"/>
    <w:rsid w:val="41263FC1"/>
    <w:rsid w:val="41507DF2"/>
    <w:rsid w:val="41524DB6"/>
    <w:rsid w:val="41841C43"/>
    <w:rsid w:val="418666BD"/>
    <w:rsid w:val="419C1598"/>
    <w:rsid w:val="41AC7C60"/>
    <w:rsid w:val="41D164A3"/>
    <w:rsid w:val="41DB2D2B"/>
    <w:rsid w:val="41E00DCD"/>
    <w:rsid w:val="41ED6663"/>
    <w:rsid w:val="41F61BE6"/>
    <w:rsid w:val="420A743F"/>
    <w:rsid w:val="425E5A59"/>
    <w:rsid w:val="426E3E72"/>
    <w:rsid w:val="42785FB7"/>
    <w:rsid w:val="428D1681"/>
    <w:rsid w:val="429733C9"/>
    <w:rsid w:val="42A61653"/>
    <w:rsid w:val="42D67C2A"/>
    <w:rsid w:val="430345BA"/>
    <w:rsid w:val="4348021F"/>
    <w:rsid w:val="43665EA8"/>
    <w:rsid w:val="43866F99"/>
    <w:rsid w:val="438A0CC4"/>
    <w:rsid w:val="43963680"/>
    <w:rsid w:val="439A69F7"/>
    <w:rsid w:val="43CC374D"/>
    <w:rsid w:val="43CC52F4"/>
    <w:rsid w:val="4469669F"/>
    <w:rsid w:val="44817E8C"/>
    <w:rsid w:val="44830BC4"/>
    <w:rsid w:val="449C4CC6"/>
    <w:rsid w:val="44CD72EC"/>
    <w:rsid w:val="44D254FC"/>
    <w:rsid w:val="44DF1057"/>
    <w:rsid w:val="44E121A0"/>
    <w:rsid w:val="44E769E3"/>
    <w:rsid w:val="44F22B38"/>
    <w:rsid w:val="451042D3"/>
    <w:rsid w:val="451707F1"/>
    <w:rsid w:val="454E0DC1"/>
    <w:rsid w:val="457E3359"/>
    <w:rsid w:val="45817197"/>
    <w:rsid w:val="458563B0"/>
    <w:rsid w:val="45C06792"/>
    <w:rsid w:val="45C275CE"/>
    <w:rsid w:val="45C423F3"/>
    <w:rsid w:val="45CA4A08"/>
    <w:rsid w:val="45DB537A"/>
    <w:rsid w:val="45E32C7A"/>
    <w:rsid w:val="45E701C3"/>
    <w:rsid w:val="45FF052A"/>
    <w:rsid w:val="46093B36"/>
    <w:rsid w:val="4618037D"/>
    <w:rsid w:val="462D1661"/>
    <w:rsid w:val="466E4440"/>
    <w:rsid w:val="46805F22"/>
    <w:rsid w:val="46821C9A"/>
    <w:rsid w:val="468E4AE3"/>
    <w:rsid w:val="46B67B95"/>
    <w:rsid w:val="46C04C25"/>
    <w:rsid w:val="4751484E"/>
    <w:rsid w:val="48074B4D"/>
    <w:rsid w:val="4834431D"/>
    <w:rsid w:val="484A19C2"/>
    <w:rsid w:val="484E756F"/>
    <w:rsid w:val="487662C6"/>
    <w:rsid w:val="488E2B78"/>
    <w:rsid w:val="48943F06"/>
    <w:rsid w:val="48950C37"/>
    <w:rsid w:val="489F1C54"/>
    <w:rsid w:val="48BB645F"/>
    <w:rsid w:val="48C447EC"/>
    <w:rsid w:val="48EB4E19"/>
    <w:rsid w:val="492B6619"/>
    <w:rsid w:val="492E6109"/>
    <w:rsid w:val="496F4012"/>
    <w:rsid w:val="498C3D8F"/>
    <w:rsid w:val="498E4EBE"/>
    <w:rsid w:val="49BC684D"/>
    <w:rsid w:val="49D942C7"/>
    <w:rsid w:val="4A061F44"/>
    <w:rsid w:val="4A485FEA"/>
    <w:rsid w:val="4A7F4E6E"/>
    <w:rsid w:val="4A8E288A"/>
    <w:rsid w:val="4ABA1BC3"/>
    <w:rsid w:val="4B0F6C70"/>
    <w:rsid w:val="4B251A87"/>
    <w:rsid w:val="4B366B08"/>
    <w:rsid w:val="4B3B3CA2"/>
    <w:rsid w:val="4B4A79AF"/>
    <w:rsid w:val="4B7A48B1"/>
    <w:rsid w:val="4B8B15F1"/>
    <w:rsid w:val="4B944949"/>
    <w:rsid w:val="4BA3693A"/>
    <w:rsid w:val="4BF2341E"/>
    <w:rsid w:val="4CA920D2"/>
    <w:rsid w:val="4CAC54CA"/>
    <w:rsid w:val="4CB30DFF"/>
    <w:rsid w:val="4CC03065"/>
    <w:rsid w:val="4CD97FCD"/>
    <w:rsid w:val="4CE94821"/>
    <w:rsid w:val="4D2B6E28"/>
    <w:rsid w:val="4D386F94"/>
    <w:rsid w:val="4D6947E4"/>
    <w:rsid w:val="4D8602C2"/>
    <w:rsid w:val="4DA00CDA"/>
    <w:rsid w:val="4DDF1949"/>
    <w:rsid w:val="4DDF2D63"/>
    <w:rsid w:val="4DE17BEE"/>
    <w:rsid w:val="4E081445"/>
    <w:rsid w:val="4E1015F8"/>
    <w:rsid w:val="4E4F6905"/>
    <w:rsid w:val="4E5B79A0"/>
    <w:rsid w:val="4E740A62"/>
    <w:rsid w:val="4E780D19"/>
    <w:rsid w:val="4E7F75AC"/>
    <w:rsid w:val="4EA2112B"/>
    <w:rsid w:val="4EA2737D"/>
    <w:rsid w:val="4EB04235"/>
    <w:rsid w:val="4ED80FF1"/>
    <w:rsid w:val="4EF6465B"/>
    <w:rsid w:val="4EFE2540"/>
    <w:rsid w:val="4F073545"/>
    <w:rsid w:val="4F346D05"/>
    <w:rsid w:val="4F5543EF"/>
    <w:rsid w:val="4FA2515B"/>
    <w:rsid w:val="4FA62E9D"/>
    <w:rsid w:val="4FB21842"/>
    <w:rsid w:val="4FFA4F97"/>
    <w:rsid w:val="502344EE"/>
    <w:rsid w:val="50595BFA"/>
    <w:rsid w:val="50A1234C"/>
    <w:rsid w:val="50AD2009"/>
    <w:rsid w:val="50B975FB"/>
    <w:rsid w:val="5142323F"/>
    <w:rsid w:val="51A83C79"/>
    <w:rsid w:val="51DC2BA6"/>
    <w:rsid w:val="51E16FB8"/>
    <w:rsid w:val="51FE44E7"/>
    <w:rsid w:val="52262073"/>
    <w:rsid w:val="52327A58"/>
    <w:rsid w:val="52391DA6"/>
    <w:rsid w:val="52A86F2C"/>
    <w:rsid w:val="52B72CCB"/>
    <w:rsid w:val="52CD6993"/>
    <w:rsid w:val="52D7511B"/>
    <w:rsid w:val="52D95337"/>
    <w:rsid w:val="52E837CD"/>
    <w:rsid w:val="530F62DA"/>
    <w:rsid w:val="532F4F57"/>
    <w:rsid w:val="534B090D"/>
    <w:rsid w:val="535B1921"/>
    <w:rsid w:val="53D75A1B"/>
    <w:rsid w:val="53D8114B"/>
    <w:rsid w:val="54091C4C"/>
    <w:rsid w:val="545A4256"/>
    <w:rsid w:val="547A48F8"/>
    <w:rsid w:val="548A4B3B"/>
    <w:rsid w:val="54952787"/>
    <w:rsid w:val="54C00F58"/>
    <w:rsid w:val="55326F81"/>
    <w:rsid w:val="55517AB0"/>
    <w:rsid w:val="556233C2"/>
    <w:rsid w:val="55630EE8"/>
    <w:rsid w:val="5586238A"/>
    <w:rsid w:val="558F1CDD"/>
    <w:rsid w:val="559B68D4"/>
    <w:rsid w:val="55D6727A"/>
    <w:rsid w:val="56102561"/>
    <w:rsid w:val="561A3C9D"/>
    <w:rsid w:val="562763BA"/>
    <w:rsid w:val="5630040B"/>
    <w:rsid w:val="563B3C13"/>
    <w:rsid w:val="5647131A"/>
    <w:rsid w:val="56554CD5"/>
    <w:rsid w:val="56845ADF"/>
    <w:rsid w:val="568850AA"/>
    <w:rsid w:val="56C408B5"/>
    <w:rsid w:val="56E12A0D"/>
    <w:rsid w:val="56E2080F"/>
    <w:rsid w:val="56F92846"/>
    <w:rsid w:val="57096FE0"/>
    <w:rsid w:val="5712706A"/>
    <w:rsid w:val="571307C3"/>
    <w:rsid w:val="57404664"/>
    <w:rsid w:val="575C19AB"/>
    <w:rsid w:val="57652702"/>
    <w:rsid w:val="57725A42"/>
    <w:rsid w:val="57922B9C"/>
    <w:rsid w:val="57A04676"/>
    <w:rsid w:val="580130E6"/>
    <w:rsid w:val="580746F5"/>
    <w:rsid w:val="5861548F"/>
    <w:rsid w:val="586A79B6"/>
    <w:rsid w:val="586C27AA"/>
    <w:rsid w:val="58A106A5"/>
    <w:rsid w:val="58AE4B70"/>
    <w:rsid w:val="58D75E75"/>
    <w:rsid w:val="5919023C"/>
    <w:rsid w:val="594B23BF"/>
    <w:rsid w:val="59725B9E"/>
    <w:rsid w:val="59D5279A"/>
    <w:rsid w:val="59E940B2"/>
    <w:rsid w:val="59EE3168"/>
    <w:rsid w:val="59F25092"/>
    <w:rsid w:val="59FB5D7F"/>
    <w:rsid w:val="5A0802B0"/>
    <w:rsid w:val="5A2F3F5A"/>
    <w:rsid w:val="5A315BBE"/>
    <w:rsid w:val="5A360698"/>
    <w:rsid w:val="5AA32D97"/>
    <w:rsid w:val="5AEC5062"/>
    <w:rsid w:val="5B046CCA"/>
    <w:rsid w:val="5B1A473F"/>
    <w:rsid w:val="5B1D0885"/>
    <w:rsid w:val="5B250E7B"/>
    <w:rsid w:val="5B834092"/>
    <w:rsid w:val="5B8C430F"/>
    <w:rsid w:val="5BA34A69"/>
    <w:rsid w:val="5BCF3732"/>
    <w:rsid w:val="5C133668"/>
    <w:rsid w:val="5C166CB5"/>
    <w:rsid w:val="5C4875C2"/>
    <w:rsid w:val="5C515F3F"/>
    <w:rsid w:val="5C566F61"/>
    <w:rsid w:val="5C9A1694"/>
    <w:rsid w:val="5CAC0F5A"/>
    <w:rsid w:val="5CCF3986"/>
    <w:rsid w:val="5CD02807"/>
    <w:rsid w:val="5CD03307"/>
    <w:rsid w:val="5CE40B61"/>
    <w:rsid w:val="5CE9261B"/>
    <w:rsid w:val="5D276C9F"/>
    <w:rsid w:val="5D413732"/>
    <w:rsid w:val="5D8073A0"/>
    <w:rsid w:val="5D954075"/>
    <w:rsid w:val="5DAD3E47"/>
    <w:rsid w:val="5E157216"/>
    <w:rsid w:val="5E224037"/>
    <w:rsid w:val="5E426732"/>
    <w:rsid w:val="5E4D2736"/>
    <w:rsid w:val="5E5077E2"/>
    <w:rsid w:val="5E8E5228"/>
    <w:rsid w:val="5E912F6A"/>
    <w:rsid w:val="5EAE1426"/>
    <w:rsid w:val="5EB50157"/>
    <w:rsid w:val="5EE70547"/>
    <w:rsid w:val="5F0C640A"/>
    <w:rsid w:val="5F0C70C5"/>
    <w:rsid w:val="5F17346F"/>
    <w:rsid w:val="5F1A2F60"/>
    <w:rsid w:val="5F2B2A77"/>
    <w:rsid w:val="5F4F2221"/>
    <w:rsid w:val="5F5B2128"/>
    <w:rsid w:val="5F674003"/>
    <w:rsid w:val="5F6B7317"/>
    <w:rsid w:val="5FA132F0"/>
    <w:rsid w:val="5FB903C8"/>
    <w:rsid w:val="60062AE0"/>
    <w:rsid w:val="60326087"/>
    <w:rsid w:val="60C03693"/>
    <w:rsid w:val="60DB671F"/>
    <w:rsid w:val="60E455D3"/>
    <w:rsid w:val="612B3202"/>
    <w:rsid w:val="6155202D"/>
    <w:rsid w:val="61722BDF"/>
    <w:rsid w:val="617C580C"/>
    <w:rsid w:val="6191314A"/>
    <w:rsid w:val="61B34FA6"/>
    <w:rsid w:val="61B50D1E"/>
    <w:rsid w:val="61DE4F97"/>
    <w:rsid w:val="61E50AB8"/>
    <w:rsid w:val="62015D11"/>
    <w:rsid w:val="620D2908"/>
    <w:rsid w:val="62127F1E"/>
    <w:rsid w:val="62214CDD"/>
    <w:rsid w:val="62553F25"/>
    <w:rsid w:val="625F38F0"/>
    <w:rsid w:val="62A32B16"/>
    <w:rsid w:val="62A420D5"/>
    <w:rsid w:val="62DA3073"/>
    <w:rsid w:val="63161C90"/>
    <w:rsid w:val="63402869"/>
    <w:rsid w:val="63732C3E"/>
    <w:rsid w:val="63754C08"/>
    <w:rsid w:val="637C1792"/>
    <w:rsid w:val="6381611D"/>
    <w:rsid w:val="63892462"/>
    <w:rsid w:val="639C3F43"/>
    <w:rsid w:val="63B86501"/>
    <w:rsid w:val="63BA6ABF"/>
    <w:rsid w:val="63CE7385"/>
    <w:rsid w:val="63D7141F"/>
    <w:rsid w:val="63EA76E3"/>
    <w:rsid w:val="63F26259"/>
    <w:rsid w:val="64202DC6"/>
    <w:rsid w:val="64567BB7"/>
    <w:rsid w:val="648331CB"/>
    <w:rsid w:val="64F32289"/>
    <w:rsid w:val="64F41B5D"/>
    <w:rsid w:val="64FD3107"/>
    <w:rsid w:val="650A44A4"/>
    <w:rsid w:val="65260837"/>
    <w:rsid w:val="652F0DE7"/>
    <w:rsid w:val="657131AE"/>
    <w:rsid w:val="65A11CE5"/>
    <w:rsid w:val="65C63B99"/>
    <w:rsid w:val="65EB764C"/>
    <w:rsid w:val="65F23A45"/>
    <w:rsid w:val="65FA13F5"/>
    <w:rsid w:val="663234E8"/>
    <w:rsid w:val="66642BCD"/>
    <w:rsid w:val="669021AE"/>
    <w:rsid w:val="66D954AE"/>
    <w:rsid w:val="66E225B5"/>
    <w:rsid w:val="66F1077E"/>
    <w:rsid w:val="66FC13D4"/>
    <w:rsid w:val="67542D87"/>
    <w:rsid w:val="676F3DA6"/>
    <w:rsid w:val="678A32DC"/>
    <w:rsid w:val="67AC4971"/>
    <w:rsid w:val="67B51A77"/>
    <w:rsid w:val="68177416"/>
    <w:rsid w:val="681C5653"/>
    <w:rsid w:val="684D3A5E"/>
    <w:rsid w:val="68880F3A"/>
    <w:rsid w:val="68AD63C2"/>
    <w:rsid w:val="68DB3760"/>
    <w:rsid w:val="68DC1286"/>
    <w:rsid w:val="68FE6FA7"/>
    <w:rsid w:val="690A51AD"/>
    <w:rsid w:val="69801C11"/>
    <w:rsid w:val="69825989"/>
    <w:rsid w:val="69851B9E"/>
    <w:rsid w:val="69922A37"/>
    <w:rsid w:val="69A52335"/>
    <w:rsid w:val="69D33BE7"/>
    <w:rsid w:val="6A2627B9"/>
    <w:rsid w:val="6A276531"/>
    <w:rsid w:val="6A2B6021"/>
    <w:rsid w:val="6A427976"/>
    <w:rsid w:val="6A5424B9"/>
    <w:rsid w:val="6A753740"/>
    <w:rsid w:val="6A7774B8"/>
    <w:rsid w:val="6A837C0B"/>
    <w:rsid w:val="6AD47D15"/>
    <w:rsid w:val="6AEA1A38"/>
    <w:rsid w:val="6B461D47"/>
    <w:rsid w:val="6B555BF7"/>
    <w:rsid w:val="6B6F6F6E"/>
    <w:rsid w:val="6BAE2C22"/>
    <w:rsid w:val="6BF95CAB"/>
    <w:rsid w:val="6C224167"/>
    <w:rsid w:val="6CA420BB"/>
    <w:rsid w:val="6CB25732"/>
    <w:rsid w:val="6D48513C"/>
    <w:rsid w:val="6D57537F"/>
    <w:rsid w:val="6D702F45"/>
    <w:rsid w:val="6DB00E73"/>
    <w:rsid w:val="6DB0741C"/>
    <w:rsid w:val="6DBB48B6"/>
    <w:rsid w:val="6DF13EB2"/>
    <w:rsid w:val="6E023580"/>
    <w:rsid w:val="6E153FB5"/>
    <w:rsid w:val="6E2C05BA"/>
    <w:rsid w:val="6E5024FA"/>
    <w:rsid w:val="6E904E39"/>
    <w:rsid w:val="6E964D33"/>
    <w:rsid w:val="6EAD16FA"/>
    <w:rsid w:val="6EB83BFB"/>
    <w:rsid w:val="6ECA5B46"/>
    <w:rsid w:val="6EEA24D4"/>
    <w:rsid w:val="6EF2535F"/>
    <w:rsid w:val="6EFA06B8"/>
    <w:rsid w:val="6F0379E7"/>
    <w:rsid w:val="6F1C062E"/>
    <w:rsid w:val="6F427B6A"/>
    <w:rsid w:val="6F592B68"/>
    <w:rsid w:val="6FB2453F"/>
    <w:rsid w:val="6FC56090"/>
    <w:rsid w:val="6FD60779"/>
    <w:rsid w:val="703B2D36"/>
    <w:rsid w:val="705B5122"/>
    <w:rsid w:val="705C5AA1"/>
    <w:rsid w:val="70733469"/>
    <w:rsid w:val="70A74CF2"/>
    <w:rsid w:val="70AB19FF"/>
    <w:rsid w:val="70B623BC"/>
    <w:rsid w:val="70B65289"/>
    <w:rsid w:val="70EF3E1D"/>
    <w:rsid w:val="710E3FA6"/>
    <w:rsid w:val="712C12B9"/>
    <w:rsid w:val="713D6842"/>
    <w:rsid w:val="718F60EA"/>
    <w:rsid w:val="71A332AC"/>
    <w:rsid w:val="71A70E02"/>
    <w:rsid w:val="71AC489D"/>
    <w:rsid w:val="71C026FD"/>
    <w:rsid w:val="71EF66A7"/>
    <w:rsid w:val="725230E2"/>
    <w:rsid w:val="728C6806"/>
    <w:rsid w:val="72AE6A70"/>
    <w:rsid w:val="72CC236B"/>
    <w:rsid w:val="72DC50E9"/>
    <w:rsid w:val="730035C2"/>
    <w:rsid w:val="7386076C"/>
    <w:rsid w:val="73B2330F"/>
    <w:rsid w:val="73D239B1"/>
    <w:rsid w:val="73D8588D"/>
    <w:rsid w:val="73DB6292"/>
    <w:rsid w:val="73DE4104"/>
    <w:rsid w:val="73E949B6"/>
    <w:rsid w:val="74027641"/>
    <w:rsid w:val="741C69DA"/>
    <w:rsid w:val="746A5998"/>
    <w:rsid w:val="74B74246"/>
    <w:rsid w:val="74C55474"/>
    <w:rsid w:val="750C70AA"/>
    <w:rsid w:val="75134281"/>
    <w:rsid w:val="75483F70"/>
    <w:rsid w:val="754D1541"/>
    <w:rsid w:val="75656D39"/>
    <w:rsid w:val="75DD762C"/>
    <w:rsid w:val="75E31EA6"/>
    <w:rsid w:val="760B0BD2"/>
    <w:rsid w:val="760B7E8B"/>
    <w:rsid w:val="761E2EDE"/>
    <w:rsid w:val="764364A0"/>
    <w:rsid w:val="766A1DDE"/>
    <w:rsid w:val="76805946"/>
    <w:rsid w:val="76941964"/>
    <w:rsid w:val="76947D78"/>
    <w:rsid w:val="769B008A"/>
    <w:rsid w:val="76AA1EF4"/>
    <w:rsid w:val="76C70E7F"/>
    <w:rsid w:val="76CD220E"/>
    <w:rsid w:val="76DD4DE8"/>
    <w:rsid w:val="76E063E5"/>
    <w:rsid w:val="76FF4ABD"/>
    <w:rsid w:val="77287154"/>
    <w:rsid w:val="774D79B0"/>
    <w:rsid w:val="77B751D7"/>
    <w:rsid w:val="77CD6969"/>
    <w:rsid w:val="77E3618D"/>
    <w:rsid w:val="77F51A1C"/>
    <w:rsid w:val="77F57C6E"/>
    <w:rsid w:val="78003B51"/>
    <w:rsid w:val="782B18E2"/>
    <w:rsid w:val="78820F49"/>
    <w:rsid w:val="78BD078C"/>
    <w:rsid w:val="78C93DF6"/>
    <w:rsid w:val="78D930EC"/>
    <w:rsid w:val="78F912B5"/>
    <w:rsid w:val="790243F1"/>
    <w:rsid w:val="79134850"/>
    <w:rsid w:val="79652BD2"/>
    <w:rsid w:val="79A13C0A"/>
    <w:rsid w:val="79CC4220"/>
    <w:rsid w:val="79E61F64"/>
    <w:rsid w:val="79EF706B"/>
    <w:rsid w:val="79F25F85"/>
    <w:rsid w:val="7A0B19CB"/>
    <w:rsid w:val="7A0D5FC1"/>
    <w:rsid w:val="7A3525A4"/>
    <w:rsid w:val="7A8760AF"/>
    <w:rsid w:val="7A886A8A"/>
    <w:rsid w:val="7B333662"/>
    <w:rsid w:val="7B65510B"/>
    <w:rsid w:val="7B662B48"/>
    <w:rsid w:val="7BC047FE"/>
    <w:rsid w:val="7BCE36EF"/>
    <w:rsid w:val="7BD1454E"/>
    <w:rsid w:val="7BE20509"/>
    <w:rsid w:val="7C324212"/>
    <w:rsid w:val="7C3917F5"/>
    <w:rsid w:val="7C5F1B5A"/>
    <w:rsid w:val="7C63164A"/>
    <w:rsid w:val="7C7211D0"/>
    <w:rsid w:val="7C746BBD"/>
    <w:rsid w:val="7CA67789"/>
    <w:rsid w:val="7CCA16C9"/>
    <w:rsid w:val="7CD25DD8"/>
    <w:rsid w:val="7D077095"/>
    <w:rsid w:val="7D636BDE"/>
    <w:rsid w:val="7DC15CCA"/>
    <w:rsid w:val="7DDA593C"/>
    <w:rsid w:val="7E1F6FE6"/>
    <w:rsid w:val="7E2E3EDA"/>
    <w:rsid w:val="7E4F049B"/>
    <w:rsid w:val="7E6B5ADF"/>
    <w:rsid w:val="7E766F0C"/>
    <w:rsid w:val="7E955828"/>
    <w:rsid w:val="7E9F23BF"/>
    <w:rsid w:val="7EAD4DFF"/>
    <w:rsid w:val="7EC14D4E"/>
    <w:rsid w:val="7ED20D09"/>
    <w:rsid w:val="7F051133"/>
    <w:rsid w:val="7F124BF4"/>
    <w:rsid w:val="7F3472CE"/>
    <w:rsid w:val="7F370E72"/>
    <w:rsid w:val="7F3845F2"/>
    <w:rsid w:val="7F6443BB"/>
    <w:rsid w:val="7F963AE5"/>
    <w:rsid w:val="7FCE77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C12B24E"/>
  <w15:docId w15:val="{5527ED2C-F588-412C-A8B4-65392BA7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360" w:lineRule="auto"/>
      <w:ind w:firstLineChars="200" w:firstLine="200"/>
      <w:jc w:val="both"/>
    </w:pPr>
    <w:rPr>
      <w:rFonts w:cstheme="minorBidi"/>
      <w:kern w:val="2"/>
      <w:sz w:val="24"/>
      <w:szCs w:val="22"/>
    </w:rPr>
  </w:style>
  <w:style w:type="paragraph" w:styleId="1">
    <w:name w:val="heading 1"/>
    <w:basedOn w:val="a0"/>
    <w:next w:val="a0"/>
    <w:link w:val="10"/>
    <w:uiPriority w:val="9"/>
    <w:qFormat/>
    <w:pPr>
      <w:keepNext/>
      <w:keepLines/>
      <w:pageBreakBefore/>
      <w:numPr>
        <w:numId w:val="1"/>
      </w:numPr>
      <w:outlineLvl w:val="0"/>
    </w:pPr>
    <w:rPr>
      <w:b/>
      <w:bCs/>
      <w:kern w:val="44"/>
      <w:sz w:val="44"/>
      <w:szCs w:val="44"/>
    </w:rPr>
  </w:style>
  <w:style w:type="paragraph" w:styleId="2">
    <w:name w:val="heading 2"/>
    <w:basedOn w:val="a0"/>
    <w:next w:val="a0"/>
    <w:link w:val="20"/>
    <w:uiPriority w:val="9"/>
    <w:unhideWhenUsed/>
    <w:qFormat/>
    <w:pPr>
      <w:keepNext/>
      <w:keepLines/>
      <w:ind w:firstLineChars="0" w:firstLine="0"/>
      <w:jc w:val="left"/>
      <w:outlineLvl w:val="1"/>
    </w:pPr>
    <w:rPr>
      <w:rFonts w:cstheme="majorBidi"/>
      <w:b/>
      <w:sz w:val="32"/>
      <w:szCs w:val="40"/>
    </w:rPr>
  </w:style>
  <w:style w:type="paragraph" w:styleId="3">
    <w:name w:val="heading 3"/>
    <w:basedOn w:val="a0"/>
    <w:next w:val="a0"/>
    <w:link w:val="30"/>
    <w:uiPriority w:val="9"/>
    <w:unhideWhenUsed/>
    <w:qFormat/>
    <w:pPr>
      <w:keepNext/>
      <w:keepLines/>
      <w:ind w:firstLineChars="0" w:firstLine="0"/>
      <w:jc w:val="left"/>
      <w:outlineLvl w:val="2"/>
    </w:pPr>
    <w:rPr>
      <w:rFonts w:cstheme="majorBidi"/>
      <w:b/>
      <w:sz w:val="28"/>
      <w:szCs w:val="32"/>
    </w:rPr>
  </w:style>
  <w:style w:type="paragraph" w:styleId="4">
    <w:name w:val="heading 4"/>
    <w:basedOn w:val="a0"/>
    <w:next w:val="a0"/>
    <w:link w:val="40"/>
    <w:uiPriority w:val="9"/>
    <w:unhideWhenUsed/>
    <w:qFormat/>
    <w:pPr>
      <w:keepNext/>
      <w:keepLines/>
      <w:numPr>
        <w:ilvl w:val="3"/>
        <w:numId w:val="2"/>
      </w:numPr>
      <w:ind w:firstLineChars="0"/>
      <w:outlineLvl w:val="3"/>
    </w:pPr>
    <w:rPr>
      <w:rFonts w:cstheme="majorBidi"/>
      <w:b/>
      <w:szCs w:val="28"/>
    </w:rPr>
  </w:style>
  <w:style w:type="paragraph" w:styleId="5">
    <w:name w:val="heading 5"/>
    <w:basedOn w:val="a0"/>
    <w:next w:val="a0"/>
    <w:link w:val="50"/>
    <w:uiPriority w:val="9"/>
    <w:unhideWhenUsed/>
    <w:qFormat/>
    <w:pPr>
      <w:keepNext/>
      <w:keepLines/>
      <w:spacing w:before="80" w:after="40"/>
      <w:outlineLvl w:val="4"/>
    </w:pPr>
    <w:rPr>
      <w:rFonts w:asciiTheme="minorHAnsi" w:eastAsiaTheme="minorEastAsia" w:hAnsiTheme="minorHAnsi" w:cstheme="majorBidi"/>
      <w:color w:val="0F4761" w:themeColor="accent1" w:themeShade="BF"/>
      <w:szCs w:val="24"/>
    </w:rPr>
  </w:style>
  <w:style w:type="paragraph" w:styleId="6">
    <w:name w:val="heading 6"/>
    <w:basedOn w:val="a0"/>
    <w:next w:val="a0"/>
    <w:link w:val="60"/>
    <w:uiPriority w:val="9"/>
    <w:unhideWhenUsed/>
    <w:qFormat/>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0"/>
    <w:next w:val="a0"/>
    <w:link w:val="70"/>
    <w:uiPriority w:val="9"/>
    <w:unhideWhenUsed/>
    <w:qFormat/>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0"/>
    <w:next w:val="a0"/>
    <w:link w:val="80"/>
    <w:uiPriority w:val="9"/>
    <w:unhideWhenUsed/>
    <w:qFormat/>
    <w:pPr>
      <w:keepNext/>
      <w:keepLines/>
      <w:outlineLvl w:val="7"/>
    </w:pPr>
    <w:rPr>
      <w:rFonts w:asciiTheme="minorHAnsi" w:eastAsiaTheme="minorEastAsia" w:hAnsiTheme="minorHAnsi" w:cstheme="majorBidi"/>
      <w:color w:val="595959" w:themeColor="text1" w:themeTint="A6"/>
    </w:rPr>
  </w:style>
  <w:style w:type="paragraph" w:styleId="9">
    <w:name w:val="heading 9"/>
    <w:basedOn w:val="a0"/>
    <w:next w:val="a0"/>
    <w:link w:val="90"/>
    <w:uiPriority w:val="9"/>
    <w:unhideWhenUsed/>
    <w:qFormat/>
    <w:pPr>
      <w:keepNext/>
      <w:keepLines/>
      <w:outlineLvl w:val="8"/>
    </w:pPr>
    <w:rPr>
      <w:rFonts w:asciiTheme="minorHAnsi" w:eastAsiaTheme="majorEastAsia" w:hAnsiTheme="minorHAnsi" w:cstheme="majorBidi"/>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unhideWhenUsed/>
    <w:qFormat/>
    <w:pPr>
      <w:spacing w:line="240" w:lineRule="auto"/>
      <w:ind w:leftChars="1200" w:left="2520" w:firstLineChars="0" w:firstLine="0"/>
    </w:pPr>
    <w:rPr>
      <w:rFonts w:asciiTheme="minorHAnsi" w:eastAsiaTheme="minorEastAsia" w:hAnsiTheme="minorHAnsi"/>
      <w:sz w:val="21"/>
      <w14:ligatures w14:val="standardContextual"/>
    </w:rPr>
  </w:style>
  <w:style w:type="paragraph" w:styleId="a4">
    <w:name w:val="Normal Indent"/>
    <w:basedOn w:val="a0"/>
    <w:link w:val="a5"/>
    <w:qFormat/>
    <w:pPr>
      <w:spacing w:line="240" w:lineRule="auto"/>
      <w:ind w:firstLineChars="0" w:firstLine="0"/>
    </w:pPr>
    <w:rPr>
      <w:rFonts w:cs="Times New Roman"/>
      <w:kern w:val="21"/>
      <w:sz w:val="28"/>
      <w:szCs w:val="20"/>
    </w:rPr>
  </w:style>
  <w:style w:type="paragraph" w:styleId="a6">
    <w:name w:val="caption"/>
    <w:basedOn w:val="a0"/>
    <w:next w:val="a0"/>
    <w:uiPriority w:val="99"/>
    <w:qFormat/>
    <w:pPr>
      <w:spacing w:line="240" w:lineRule="auto"/>
      <w:jc w:val="center"/>
    </w:pPr>
    <w:rPr>
      <w:sz w:val="21"/>
      <w:szCs w:val="20"/>
      <w:lang w:val="zh-CN"/>
    </w:rPr>
  </w:style>
  <w:style w:type="paragraph" w:styleId="a7">
    <w:name w:val="annotation text"/>
    <w:basedOn w:val="a0"/>
    <w:link w:val="a8"/>
    <w:qFormat/>
    <w:pPr>
      <w:jc w:val="left"/>
    </w:pPr>
  </w:style>
  <w:style w:type="paragraph" w:styleId="a9">
    <w:name w:val="Body Text"/>
    <w:basedOn w:val="a0"/>
    <w:next w:val="a0"/>
    <w:link w:val="aa"/>
    <w:uiPriority w:val="99"/>
    <w:unhideWhenUsed/>
    <w:qFormat/>
    <w:pPr>
      <w:spacing w:after="120"/>
    </w:pPr>
  </w:style>
  <w:style w:type="paragraph" w:styleId="TOC5">
    <w:name w:val="toc 5"/>
    <w:basedOn w:val="a0"/>
    <w:next w:val="a0"/>
    <w:uiPriority w:val="39"/>
    <w:unhideWhenUsed/>
    <w:qFormat/>
    <w:pPr>
      <w:spacing w:line="240" w:lineRule="auto"/>
      <w:ind w:leftChars="800" w:left="1680" w:firstLineChars="0" w:firstLine="0"/>
    </w:pPr>
    <w:rPr>
      <w:rFonts w:asciiTheme="minorHAnsi" w:eastAsiaTheme="minorEastAsia" w:hAnsiTheme="minorHAnsi"/>
      <w:sz w:val="21"/>
      <w14:ligatures w14:val="standardContextual"/>
    </w:rPr>
  </w:style>
  <w:style w:type="paragraph" w:styleId="TOC3">
    <w:name w:val="toc 3"/>
    <w:basedOn w:val="a0"/>
    <w:next w:val="a0"/>
    <w:uiPriority w:val="39"/>
    <w:unhideWhenUsed/>
    <w:qFormat/>
    <w:pPr>
      <w:ind w:leftChars="400" w:left="840"/>
    </w:pPr>
  </w:style>
  <w:style w:type="paragraph" w:styleId="ab">
    <w:name w:val="Plain Text"/>
    <w:basedOn w:val="a0"/>
    <w:link w:val="ac"/>
    <w:qFormat/>
    <w:pPr>
      <w:spacing w:line="240" w:lineRule="auto"/>
      <w:ind w:firstLineChars="0" w:firstLine="0"/>
    </w:pPr>
    <w:rPr>
      <w:rFonts w:ascii="宋体" w:hAnsi="Courier New" w:cs="Times New Roman"/>
      <w:kern w:val="0"/>
      <w:sz w:val="20"/>
      <w:szCs w:val="20"/>
    </w:rPr>
  </w:style>
  <w:style w:type="paragraph" w:styleId="TOC8">
    <w:name w:val="toc 8"/>
    <w:basedOn w:val="a0"/>
    <w:next w:val="a0"/>
    <w:uiPriority w:val="39"/>
    <w:unhideWhenUsed/>
    <w:qFormat/>
    <w:pPr>
      <w:spacing w:line="240" w:lineRule="auto"/>
      <w:ind w:leftChars="1400" w:left="2940" w:firstLineChars="0" w:firstLine="0"/>
    </w:pPr>
    <w:rPr>
      <w:rFonts w:asciiTheme="minorHAnsi" w:eastAsiaTheme="minorEastAsia" w:hAnsiTheme="minorHAnsi"/>
      <w:sz w:val="21"/>
      <w14:ligatures w14:val="standardContextual"/>
    </w:rPr>
  </w:style>
  <w:style w:type="paragraph" w:styleId="ad">
    <w:name w:val="Balloon Text"/>
    <w:basedOn w:val="a0"/>
    <w:link w:val="ae"/>
    <w:uiPriority w:val="99"/>
    <w:unhideWhenUsed/>
    <w:qFormat/>
    <w:pPr>
      <w:spacing w:line="240" w:lineRule="auto"/>
    </w:pPr>
    <w:rPr>
      <w:sz w:val="18"/>
      <w:szCs w:val="18"/>
    </w:rPr>
  </w:style>
  <w:style w:type="paragraph" w:styleId="af">
    <w:name w:val="footer"/>
    <w:basedOn w:val="a0"/>
    <w:link w:val="af0"/>
    <w:uiPriority w:val="99"/>
    <w:unhideWhenUsed/>
    <w:qFormat/>
    <w:pPr>
      <w:tabs>
        <w:tab w:val="center" w:pos="4153"/>
        <w:tab w:val="right" w:pos="8306"/>
      </w:tabs>
      <w:snapToGrid w:val="0"/>
      <w:jc w:val="left"/>
    </w:pPr>
    <w:rPr>
      <w:sz w:val="18"/>
      <w:szCs w:val="18"/>
    </w:rPr>
  </w:style>
  <w:style w:type="paragraph" w:styleId="af1">
    <w:name w:val="header"/>
    <w:basedOn w:val="a0"/>
    <w:link w:val="af2"/>
    <w:uiPriority w:val="99"/>
    <w:unhideWhenUsed/>
    <w:qFormat/>
    <w:pPr>
      <w:tabs>
        <w:tab w:val="center" w:pos="4153"/>
        <w:tab w:val="right" w:pos="8306"/>
      </w:tabs>
      <w:snapToGrid w:val="0"/>
      <w:jc w:val="center"/>
    </w:pPr>
    <w:rPr>
      <w:sz w:val="18"/>
      <w:szCs w:val="18"/>
    </w:rPr>
  </w:style>
  <w:style w:type="paragraph" w:styleId="TOC1">
    <w:name w:val="toc 1"/>
    <w:basedOn w:val="a0"/>
    <w:next w:val="a0"/>
    <w:uiPriority w:val="39"/>
    <w:unhideWhenUsed/>
    <w:qFormat/>
    <w:pPr>
      <w:ind w:firstLineChars="0" w:firstLine="0"/>
    </w:pPr>
  </w:style>
  <w:style w:type="paragraph" w:styleId="TOC4">
    <w:name w:val="toc 4"/>
    <w:basedOn w:val="a0"/>
    <w:next w:val="a0"/>
    <w:uiPriority w:val="39"/>
    <w:unhideWhenUsed/>
    <w:qFormat/>
    <w:pPr>
      <w:spacing w:line="240" w:lineRule="auto"/>
      <w:ind w:leftChars="600" w:left="1260" w:firstLineChars="0" w:firstLine="0"/>
    </w:pPr>
    <w:rPr>
      <w:rFonts w:asciiTheme="minorHAnsi" w:eastAsiaTheme="minorEastAsia" w:hAnsiTheme="minorHAnsi"/>
      <w:sz w:val="21"/>
      <w14:ligatures w14:val="standardContextual"/>
    </w:rPr>
  </w:style>
  <w:style w:type="paragraph" w:styleId="af3">
    <w:name w:val="Subtitle"/>
    <w:basedOn w:val="a0"/>
    <w:next w:val="a0"/>
    <w:link w:val="af4"/>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TOC6">
    <w:name w:val="toc 6"/>
    <w:basedOn w:val="a0"/>
    <w:next w:val="a0"/>
    <w:uiPriority w:val="39"/>
    <w:unhideWhenUsed/>
    <w:qFormat/>
    <w:pPr>
      <w:spacing w:line="240" w:lineRule="auto"/>
      <w:ind w:leftChars="1000" w:left="2100" w:firstLineChars="0" w:firstLine="0"/>
    </w:pPr>
    <w:rPr>
      <w:rFonts w:asciiTheme="minorHAnsi" w:eastAsiaTheme="minorEastAsia" w:hAnsiTheme="minorHAnsi"/>
      <w:sz w:val="21"/>
      <w14:ligatures w14:val="standardContextual"/>
    </w:rPr>
  </w:style>
  <w:style w:type="paragraph" w:styleId="TOC2">
    <w:name w:val="toc 2"/>
    <w:basedOn w:val="a0"/>
    <w:next w:val="a0"/>
    <w:uiPriority w:val="39"/>
    <w:unhideWhenUsed/>
    <w:qFormat/>
    <w:pPr>
      <w:ind w:leftChars="200" w:left="420"/>
    </w:pPr>
  </w:style>
  <w:style w:type="paragraph" w:styleId="TOC9">
    <w:name w:val="toc 9"/>
    <w:basedOn w:val="a0"/>
    <w:next w:val="a0"/>
    <w:uiPriority w:val="39"/>
    <w:unhideWhenUsed/>
    <w:qFormat/>
    <w:pPr>
      <w:spacing w:line="240" w:lineRule="auto"/>
      <w:ind w:leftChars="1600" w:left="3360" w:firstLineChars="0" w:firstLine="0"/>
    </w:pPr>
    <w:rPr>
      <w:rFonts w:asciiTheme="minorHAnsi" w:eastAsiaTheme="minorEastAsia" w:hAnsiTheme="minorHAnsi"/>
      <w:sz w:val="21"/>
      <w14:ligatures w14:val="standardContextual"/>
    </w:rPr>
  </w:style>
  <w:style w:type="paragraph" w:styleId="af5">
    <w:name w:val="Normal (Web)"/>
    <w:basedOn w:val="a0"/>
    <w:uiPriority w:val="99"/>
    <w:unhideWhenUsed/>
    <w:qFormat/>
    <w:pPr>
      <w:spacing w:beforeAutospacing="1" w:afterAutospacing="1"/>
      <w:jc w:val="left"/>
    </w:pPr>
    <w:rPr>
      <w:rFonts w:cs="Times New Roman"/>
      <w:kern w:val="0"/>
    </w:rPr>
  </w:style>
  <w:style w:type="paragraph" w:styleId="af6">
    <w:name w:val="Title"/>
    <w:basedOn w:val="a0"/>
    <w:next w:val="a0"/>
    <w:link w:val="af7"/>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8">
    <w:name w:val="annotation subject"/>
    <w:basedOn w:val="a7"/>
    <w:next w:val="a7"/>
    <w:link w:val="af9"/>
    <w:uiPriority w:val="99"/>
    <w:unhideWhenUsed/>
    <w:qFormat/>
    <w:rPr>
      <w:b/>
      <w:bCs/>
    </w:rPr>
  </w:style>
  <w:style w:type="paragraph" w:styleId="afa">
    <w:name w:val="Body Text First Indent"/>
    <w:basedOn w:val="a9"/>
    <w:link w:val="afb"/>
    <w:qFormat/>
    <w:pPr>
      <w:spacing w:line="240" w:lineRule="auto"/>
      <w:ind w:firstLineChars="100" w:firstLine="420"/>
    </w:pPr>
    <w:rPr>
      <w:rFonts w:cs="Times New Roman"/>
      <w:sz w:val="21"/>
      <w:szCs w:val="24"/>
    </w:rPr>
  </w:style>
  <w:style w:type="table" w:styleId="afc">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1"/>
    <w:uiPriority w:val="22"/>
    <w:qFormat/>
    <w:rPr>
      <w:b/>
    </w:rPr>
  </w:style>
  <w:style w:type="character" w:styleId="afe">
    <w:name w:val="Hyperlink"/>
    <w:basedOn w:val="a1"/>
    <w:uiPriority w:val="99"/>
    <w:unhideWhenUsed/>
    <w:qFormat/>
    <w:rPr>
      <w:color w:val="467886" w:themeColor="hyperlink"/>
      <w:u w:val="single"/>
    </w:rPr>
  </w:style>
  <w:style w:type="character" w:styleId="aff">
    <w:name w:val="annotation reference"/>
    <w:basedOn w:val="a1"/>
    <w:uiPriority w:val="99"/>
    <w:unhideWhenUsed/>
    <w:qFormat/>
    <w:rPr>
      <w:sz w:val="21"/>
      <w:szCs w:val="21"/>
    </w:rPr>
  </w:style>
  <w:style w:type="character" w:customStyle="1" w:styleId="10">
    <w:name w:val="标题 1 字符"/>
    <w:basedOn w:val="a1"/>
    <w:link w:val="1"/>
    <w:uiPriority w:val="9"/>
    <w:qFormat/>
    <w:rPr>
      <w:rFonts w:cstheme="minorBidi"/>
      <w:b/>
      <w:bCs/>
      <w:kern w:val="44"/>
      <w:sz w:val="44"/>
      <w:szCs w:val="44"/>
    </w:rPr>
  </w:style>
  <w:style w:type="character" w:customStyle="1" w:styleId="20">
    <w:name w:val="标题 2 字符"/>
    <w:basedOn w:val="a1"/>
    <w:link w:val="2"/>
    <w:uiPriority w:val="9"/>
    <w:qFormat/>
    <w:rPr>
      <w:rFonts w:ascii="Times New Roman" w:eastAsia="宋体" w:hAnsi="Times New Roman" w:cstheme="majorBidi"/>
      <w:b/>
      <w:sz w:val="32"/>
      <w:szCs w:val="40"/>
    </w:rPr>
  </w:style>
  <w:style w:type="character" w:customStyle="1" w:styleId="30">
    <w:name w:val="标题 3 字符"/>
    <w:link w:val="3"/>
    <w:uiPriority w:val="9"/>
    <w:qFormat/>
    <w:rPr>
      <w:rFonts w:ascii="Times New Roman" w:eastAsia="宋体" w:hAnsi="Times New Roman" w:cstheme="majorBidi"/>
      <w:b/>
      <w:kern w:val="2"/>
      <w:sz w:val="28"/>
      <w:szCs w:val="32"/>
      <w:lang w:val="en-US" w:eastAsia="zh-CN" w:bidi="ar-SA"/>
    </w:rPr>
  </w:style>
  <w:style w:type="paragraph" w:customStyle="1" w:styleId="aff0">
    <w:name w:val="引言二级条标题"/>
    <w:basedOn w:val="a"/>
    <w:next w:val="aff1"/>
    <w:qFormat/>
    <w:pPr>
      <w:numPr>
        <w:numId w:val="0"/>
      </w:numPr>
      <w:adjustRightInd w:val="0"/>
      <w:snapToGrid w:val="0"/>
      <w:spacing w:line="360" w:lineRule="auto"/>
      <w:ind w:firstLineChars="200" w:firstLine="480"/>
    </w:pPr>
    <w:rPr>
      <w:rFonts w:ascii="宋体" w:eastAsia="宋体" w:hAnsi="宋体"/>
      <w:b w:val="0"/>
    </w:rPr>
  </w:style>
  <w:style w:type="paragraph" w:customStyle="1" w:styleId="a">
    <w:name w:val="引言一级条标题"/>
    <w:basedOn w:val="a0"/>
    <w:next w:val="aff1"/>
    <w:qFormat/>
    <w:pPr>
      <w:widowControl/>
      <w:numPr>
        <w:numId w:val="3"/>
      </w:numPr>
      <w:spacing w:line="240" w:lineRule="auto"/>
      <w:ind w:left="284" w:firstLine="0"/>
    </w:pPr>
    <w:rPr>
      <w:rFonts w:ascii="Calibri" w:eastAsia="黑体" w:hAnsi="Calibri" w:cs="Times New Roman"/>
      <w:b/>
    </w:rPr>
  </w:style>
  <w:style w:type="paragraph" w:customStyle="1" w:styleId="aff1">
    <w:name w:val="段"/>
    <w:uiPriority w:val="99"/>
    <w:qFormat/>
    <w:pPr>
      <w:adjustRightInd w:val="0"/>
      <w:snapToGrid w:val="0"/>
      <w:spacing w:after="160" w:line="278" w:lineRule="auto"/>
      <w:jc w:val="center"/>
    </w:pPr>
    <w:rPr>
      <w:rFonts w:ascii="宋体" w:cs="Arial"/>
      <w:sz w:val="21"/>
      <w:szCs w:val="22"/>
    </w:rPr>
  </w:style>
  <w:style w:type="paragraph" w:customStyle="1" w:styleId="Default1">
    <w:name w:val="Default1"/>
    <w:link w:val="Default1Char"/>
    <w:qFormat/>
    <w:pPr>
      <w:widowControl w:val="0"/>
      <w:autoSpaceDE w:val="0"/>
      <w:autoSpaceDN w:val="0"/>
      <w:adjustRightInd w:val="0"/>
      <w:spacing w:after="160" w:line="278" w:lineRule="auto"/>
    </w:pPr>
    <w:rPr>
      <w:rFonts w:ascii="宋体" w:cs="宋体"/>
      <w:color w:val="000000"/>
      <w:sz w:val="24"/>
      <w:szCs w:val="24"/>
    </w:rPr>
  </w:style>
  <w:style w:type="paragraph" w:customStyle="1" w:styleId="aff2">
    <w:name w:val="！正文"/>
    <w:basedOn w:val="a0"/>
    <w:qFormat/>
    <w:pPr>
      <w:ind w:firstLine="480"/>
    </w:pPr>
    <w:rPr>
      <w:rFonts w:ascii="Arial" w:hAnsi="Arial" w:cs="宋体"/>
      <w:szCs w:val="24"/>
    </w:rPr>
  </w:style>
  <w:style w:type="paragraph" w:customStyle="1" w:styleId="Default">
    <w:name w:val="Default"/>
    <w:qFormat/>
    <w:pPr>
      <w:widowControl w:val="0"/>
      <w:autoSpaceDE w:val="0"/>
      <w:autoSpaceDN w:val="0"/>
      <w:adjustRightInd w:val="0"/>
      <w:spacing w:after="160" w:line="278" w:lineRule="auto"/>
    </w:pPr>
    <w:rPr>
      <w:rFonts w:ascii="宋体" w:cs="宋体"/>
      <w:color w:val="000000"/>
      <w:sz w:val="24"/>
      <w:szCs w:val="24"/>
    </w:rPr>
  </w:style>
  <w:style w:type="paragraph" w:customStyle="1" w:styleId="aff3">
    <w:name w:val="表格内容"/>
    <w:next w:val="a0"/>
    <w:link w:val="aff4"/>
    <w:uiPriority w:val="99"/>
    <w:qFormat/>
    <w:pPr>
      <w:adjustRightInd w:val="0"/>
      <w:snapToGrid w:val="0"/>
      <w:spacing w:beforeLines="20" w:before="20" w:afterLines="20" w:after="20" w:line="278" w:lineRule="auto"/>
      <w:jc w:val="center"/>
    </w:pPr>
    <w:rPr>
      <w:rFonts w:cs="Arial"/>
      <w:bCs/>
      <w:kern w:val="2"/>
      <w:sz w:val="21"/>
      <w:szCs w:val="22"/>
    </w:rPr>
  </w:style>
  <w:style w:type="character" w:customStyle="1" w:styleId="aff4">
    <w:name w:val="表格内容 字符"/>
    <w:basedOn w:val="a1"/>
    <w:link w:val="aff3"/>
    <w:qFormat/>
    <w:rPr>
      <w:rFonts w:cs="Arial"/>
      <w:bCs/>
      <w:kern w:val="2"/>
      <w:sz w:val="21"/>
      <w:szCs w:val="22"/>
    </w:rPr>
  </w:style>
  <w:style w:type="character" w:customStyle="1" w:styleId="40">
    <w:name w:val="标题 4 字符"/>
    <w:basedOn w:val="a1"/>
    <w:link w:val="4"/>
    <w:uiPriority w:val="9"/>
    <w:qFormat/>
    <w:rPr>
      <w:rFonts w:cstheme="majorBidi"/>
      <w:b/>
      <w:kern w:val="2"/>
      <w:sz w:val="24"/>
      <w:szCs w:val="28"/>
    </w:rPr>
  </w:style>
  <w:style w:type="character" w:customStyle="1" w:styleId="50">
    <w:name w:val="标题 5 字符"/>
    <w:basedOn w:val="a1"/>
    <w:link w:val="5"/>
    <w:uiPriority w:val="9"/>
    <w:semiHidden/>
    <w:qFormat/>
    <w:rPr>
      <w:rFonts w:cstheme="majorBidi"/>
      <w:color w:val="0F4761" w:themeColor="accent1" w:themeShade="BF"/>
      <w:sz w:val="24"/>
      <w:szCs w:val="24"/>
    </w:rPr>
  </w:style>
  <w:style w:type="character" w:customStyle="1" w:styleId="60">
    <w:name w:val="标题 6 字符"/>
    <w:basedOn w:val="a1"/>
    <w:link w:val="6"/>
    <w:uiPriority w:val="9"/>
    <w:semiHidden/>
    <w:qFormat/>
    <w:rPr>
      <w:rFonts w:cstheme="majorBidi"/>
      <w:b/>
      <w:bCs/>
      <w:color w:val="0F4761" w:themeColor="accent1" w:themeShade="BF"/>
      <w:sz w:val="24"/>
    </w:rPr>
  </w:style>
  <w:style w:type="character" w:customStyle="1" w:styleId="70">
    <w:name w:val="标题 7 字符"/>
    <w:basedOn w:val="a1"/>
    <w:link w:val="7"/>
    <w:uiPriority w:val="9"/>
    <w:semiHidden/>
    <w:qFormat/>
    <w:rPr>
      <w:rFonts w:cstheme="majorBidi"/>
      <w:b/>
      <w:bCs/>
      <w:color w:val="595959" w:themeColor="text1" w:themeTint="A6"/>
      <w:sz w:val="24"/>
    </w:rPr>
  </w:style>
  <w:style w:type="character" w:customStyle="1" w:styleId="80">
    <w:name w:val="标题 8 字符"/>
    <w:basedOn w:val="a1"/>
    <w:link w:val="8"/>
    <w:uiPriority w:val="9"/>
    <w:semiHidden/>
    <w:qFormat/>
    <w:rPr>
      <w:rFonts w:cstheme="majorBidi"/>
      <w:color w:val="595959" w:themeColor="text1" w:themeTint="A6"/>
      <w:sz w:val="24"/>
    </w:rPr>
  </w:style>
  <w:style w:type="character" w:customStyle="1" w:styleId="90">
    <w:name w:val="标题 9 字符"/>
    <w:basedOn w:val="a1"/>
    <w:link w:val="9"/>
    <w:uiPriority w:val="9"/>
    <w:semiHidden/>
    <w:qFormat/>
    <w:rPr>
      <w:rFonts w:eastAsiaTheme="majorEastAsia" w:cstheme="majorBidi"/>
      <w:color w:val="595959" w:themeColor="text1" w:themeTint="A6"/>
      <w:sz w:val="24"/>
    </w:rPr>
  </w:style>
  <w:style w:type="character" w:customStyle="1" w:styleId="af7">
    <w:name w:val="标题 字符"/>
    <w:basedOn w:val="a1"/>
    <w:link w:val="af6"/>
    <w:uiPriority w:val="10"/>
    <w:qFormat/>
    <w:rPr>
      <w:rFonts w:asciiTheme="majorHAnsi" w:eastAsiaTheme="majorEastAsia" w:hAnsiTheme="majorHAnsi" w:cstheme="majorBidi"/>
      <w:spacing w:val="-10"/>
      <w:kern w:val="28"/>
      <w:sz w:val="56"/>
      <w:szCs w:val="56"/>
    </w:rPr>
  </w:style>
  <w:style w:type="character" w:customStyle="1" w:styleId="af4">
    <w:name w:val="副标题 字符"/>
    <w:basedOn w:val="a1"/>
    <w:link w:val="af3"/>
    <w:uiPriority w:val="11"/>
    <w:qFormat/>
    <w:rPr>
      <w:rFonts w:asciiTheme="majorHAnsi" w:eastAsiaTheme="majorEastAsia" w:hAnsiTheme="majorHAnsi" w:cstheme="majorBidi"/>
      <w:color w:val="595959" w:themeColor="text1" w:themeTint="A6"/>
      <w:spacing w:val="15"/>
      <w:sz w:val="28"/>
      <w:szCs w:val="28"/>
    </w:rPr>
  </w:style>
  <w:style w:type="paragraph" w:customStyle="1" w:styleId="11">
    <w:name w:val="引用1"/>
    <w:basedOn w:val="a0"/>
    <w:next w:val="a0"/>
    <w:link w:val="aff5"/>
    <w:uiPriority w:val="29"/>
    <w:qFormat/>
    <w:pPr>
      <w:spacing w:before="160"/>
      <w:jc w:val="center"/>
    </w:pPr>
    <w:rPr>
      <w:i/>
      <w:iCs/>
      <w:color w:val="404040" w:themeColor="text1" w:themeTint="BF"/>
    </w:rPr>
  </w:style>
  <w:style w:type="character" w:customStyle="1" w:styleId="aff5">
    <w:name w:val="引用 字符"/>
    <w:basedOn w:val="a1"/>
    <w:link w:val="11"/>
    <w:uiPriority w:val="29"/>
    <w:qFormat/>
    <w:rPr>
      <w:rFonts w:ascii="Times New Roman" w:eastAsia="宋体" w:hAnsi="Times New Roman"/>
      <w:i/>
      <w:iCs/>
      <w:color w:val="404040" w:themeColor="text1" w:themeTint="BF"/>
      <w:sz w:val="24"/>
    </w:rPr>
  </w:style>
  <w:style w:type="paragraph" w:customStyle="1" w:styleId="12">
    <w:name w:val="列表段落1"/>
    <w:basedOn w:val="a0"/>
    <w:uiPriority w:val="34"/>
    <w:qFormat/>
    <w:pPr>
      <w:ind w:left="720"/>
      <w:contextualSpacing/>
    </w:pPr>
  </w:style>
  <w:style w:type="character" w:customStyle="1" w:styleId="13">
    <w:name w:val="明显强调1"/>
    <w:basedOn w:val="a1"/>
    <w:uiPriority w:val="21"/>
    <w:qFormat/>
    <w:rPr>
      <w:i/>
      <w:iCs/>
      <w:color w:val="0F4761" w:themeColor="accent1" w:themeShade="BF"/>
    </w:rPr>
  </w:style>
  <w:style w:type="paragraph" w:customStyle="1" w:styleId="14">
    <w:name w:val="明显引用1"/>
    <w:basedOn w:val="a0"/>
    <w:next w:val="a0"/>
    <w:link w:val="aff6"/>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f6">
    <w:name w:val="明显引用 字符"/>
    <w:basedOn w:val="a1"/>
    <w:link w:val="14"/>
    <w:uiPriority w:val="30"/>
    <w:qFormat/>
    <w:rPr>
      <w:rFonts w:ascii="Times New Roman" w:eastAsia="宋体" w:hAnsi="Times New Roman"/>
      <w:i/>
      <w:iCs/>
      <w:color w:val="0F4761" w:themeColor="accent1" w:themeShade="BF"/>
      <w:sz w:val="24"/>
    </w:rPr>
  </w:style>
  <w:style w:type="character" w:customStyle="1" w:styleId="15">
    <w:name w:val="明显参考1"/>
    <w:basedOn w:val="a1"/>
    <w:uiPriority w:val="32"/>
    <w:qFormat/>
    <w:rPr>
      <w:b/>
      <w:bCs/>
      <w:smallCaps/>
      <w:color w:val="0F4761" w:themeColor="accent1" w:themeShade="BF"/>
      <w:spacing w:val="5"/>
    </w:rPr>
  </w:style>
  <w:style w:type="character" w:customStyle="1" w:styleId="af2">
    <w:name w:val="页眉 字符"/>
    <w:basedOn w:val="a1"/>
    <w:link w:val="af1"/>
    <w:uiPriority w:val="99"/>
    <w:qFormat/>
    <w:rPr>
      <w:rFonts w:ascii="Times New Roman" w:eastAsia="宋体" w:hAnsi="Times New Roman"/>
      <w:sz w:val="18"/>
      <w:szCs w:val="18"/>
    </w:rPr>
  </w:style>
  <w:style w:type="character" w:customStyle="1" w:styleId="af0">
    <w:name w:val="页脚 字符"/>
    <w:basedOn w:val="a1"/>
    <w:link w:val="af"/>
    <w:uiPriority w:val="99"/>
    <w:qFormat/>
    <w:rPr>
      <w:rFonts w:ascii="Times New Roman" w:eastAsia="宋体" w:hAnsi="Times New Roman"/>
      <w:sz w:val="18"/>
      <w:szCs w:val="18"/>
    </w:rPr>
  </w:style>
  <w:style w:type="paragraph" w:customStyle="1" w:styleId="aff7">
    <w:name w:val="表格"/>
    <w:basedOn w:val="a0"/>
    <w:link w:val="aff8"/>
    <w:qFormat/>
    <w:pPr>
      <w:spacing w:beforeLines="20" w:before="20" w:afterLines="20" w:after="20" w:line="240" w:lineRule="auto"/>
      <w:ind w:firstLineChars="0" w:firstLine="0"/>
      <w:jc w:val="center"/>
    </w:pPr>
    <w:rPr>
      <w:sz w:val="21"/>
    </w:rPr>
  </w:style>
  <w:style w:type="character" w:customStyle="1" w:styleId="aff8">
    <w:name w:val="表格 字符"/>
    <w:basedOn w:val="a1"/>
    <w:link w:val="aff7"/>
    <w:qFormat/>
    <w:rPr>
      <w:rFonts w:ascii="Times New Roman" w:eastAsia="宋体" w:hAnsi="Times New Roman"/>
    </w:rPr>
  </w:style>
  <w:style w:type="character" w:customStyle="1" w:styleId="16">
    <w:name w:val="占位符文本1"/>
    <w:basedOn w:val="a1"/>
    <w:uiPriority w:val="99"/>
    <w:semiHidden/>
    <w:qFormat/>
    <w:rPr>
      <w:color w:val="666666"/>
    </w:rPr>
  </w:style>
  <w:style w:type="table" w:customStyle="1" w:styleId="17">
    <w:name w:val="网格型1"/>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正文文本 字符"/>
    <w:basedOn w:val="a1"/>
    <w:link w:val="a9"/>
    <w:uiPriority w:val="99"/>
    <w:qFormat/>
    <w:rPr>
      <w:rFonts w:ascii="Times New Roman" w:eastAsia="宋体" w:hAnsi="Times New Roman"/>
      <w:sz w:val="24"/>
    </w:rPr>
  </w:style>
  <w:style w:type="paragraph" w:customStyle="1" w:styleId="aff9">
    <w:name w:val="报告表格"/>
    <w:basedOn w:val="a0"/>
    <w:link w:val="affa"/>
    <w:qFormat/>
    <w:pPr>
      <w:autoSpaceDE w:val="0"/>
      <w:autoSpaceDN w:val="0"/>
      <w:adjustRightInd w:val="0"/>
      <w:spacing w:line="240" w:lineRule="auto"/>
      <w:ind w:firstLineChars="0" w:firstLine="0"/>
      <w:jc w:val="center"/>
      <w:textAlignment w:val="bottom"/>
    </w:pPr>
    <w:rPr>
      <w:rFonts w:cs="宋体"/>
      <w:bCs/>
      <w:color w:val="000000"/>
      <w:kern w:val="0"/>
      <w:sz w:val="21"/>
      <w:szCs w:val="24"/>
    </w:rPr>
  </w:style>
  <w:style w:type="character" w:customStyle="1" w:styleId="18">
    <w:name w:val="未处理的提及1"/>
    <w:basedOn w:val="a1"/>
    <w:uiPriority w:val="99"/>
    <w:unhideWhenUsed/>
    <w:qFormat/>
    <w:rPr>
      <w:color w:val="605E5C"/>
      <w:shd w:val="clear" w:color="auto" w:fill="E1DFDD"/>
    </w:rPr>
  </w:style>
  <w:style w:type="paragraph" w:customStyle="1" w:styleId="affb">
    <w:name w:val="表头"/>
    <w:basedOn w:val="a0"/>
    <w:link w:val="Char"/>
    <w:qFormat/>
    <w:pPr>
      <w:spacing w:line="240" w:lineRule="auto"/>
      <w:ind w:firstLineChars="0" w:firstLine="0"/>
      <w:jc w:val="center"/>
    </w:pPr>
    <w:rPr>
      <w:b/>
      <w:color w:val="000000"/>
      <w:sz w:val="21"/>
      <w:szCs w:val="21"/>
    </w:rPr>
  </w:style>
  <w:style w:type="paragraph" w:customStyle="1" w:styleId="Normal00">
    <w:name w:val="Normal_0_0"/>
    <w:qFormat/>
    <w:pPr>
      <w:widowControl w:val="0"/>
      <w:spacing w:after="160" w:line="360" w:lineRule="auto"/>
      <w:ind w:firstLineChars="200" w:firstLine="200"/>
      <w:jc w:val="both"/>
    </w:pPr>
    <w:rPr>
      <w:rFonts w:eastAsia="仿宋"/>
      <w:kern w:val="2"/>
      <w:sz w:val="28"/>
      <w:szCs w:val="21"/>
    </w:rPr>
  </w:style>
  <w:style w:type="table" w:customStyle="1" w:styleId="TableGrid0">
    <w:name w:val="Table Grid_0"/>
    <w:qFormat/>
    <w:rPr>
      <w:rFonts w:eastAsia="仿宋"/>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110">
    <w:name w:val="表环评格式11"/>
    <w:uiPriority w:val="59"/>
    <w:qFormat/>
    <w:pPr>
      <w:adjustRightInd w:val="0"/>
      <w:snapToGrid w:val="0"/>
      <w:spacing w:beforeLines="20" w:afterLines="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9">
    <w:name w:val="工作表格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网格型刘26"/>
    <w:uiPriority w:val="59"/>
    <w:qFormat/>
    <w:pPr>
      <w:widowControl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表头 Char"/>
    <w:link w:val="affb"/>
    <w:qFormat/>
    <w:rPr>
      <w:rFonts w:ascii="Times New Roman" w:eastAsia="宋体" w:hAnsi="Times New Roman"/>
      <w:b/>
      <w:color w:val="000000"/>
      <w:sz w:val="21"/>
      <w:szCs w:val="21"/>
    </w:rPr>
  </w:style>
  <w:style w:type="paragraph" w:customStyle="1" w:styleId="1A">
    <w:name w:val="1A表格"/>
    <w:basedOn w:val="a0"/>
    <w:link w:val="Affc"/>
    <w:qFormat/>
    <w:pPr>
      <w:spacing w:line="240" w:lineRule="auto"/>
      <w:ind w:firstLineChars="0" w:firstLine="0"/>
      <w:jc w:val="center"/>
    </w:pPr>
    <w:rPr>
      <w:rFonts w:ascii="Calibri" w:hAnsi="Calibri" w:cs="Times New Roman"/>
      <w:color w:val="000000"/>
      <w:sz w:val="21"/>
      <w:szCs w:val="21"/>
    </w:rPr>
  </w:style>
  <w:style w:type="character" w:customStyle="1" w:styleId="Affc">
    <w:name w:val="A表格 字符"/>
    <w:basedOn w:val="a1"/>
    <w:link w:val="1A"/>
    <w:qFormat/>
    <w:rPr>
      <w:color w:val="000000"/>
      <w:kern w:val="2"/>
      <w:sz w:val="21"/>
      <w:szCs w:val="21"/>
      <w:lang w:val="zh-CN"/>
    </w:rPr>
  </w:style>
  <w:style w:type="paragraph" w:customStyle="1" w:styleId="Affd">
    <w:name w:val="A表格"/>
    <w:basedOn w:val="a0"/>
    <w:qFormat/>
    <w:pPr>
      <w:spacing w:line="240" w:lineRule="auto"/>
      <w:ind w:firstLineChars="0" w:firstLine="0"/>
      <w:jc w:val="center"/>
    </w:pPr>
    <w:rPr>
      <w:rFonts w:cs="Times New Roman"/>
      <w:color w:val="000000"/>
      <w:sz w:val="21"/>
      <w:szCs w:val="21"/>
    </w:rPr>
  </w:style>
  <w:style w:type="character" w:customStyle="1" w:styleId="Default1Char">
    <w:name w:val="Default1 Char"/>
    <w:link w:val="Default1"/>
    <w:qFormat/>
    <w:rPr>
      <w:rFonts w:ascii="宋体" w:eastAsia="宋体" w:hAnsi="Times New Roman" w:cs="宋体"/>
      <w:color w:val="000000"/>
      <w:sz w:val="24"/>
      <w:szCs w:val="24"/>
      <w:lang w:val="en-US" w:eastAsia="zh-CN" w:bidi="ar-SA"/>
    </w:rPr>
  </w:style>
  <w:style w:type="paragraph" w:customStyle="1" w:styleId="affe">
    <w:name w:val="我的正文"/>
    <w:basedOn w:val="a0"/>
    <w:qFormat/>
    <w:pPr>
      <w:widowControl/>
      <w:kinsoku w:val="0"/>
      <w:overflowPunct w:val="0"/>
      <w:autoSpaceDE w:val="0"/>
      <w:autoSpaceDN w:val="0"/>
    </w:p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qFormat/>
    <w:rPr>
      <w:rFonts w:ascii="TimesNewRomanPSMT" w:hAnsi="TimesNewRomanPSMT" w:hint="default"/>
      <w:color w:val="000000"/>
      <w:sz w:val="24"/>
      <w:szCs w:val="24"/>
    </w:rPr>
  </w:style>
  <w:style w:type="table" w:customStyle="1" w:styleId="33">
    <w:name w:val="网格型刘33"/>
    <w:uiPriority w:val="59"/>
    <w:qFormat/>
    <w:pPr>
      <w:widowControl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批注文字 字符"/>
    <w:basedOn w:val="a1"/>
    <w:link w:val="a7"/>
    <w:qFormat/>
    <w:rPr>
      <w:rFonts w:cstheme="minorBidi"/>
      <w:kern w:val="2"/>
      <w:sz w:val="24"/>
      <w:szCs w:val="22"/>
    </w:rPr>
  </w:style>
  <w:style w:type="character" w:customStyle="1" w:styleId="af9">
    <w:name w:val="批注主题 字符"/>
    <w:basedOn w:val="a8"/>
    <w:link w:val="af8"/>
    <w:uiPriority w:val="99"/>
    <w:semiHidden/>
    <w:qFormat/>
    <w:rPr>
      <w:rFonts w:cstheme="minorBidi"/>
      <w:b/>
      <w:bCs/>
      <w:kern w:val="2"/>
      <w:sz w:val="24"/>
      <w:szCs w:val="22"/>
    </w:rPr>
  </w:style>
  <w:style w:type="character" w:customStyle="1" w:styleId="ae">
    <w:name w:val="批注框文本 字符"/>
    <w:basedOn w:val="a1"/>
    <w:link w:val="ad"/>
    <w:uiPriority w:val="99"/>
    <w:semiHidden/>
    <w:qFormat/>
    <w:rPr>
      <w:rFonts w:cstheme="minorBidi"/>
      <w:kern w:val="2"/>
      <w:sz w:val="18"/>
      <w:szCs w:val="18"/>
    </w:rPr>
  </w:style>
  <w:style w:type="paragraph" w:customStyle="1" w:styleId="11111">
    <w:name w:val="11111"/>
    <w:next w:val="a0"/>
    <w:qFormat/>
    <w:pPr>
      <w:widowControl w:val="0"/>
      <w:spacing w:after="160" w:line="360" w:lineRule="auto"/>
      <w:ind w:firstLineChars="200" w:firstLine="200"/>
      <w:jc w:val="both"/>
    </w:pPr>
    <w:rPr>
      <w:rFonts w:ascii="宋体" w:hAnsi="宋体" w:cs="宋体"/>
      <w:kern w:val="2"/>
      <w:sz w:val="24"/>
      <w:szCs w:val="24"/>
    </w:rPr>
  </w:style>
  <w:style w:type="paragraph" w:customStyle="1" w:styleId="afff">
    <w:name w:val="~~~正文"/>
    <w:qFormat/>
    <w:pPr>
      <w:spacing w:after="160" w:line="500" w:lineRule="exact"/>
      <w:ind w:firstLineChars="200" w:firstLine="200"/>
    </w:pPr>
    <w:rPr>
      <w:kern w:val="2"/>
      <w:sz w:val="24"/>
      <w:szCs w:val="24"/>
    </w:rPr>
  </w:style>
  <w:style w:type="paragraph" w:customStyle="1" w:styleId="WPSOffice1">
    <w:name w:val="WPSOffice手动目录 1"/>
    <w:qFormat/>
    <w:pPr>
      <w:spacing w:after="160" w:line="278" w:lineRule="auto"/>
    </w:pPr>
  </w:style>
  <w:style w:type="paragraph" w:customStyle="1" w:styleId="WPSOffice2">
    <w:name w:val="WPSOffice手动目录 2"/>
    <w:qFormat/>
    <w:pPr>
      <w:spacing w:after="160" w:line="278" w:lineRule="auto"/>
      <w:ind w:leftChars="200" w:left="200"/>
    </w:pPr>
  </w:style>
  <w:style w:type="paragraph" w:customStyle="1" w:styleId="WPSOffice3">
    <w:name w:val="WPSOffice手动目录 3"/>
    <w:qFormat/>
    <w:pPr>
      <w:spacing w:after="160" w:line="278" w:lineRule="auto"/>
      <w:ind w:leftChars="400" w:left="400"/>
    </w:pPr>
  </w:style>
  <w:style w:type="paragraph" w:customStyle="1" w:styleId="Normal0">
    <w:name w:val="Normal_0"/>
    <w:qFormat/>
    <w:pPr>
      <w:widowControl w:val="0"/>
      <w:spacing w:after="160" w:line="360" w:lineRule="auto"/>
      <w:ind w:firstLineChars="200" w:firstLine="200"/>
      <w:jc w:val="both"/>
    </w:pPr>
    <w:rPr>
      <w:rFonts w:eastAsia="仿宋"/>
      <w:kern w:val="2"/>
      <w:sz w:val="28"/>
      <w:szCs w:val="21"/>
    </w:rPr>
  </w:style>
  <w:style w:type="character" w:customStyle="1" w:styleId="font01">
    <w:name w:val="font01"/>
    <w:basedOn w:val="a1"/>
    <w:qFormat/>
    <w:rPr>
      <w:rFonts w:ascii="宋体" w:eastAsia="宋体" w:hAnsi="宋体" w:hint="eastAsia"/>
      <w:color w:val="000000"/>
      <w:sz w:val="24"/>
      <w:szCs w:val="24"/>
      <w:u w:val="none"/>
    </w:rPr>
  </w:style>
  <w:style w:type="character" w:customStyle="1" w:styleId="font11">
    <w:name w:val="font11"/>
    <w:basedOn w:val="a1"/>
    <w:qFormat/>
    <w:rPr>
      <w:rFonts w:ascii="Times New Roman" w:hAnsi="Times New Roman" w:cs="Times New Roman" w:hint="default"/>
      <w:color w:val="000000"/>
      <w:sz w:val="24"/>
      <w:szCs w:val="24"/>
      <w:u w:val="none"/>
    </w:rPr>
  </w:style>
  <w:style w:type="character" w:customStyle="1" w:styleId="font31">
    <w:name w:val="font31"/>
    <w:basedOn w:val="a1"/>
    <w:qFormat/>
    <w:rPr>
      <w:rFonts w:ascii="Times New Roman" w:hAnsi="Times New Roman" w:cs="Times New Roman" w:hint="default"/>
      <w:color w:val="000000"/>
      <w:sz w:val="24"/>
      <w:szCs w:val="24"/>
      <w:u w:val="none"/>
    </w:rPr>
  </w:style>
  <w:style w:type="character" w:customStyle="1" w:styleId="font21">
    <w:name w:val="font21"/>
    <w:basedOn w:val="a1"/>
    <w:qFormat/>
    <w:rPr>
      <w:rFonts w:ascii="宋体" w:eastAsia="宋体" w:hAnsi="宋体" w:hint="eastAsia"/>
      <w:color w:val="000000"/>
      <w:sz w:val="24"/>
      <w:szCs w:val="24"/>
      <w:u w:val="none"/>
    </w:rPr>
  </w:style>
  <w:style w:type="character" w:customStyle="1" w:styleId="font41">
    <w:name w:val="font41"/>
    <w:basedOn w:val="a1"/>
    <w:qFormat/>
    <w:rPr>
      <w:rFonts w:ascii="Times New Roman" w:hAnsi="Times New Roman" w:cs="Times New Roman" w:hint="default"/>
      <w:color w:val="000000"/>
      <w:sz w:val="24"/>
      <w:szCs w:val="24"/>
      <w:u w:val="none"/>
    </w:rPr>
  </w:style>
  <w:style w:type="character" w:customStyle="1" w:styleId="21">
    <w:name w:val="未处理的提及2"/>
    <w:basedOn w:val="a1"/>
    <w:uiPriority w:val="99"/>
    <w:unhideWhenUsed/>
    <w:qFormat/>
    <w:rPr>
      <w:color w:val="605E5C"/>
      <w:shd w:val="clear" w:color="auto" w:fill="E1DFDD"/>
    </w:rPr>
  </w:style>
  <w:style w:type="character" w:customStyle="1" w:styleId="Char0">
    <w:name w:val="图表标题 Char"/>
    <w:link w:val="afff0"/>
    <w:qFormat/>
    <w:rPr>
      <w:rFonts w:hAnsi="宋体"/>
      <w:b/>
      <w:bCs/>
      <w:sz w:val="21"/>
      <w:szCs w:val="21"/>
    </w:rPr>
  </w:style>
  <w:style w:type="paragraph" w:customStyle="1" w:styleId="afff0">
    <w:name w:val="图表标题"/>
    <w:basedOn w:val="a0"/>
    <w:next w:val="a0"/>
    <w:link w:val="Char0"/>
    <w:qFormat/>
    <w:pPr>
      <w:autoSpaceDE w:val="0"/>
      <w:autoSpaceDN w:val="0"/>
      <w:adjustRightInd w:val="0"/>
      <w:snapToGrid w:val="0"/>
      <w:spacing w:line="160" w:lineRule="atLeast"/>
      <w:ind w:firstLineChars="0" w:firstLine="0"/>
      <w:jc w:val="center"/>
      <w:textAlignment w:val="baseline"/>
    </w:pPr>
    <w:rPr>
      <w:rFonts w:hAnsi="宋体" w:cs="Times New Roman"/>
      <w:b/>
      <w:bCs/>
      <w:kern w:val="0"/>
      <w:sz w:val="21"/>
      <w:szCs w:val="21"/>
    </w:rPr>
  </w:style>
  <w:style w:type="character" w:customStyle="1" w:styleId="Char1">
    <w:name w:val="表格内容 Char"/>
    <w:uiPriority w:val="99"/>
    <w:qFormat/>
    <w:locked/>
    <w:rPr>
      <w:kern w:val="2"/>
      <w:sz w:val="21"/>
      <w:szCs w:val="22"/>
    </w:rPr>
  </w:style>
  <w:style w:type="table" w:customStyle="1" w:styleId="1b">
    <w:name w:val="德阳表格式1"/>
    <w:basedOn w:val="a2"/>
    <w:qFormat/>
    <w:pPr>
      <w:widowControl w:val="0"/>
      <w:jc w:val="center"/>
    </w:pPr>
    <w:rPr>
      <w:color w:val="000000"/>
      <w:sz w:val="21"/>
      <w:szCs w:val="24"/>
    </w:rPr>
    <w:tblPr>
      <w:tblBorders>
        <w:top w:val="single" w:sz="12" w:space="0" w:color="auto"/>
        <w:bottom w:val="single" w:sz="12" w:space="0" w:color="auto"/>
        <w:insideH w:val="single" w:sz="4" w:space="0" w:color="auto"/>
        <w:insideV w:val="single" w:sz="4" w:space="0" w:color="auto"/>
      </w:tblBorders>
    </w:tblPr>
    <w:tcPr>
      <w:vAlign w:val="center"/>
    </w:tcPr>
  </w:style>
  <w:style w:type="character" w:customStyle="1" w:styleId="font51">
    <w:name w:val="font51"/>
    <w:basedOn w:val="a1"/>
    <w:qFormat/>
    <w:rPr>
      <w:rFonts w:ascii="宋体" w:eastAsia="宋体" w:hAnsi="宋体" w:cs="宋体"/>
      <w:color w:val="000000"/>
      <w:sz w:val="30"/>
      <w:szCs w:val="30"/>
      <w:u w:val="none"/>
    </w:rPr>
  </w:style>
  <w:style w:type="character" w:customStyle="1" w:styleId="font61">
    <w:name w:val="font61"/>
    <w:basedOn w:val="a1"/>
    <w:qFormat/>
    <w:rPr>
      <w:rFonts w:ascii="宋体" w:eastAsia="宋体" w:hAnsi="宋体" w:cs="宋体"/>
      <w:color w:val="00087A"/>
      <w:sz w:val="22"/>
      <w:szCs w:val="22"/>
      <w:u w:val="none"/>
    </w:rPr>
  </w:style>
  <w:style w:type="character" w:customStyle="1" w:styleId="font71">
    <w:name w:val="font71"/>
    <w:basedOn w:val="a1"/>
    <w:qFormat/>
    <w:rPr>
      <w:rFonts w:ascii="宋体" w:eastAsia="宋体" w:hAnsi="宋体" w:cs="宋体"/>
      <w:color w:val="000983"/>
      <w:sz w:val="22"/>
      <w:szCs w:val="22"/>
      <w:u w:val="none"/>
    </w:rPr>
  </w:style>
  <w:style w:type="character" w:customStyle="1" w:styleId="font81">
    <w:name w:val="font81"/>
    <w:basedOn w:val="a1"/>
    <w:qFormat/>
    <w:rPr>
      <w:rFonts w:ascii="宋体" w:eastAsia="宋体" w:hAnsi="宋体" w:cs="宋体"/>
      <w:color w:val="000878"/>
      <w:sz w:val="22"/>
      <w:szCs w:val="22"/>
      <w:u w:val="none"/>
    </w:rPr>
  </w:style>
  <w:style w:type="character" w:customStyle="1" w:styleId="font101">
    <w:name w:val="font101"/>
    <w:basedOn w:val="a1"/>
    <w:qFormat/>
    <w:rPr>
      <w:rFonts w:ascii="宋体" w:eastAsia="宋体" w:hAnsi="宋体" w:cs="宋体"/>
      <w:color w:val="000000"/>
      <w:sz w:val="26"/>
      <w:szCs w:val="26"/>
      <w:u w:val="none"/>
    </w:rPr>
  </w:style>
  <w:style w:type="character" w:customStyle="1" w:styleId="afb">
    <w:name w:val="正文文本首行缩进 字符"/>
    <w:basedOn w:val="aa"/>
    <w:link w:val="afa"/>
    <w:qFormat/>
    <w:rPr>
      <w:rFonts w:ascii="Times New Roman" w:eastAsia="宋体" w:hAnsi="Times New Roman"/>
      <w:kern w:val="2"/>
      <w:sz w:val="21"/>
      <w:szCs w:val="24"/>
    </w:rPr>
  </w:style>
  <w:style w:type="character" w:customStyle="1" w:styleId="a5">
    <w:name w:val="正文缩进 字符"/>
    <w:link w:val="a4"/>
    <w:qFormat/>
    <w:rPr>
      <w:kern w:val="21"/>
      <w:sz w:val="28"/>
    </w:rPr>
  </w:style>
  <w:style w:type="paragraph" w:customStyle="1" w:styleId="TableParagraph">
    <w:name w:val="Table Paragraph"/>
    <w:basedOn w:val="a0"/>
    <w:uiPriority w:val="1"/>
    <w:qFormat/>
    <w:pPr>
      <w:autoSpaceDE w:val="0"/>
      <w:autoSpaceDN w:val="0"/>
      <w:spacing w:line="240" w:lineRule="auto"/>
      <w:ind w:firstLineChars="0" w:firstLine="0"/>
      <w:jc w:val="center"/>
    </w:pPr>
    <w:rPr>
      <w:rFonts w:eastAsia="Times New Roman" w:cs="Times New Roman"/>
      <w:kern w:val="0"/>
      <w:sz w:val="22"/>
      <w:lang w:val="sv-SE" w:eastAsia="sv-SE" w:bidi="sv-SE"/>
    </w:rPr>
  </w:style>
  <w:style w:type="character" w:customStyle="1" w:styleId="31">
    <w:name w:val="未处理的提及3"/>
    <w:basedOn w:val="a1"/>
    <w:uiPriority w:val="99"/>
    <w:unhideWhenUsed/>
    <w:qFormat/>
    <w:rPr>
      <w:color w:val="605E5C"/>
      <w:shd w:val="clear" w:color="auto" w:fill="E1DFDD"/>
    </w:rPr>
  </w:style>
  <w:style w:type="paragraph" w:customStyle="1" w:styleId="TOC10">
    <w:name w:val="TOC 标题1"/>
    <w:basedOn w:val="1"/>
    <w:next w:val="a0"/>
    <w:uiPriority w:val="39"/>
    <w:unhideWhenUsed/>
    <w:qFormat/>
    <w:pPr>
      <w:pageBreakBefore w:val="0"/>
      <w:widowControl/>
      <w:numPr>
        <w:numId w:val="0"/>
      </w:numPr>
      <w:spacing w:before="240" w:line="259" w:lineRule="auto"/>
      <w:jc w:val="left"/>
      <w:outlineLvl w:val="9"/>
    </w:pPr>
    <w:rPr>
      <w:rFonts w:asciiTheme="majorHAnsi" w:eastAsiaTheme="majorEastAsia" w:hAnsiTheme="majorHAnsi" w:cstheme="majorBidi"/>
      <w:b w:val="0"/>
      <w:bCs w:val="0"/>
      <w:color w:val="0F4761" w:themeColor="accent1" w:themeShade="BF"/>
      <w:kern w:val="0"/>
      <w:sz w:val="32"/>
      <w:szCs w:val="32"/>
    </w:rPr>
  </w:style>
  <w:style w:type="character" w:customStyle="1" w:styleId="ac">
    <w:name w:val="纯文本 字符"/>
    <w:basedOn w:val="a1"/>
    <w:link w:val="ab"/>
    <w:qFormat/>
    <w:rPr>
      <w:rFonts w:ascii="宋体" w:hAnsi="Courier New"/>
    </w:rPr>
  </w:style>
  <w:style w:type="paragraph" w:customStyle="1" w:styleId="22">
    <w:name w:val="表格文字2"/>
    <w:basedOn w:val="a0"/>
    <w:qFormat/>
    <w:pPr>
      <w:adjustRightInd w:val="0"/>
      <w:spacing w:before="60" w:line="240" w:lineRule="auto"/>
      <w:ind w:firstLineChars="0" w:firstLine="0"/>
      <w:jc w:val="center"/>
      <w:textAlignment w:val="baseline"/>
    </w:pPr>
    <w:rPr>
      <w:rFonts w:ascii="宋体" w:cs="Times New Roman"/>
      <w:kern w:val="0"/>
      <w:sz w:val="21"/>
      <w:szCs w:val="24"/>
    </w:rPr>
  </w:style>
  <w:style w:type="character" w:customStyle="1" w:styleId="affa">
    <w:name w:val="报告表格 字符"/>
    <w:link w:val="aff9"/>
    <w:qFormat/>
    <w:rPr>
      <w:rFonts w:cs="宋体"/>
      <w:bCs/>
      <w:color w:val="000000"/>
      <w:sz w:val="21"/>
      <w:szCs w:val="24"/>
    </w:rPr>
  </w:style>
  <w:style w:type="table" w:customStyle="1" w:styleId="111">
    <w:name w:val="样式11"/>
    <w:basedOn w:val="a2"/>
    <w:qFormat/>
    <w:pPr>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character" w:styleId="afff1">
    <w:name w:val="Unresolved Mention"/>
    <w:basedOn w:val="a1"/>
    <w:uiPriority w:val="99"/>
    <w:semiHidden/>
    <w:unhideWhenUsed/>
    <w:rsid w:val="008C39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4.jpeg"/><Relationship Id="rId39" Type="http://schemas.openxmlformats.org/officeDocument/2006/relationships/image" Target="media/image12.emf"/><Relationship Id="rId21" Type="http://schemas.openxmlformats.org/officeDocument/2006/relationships/footer" Target="footer8.xml"/><Relationship Id="rId34" Type="http://schemas.openxmlformats.org/officeDocument/2006/relationships/oleObject" Target="embeddings/oleObject2.bin"/><Relationship Id="rId42" Type="http://schemas.openxmlformats.org/officeDocument/2006/relationships/oleObject" Target="embeddings/oleObject5.bin"/><Relationship Id="rId47" Type="http://schemas.openxmlformats.org/officeDocument/2006/relationships/oleObject" Target="embeddings/oleObject7.bin"/><Relationship Id="rId50" Type="http://schemas.openxmlformats.org/officeDocument/2006/relationships/image" Target="media/image18.wmf"/><Relationship Id="rId55" Type="http://schemas.openxmlformats.org/officeDocument/2006/relationships/oleObject" Target="embeddings/oleObject11.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3.jpeg"/><Relationship Id="rId33" Type="http://schemas.openxmlformats.org/officeDocument/2006/relationships/image" Target="media/image9.wmf"/><Relationship Id="rId38" Type="http://schemas.openxmlformats.org/officeDocument/2006/relationships/footer" Target="footer10.xml"/><Relationship Id="rId46" Type="http://schemas.openxmlformats.org/officeDocument/2006/relationships/image" Target="media/image16.w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7.xml"/><Relationship Id="rId29" Type="http://schemas.openxmlformats.org/officeDocument/2006/relationships/footer" Target="footer9.xml"/><Relationship Id="rId41" Type="http://schemas.openxmlformats.org/officeDocument/2006/relationships/image" Target="media/image13.emf"/><Relationship Id="rId54"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oleObject" Target="embeddings/oleObject4.bin"/><Relationship Id="rId45" Type="http://schemas.openxmlformats.org/officeDocument/2006/relationships/image" Target="media/image15.png"/><Relationship Id="rId53" Type="http://schemas.openxmlformats.org/officeDocument/2006/relationships/oleObject" Target="embeddings/oleObject10.bin"/><Relationship Id="rId58" Type="http://schemas.openxmlformats.org/officeDocument/2006/relationships/hyperlink" Target="https://www.baidu.com/link?url=Q6p1le04uJOMLGHhHfUFvo-rZyj7v8VR_I2JtzQb0dBLYs8a0V5u9zpGMRpAwDAGuO694sm8fMUYtTIic7NMsFiKoXQgz2dLdpkgYyJj2WwYqUGrO_K-mPrV2opHKPju&amp;wd=&amp;eqid=87f2666c0038df4100000006667bcf9c"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www.mee.gov.cn/ywgz/fgbz/bz/bzwb/pwxk/201811/W020181115298062287807.pdf" TargetMode="External"/><Relationship Id="rId28" Type="http://schemas.openxmlformats.org/officeDocument/2006/relationships/image" Target="media/image6.png"/><Relationship Id="rId36" Type="http://schemas.openxmlformats.org/officeDocument/2006/relationships/oleObject" Target="embeddings/oleObject3.bin"/><Relationship Id="rId49" Type="http://schemas.openxmlformats.org/officeDocument/2006/relationships/oleObject" Target="embeddings/oleObject8.bin"/><Relationship Id="rId57" Type="http://schemas.openxmlformats.org/officeDocument/2006/relationships/oleObject" Target="embeddings/oleObject12.bin"/><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oleObject" Target="embeddings/oleObject1.bin"/><Relationship Id="rId44" Type="http://schemas.openxmlformats.org/officeDocument/2006/relationships/oleObject" Target="embeddings/oleObject6.bin"/><Relationship Id="rId52" Type="http://schemas.openxmlformats.org/officeDocument/2006/relationships/image" Target="media/image19.wmf"/><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mee.gov.cn/ywgz/fgbz/bz/bzwb/jcffbz/202001/W020200113382867127256.pdf" TargetMode="External"/><Relationship Id="rId27" Type="http://schemas.openxmlformats.org/officeDocument/2006/relationships/image" Target="media/image5.png"/><Relationship Id="rId30" Type="http://schemas.openxmlformats.org/officeDocument/2006/relationships/image" Target="media/image7.wmf"/><Relationship Id="rId35" Type="http://schemas.openxmlformats.org/officeDocument/2006/relationships/image" Target="media/image10.wmf"/><Relationship Id="rId43" Type="http://schemas.openxmlformats.org/officeDocument/2006/relationships/image" Target="media/image14.emf"/><Relationship Id="rId48" Type="http://schemas.openxmlformats.org/officeDocument/2006/relationships/image" Target="media/image17.wmf"/><Relationship Id="rId56" Type="http://schemas.openxmlformats.org/officeDocument/2006/relationships/image" Target="media/image21.wmf"/><Relationship Id="rId8" Type="http://schemas.openxmlformats.org/officeDocument/2006/relationships/endnotes" Target="endnotes.xml"/><Relationship Id="rId51" Type="http://schemas.openxmlformats.org/officeDocument/2006/relationships/oleObject" Target="embeddings/oleObject9.bin"/><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0B60C7C-4552-4B1B-A787-811BA097E3B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209</Pages>
  <Words>27171</Words>
  <Characters>154880</Characters>
  <Application>Microsoft Office Word</Application>
  <DocSecurity>0</DocSecurity>
  <Lines>1290</Lines>
  <Paragraphs>363</Paragraphs>
  <ScaleCrop>false</ScaleCrop>
  <Company/>
  <LinksUpToDate>false</LinksUpToDate>
  <CharactersWithSpaces>181688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艳玲 蓝</dc:creator>
  <cp:lastModifiedBy>8613438940417</cp:lastModifiedBy>
  <cp:revision>11</cp:revision>
  <cp:lastPrinted>2025-04-15T07:55:00Z</cp:lastPrinted>
  <dcterms:created xsi:type="dcterms:W3CDTF">2025-04-07T08:36:00Z</dcterms:created>
  <dcterms:modified xsi:type="dcterms:W3CDTF">2025-04-15T08:00:00Z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85ADE1EEF7634D258E8BF2232BC249DD_13</vt:lpwstr>
  </property>
  <property fmtid="{D5CDD505-2E9C-101B-9397-08002B2CF9AE}" pid="4" name="KSOTemplateDocerSaveRecord">
    <vt:lpwstr>eyJoZGlkIjoiNDk1NmVjYjQwN2M1Mzc1Y2IzZmE2MWZhZmUxMWFjMjQiLCJ1c2VySWQiOiIyNDcwNjk2NzQifQ==</vt:lpwstr>
  </property>
</Properties>
</file>