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10.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nts/font9.odttf" ContentType="application/vnd.openxmlformats-officedocument.obfuscatedFont"/>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center"/>
        <w:outlineLvl w:val="0"/>
        <w:rPr>
          <w:rFonts w:ascii="方正小标宋简体" w:hAnsi="宋体" w:eastAsia="方正小标宋简体"/>
          <w:sz w:val="72"/>
          <w:szCs w:val="72"/>
        </w:rPr>
      </w:pPr>
      <w:bookmarkStart w:id="0" w:name="_Toc15377193"/>
      <w:bookmarkStart w:id="1" w:name="_Toc15396475"/>
      <w:bookmarkStart w:id="2" w:name="_Toc15378441"/>
      <w:bookmarkStart w:id="3" w:name="_Toc15396597"/>
      <w:bookmarkStart w:id="4" w:name="_Toc15377425"/>
      <w:bookmarkStart w:id="5" w:name="_Toc15306267"/>
    </w:p>
    <w:p>
      <w:pPr>
        <w:spacing w:line="600" w:lineRule="exact"/>
        <w:jc w:val="center"/>
        <w:outlineLvl w:val="0"/>
        <w:rPr>
          <w:rFonts w:ascii="方正小标宋简体" w:hAnsi="宋体" w:eastAsia="方正小标宋简体"/>
          <w:sz w:val="72"/>
          <w:szCs w:val="72"/>
        </w:rPr>
      </w:pPr>
    </w:p>
    <w:p>
      <w:pPr>
        <w:spacing w:line="600" w:lineRule="exact"/>
        <w:jc w:val="center"/>
        <w:outlineLvl w:val="0"/>
        <w:rPr>
          <w:rFonts w:ascii="方正小标宋简体" w:hAnsi="宋体" w:eastAsia="方正小标宋简体"/>
          <w:sz w:val="72"/>
          <w:szCs w:val="72"/>
        </w:rPr>
      </w:pPr>
    </w:p>
    <w:p>
      <w:pPr>
        <w:adjustRightInd w:val="0"/>
        <w:snapToGrid w:val="0"/>
        <w:spacing w:line="360" w:lineRule="auto"/>
        <w:jc w:val="center"/>
        <w:outlineLvl w:val="0"/>
        <w:rPr>
          <w:rFonts w:ascii="方正小标宋简体" w:hAnsi="方正小标宋简体" w:eastAsia="方正小标宋简体" w:cs="方正小标宋简体"/>
          <w:sz w:val="72"/>
          <w:szCs w:val="72"/>
        </w:rPr>
      </w:pPr>
      <w:r>
        <w:rPr>
          <w:rFonts w:hint="eastAsia" w:ascii="方正小标宋简体" w:hAnsi="方正小标宋简体" w:eastAsia="方正小标宋简体" w:cs="方正小标宋简体"/>
          <w:sz w:val="72"/>
          <w:szCs w:val="72"/>
        </w:rPr>
        <w:t>2022年度</w:t>
      </w:r>
      <w:bookmarkEnd w:id="0"/>
      <w:bookmarkEnd w:id="1"/>
      <w:bookmarkEnd w:id="2"/>
      <w:bookmarkEnd w:id="3"/>
      <w:bookmarkEnd w:id="4"/>
    </w:p>
    <w:p>
      <w:pPr>
        <w:adjustRightInd w:val="0"/>
        <w:snapToGrid w:val="0"/>
        <w:spacing w:line="360" w:lineRule="auto"/>
        <w:jc w:val="center"/>
        <w:outlineLvl w:val="0"/>
        <w:rPr>
          <w:rFonts w:ascii="方正小标宋简体" w:hAnsi="方正小标宋简体" w:eastAsia="方正小标宋简体" w:cs="方正小标宋简体"/>
          <w:sz w:val="72"/>
          <w:szCs w:val="72"/>
        </w:rPr>
      </w:pPr>
      <w:bookmarkStart w:id="6" w:name="_Toc15396476"/>
      <w:bookmarkStart w:id="7" w:name="_Toc15377194"/>
      <w:bookmarkStart w:id="8" w:name="_Toc15378442"/>
      <w:bookmarkStart w:id="9" w:name="_Toc15377426"/>
      <w:bookmarkStart w:id="10" w:name="_Toc15396598"/>
      <w:r>
        <w:rPr>
          <w:rFonts w:hint="eastAsia" w:ascii="方正小标宋简体" w:hAnsi="方正小标宋简体" w:eastAsia="方正小标宋简体" w:cs="方正小标宋简体"/>
          <w:sz w:val="72"/>
          <w:szCs w:val="72"/>
        </w:rPr>
        <w:t>剑阁县</w:t>
      </w:r>
      <w:bookmarkEnd w:id="5"/>
      <w:bookmarkStart w:id="11" w:name="_Toc15306268"/>
      <w:r>
        <w:rPr>
          <w:rFonts w:hint="eastAsia" w:ascii="方正小标宋简体" w:hAnsi="方正小标宋简体" w:eastAsia="方正小标宋简体" w:cs="方正小标宋简体"/>
          <w:sz w:val="72"/>
          <w:szCs w:val="72"/>
        </w:rPr>
        <w:t>科协技术协会部门决算</w:t>
      </w:r>
      <w:bookmarkEnd w:id="6"/>
      <w:bookmarkEnd w:id="7"/>
      <w:bookmarkEnd w:id="8"/>
      <w:bookmarkEnd w:id="9"/>
      <w:bookmarkEnd w:id="10"/>
      <w:bookmarkEnd w:id="11"/>
    </w:p>
    <w:p>
      <w:pPr>
        <w:widowControl/>
        <w:jc w:val="center"/>
        <w:rPr>
          <w:rFonts w:ascii="黑体" w:hAnsi="黑体" w:eastAsia="黑体"/>
          <w:sz w:val="48"/>
          <w:szCs w:val="48"/>
        </w:rPr>
      </w:pPr>
      <w:r>
        <w:rPr>
          <w:rFonts w:ascii="方正小标宋简体" w:hAnsi="宋体" w:eastAsia="方正小标宋简体"/>
          <w:sz w:val="36"/>
          <w:szCs w:val="36"/>
        </w:rPr>
        <w:br w:type="page"/>
      </w:r>
      <w:r>
        <w:rPr>
          <w:rFonts w:hint="eastAsia" w:ascii="黑体" w:hAnsi="黑体" w:eastAsia="黑体"/>
          <w:sz w:val="48"/>
          <w:szCs w:val="48"/>
        </w:rPr>
        <w:t>目录</w:t>
      </w:r>
    </w:p>
    <w:p>
      <w:pPr>
        <w:widowControl/>
        <w:jc w:val="center"/>
        <w:rPr>
          <w:rFonts w:ascii="黑体" w:hAnsi="黑体" w:eastAsia="黑体" w:cstheme="minorBidi"/>
          <w:sz w:val="28"/>
          <w:szCs w:val="28"/>
        </w:rPr>
      </w:pPr>
    </w:p>
    <w:p>
      <w:pPr>
        <w:pStyle w:val="12"/>
      </w:pPr>
      <w:r>
        <w:rPr>
          <w:rFonts w:hint="eastAsia"/>
        </w:rPr>
        <w:t>公开时间：2023年</w:t>
      </w:r>
      <w:r>
        <w:rPr>
          <w:rFonts w:hint="eastAsia"/>
          <w:lang w:val="en-US" w:eastAsia="zh-CN"/>
        </w:rPr>
        <w:t>11</w:t>
      </w:r>
      <w:r>
        <w:rPr>
          <w:rFonts w:hint="eastAsia"/>
        </w:rPr>
        <w:t>月</w:t>
      </w:r>
      <w:r>
        <w:rPr>
          <w:rFonts w:hint="eastAsia"/>
          <w:lang w:val="en-US" w:eastAsia="zh-CN"/>
        </w:rPr>
        <w:t>28</w:t>
      </w:r>
      <w:bookmarkStart w:id="67" w:name="_GoBack"/>
      <w:bookmarkEnd w:id="67"/>
      <w:r>
        <w:rPr>
          <w:rFonts w:hint="eastAsia"/>
        </w:rPr>
        <w:t>日</w:t>
      </w:r>
    </w:p>
    <w:p/>
    <w:p>
      <w:pPr>
        <w:pStyle w:val="12"/>
        <w:adjustRightInd w:val="0"/>
        <w:snapToGrid w:val="0"/>
        <w:spacing w:before="0" w:line="440" w:lineRule="exact"/>
        <w:jc w:val="left"/>
        <w:rPr>
          <w:rFonts w:cstheme="minorBidi"/>
          <w:sz w:val="24"/>
          <w:szCs w:val="24"/>
        </w:rPr>
      </w:pPr>
      <w:r>
        <w:rPr>
          <w:rFonts w:hint="eastAsia"/>
          <w:sz w:val="24"/>
        </w:rPr>
        <w:t>第一部分</w:t>
      </w:r>
      <w:r>
        <w:rPr>
          <w:sz w:val="24"/>
        </w:rPr>
        <w:t xml:space="preserve"> </w:t>
      </w:r>
      <w:r>
        <w:rPr>
          <w:rFonts w:hint="eastAsia"/>
          <w:sz w:val="24"/>
        </w:rPr>
        <w:t>部门概况</w:t>
      </w:r>
    </w:p>
    <w:p>
      <w:pPr>
        <w:pStyle w:val="13"/>
        <w:adjustRightInd w:val="0"/>
        <w:snapToGrid w:val="0"/>
        <w:spacing w:line="440" w:lineRule="exact"/>
        <w:jc w:val="left"/>
        <w:rPr>
          <w:sz w:val="24"/>
        </w:rPr>
      </w:pPr>
      <w:r>
        <w:rPr>
          <w:rFonts w:hint="eastAsia"/>
          <w:sz w:val="24"/>
        </w:rPr>
        <w:t>一、部门职责</w:t>
      </w:r>
    </w:p>
    <w:p>
      <w:pPr>
        <w:pStyle w:val="13"/>
        <w:adjustRightInd w:val="0"/>
        <w:snapToGrid w:val="0"/>
        <w:spacing w:line="440" w:lineRule="exact"/>
        <w:jc w:val="left"/>
        <w:rPr>
          <w:rFonts w:ascii="仿宋" w:hAnsi="仿宋" w:eastAsia="仿宋" w:cstheme="minorBidi"/>
          <w:sz w:val="24"/>
        </w:rPr>
      </w:pPr>
      <w:r>
        <w:rPr>
          <w:rFonts w:hint="eastAsia"/>
          <w:sz w:val="24"/>
        </w:rPr>
        <w:t>二、机构设置</w:t>
      </w:r>
    </w:p>
    <w:p>
      <w:pPr>
        <w:pStyle w:val="12"/>
        <w:adjustRightInd w:val="0"/>
        <w:snapToGrid w:val="0"/>
        <w:spacing w:before="0" w:line="440" w:lineRule="exact"/>
        <w:jc w:val="left"/>
        <w:rPr>
          <w:sz w:val="24"/>
          <w:szCs w:val="24"/>
        </w:rPr>
      </w:pPr>
      <w:r>
        <w:rPr>
          <w:rFonts w:hint="eastAsia"/>
          <w:sz w:val="24"/>
        </w:rPr>
        <w:t>第二部分 2022年度部门决算情况说明</w:t>
      </w:r>
    </w:p>
    <w:p>
      <w:pPr>
        <w:pStyle w:val="13"/>
        <w:adjustRightInd w:val="0"/>
        <w:snapToGrid w:val="0"/>
        <w:spacing w:line="440" w:lineRule="exact"/>
        <w:jc w:val="left"/>
        <w:rPr>
          <w:rFonts w:ascii="仿宋" w:hAnsi="仿宋" w:eastAsia="仿宋" w:cstheme="minorBidi"/>
          <w:sz w:val="24"/>
        </w:rPr>
      </w:pPr>
      <w:r>
        <w:rPr>
          <w:rFonts w:hint="eastAsia"/>
          <w:sz w:val="24"/>
        </w:rPr>
        <w:t>一、收入支出决算总体情况说明</w:t>
      </w:r>
    </w:p>
    <w:p>
      <w:pPr>
        <w:pStyle w:val="13"/>
        <w:adjustRightInd w:val="0"/>
        <w:snapToGrid w:val="0"/>
        <w:spacing w:line="440" w:lineRule="exact"/>
        <w:jc w:val="left"/>
        <w:rPr>
          <w:rFonts w:ascii="仿宋" w:hAnsi="仿宋" w:eastAsia="仿宋" w:cstheme="minorBidi"/>
          <w:sz w:val="24"/>
        </w:rPr>
      </w:pPr>
      <w:r>
        <w:rPr>
          <w:rFonts w:hint="eastAsia"/>
          <w:sz w:val="24"/>
        </w:rPr>
        <w:t>二、收入决算情况说明</w:t>
      </w:r>
    </w:p>
    <w:p>
      <w:pPr>
        <w:pStyle w:val="13"/>
        <w:adjustRightInd w:val="0"/>
        <w:snapToGrid w:val="0"/>
        <w:spacing w:line="440" w:lineRule="exact"/>
        <w:jc w:val="left"/>
        <w:rPr>
          <w:rFonts w:ascii="仿宋" w:hAnsi="仿宋" w:eastAsia="仿宋" w:cstheme="minorBidi"/>
          <w:sz w:val="24"/>
        </w:rPr>
      </w:pPr>
      <w:r>
        <w:rPr>
          <w:rFonts w:hint="eastAsia"/>
          <w:sz w:val="24"/>
        </w:rPr>
        <w:t>三、支出决算情况说明</w:t>
      </w:r>
    </w:p>
    <w:p>
      <w:pPr>
        <w:pStyle w:val="13"/>
        <w:adjustRightInd w:val="0"/>
        <w:snapToGrid w:val="0"/>
        <w:spacing w:line="440" w:lineRule="exact"/>
        <w:jc w:val="left"/>
        <w:rPr>
          <w:rFonts w:ascii="仿宋" w:hAnsi="仿宋" w:eastAsia="仿宋" w:cstheme="minorBidi"/>
          <w:sz w:val="24"/>
        </w:rPr>
      </w:pPr>
      <w:r>
        <w:rPr>
          <w:rFonts w:hint="eastAsia"/>
          <w:sz w:val="24"/>
        </w:rPr>
        <w:t>四、财政拨款收入支出决算总体情况说明</w:t>
      </w:r>
    </w:p>
    <w:p>
      <w:pPr>
        <w:pStyle w:val="13"/>
        <w:adjustRightInd w:val="0"/>
        <w:snapToGrid w:val="0"/>
        <w:spacing w:line="440" w:lineRule="exact"/>
        <w:jc w:val="left"/>
        <w:rPr>
          <w:rFonts w:ascii="仿宋" w:hAnsi="仿宋" w:eastAsia="仿宋" w:cstheme="minorBidi"/>
          <w:sz w:val="24"/>
        </w:rPr>
      </w:pPr>
      <w:r>
        <w:rPr>
          <w:rFonts w:hint="eastAsia"/>
          <w:sz w:val="24"/>
        </w:rPr>
        <w:t>五、一般公共预算财政拨款支出决算情况说明</w:t>
      </w:r>
    </w:p>
    <w:p>
      <w:pPr>
        <w:pStyle w:val="13"/>
        <w:adjustRightInd w:val="0"/>
        <w:snapToGrid w:val="0"/>
        <w:spacing w:line="440" w:lineRule="exact"/>
        <w:jc w:val="left"/>
        <w:rPr>
          <w:rFonts w:ascii="仿宋" w:hAnsi="仿宋" w:eastAsia="仿宋" w:cstheme="minorBidi"/>
          <w:sz w:val="24"/>
        </w:rPr>
      </w:pPr>
      <w:r>
        <w:rPr>
          <w:rFonts w:hint="eastAsia"/>
          <w:sz w:val="24"/>
        </w:rPr>
        <w:t>六、一般公共预算财政拨款基本支出决算情况说明</w:t>
      </w:r>
    </w:p>
    <w:p>
      <w:pPr>
        <w:pStyle w:val="13"/>
        <w:adjustRightInd w:val="0"/>
        <w:snapToGrid w:val="0"/>
        <w:spacing w:line="440" w:lineRule="exact"/>
        <w:jc w:val="left"/>
        <w:rPr>
          <w:rFonts w:ascii="仿宋" w:hAnsi="仿宋" w:eastAsia="仿宋" w:cstheme="minorBidi"/>
          <w:sz w:val="24"/>
        </w:rPr>
      </w:pPr>
      <w:r>
        <w:rPr>
          <w:rFonts w:hint="eastAsia"/>
          <w:sz w:val="24"/>
        </w:rPr>
        <w:t>七、财政拨款“三公”经费支出决算情况说明</w:t>
      </w:r>
    </w:p>
    <w:p>
      <w:pPr>
        <w:pStyle w:val="13"/>
        <w:adjustRightInd w:val="0"/>
        <w:snapToGrid w:val="0"/>
        <w:spacing w:line="440" w:lineRule="exact"/>
        <w:jc w:val="left"/>
        <w:rPr>
          <w:rFonts w:ascii="仿宋" w:hAnsi="仿宋" w:eastAsia="仿宋" w:cstheme="minorBidi"/>
          <w:sz w:val="24"/>
        </w:rPr>
      </w:pPr>
      <w:r>
        <w:rPr>
          <w:rFonts w:hint="eastAsia"/>
          <w:sz w:val="24"/>
        </w:rPr>
        <w:t>八、政府性基金预算支出决算情况说明</w:t>
      </w:r>
    </w:p>
    <w:p>
      <w:pPr>
        <w:pStyle w:val="13"/>
        <w:adjustRightInd w:val="0"/>
        <w:snapToGrid w:val="0"/>
        <w:spacing w:line="440" w:lineRule="exact"/>
        <w:ind w:leftChars="0"/>
        <w:jc w:val="left"/>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九、国有资本经营预算支出决算情况说明</w:t>
      </w:r>
    </w:p>
    <w:p>
      <w:pPr>
        <w:adjustRightInd w:val="0"/>
        <w:snapToGrid w:val="0"/>
        <w:spacing w:line="440" w:lineRule="exact"/>
        <w:ind w:firstLine="420" w:firstLineChars="175"/>
        <w:jc w:val="left"/>
        <w:rPr>
          <w:rFonts w:asciiTheme="minorEastAsia" w:hAnsiTheme="minorEastAsia" w:eastAsiaTheme="minorEastAsia" w:cstheme="minorEastAsia"/>
          <w:sz w:val="24"/>
        </w:rPr>
      </w:pPr>
      <w:r>
        <w:rPr>
          <w:rStyle w:val="20"/>
          <w:rFonts w:hint="eastAsia" w:asciiTheme="minorEastAsia" w:hAnsiTheme="minorEastAsia" w:eastAsiaTheme="minorEastAsia" w:cstheme="minorEastAsia"/>
          <w:color w:val="auto"/>
          <w:sz w:val="24"/>
          <w:u w:val="none"/>
        </w:rPr>
        <w:t>十、</w:t>
      </w:r>
      <w:r>
        <w:rPr>
          <w:rFonts w:hint="eastAsia" w:asciiTheme="minorEastAsia" w:hAnsiTheme="minorEastAsia" w:eastAsiaTheme="minorEastAsia" w:cstheme="minorEastAsia"/>
          <w:sz w:val="24"/>
        </w:rPr>
        <w:t>其他重要事项的情况说明</w:t>
      </w:r>
      <w:r>
        <w:rPr>
          <w:rFonts w:hint="eastAsia" w:asciiTheme="minorEastAsia" w:hAnsiTheme="minorEastAsia" w:eastAsiaTheme="minorEastAsia" w:cstheme="minorEastAsia"/>
          <w:sz w:val="24"/>
        </w:rPr>
        <w:tab/>
      </w:r>
    </w:p>
    <w:p>
      <w:pPr>
        <w:pStyle w:val="12"/>
        <w:adjustRightInd w:val="0"/>
        <w:snapToGrid w:val="0"/>
        <w:spacing w:before="0" w:line="440" w:lineRule="exact"/>
        <w:jc w:val="left"/>
        <w:rPr>
          <w:rFonts w:cstheme="minorBidi"/>
          <w:sz w:val="24"/>
          <w:szCs w:val="24"/>
        </w:rPr>
      </w:pPr>
      <w:r>
        <w:rPr>
          <w:rFonts w:hint="eastAsia"/>
          <w:sz w:val="24"/>
        </w:rPr>
        <w:t>第三部分</w:t>
      </w:r>
      <w:r>
        <w:rPr>
          <w:sz w:val="24"/>
        </w:rPr>
        <w:t xml:space="preserve"> </w:t>
      </w:r>
      <w:r>
        <w:rPr>
          <w:rFonts w:hint="eastAsia"/>
          <w:sz w:val="24"/>
        </w:rPr>
        <w:t>名词解释</w:t>
      </w:r>
    </w:p>
    <w:p>
      <w:pPr>
        <w:pStyle w:val="12"/>
        <w:adjustRightInd w:val="0"/>
        <w:snapToGrid w:val="0"/>
        <w:spacing w:before="0" w:line="440" w:lineRule="exact"/>
        <w:jc w:val="left"/>
        <w:rPr>
          <w:rFonts w:cstheme="minorBidi"/>
          <w:sz w:val="24"/>
          <w:szCs w:val="24"/>
        </w:rPr>
      </w:pPr>
      <w:r>
        <w:rPr>
          <w:rFonts w:hint="eastAsia"/>
          <w:sz w:val="24"/>
        </w:rPr>
        <w:t>第四部分</w:t>
      </w:r>
      <w:r>
        <w:rPr>
          <w:sz w:val="24"/>
        </w:rPr>
        <w:t xml:space="preserve"> </w:t>
      </w:r>
      <w:r>
        <w:rPr>
          <w:rFonts w:hint="eastAsia"/>
          <w:sz w:val="24"/>
        </w:rPr>
        <w:t>附件</w:t>
      </w:r>
    </w:p>
    <w:p>
      <w:pPr>
        <w:pStyle w:val="12"/>
        <w:adjustRightInd w:val="0"/>
        <w:snapToGrid w:val="0"/>
        <w:spacing w:before="0" w:line="440" w:lineRule="exact"/>
        <w:jc w:val="left"/>
        <w:rPr>
          <w:rFonts w:cstheme="minorBidi"/>
          <w:sz w:val="24"/>
          <w:szCs w:val="24"/>
        </w:rPr>
      </w:pPr>
      <w:r>
        <w:rPr>
          <w:rFonts w:hint="eastAsia"/>
          <w:sz w:val="24"/>
        </w:rPr>
        <w:t>第五部分</w:t>
      </w:r>
      <w:r>
        <w:rPr>
          <w:sz w:val="24"/>
        </w:rPr>
        <w:t xml:space="preserve"> </w:t>
      </w:r>
      <w:r>
        <w:rPr>
          <w:rFonts w:hint="eastAsia"/>
          <w:sz w:val="24"/>
        </w:rPr>
        <w:t>附表</w:t>
      </w:r>
    </w:p>
    <w:p>
      <w:pPr>
        <w:pStyle w:val="13"/>
        <w:adjustRightInd w:val="0"/>
        <w:snapToGrid w:val="0"/>
        <w:spacing w:line="440" w:lineRule="exact"/>
        <w:jc w:val="left"/>
        <w:rPr>
          <w:sz w:val="24"/>
        </w:rPr>
      </w:pPr>
      <w:r>
        <w:rPr>
          <w:rFonts w:hint="eastAsia"/>
          <w:sz w:val="24"/>
        </w:rPr>
        <w:t>一、收入支出决算总表</w:t>
      </w:r>
    </w:p>
    <w:p>
      <w:pPr>
        <w:pStyle w:val="13"/>
        <w:adjustRightInd w:val="0"/>
        <w:snapToGrid w:val="0"/>
        <w:spacing w:line="440" w:lineRule="exact"/>
        <w:jc w:val="left"/>
        <w:rPr>
          <w:sz w:val="24"/>
        </w:rPr>
      </w:pPr>
      <w:r>
        <w:rPr>
          <w:rFonts w:hint="eastAsia"/>
          <w:sz w:val="24"/>
        </w:rPr>
        <w:t>二、收入决算表</w:t>
      </w:r>
    </w:p>
    <w:p>
      <w:pPr>
        <w:pStyle w:val="13"/>
        <w:adjustRightInd w:val="0"/>
        <w:snapToGrid w:val="0"/>
        <w:spacing w:line="440" w:lineRule="exact"/>
        <w:jc w:val="left"/>
        <w:rPr>
          <w:sz w:val="24"/>
        </w:rPr>
      </w:pPr>
      <w:r>
        <w:rPr>
          <w:rFonts w:hint="eastAsia"/>
          <w:sz w:val="24"/>
        </w:rPr>
        <w:t>三、支出决算表</w:t>
      </w:r>
    </w:p>
    <w:p>
      <w:pPr>
        <w:pStyle w:val="13"/>
        <w:adjustRightInd w:val="0"/>
        <w:snapToGrid w:val="0"/>
        <w:spacing w:line="440" w:lineRule="exact"/>
        <w:jc w:val="left"/>
        <w:rPr>
          <w:sz w:val="24"/>
        </w:rPr>
      </w:pPr>
      <w:r>
        <w:rPr>
          <w:rFonts w:hint="eastAsia"/>
          <w:sz w:val="24"/>
        </w:rPr>
        <w:t>四、财政拨款收入支出决算总表</w:t>
      </w:r>
    </w:p>
    <w:p>
      <w:pPr>
        <w:pStyle w:val="13"/>
        <w:adjustRightInd w:val="0"/>
        <w:snapToGrid w:val="0"/>
        <w:spacing w:line="440" w:lineRule="exact"/>
        <w:jc w:val="left"/>
        <w:rPr>
          <w:sz w:val="24"/>
        </w:rPr>
      </w:pPr>
      <w:r>
        <w:rPr>
          <w:rFonts w:hint="eastAsia"/>
          <w:sz w:val="24"/>
        </w:rPr>
        <w:t>五、财政拨款支出决算明细表</w:t>
      </w:r>
    </w:p>
    <w:p>
      <w:pPr>
        <w:pStyle w:val="13"/>
        <w:adjustRightInd w:val="0"/>
        <w:snapToGrid w:val="0"/>
        <w:spacing w:line="440" w:lineRule="exact"/>
        <w:jc w:val="left"/>
        <w:rPr>
          <w:sz w:val="24"/>
        </w:rPr>
      </w:pPr>
      <w:r>
        <w:rPr>
          <w:rFonts w:hint="eastAsia"/>
          <w:sz w:val="24"/>
        </w:rPr>
        <w:t>六、一般公共预算财政拨款支出决算表</w:t>
      </w:r>
    </w:p>
    <w:p>
      <w:pPr>
        <w:pStyle w:val="13"/>
        <w:adjustRightInd w:val="0"/>
        <w:snapToGrid w:val="0"/>
        <w:spacing w:line="440" w:lineRule="exact"/>
        <w:jc w:val="left"/>
        <w:rPr>
          <w:sz w:val="24"/>
        </w:rPr>
      </w:pPr>
      <w:r>
        <w:rPr>
          <w:rFonts w:hint="eastAsia"/>
          <w:sz w:val="24"/>
        </w:rPr>
        <w:t>七、一般公共预算财政拨款支出决算明细表</w:t>
      </w:r>
    </w:p>
    <w:p>
      <w:pPr>
        <w:pStyle w:val="13"/>
        <w:adjustRightInd w:val="0"/>
        <w:snapToGrid w:val="0"/>
        <w:spacing w:line="440" w:lineRule="exact"/>
        <w:jc w:val="left"/>
        <w:rPr>
          <w:sz w:val="24"/>
        </w:rPr>
      </w:pPr>
      <w:r>
        <w:rPr>
          <w:rFonts w:hint="eastAsia"/>
          <w:sz w:val="24"/>
        </w:rPr>
        <w:t>八、一般公共预算财政拨款基本支出决算明细表</w:t>
      </w:r>
    </w:p>
    <w:p>
      <w:pPr>
        <w:pStyle w:val="13"/>
        <w:adjustRightInd w:val="0"/>
        <w:snapToGrid w:val="0"/>
        <w:spacing w:line="440" w:lineRule="exact"/>
        <w:jc w:val="left"/>
        <w:rPr>
          <w:sz w:val="24"/>
        </w:rPr>
      </w:pPr>
      <w:r>
        <w:rPr>
          <w:rFonts w:hint="eastAsia"/>
          <w:sz w:val="24"/>
        </w:rPr>
        <w:t>九、一般公共预算财政拨款项目支出决算表</w:t>
      </w:r>
    </w:p>
    <w:p>
      <w:pPr>
        <w:pStyle w:val="13"/>
        <w:adjustRightInd w:val="0"/>
        <w:snapToGrid w:val="0"/>
        <w:spacing w:line="440" w:lineRule="exact"/>
        <w:jc w:val="left"/>
        <w:rPr>
          <w:sz w:val="24"/>
        </w:rPr>
      </w:pPr>
      <w:r>
        <w:rPr>
          <w:rFonts w:hint="eastAsia"/>
          <w:sz w:val="24"/>
        </w:rPr>
        <w:t>十、政府性基金预算财政拨款收入支出决算表</w:t>
      </w:r>
    </w:p>
    <w:p>
      <w:pPr>
        <w:pStyle w:val="13"/>
        <w:adjustRightInd w:val="0"/>
        <w:snapToGrid w:val="0"/>
        <w:spacing w:line="440" w:lineRule="exact"/>
        <w:jc w:val="left"/>
        <w:rPr>
          <w:sz w:val="24"/>
        </w:rPr>
      </w:pPr>
      <w:r>
        <w:rPr>
          <w:rFonts w:hint="eastAsia"/>
          <w:sz w:val="24"/>
        </w:rPr>
        <w:t>十一、国有资本经营预算财政拨款收入支出决算表</w:t>
      </w:r>
    </w:p>
    <w:p>
      <w:pPr>
        <w:pStyle w:val="13"/>
        <w:adjustRightInd w:val="0"/>
        <w:snapToGrid w:val="0"/>
        <w:spacing w:line="440" w:lineRule="exact"/>
        <w:jc w:val="left"/>
        <w:rPr>
          <w:sz w:val="24"/>
        </w:rPr>
      </w:pPr>
      <w:r>
        <w:rPr>
          <w:rFonts w:hint="eastAsia"/>
          <w:sz w:val="24"/>
        </w:rPr>
        <w:t>十二、国有资本经营预算财政拨款支出决算表</w:t>
      </w:r>
    </w:p>
    <w:p>
      <w:pPr>
        <w:pStyle w:val="13"/>
        <w:adjustRightInd w:val="0"/>
        <w:snapToGrid w:val="0"/>
        <w:spacing w:line="440" w:lineRule="exact"/>
        <w:jc w:val="left"/>
        <w:rPr>
          <w:rFonts w:asciiTheme="minorEastAsia" w:hAnsiTheme="minorEastAsia" w:eastAsiaTheme="minorEastAsia" w:cstheme="minorEastAsia"/>
          <w:sz w:val="24"/>
        </w:rPr>
      </w:pPr>
      <w:r>
        <w:rPr>
          <w:rFonts w:hint="eastAsia"/>
          <w:sz w:val="24"/>
        </w:rPr>
        <w:t>十三、财政拨款“三公”经费支出决算表</w:t>
      </w:r>
    </w:p>
    <w:p>
      <w:pPr>
        <w:widowControl/>
        <w:adjustRightInd w:val="0"/>
        <w:snapToGrid w:val="0"/>
        <w:spacing w:line="440" w:lineRule="exact"/>
        <w:ind w:firstLine="1320" w:firstLineChars="550"/>
        <w:jc w:val="left"/>
        <w:rPr>
          <w:rFonts w:ascii="仿宋" w:hAnsi="仿宋" w:eastAsia="仿宋"/>
          <w:sz w:val="24"/>
        </w:rPr>
      </w:pPr>
      <w:r>
        <w:rPr>
          <w:rFonts w:ascii="仿宋" w:hAnsi="仿宋" w:eastAsia="仿宋"/>
          <w:sz w:val="24"/>
        </w:rPr>
        <w:t>(注：</w:t>
      </w:r>
      <w:r>
        <w:rPr>
          <w:rFonts w:hint="eastAsia" w:ascii="仿宋" w:hAnsi="仿宋" w:eastAsia="仿宋"/>
          <w:sz w:val="24"/>
        </w:rPr>
        <w:t>请部门根据实际注明页码</w:t>
      </w:r>
      <w:r>
        <w:rPr>
          <w:rFonts w:ascii="仿宋" w:hAnsi="仿宋" w:eastAsia="仿宋"/>
          <w:sz w:val="24"/>
        </w:rPr>
        <w:t>)</w:t>
      </w:r>
    </w:p>
    <w:p>
      <w:pPr>
        <w:widowControl/>
        <w:spacing w:line="440" w:lineRule="exact"/>
        <w:jc w:val="left"/>
        <w:rPr>
          <w:rFonts w:ascii="仿宋" w:hAnsi="仿宋" w:eastAsia="仿宋"/>
          <w:bCs/>
          <w:kern w:val="44"/>
          <w:sz w:val="24"/>
        </w:rPr>
      </w:pPr>
      <w:bookmarkStart w:id="12" w:name="_Toc15377196"/>
      <w:bookmarkStart w:id="13" w:name="_Toc15396599"/>
      <w:r>
        <w:rPr>
          <w:rFonts w:ascii="仿宋" w:hAnsi="仿宋" w:eastAsia="仿宋"/>
          <w:b/>
          <w:sz w:val="24"/>
        </w:rPr>
        <w:br w:type="page"/>
      </w:r>
    </w:p>
    <w:p>
      <w:pPr>
        <w:pStyle w:val="3"/>
        <w:jc w:val="center"/>
        <w:rPr>
          <w:rFonts w:ascii="黑体" w:hAnsi="黑体" w:eastAsia="黑体"/>
          <w:bCs w:val="0"/>
        </w:rPr>
      </w:pPr>
      <w:r>
        <w:rPr>
          <w:rFonts w:hint="eastAsia" w:ascii="黑体" w:hAnsi="黑体" w:eastAsia="黑体"/>
          <w:b w:val="0"/>
        </w:rPr>
        <w:t xml:space="preserve">第一部分 </w:t>
      </w:r>
      <w:r>
        <w:rPr>
          <w:rStyle w:val="30"/>
          <w:rFonts w:hint="eastAsia" w:ascii="黑体" w:hAnsi="黑体" w:eastAsia="黑体"/>
          <w:b w:val="0"/>
          <w:bCs w:val="0"/>
        </w:rPr>
        <w:t>部门概况</w:t>
      </w:r>
      <w:bookmarkEnd w:id="12"/>
      <w:bookmarkEnd w:id="13"/>
    </w:p>
    <w:p>
      <w:pPr>
        <w:pStyle w:val="4"/>
        <w:numPr>
          <w:ilvl w:val="0"/>
          <w:numId w:val="1"/>
        </w:numPr>
        <w:rPr>
          <w:rFonts w:ascii="黑体" w:hAnsi="黑体" w:eastAsia="黑体"/>
          <w:b w:val="0"/>
        </w:rPr>
      </w:pPr>
      <w:r>
        <w:rPr>
          <w:rFonts w:hint="eastAsia" w:ascii="黑体" w:hAnsi="黑体" w:eastAsia="黑体"/>
          <w:b w:val="0"/>
        </w:rPr>
        <w:t>部门职责</w:t>
      </w:r>
    </w:p>
    <w:p>
      <w:pPr>
        <w:widowControl/>
        <w:spacing w:after="133" w:line="259" w:lineRule="auto"/>
        <w:ind w:firstLine="320" w:firstLineChars="100"/>
        <w:jc w:val="left"/>
        <w:rPr>
          <w:rFonts w:ascii="仿宋" w:hAnsi="仿宋" w:eastAsia="仿宋"/>
        </w:rPr>
      </w:pPr>
      <w:r>
        <w:rPr>
          <w:rFonts w:hint="eastAsia" w:ascii="仿宋" w:hAnsi="仿宋" w:eastAsia="仿宋" w:cs="仿宋"/>
          <w:sz w:val="32"/>
        </w:rPr>
        <w:t>1</w:t>
      </w:r>
      <w:r>
        <w:rPr>
          <w:rFonts w:ascii="仿宋" w:hAnsi="仿宋" w:eastAsia="仿宋" w:cs="仿宋"/>
          <w:sz w:val="32"/>
        </w:rPr>
        <w:t>.开展学术交流，活跃学术思想，促进学科发展。</w:t>
      </w:r>
    </w:p>
    <w:p>
      <w:pPr>
        <w:widowControl/>
        <w:spacing w:after="4" w:line="341" w:lineRule="auto"/>
        <w:ind w:firstLine="320" w:firstLineChars="100"/>
        <w:jc w:val="left"/>
        <w:rPr>
          <w:rFonts w:ascii="仿宋" w:hAnsi="仿宋" w:eastAsia="仿宋"/>
        </w:rPr>
      </w:pPr>
      <w:r>
        <w:rPr>
          <w:rFonts w:hint="eastAsia" w:ascii="仿宋" w:hAnsi="仿宋" w:eastAsia="仿宋" w:cs="仿宋"/>
          <w:sz w:val="32"/>
        </w:rPr>
        <w:t>2</w:t>
      </w:r>
      <w:r>
        <w:rPr>
          <w:rFonts w:ascii="仿宋" w:hAnsi="仿宋" w:eastAsia="仿宋" w:cs="仿宋"/>
          <w:sz w:val="32"/>
        </w:rPr>
        <w:t>.弘扬科学精神，普及科学知识，传播科学思想和科学方法。捍卫科学尊严，推广先进技术，开展青少年科学技术教育活动，提高全民族科学文化素质。</w:t>
      </w:r>
    </w:p>
    <w:p>
      <w:pPr>
        <w:widowControl/>
        <w:spacing w:after="4" w:line="341" w:lineRule="auto"/>
        <w:ind w:firstLine="320" w:firstLineChars="100"/>
        <w:jc w:val="left"/>
        <w:rPr>
          <w:rFonts w:ascii="仿宋" w:hAnsi="仿宋" w:eastAsia="仿宋"/>
        </w:rPr>
      </w:pPr>
      <w:r>
        <w:rPr>
          <w:rFonts w:hint="eastAsia" w:ascii="仿宋" w:hAnsi="仿宋" w:eastAsia="仿宋" w:cs="仿宋"/>
          <w:sz w:val="32"/>
        </w:rPr>
        <w:t>3</w:t>
      </w:r>
      <w:r>
        <w:rPr>
          <w:rFonts w:ascii="仿宋" w:hAnsi="仿宋" w:eastAsia="仿宋" w:cs="仿宋"/>
          <w:sz w:val="32"/>
        </w:rPr>
        <w:t>.反映科学技术工作者的意见和要求，维护科学技术工作者的合法权益。组织科学技术工作者参与国家科学技术政策、法规制定和国家事务的政治协商、科学决策、民主监督工作。</w:t>
      </w:r>
    </w:p>
    <w:p>
      <w:pPr>
        <w:widowControl/>
        <w:spacing w:after="130" w:line="259" w:lineRule="auto"/>
        <w:ind w:firstLine="320" w:firstLineChars="100"/>
        <w:jc w:val="left"/>
        <w:rPr>
          <w:rFonts w:ascii="仿宋" w:hAnsi="仿宋" w:eastAsia="仿宋"/>
        </w:rPr>
      </w:pPr>
      <w:r>
        <w:rPr>
          <w:rFonts w:hint="eastAsia" w:ascii="仿宋" w:hAnsi="仿宋" w:eastAsia="仿宋" w:cs="仿宋"/>
          <w:sz w:val="32"/>
        </w:rPr>
        <w:t>4</w:t>
      </w:r>
      <w:r>
        <w:rPr>
          <w:rFonts w:ascii="仿宋" w:hAnsi="仿宋" w:eastAsia="仿宋" w:cs="仿宋"/>
          <w:sz w:val="32"/>
        </w:rPr>
        <w:t>.表彰奖励优秀科学技术工作者，举荐人才。</w:t>
      </w:r>
    </w:p>
    <w:p>
      <w:pPr>
        <w:widowControl/>
        <w:spacing w:after="4" w:line="341" w:lineRule="auto"/>
        <w:ind w:firstLine="320" w:firstLineChars="100"/>
        <w:jc w:val="left"/>
        <w:rPr>
          <w:rFonts w:ascii="仿宋" w:hAnsi="仿宋" w:eastAsia="仿宋"/>
        </w:rPr>
      </w:pPr>
      <w:r>
        <w:rPr>
          <w:rFonts w:hint="eastAsia" w:ascii="仿宋" w:hAnsi="仿宋" w:eastAsia="仿宋" w:cs="仿宋"/>
          <w:sz w:val="32"/>
        </w:rPr>
        <w:t>5</w:t>
      </w:r>
      <w:r>
        <w:rPr>
          <w:rFonts w:ascii="仿宋" w:hAnsi="仿宋" w:eastAsia="仿宋" w:cs="仿宋"/>
          <w:sz w:val="32"/>
        </w:rPr>
        <w:t>.开展科学论证、咨询服务，提出政策建议，促进科学技术成果的转化，接受委托承担项目评估、成果鉴定、专业技术职务资格评审等任务。</w:t>
      </w:r>
    </w:p>
    <w:p>
      <w:pPr>
        <w:widowControl/>
        <w:spacing w:after="133" w:line="259" w:lineRule="auto"/>
        <w:ind w:firstLine="320" w:firstLineChars="100"/>
        <w:jc w:val="left"/>
        <w:rPr>
          <w:rFonts w:ascii="仿宋" w:hAnsi="仿宋" w:eastAsia="仿宋"/>
        </w:rPr>
      </w:pPr>
      <w:r>
        <w:rPr>
          <w:rFonts w:hint="eastAsia" w:ascii="仿宋" w:hAnsi="仿宋" w:eastAsia="仿宋" w:cs="仿宋"/>
          <w:sz w:val="32"/>
        </w:rPr>
        <w:t>6</w:t>
      </w:r>
      <w:r>
        <w:rPr>
          <w:rFonts w:ascii="仿宋" w:hAnsi="仿宋" w:eastAsia="仿宋" w:cs="仿宋"/>
          <w:sz w:val="32"/>
        </w:rPr>
        <w:t>.开展继续教育和培训工作。</w:t>
      </w:r>
    </w:p>
    <w:p>
      <w:pPr>
        <w:widowControl/>
        <w:spacing w:after="133" w:line="259" w:lineRule="auto"/>
        <w:ind w:firstLine="320" w:firstLineChars="100"/>
        <w:jc w:val="left"/>
        <w:rPr>
          <w:rFonts w:ascii="仿宋" w:hAnsi="仿宋" w:eastAsia="仿宋"/>
        </w:rPr>
      </w:pPr>
      <w:r>
        <w:rPr>
          <w:rFonts w:hint="eastAsia" w:ascii="仿宋" w:hAnsi="仿宋" w:eastAsia="仿宋" w:cs="仿宋"/>
          <w:sz w:val="32"/>
        </w:rPr>
        <w:t>7</w:t>
      </w:r>
      <w:r>
        <w:rPr>
          <w:rFonts w:ascii="仿宋" w:hAnsi="仿宋" w:eastAsia="仿宋" w:cs="仿宋"/>
          <w:sz w:val="32"/>
        </w:rPr>
        <w:t>.承担县政府全民科学素质领导小组的日常工作</w:t>
      </w:r>
    </w:p>
    <w:p>
      <w:pPr>
        <w:pStyle w:val="4"/>
        <w:rPr>
          <w:rStyle w:val="31"/>
          <w:b w:val="0"/>
          <w:bCs w:val="0"/>
        </w:rPr>
      </w:pPr>
      <w:bookmarkStart w:id="14" w:name="_Toc15396601"/>
      <w:bookmarkStart w:id="15" w:name="_Toc15377200"/>
      <w:r>
        <w:rPr>
          <w:rFonts w:hint="eastAsia" w:ascii="黑体" w:eastAsia="黑体"/>
          <w:b w:val="0"/>
        </w:rPr>
        <w:t>二、</w:t>
      </w:r>
      <w:r>
        <w:rPr>
          <w:rFonts w:hint="eastAsia" w:ascii="黑体" w:hAnsi="黑体" w:eastAsia="黑体"/>
          <w:b w:val="0"/>
        </w:rPr>
        <w:t>机</w:t>
      </w:r>
      <w:r>
        <w:rPr>
          <w:rStyle w:val="31"/>
          <w:rFonts w:hint="eastAsia" w:ascii="黑体" w:hAnsi="黑体" w:eastAsia="黑体"/>
          <w:b w:val="0"/>
          <w:bCs w:val="0"/>
        </w:rPr>
        <w:t>构设置</w:t>
      </w:r>
      <w:bookmarkEnd w:id="14"/>
      <w:bookmarkEnd w:id="15"/>
    </w:p>
    <w:p>
      <w:pPr>
        <w:ind w:firstLine="320" w:firstLineChars="100"/>
        <w:rPr>
          <w:rFonts w:ascii="仿宋" w:hAnsi="仿宋" w:eastAsia="仿宋"/>
          <w:sz w:val="32"/>
          <w:szCs w:val="32"/>
        </w:rPr>
      </w:pPr>
      <w:r>
        <w:rPr>
          <w:rFonts w:hint="eastAsia" w:ascii="仿宋" w:hAnsi="仿宋" w:eastAsia="仿宋"/>
          <w:sz w:val="32"/>
          <w:szCs w:val="32"/>
        </w:rPr>
        <w:t>县科协无下属二级预算单位。</w:t>
      </w:r>
    </w:p>
    <w:p>
      <w:pPr>
        <w:pStyle w:val="2"/>
        <w:adjustRightInd w:val="0"/>
        <w:snapToGrid w:val="0"/>
        <w:spacing w:before="93" w:line="600" w:lineRule="exact"/>
        <w:ind w:firstLine="320" w:firstLineChars="100"/>
        <w:rPr>
          <w:rFonts w:ascii="仿宋" w:hAnsi="仿宋" w:eastAsia="仿宋"/>
          <w:sz w:val="32"/>
          <w:szCs w:val="32"/>
        </w:rPr>
      </w:pPr>
      <w:r>
        <w:rPr>
          <w:rFonts w:hint="eastAsia" w:ascii="仿宋" w:hAnsi="仿宋" w:eastAsia="仿宋"/>
          <w:sz w:val="32"/>
          <w:szCs w:val="32"/>
        </w:rPr>
        <w:t>无纳入县科协2022年度部门决算编制范围的二级预算单位。</w:t>
      </w:r>
      <w:r>
        <w:rPr>
          <w:rFonts w:ascii="仿宋" w:hAnsi="仿宋" w:eastAsia="仿宋"/>
          <w:sz w:val="32"/>
          <w:szCs w:val="32"/>
        </w:rPr>
        <w:br w:type="page"/>
      </w:r>
    </w:p>
    <w:p>
      <w:pPr>
        <w:pStyle w:val="3"/>
        <w:ind w:right="440"/>
        <w:jc w:val="center"/>
        <w:rPr>
          <w:rStyle w:val="30"/>
          <w:rFonts w:ascii="黑体" w:hAnsi="黑体" w:eastAsia="黑体"/>
          <w:b w:val="0"/>
          <w:bCs/>
        </w:rPr>
      </w:pPr>
      <w:bookmarkStart w:id="16" w:name="_Toc15377204"/>
      <w:bookmarkStart w:id="17" w:name="_Toc15396602"/>
      <w:r>
        <w:rPr>
          <w:rFonts w:hint="eastAsia" w:ascii="黑体" w:hAnsi="黑体" w:eastAsia="黑体"/>
          <w:b w:val="0"/>
        </w:rPr>
        <w:t>第二部分 2022年度</w:t>
      </w:r>
      <w:r>
        <w:rPr>
          <w:rStyle w:val="30"/>
          <w:rFonts w:hint="eastAsia" w:ascii="黑体" w:hAnsi="黑体" w:eastAsia="黑体"/>
          <w:b w:val="0"/>
          <w:bCs/>
        </w:rPr>
        <w:t>部门决算情况说明</w:t>
      </w:r>
      <w:bookmarkEnd w:id="16"/>
      <w:bookmarkEnd w:id="17"/>
    </w:p>
    <w:p/>
    <w:p>
      <w:pPr>
        <w:pStyle w:val="29"/>
        <w:numPr>
          <w:ilvl w:val="0"/>
          <w:numId w:val="2"/>
        </w:numPr>
        <w:spacing w:line="600" w:lineRule="exact"/>
        <w:ind w:firstLineChars="0"/>
        <w:outlineLvl w:val="1"/>
        <w:rPr>
          <w:rStyle w:val="31"/>
          <w:rFonts w:ascii="黑体" w:hAnsi="黑体" w:eastAsia="黑体"/>
          <w:b w:val="0"/>
        </w:rPr>
      </w:pPr>
      <w:bookmarkStart w:id="18" w:name="_Toc15396603"/>
      <w:bookmarkStart w:id="19" w:name="_Toc15377205"/>
      <w:r>
        <w:rPr>
          <w:rFonts w:hint="eastAsia" w:ascii="黑体" w:hAnsi="黑体" w:eastAsia="黑体"/>
          <w:sz w:val="32"/>
          <w:szCs w:val="32"/>
        </w:rPr>
        <w:t>收</w:t>
      </w:r>
      <w:r>
        <w:rPr>
          <w:rStyle w:val="31"/>
          <w:rFonts w:hint="eastAsia" w:ascii="黑体" w:hAnsi="黑体" w:eastAsia="黑体"/>
          <w:b w:val="0"/>
        </w:rPr>
        <w:t>入支出决算总体情况说明</w:t>
      </w:r>
      <w:bookmarkEnd w:id="18"/>
      <w:bookmarkEnd w:id="19"/>
    </w:p>
    <w:p>
      <w:pPr>
        <w:spacing w:line="600" w:lineRule="exact"/>
        <w:ind w:firstLine="640" w:firstLineChars="200"/>
        <w:rPr>
          <w:rFonts w:ascii="仿宋" w:hAnsi="仿宋" w:eastAsia="仿宋"/>
          <w:sz w:val="32"/>
          <w:szCs w:val="32"/>
        </w:rPr>
      </w:pPr>
      <w:r>
        <w:rPr>
          <w:rFonts w:hint="eastAsia" w:ascii="仿宋" w:hAnsi="仿宋" w:eastAsia="仿宋"/>
          <w:sz w:val="32"/>
          <w:szCs w:val="32"/>
        </w:rPr>
        <w:t>2022年度收、支总计</w:t>
      </w:r>
      <w:r>
        <w:rPr>
          <w:rFonts w:ascii="仿宋" w:hAnsi="仿宋" w:eastAsia="仿宋"/>
          <w:sz w:val="32"/>
          <w:szCs w:val="32"/>
        </w:rPr>
        <w:t>137.97</w:t>
      </w:r>
      <w:r>
        <w:rPr>
          <w:rFonts w:hint="eastAsia" w:ascii="仿宋" w:hAnsi="仿宋" w:eastAsia="仿宋"/>
          <w:sz w:val="32"/>
          <w:szCs w:val="32"/>
        </w:rPr>
        <w:t>万元。与2021年相比，收、支总计各减少</w:t>
      </w:r>
      <w:r>
        <w:rPr>
          <w:rFonts w:ascii="仿宋" w:hAnsi="仿宋" w:eastAsia="仿宋"/>
          <w:sz w:val="32"/>
          <w:szCs w:val="32"/>
        </w:rPr>
        <w:t>45.52</w:t>
      </w:r>
      <w:r>
        <w:rPr>
          <w:rFonts w:hint="eastAsia" w:ascii="仿宋" w:hAnsi="仿宋" w:eastAsia="仿宋"/>
          <w:sz w:val="32"/>
          <w:szCs w:val="32"/>
        </w:rPr>
        <w:t>万元，下降</w:t>
      </w:r>
      <w:r>
        <w:rPr>
          <w:rFonts w:ascii="仿宋" w:hAnsi="仿宋" w:eastAsia="仿宋"/>
          <w:sz w:val="32"/>
          <w:szCs w:val="32"/>
        </w:rPr>
        <w:t>24.81%</w:t>
      </w:r>
      <w:r>
        <w:rPr>
          <w:rFonts w:hint="eastAsia" w:ascii="仿宋" w:hAnsi="仿宋" w:eastAsia="仿宋"/>
          <w:sz w:val="32"/>
          <w:szCs w:val="32"/>
        </w:rPr>
        <w:t>。主要变动原因是县财政当年预算安排减少。</w:t>
      </w:r>
    </w:p>
    <w:p>
      <w:pPr>
        <w:pStyle w:val="29"/>
        <w:numPr>
          <w:ilvl w:val="0"/>
          <w:numId w:val="2"/>
        </w:numPr>
        <w:spacing w:line="600" w:lineRule="exact"/>
        <w:ind w:firstLineChars="0"/>
        <w:outlineLvl w:val="1"/>
        <w:rPr>
          <w:rStyle w:val="31"/>
          <w:rFonts w:ascii="黑体" w:hAnsi="黑体" w:eastAsia="黑体"/>
          <w:b w:val="0"/>
        </w:rPr>
      </w:pPr>
      <w:bookmarkStart w:id="20" w:name="_Toc15396604"/>
      <w:bookmarkStart w:id="21" w:name="_Toc15377206"/>
      <w:r>
        <w:rPr>
          <w:rFonts w:hint="eastAsia" w:ascii="黑体" w:hAnsi="黑体" w:eastAsia="黑体"/>
          <w:sz w:val="32"/>
          <w:szCs w:val="32"/>
        </w:rPr>
        <w:t>收</w:t>
      </w:r>
      <w:r>
        <w:rPr>
          <w:rStyle w:val="31"/>
          <w:rFonts w:hint="eastAsia" w:ascii="黑体" w:hAnsi="黑体" w:eastAsia="黑体"/>
          <w:b w:val="0"/>
        </w:rPr>
        <w:t>入决算情况说明</w:t>
      </w:r>
      <w:bookmarkEnd w:id="20"/>
      <w:bookmarkEnd w:id="21"/>
    </w:p>
    <w:p>
      <w:pPr>
        <w:spacing w:line="600" w:lineRule="exact"/>
        <w:ind w:firstLine="640" w:firstLineChars="200"/>
        <w:outlineLvl w:val="1"/>
        <w:rPr>
          <w:rFonts w:ascii="仿宋" w:hAnsi="仿宋" w:eastAsia="仿宋"/>
          <w:sz w:val="32"/>
          <w:szCs w:val="32"/>
        </w:rPr>
      </w:pPr>
      <w:r>
        <w:rPr>
          <w:rFonts w:ascii="仿宋" w:hAnsi="仿宋" w:eastAsia="仿宋"/>
          <w:sz w:val="32"/>
          <w:szCs w:val="32"/>
        </w:rPr>
        <w:t>20</w:t>
      </w:r>
      <w:r>
        <w:rPr>
          <w:rFonts w:hint="eastAsia" w:ascii="仿宋" w:hAnsi="仿宋" w:eastAsia="仿宋"/>
          <w:sz w:val="32"/>
          <w:szCs w:val="32"/>
        </w:rPr>
        <w:t>22年本年收入合计</w:t>
      </w:r>
      <w:r>
        <w:rPr>
          <w:rFonts w:ascii="仿宋" w:hAnsi="仿宋" w:eastAsia="仿宋"/>
          <w:sz w:val="32"/>
          <w:szCs w:val="32"/>
        </w:rPr>
        <w:t>137.97</w:t>
      </w:r>
      <w:r>
        <w:rPr>
          <w:rFonts w:hint="eastAsia" w:ascii="仿宋" w:hAnsi="仿宋" w:eastAsia="仿宋"/>
          <w:sz w:val="32"/>
          <w:szCs w:val="32"/>
        </w:rPr>
        <w:t>万元，其中：一般公共预算财政拨款收入</w:t>
      </w:r>
      <w:r>
        <w:rPr>
          <w:rFonts w:ascii="仿宋" w:hAnsi="仿宋" w:eastAsia="仿宋"/>
          <w:sz w:val="32"/>
          <w:szCs w:val="32"/>
        </w:rPr>
        <w:t>137.97</w:t>
      </w:r>
      <w:r>
        <w:rPr>
          <w:rFonts w:hint="eastAsia" w:ascii="仿宋" w:hAnsi="仿宋" w:eastAsia="仿宋"/>
          <w:sz w:val="32"/>
          <w:szCs w:val="32"/>
        </w:rPr>
        <w:t>万元，占</w:t>
      </w:r>
      <w:r>
        <w:rPr>
          <w:rFonts w:ascii="仿宋" w:hAnsi="仿宋" w:eastAsia="仿宋"/>
          <w:sz w:val="32"/>
          <w:szCs w:val="32"/>
        </w:rPr>
        <w:t>100%</w:t>
      </w:r>
      <w:r>
        <w:rPr>
          <w:rFonts w:hint="eastAsia" w:ascii="仿宋" w:hAnsi="仿宋" w:eastAsia="仿宋"/>
          <w:sz w:val="32"/>
          <w:szCs w:val="32"/>
        </w:rPr>
        <w:t>。</w:t>
      </w:r>
    </w:p>
    <w:p>
      <w:pPr>
        <w:pStyle w:val="29"/>
        <w:numPr>
          <w:ilvl w:val="0"/>
          <w:numId w:val="2"/>
        </w:numPr>
        <w:spacing w:line="600" w:lineRule="exact"/>
        <w:ind w:firstLineChars="0"/>
        <w:outlineLvl w:val="1"/>
        <w:rPr>
          <w:rStyle w:val="31"/>
          <w:rFonts w:ascii="黑体" w:hAnsi="黑体" w:eastAsia="黑体"/>
          <w:b w:val="0"/>
        </w:rPr>
      </w:pPr>
      <w:bookmarkStart w:id="22" w:name="_Toc15396605"/>
      <w:bookmarkStart w:id="23" w:name="_Toc15377207"/>
      <w:r>
        <w:rPr>
          <w:rFonts w:hint="eastAsia" w:ascii="黑体" w:hAnsi="黑体" w:eastAsia="黑体"/>
          <w:sz w:val="32"/>
          <w:szCs w:val="32"/>
        </w:rPr>
        <w:t>支</w:t>
      </w:r>
      <w:r>
        <w:rPr>
          <w:rStyle w:val="31"/>
          <w:rFonts w:hint="eastAsia" w:ascii="黑体" w:hAnsi="黑体" w:eastAsia="黑体"/>
          <w:b w:val="0"/>
        </w:rPr>
        <w:t>出决算情况说明</w:t>
      </w:r>
      <w:bookmarkEnd w:id="22"/>
      <w:bookmarkEnd w:id="23"/>
    </w:p>
    <w:p>
      <w:pPr>
        <w:spacing w:line="600" w:lineRule="exact"/>
        <w:ind w:firstLine="640" w:firstLineChars="200"/>
        <w:outlineLvl w:val="1"/>
        <w:rPr>
          <w:rFonts w:ascii="仿宋" w:hAnsi="仿宋" w:eastAsia="仿宋"/>
          <w:sz w:val="32"/>
          <w:szCs w:val="32"/>
        </w:rPr>
      </w:pPr>
      <w:r>
        <w:rPr>
          <w:rFonts w:ascii="仿宋" w:hAnsi="仿宋" w:eastAsia="仿宋"/>
          <w:sz w:val="32"/>
          <w:szCs w:val="32"/>
        </w:rPr>
        <w:t>20</w:t>
      </w:r>
      <w:r>
        <w:rPr>
          <w:rFonts w:hint="eastAsia" w:ascii="仿宋" w:hAnsi="仿宋" w:eastAsia="仿宋"/>
          <w:sz w:val="32"/>
          <w:szCs w:val="32"/>
        </w:rPr>
        <w:t>22年本年支出合计</w:t>
      </w:r>
      <w:r>
        <w:rPr>
          <w:rFonts w:ascii="仿宋" w:hAnsi="仿宋" w:eastAsia="仿宋"/>
          <w:sz w:val="32"/>
          <w:szCs w:val="32"/>
        </w:rPr>
        <w:t>137.97</w:t>
      </w:r>
      <w:r>
        <w:rPr>
          <w:rFonts w:hint="eastAsia" w:ascii="仿宋" w:hAnsi="仿宋" w:eastAsia="仿宋"/>
          <w:sz w:val="32"/>
          <w:szCs w:val="32"/>
        </w:rPr>
        <w:t>万元，其中：基本支出</w:t>
      </w:r>
      <w:r>
        <w:rPr>
          <w:rFonts w:ascii="仿宋" w:hAnsi="仿宋" w:eastAsia="仿宋"/>
          <w:sz w:val="32"/>
          <w:szCs w:val="32"/>
        </w:rPr>
        <w:t>137.97</w:t>
      </w:r>
      <w:r>
        <w:rPr>
          <w:rFonts w:hint="eastAsia" w:ascii="仿宋" w:hAnsi="仿宋" w:eastAsia="仿宋"/>
          <w:sz w:val="32"/>
          <w:szCs w:val="32"/>
        </w:rPr>
        <w:t>万元，占</w:t>
      </w:r>
      <w:r>
        <w:rPr>
          <w:rFonts w:ascii="仿宋" w:hAnsi="仿宋" w:eastAsia="仿宋"/>
          <w:sz w:val="32"/>
          <w:szCs w:val="32"/>
        </w:rPr>
        <w:t>100%</w:t>
      </w:r>
      <w:r>
        <w:rPr>
          <w:rFonts w:hint="eastAsia" w:ascii="仿宋" w:hAnsi="仿宋" w:eastAsia="仿宋"/>
          <w:sz w:val="32"/>
          <w:szCs w:val="32"/>
        </w:rPr>
        <w:t>。</w:t>
      </w:r>
    </w:p>
    <w:p>
      <w:pPr>
        <w:spacing w:line="600" w:lineRule="exact"/>
        <w:ind w:firstLine="640" w:firstLineChars="200"/>
        <w:outlineLvl w:val="1"/>
        <w:rPr>
          <w:rStyle w:val="31"/>
          <w:rFonts w:ascii="黑体" w:hAnsi="黑体" w:eastAsia="黑体"/>
          <w:b w:val="0"/>
        </w:rPr>
      </w:pPr>
      <w:bookmarkStart w:id="24" w:name="_Toc15396606"/>
      <w:bookmarkStart w:id="25" w:name="_Toc15377208"/>
      <w:r>
        <w:rPr>
          <w:rFonts w:hint="eastAsia" w:ascii="黑体" w:hAnsi="黑体" w:eastAsia="黑体"/>
          <w:sz w:val="32"/>
          <w:szCs w:val="32"/>
        </w:rPr>
        <w:t>四、财</w:t>
      </w:r>
      <w:r>
        <w:rPr>
          <w:rStyle w:val="31"/>
          <w:rFonts w:hint="eastAsia" w:ascii="黑体" w:hAnsi="黑体" w:eastAsia="黑体"/>
          <w:b w:val="0"/>
        </w:rPr>
        <w:t>政拨款收入支出决算总体情况说明</w:t>
      </w:r>
      <w:bookmarkEnd w:id="24"/>
      <w:bookmarkEnd w:id="25"/>
    </w:p>
    <w:p>
      <w:pPr>
        <w:spacing w:line="600" w:lineRule="exact"/>
        <w:ind w:firstLine="640"/>
        <w:rPr>
          <w:rFonts w:ascii="仿宋" w:hAnsi="仿宋" w:eastAsia="仿宋"/>
          <w:sz w:val="32"/>
          <w:szCs w:val="32"/>
        </w:rPr>
      </w:pPr>
      <w:r>
        <w:rPr>
          <w:rFonts w:ascii="仿宋" w:hAnsi="仿宋" w:eastAsia="仿宋"/>
          <w:sz w:val="32"/>
          <w:szCs w:val="32"/>
        </w:rPr>
        <w:t>20</w:t>
      </w:r>
      <w:r>
        <w:rPr>
          <w:rFonts w:hint="eastAsia" w:ascii="仿宋" w:hAnsi="仿宋" w:eastAsia="仿宋"/>
          <w:sz w:val="32"/>
          <w:szCs w:val="32"/>
        </w:rPr>
        <w:t>22年财政拨款收、支总计</w:t>
      </w:r>
      <w:r>
        <w:rPr>
          <w:rFonts w:ascii="仿宋" w:hAnsi="仿宋" w:eastAsia="仿宋"/>
          <w:sz w:val="32"/>
          <w:szCs w:val="32"/>
        </w:rPr>
        <w:t>137.97</w:t>
      </w:r>
      <w:r>
        <w:rPr>
          <w:rFonts w:hint="eastAsia" w:ascii="仿宋" w:hAnsi="仿宋" w:eastAsia="仿宋"/>
          <w:sz w:val="32"/>
          <w:szCs w:val="32"/>
        </w:rPr>
        <w:t>万元。与</w:t>
      </w:r>
      <w:r>
        <w:rPr>
          <w:rFonts w:ascii="仿宋" w:hAnsi="仿宋" w:eastAsia="仿宋"/>
          <w:sz w:val="32"/>
          <w:szCs w:val="32"/>
        </w:rPr>
        <w:t>20</w:t>
      </w:r>
      <w:r>
        <w:rPr>
          <w:rFonts w:hint="eastAsia" w:ascii="仿宋" w:hAnsi="仿宋" w:eastAsia="仿宋"/>
          <w:sz w:val="32"/>
          <w:szCs w:val="32"/>
        </w:rPr>
        <w:t>21年相比，财政拨款收、支总计各减少</w:t>
      </w:r>
      <w:r>
        <w:rPr>
          <w:rFonts w:ascii="仿宋" w:hAnsi="仿宋" w:eastAsia="仿宋"/>
          <w:sz w:val="32"/>
          <w:szCs w:val="32"/>
        </w:rPr>
        <w:t>45.52</w:t>
      </w:r>
      <w:r>
        <w:rPr>
          <w:rFonts w:hint="eastAsia" w:ascii="仿宋" w:hAnsi="仿宋" w:eastAsia="仿宋"/>
          <w:sz w:val="32"/>
          <w:szCs w:val="32"/>
        </w:rPr>
        <w:t>万元，下降</w:t>
      </w:r>
      <w:r>
        <w:rPr>
          <w:rFonts w:ascii="仿宋" w:hAnsi="仿宋" w:eastAsia="仿宋"/>
          <w:sz w:val="32"/>
          <w:szCs w:val="32"/>
        </w:rPr>
        <w:t>24.81%</w:t>
      </w:r>
      <w:r>
        <w:rPr>
          <w:rFonts w:hint="eastAsia" w:ascii="仿宋" w:hAnsi="仿宋" w:eastAsia="仿宋"/>
          <w:sz w:val="32"/>
          <w:szCs w:val="32"/>
        </w:rPr>
        <w:t>。主要变动原因是县财政当年预算安排减少。</w:t>
      </w:r>
    </w:p>
    <w:p>
      <w:pPr>
        <w:spacing w:line="600" w:lineRule="exact"/>
        <w:ind w:firstLine="640" w:firstLineChars="200"/>
        <w:outlineLvl w:val="1"/>
        <w:rPr>
          <w:rStyle w:val="31"/>
          <w:rFonts w:ascii="黑体" w:hAnsi="黑体" w:eastAsia="黑体"/>
          <w:b w:val="0"/>
        </w:rPr>
      </w:pPr>
      <w:bookmarkStart w:id="26" w:name="_Toc15377209"/>
      <w:bookmarkStart w:id="27" w:name="_Toc15396607"/>
      <w:r>
        <w:rPr>
          <w:rFonts w:hint="eastAsia" w:ascii="黑体" w:hAnsi="黑体" w:eastAsia="黑体"/>
          <w:sz w:val="32"/>
          <w:szCs w:val="32"/>
        </w:rPr>
        <w:t>五、</w:t>
      </w:r>
      <w:r>
        <w:rPr>
          <w:rFonts w:hint="eastAsia" w:ascii="黑体" w:hAnsi="黑体" w:eastAsia="黑体"/>
          <w:b/>
          <w:sz w:val="32"/>
          <w:szCs w:val="32"/>
        </w:rPr>
        <w:t>一</w:t>
      </w:r>
      <w:r>
        <w:rPr>
          <w:rStyle w:val="31"/>
          <w:rFonts w:hint="eastAsia" w:ascii="黑体" w:hAnsi="黑体" w:eastAsia="黑体"/>
          <w:b w:val="0"/>
        </w:rPr>
        <w:t>般公共预算财政拨款支出决算情况说明</w:t>
      </w:r>
      <w:bookmarkEnd w:id="26"/>
      <w:bookmarkEnd w:id="27"/>
    </w:p>
    <w:p>
      <w:pPr>
        <w:spacing w:line="600" w:lineRule="exact"/>
        <w:ind w:firstLine="643" w:firstLineChars="200"/>
        <w:outlineLvl w:val="2"/>
        <w:rPr>
          <w:rFonts w:ascii="仿宋" w:hAnsi="仿宋" w:eastAsia="仿宋"/>
          <w:b/>
          <w:sz w:val="32"/>
          <w:szCs w:val="32"/>
        </w:rPr>
      </w:pPr>
      <w:bookmarkStart w:id="28" w:name="_Toc15377210"/>
      <w:r>
        <w:rPr>
          <w:rFonts w:hint="eastAsia" w:ascii="仿宋" w:hAnsi="仿宋" w:eastAsia="仿宋"/>
          <w:b/>
          <w:sz w:val="32"/>
          <w:szCs w:val="32"/>
        </w:rPr>
        <w:t>（一）一般公共预算财政拨款支出决算总体情况</w:t>
      </w:r>
      <w:bookmarkEnd w:id="28"/>
    </w:p>
    <w:p>
      <w:pPr>
        <w:spacing w:line="600" w:lineRule="exact"/>
        <w:ind w:firstLine="640" w:firstLineChars="200"/>
        <w:rPr>
          <w:rFonts w:ascii="仿宋" w:hAnsi="仿宋" w:eastAsia="仿宋"/>
          <w:sz w:val="32"/>
          <w:szCs w:val="32"/>
        </w:rPr>
      </w:pPr>
      <w:r>
        <w:rPr>
          <w:rFonts w:ascii="仿宋" w:hAnsi="仿宋" w:eastAsia="仿宋"/>
          <w:sz w:val="32"/>
          <w:szCs w:val="32"/>
        </w:rPr>
        <w:t>20</w:t>
      </w:r>
      <w:r>
        <w:rPr>
          <w:rFonts w:hint="eastAsia" w:ascii="仿宋" w:hAnsi="仿宋" w:eastAsia="仿宋"/>
          <w:sz w:val="32"/>
          <w:szCs w:val="32"/>
        </w:rPr>
        <w:t>22年一般公共预算财政拨款支出</w:t>
      </w:r>
      <w:r>
        <w:rPr>
          <w:rFonts w:ascii="仿宋" w:hAnsi="仿宋" w:eastAsia="仿宋"/>
          <w:sz w:val="32"/>
          <w:szCs w:val="32"/>
        </w:rPr>
        <w:t>137.97</w:t>
      </w:r>
      <w:r>
        <w:rPr>
          <w:rFonts w:hint="eastAsia" w:ascii="仿宋" w:hAnsi="仿宋" w:eastAsia="仿宋"/>
          <w:sz w:val="32"/>
          <w:szCs w:val="32"/>
        </w:rPr>
        <w:t>万元，占本年支出合计的</w:t>
      </w:r>
      <w:r>
        <w:rPr>
          <w:rFonts w:ascii="仿宋" w:hAnsi="仿宋" w:eastAsia="仿宋"/>
          <w:sz w:val="32"/>
          <w:szCs w:val="32"/>
        </w:rPr>
        <w:t>100%</w:t>
      </w:r>
      <w:r>
        <w:rPr>
          <w:rFonts w:hint="eastAsia" w:ascii="仿宋" w:hAnsi="仿宋" w:eastAsia="仿宋"/>
          <w:sz w:val="32"/>
          <w:szCs w:val="32"/>
        </w:rPr>
        <w:t>。与</w:t>
      </w:r>
      <w:r>
        <w:rPr>
          <w:rFonts w:ascii="仿宋" w:hAnsi="仿宋" w:eastAsia="仿宋"/>
          <w:sz w:val="32"/>
          <w:szCs w:val="32"/>
        </w:rPr>
        <w:t>20</w:t>
      </w:r>
      <w:r>
        <w:rPr>
          <w:rFonts w:hint="eastAsia" w:ascii="仿宋" w:hAnsi="仿宋" w:eastAsia="仿宋"/>
          <w:sz w:val="32"/>
          <w:szCs w:val="32"/>
        </w:rPr>
        <w:t>21年相比，一般公共预算财政拨款支出减少</w:t>
      </w:r>
      <w:r>
        <w:rPr>
          <w:rFonts w:ascii="仿宋" w:hAnsi="仿宋" w:eastAsia="仿宋"/>
          <w:sz w:val="32"/>
          <w:szCs w:val="32"/>
        </w:rPr>
        <w:t>45.52</w:t>
      </w:r>
      <w:r>
        <w:rPr>
          <w:rFonts w:hint="eastAsia" w:ascii="仿宋" w:hAnsi="仿宋" w:eastAsia="仿宋"/>
          <w:sz w:val="32"/>
          <w:szCs w:val="32"/>
        </w:rPr>
        <w:t>万元，下降</w:t>
      </w:r>
      <w:r>
        <w:rPr>
          <w:rFonts w:ascii="仿宋" w:hAnsi="仿宋" w:eastAsia="仿宋"/>
          <w:sz w:val="32"/>
          <w:szCs w:val="32"/>
        </w:rPr>
        <w:t>24.81%</w:t>
      </w:r>
      <w:r>
        <w:rPr>
          <w:rFonts w:hint="eastAsia" w:ascii="仿宋" w:hAnsi="仿宋" w:eastAsia="仿宋"/>
          <w:sz w:val="32"/>
          <w:szCs w:val="32"/>
        </w:rPr>
        <w:t>。主要变动原因是县财政当年预算安排减少。</w:t>
      </w:r>
    </w:p>
    <w:p>
      <w:pPr>
        <w:spacing w:line="600" w:lineRule="exact"/>
        <w:ind w:firstLine="643" w:firstLineChars="200"/>
        <w:outlineLvl w:val="2"/>
        <w:rPr>
          <w:rFonts w:ascii="仿宋" w:hAnsi="仿宋" w:eastAsia="仿宋"/>
          <w:b/>
          <w:sz w:val="32"/>
          <w:szCs w:val="32"/>
        </w:rPr>
      </w:pPr>
      <w:bookmarkStart w:id="29" w:name="_Toc15377211"/>
      <w:r>
        <w:rPr>
          <w:rFonts w:hint="eastAsia" w:ascii="仿宋" w:hAnsi="仿宋" w:eastAsia="仿宋"/>
          <w:b/>
          <w:sz w:val="32"/>
          <w:szCs w:val="32"/>
        </w:rPr>
        <w:t>（二）一般公共预算财政拨款支出决算结构情况</w:t>
      </w:r>
      <w:bookmarkEnd w:id="29"/>
    </w:p>
    <w:p>
      <w:pPr>
        <w:spacing w:line="600" w:lineRule="exact"/>
        <w:ind w:firstLine="640"/>
        <w:rPr>
          <w:rFonts w:hint="eastAsia" w:ascii="仿宋" w:hAnsi="仿宋" w:eastAsia="仿宋"/>
          <w:sz w:val="32"/>
          <w:szCs w:val="32"/>
        </w:rPr>
      </w:pPr>
      <w:r>
        <w:rPr>
          <w:rFonts w:ascii="仿宋" w:hAnsi="仿宋" w:eastAsia="仿宋"/>
          <w:sz w:val="32"/>
          <w:szCs w:val="32"/>
        </w:rPr>
        <w:t>20</w:t>
      </w:r>
      <w:r>
        <w:rPr>
          <w:rFonts w:hint="eastAsia" w:ascii="仿宋" w:hAnsi="仿宋" w:eastAsia="仿宋"/>
          <w:sz w:val="32"/>
          <w:szCs w:val="32"/>
        </w:rPr>
        <w:t>22年一般公共预算财政拨款支出</w:t>
      </w:r>
      <w:r>
        <w:rPr>
          <w:rFonts w:ascii="仿宋" w:hAnsi="仿宋" w:eastAsia="仿宋"/>
          <w:sz w:val="32"/>
          <w:szCs w:val="32"/>
        </w:rPr>
        <w:t>137.97</w:t>
      </w:r>
      <w:r>
        <w:rPr>
          <w:rFonts w:hint="eastAsia" w:ascii="仿宋" w:hAnsi="仿宋" w:eastAsia="仿宋"/>
          <w:sz w:val="32"/>
          <w:szCs w:val="32"/>
        </w:rPr>
        <w:t>万元，主要用于以下方面</w:t>
      </w:r>
      <w:r>
        <w:rPr>
          <w:rFonts w:hint="eastAsia" w:ascii="仿宋" w:hAnsi="仿宋" w:eastAsia="仿宋"/>
          <w:sz w:val="32"/>
          <w:szCs w:val="32"/>
          <w:lang w:eastAsia="zh-CN"/>
        </w:rPr>
        <w:t>：</w:t>
      </w:r>
      <w:r>
        <w:rPr>
          <w:rFonts w:hint="eastAsia" w:ascii="仿宋" w:hAnsi="仿宋" w:eastAsia="仿宋"/>
          <w:b/>
          <w:sz w:val="32"/>
          <w:szCs w:val="32"/>
        </w:rPr>
        <w:t>科学技术</w:t>
      </w:r>
      <w:r>
        <w:rPr>
          <w:rFonts w:hint="eastAsia" w:ascii="仿宋" w:hAnsi="仿宋" w:eastAsia="仿宋"/>
          <w:b/>
          <w:bCs/>
          <w:sz w:val="32"/>
          <w:szCs w:val="32"/>
        </w:rPr>
        <w:t>支出</w:t>
      </w:r>
      <w:r>
        <w:rPr>
          <w:rFonts w:hint="eastAsia" w:ascii="仿宋" w:hAnsi="仿宋" w:eastAsia="仿宋"/>
          <w:sz w:val="32"/>
          <w:szCs w:val="32"/>
        </w:rPr>
        <w:t>1</w:t>
      </w:r>
      <w:r>
        <w:rPr>
          <w:rFonts w:ascii="仿宋" w:hAnsi="仿宋" w:eastAsia="仿宋"/>
          <w:sz w:val="32"/>
          <w:szCs w:val="32"/>
        </w:rPr>
        <w:t>14</w:t>
      </w:r>
      <w:r>
        <w:rPr>
          <w:rFonts w:hint="eastAsia" w:ascii="仿宋" w:hAnsi="仿宋" w:eastAsia="仿宋"/>
          <w:sz w:val="32"/>
          <w:szCs w:val="32"/>
        </w:rPr>
        <w:t>.</w:t>
      </w:r>
      <w:r>
        <w:rPr>
          <w:rFonts w:ascii="仿宋" w:hAnsi="仿宋" w:eastAsia="仿宋"/>
          <w:sz w:val="32"/>
          <w:szCs w:val="32"/>
        </w:rPr>
        <w:t>87</w:t>
      </w:r>
      <w:r>
        <w:rPr>
          <w:rFonts w:hint="eastAsia" w:ascii="仿宋" w:hAnsi="仿宋" w:eastAsia="仿宋"/>
          <w:sz w:val="32"/>
          <w:szCs w:val="32"/>
        </w:rPr>
        <w:t>万元，占</w:t>
      </w:r>
      <w:r>
        <w:rPr>
          <w:rFonts w:ascii="仿宋" w:hAnsi="仿宋" w:eastAsia="仿宋"/>
          <w:sz w:val="32"/>
          <w:szCs w:val="32"/>
        </w:rPr>
        <w:t>83.26%</w:t>
      </w:r>
      <w:r>
        <w:rPr>
          <w:rFonts w:hint="eastAsia" w:ascii="仿宋" w:hAnsi="仿宋" w:eastAsia="仿宋"/>
          <w:sz w:val="32"/>
          <w:szCs w:val="32"/>
        </w:rPr>
        <w:t>；</w:t>
      </w:r>
      <w:r>
        <w:rPr>
          <w:rFonts w:hint="eastAsia" w:ascii="仿宋" w:hAnsi="仿宋" w:eastAsia="仿宋"/>
          <w:b/>
          <w:sz w:val="32"/>
          <w:szCs w:val="32"/>
        </w:rPr>
        <w:t>社会保障和就业</w:t>
      </w:r>
      <w:r>
        <w:rPr>
          <w:rFonts w:hint="eastAsia" w:ascii="仿宋" w:hAnsi="仿宋" w:eastAsia="仿宋"/>
          <w:b/>
          <w:bCs/>
          <w:sz w:val="32"/>
          <w:szCs w:val="32"/>
        </w:rPr>
        <w:t>支出</w:t>
      </w:r>
      <w:r>
        <w:rPr>
          <w:rFonts w:ascii="仿宋" w:hAnsi="仿宋" w:eastAsia="仿宋"/>
          <w:sz w:val="32"/>
          <w:szCs w:val="32"/>
        </w:rPr>
        <w:t>10.27</w:t>
      </w:r>
      <w:r>
        <w:rPr>
          <w:rFonts w:hint="eastAsia" w:ascii="仿宋" w:hAnsi="仿宋" w:eastAsia="仿宋"/>
          <w:sz w:val="32"/>
          <w:szCs w:val="32"/>
        </w:rPr>
        <w:t>万元，占</w:t>
      </w:r>
      <w:r>
        <w:rPr>
          <w:rFonts w:ascii="仿宋" w:hAnsi="仿宋" w:eastAsia="仿宋"/>
          <w:sz w:val="32"/>
          <w:szCs w:val="32"/>
        </w:rPr>
        <w:t>7.44%</w:t>
      </w:r>
      <w:r>
        <w:rPr>
          <w:rFonts w:hint="eastAsia" w:ascii="仿宋" w:hAnsi="仿宋" w:eastAsia="仿宋"/>
          <w:sz w:val="32"/>
          <w:szCs w:val="32"/>
        </w:rPr>
        <w:t>；</w:t>
      </w:r>
      <w:r>
        <w:rPr>
          <w:rFonts w:hint="eastAsia" w:ascii="仿宋" w:hAnsi="仿宋" w:eastAsia="仿宋"/>
          <w:b/>
          <w:bCs/>
          <w:sz w:val="32"/>
          <w:szCs w:val="32"/>
        </w:rPr>
        <w:t>卫生健康支出</w:t>
      </w:r>
      <w:r>
        <w:rPr>
          <w:rFonts w:ascii="仿宋" w:hAnsi="仿宋" w:eastAsia="仿宋"/>
          <w:sz w:val="32"/>
          <w:szCs w:val="32"/>
        </w:rPr>
        <w:t>5.13</w:t>
      </w:r>
      <w:r>
        <w:rPr>
          <w:rFonts w:hint="eastAsia" w:ascii="仿宋" w:hAnsi="仿宋" w:eastAsia="仿宋"/>
          <w:sz w:val="32"/>
          <w:szCs w:val="32"/>
        </w:rPr>
        <w:t>万元，占</w:t>
      </w:r>
      <w:r>
        <w:rPr>
          <w:rFonts w:ascii="仿宋" w:hAnsi="仿宋" w:eastAsia="仿宋"/>
          <w:sz w:val="32"/>
          <w:szCs w:val="32"/>
        </w:rPr>
        <w:t>3.72%</w:t>
      </w:r>
      <w:r>
        <w:rPr>
          <w:rFonts w:hint="eastAsia" w:ascii="仿宋" w:hAnsi="仿宋" w:eastAsia="仿宋"/>
          <w:sz w:val="32"/>
          <w:szCs w:val="32"/>
        </w:rPr>
        <w:t>；</w:t>
      </w:r>
      <w:r>
        <w:rPr>
          <w:rFonts w:hint="eastAsia" w:ascii="仿宋" w:hAnsi="仿宋" w:eastAsia="仿宋"/>
          <w:b/>
          <w:bCs/>
          <w:sz w:val="32"/>
          <w:szCs w:val="32"/>
        </w:rPr>
        <w:t>住房保障支出</w:t>
      </w:r>
      <w:r>
        <w:rPr>
          <w:rFonts w:ascii="仿宋" w:hAnsi="仿宋" w:eastAsia="仿宋"/>
          <w:sz w:val="32"/>
          <w:szCs w:val="32"/>
        </w:rPr>
        <w:t>7.70</w:t>
      </w:r>
      <w:r>
        <w:rPr>
          <w:rFonts w:hint="eastAsia" w:ascii="仿宋" w:hAnsi="仿宋" w:eastAsia="仿宋"/>
          <w:sz w:val="32"/>
          <w:szCs w:val="32"/>
        </w:rPr>
        <w:t>万元，占</w:t>
      </w:r>
      <w:r>
        <w:rPr>
          <w:rFonts w:ascii="仿宋" w:hAnsi="仿宋" w:eastAsia="仿宋"/>
          <w:sz w:val="32"/>
          <w:szCs w:val="32"/>
        </w:rPr>
        <w:t>5.58%</w:t>
      </w:r>
      <w:r>
        <w:rPr>
          <w:rFonts w:hint="eastAsia" w:ascii="仿宋" w:hAnsi="仿宋" w:eastAsia="仿宋"/>
          <w:sz w:val="32"/>
          <w:szCs w:val="32"/>
        </w:rPr>
        <w:t>。</w:t>
      </w:r>
    </w:p>
    <w:p>
      <w:pPr>
        <w:spacing w:line="600" w:lineRule="exact"/>
        <w:ind w:firstLine="643" w:firstLineChars="200"/>
        <w:outlineLvl w:val="2"/>
        <w:rPr>
          <w:rFonts w:ascii="仿宋" w:hAnsi="仿宋" w:eastAsia="仿宋"/>
          <w:b/>
          <w:sz w:val="32"/>
          <w:szCs w:val="32"/>
        </w:rPr>
      </w:pPr>
      <w:bookmarkStart w:id="30" w:name="_Toc15377212"/>
      <w:r>
        <w:rPr>
          <w:rFonts w:hint="eastAsia" w:ascii="仿宋" w:hAnsi="仿宋" w:eastAsia="仿宋"/>
          <w:b/>
          <w:sz w:val="32"/>
          <w:szCs w:val="32"/>
        </w:rPr>
        <w:t>（三）一般公共预算财政拨款支出决算具体情况</w:t>
      </w:r>
      <w:bookmarkEnd w:id="30"/>
    </w:p>
    <w:p>
      <w:pPr>
        <w:spacing w:line="600" w:lineRule="exact"/>
        <w:ind w:firstLine="643" w:firstLineChars="200"/>
        <w:outlineLvl w:val="2"/>
        <w:rPr>
          <w:rFonts w:ascii="仿宋" w:hAnsi="仿宋" w:eastAsia="仿宋"/>
          <w:sz w:val="32"/>
          <w:szCs w:val="32"/>
        </w:rPr>
      </w:pPr>
      <w:bookmarkStart w:id="31" w:name="_Toc15377213"/>
      <w:bookmarkStart w:id="32" w:name="_Toc15377444"/>
      <w:bookmarkStart w:id="33" w:name="_Toc15378460"/>
      <w:r>
        <w:rPr>
          <w:rFonts w:hint="eastAsia" w:ascii="仿宋" w:hAnsi="仿宋" w:eastAsia="仿宋"/>
          <w:b/>
          <w:sz w:val="32"/>
          <w:szCs w:val="32"/>
        </w:rPr>
        <w:t>2022年一般公共预算支出决算数为</w:t>
      </w:r>
      <w:r>
        <w:rPr>
          <w:rFonts w:ascii="仿宋" w:hAnsi="仿宋" w:eastAsia="仿宋"/>
          <w:b/>
          <w:sz w:val="32"/>
          <w:szCs w:val="32"/>
        </w:rPr>
        <w:t>137.97</w:t>
      </w:r>
      <w:r>
        <w:rPr>
          <w:rFonts w:hint="eastAsia" w:ascii="仿宋" w:hAnsi="仿宋" w:eastAsia="仿宋"/>
          <w:sz w:val="32"/>
          <w:szCs w:val="32"/>
        </w:rPr>
        <w:t>，</w:t>
      </w:r>
      <w:r>
        <w:rPr>
          <w:rStyle w:val="18"/>
          <w:rFonts w:hint="eastAsia" w:ascii="仿宋" w:hAnsi="仿宋" w:eastAsia="仿宋"/>
          <w:bCs/>
          <w:sz w:val="32"/>
          <w:szCs w:val="32"/>
        </w:rPr>
        <w:t>完成预算</w:t>
      </w:r>
      <w:r>
        <w:rPr>
          <w:rStyle w:val="18"/>
          <w:rFonts w:ascii="仿宋" w:hAnsi="仿宋" w:eastAsia="仿宋"/>
          <w:bCs/>
          <w:sz w:val="32"/>
          <w:szCs w:val="32"/>
        </w:rPr>
        <w:t>100%</w:t>
      </w:r>
      <w:r>
        <w:rPr>
          <w:rStyle w:val="18"/>
          <w:rFonts w:hint="eastAsia" w:ascii="仿宋" w:hAnsi="仿宋" w:eastAsia="仿宋"/>
          <w:bCs/>
          <w:sz w:val="32"/>
          <w:szCs w:val="32"/>
        </w:rPr>
        <w:t>。其中：</w:t>
      </w:r>
      <w:bookmarkEnd w:id="31"/>
      <w:bookmarkEnd w:id="32"/>
      <w:bookmarkEnd w:id="33"/>
    </w:p>
    <w:p>
      <w:pPr>
        <w:spacing w:line="600" w:lineRule="exact"/>
        <w:ind w:firstLine="643" w:firstLineChars="200"/>
        <w:rPr>
          <w:rFonts w:ascii="仿宋" w:hAnsi="仿宋" w:eastAsia="仿宋"/>
          <w:b/>
          <w:sz w:val="32"/>
          <w:szCs w:val="32"/>
        </w:rPr>
      </w:pPr>
      <w:r>
        <w:rPr>
          <w:rStyle w:val="18"/>
          <w:rFonts w:ascii="仿宋" w:hAnsi="仿宋" w:eastAsia="仿宋"/>
          <w:bCs/>
          <w:sz w:val="32"/>
          <w:szCs w:val="32"/>
        </w:rPr>
        <w:t>1.</w:t>
      </w:r>
      <w:r>
        <w:rPr>
          <w:rStyle w:val="18"/>
          <w:rFonts w:hint="eastAsia" w:ascii="仿宋" w:hAnsi="仿宋" w:eastAsia="仿宋"/>
          <w:bCs/>
          <w:sz w:val="32"/>
          <w:szCs w:val="32"/>
        </w:rPr>
        <w:t>科学技术支出（类）科学技术普及（款）机构运行（项）</w:t>
      </w:r>
      <w:r>
        <w:rPr>
          <w:rStyle w:val="18"/>
          <w:rFonts w:hint="eastAsia" w:ascii="仿宋" w:hAnsi="仿宋" w:eastAsia="仿宋"/>
          <w:bCs/>
          <w:sz w:val="32"/>
          <w:szCs w:val="32"/>
          <w:lang w:eastAsia="zh-CN"/>
        </w:rPr>
        <w:t>：</w:t>
      </w:r>
      <w:r>
        <w:rPr>
          <w:rStyle w:val="18"/>
          <w:rFonts w:ascii="仿宋" w:hAnsi="仿宋" w:eastAsia="仿宋"/>
          <w:b w:val="0"/>
          <w:bCs/>
          <w:sz w:val="32"/>
          <w:szCs w:val="32"/>
        </w:rPr>
        <w:t xml:space="preserve"> </w:t>
      </w:r>
      <w:r>
        <w:rPr>
          <w:rStyle w:val="18"/>
          <w:rFonts w:hint="eastAsia" w:ascii="仿宋" w:hAnsi="仿宋" w:eastAsia="仿宋"/>
          <w:b w:val="0"/>
          <w:bCs/>
          <w:sz w:val="32"/>
          <w:szCs w:val="32"/>
        </w:rPr>
        <w:t>支出决算为</w:t>
      </w:r>
      <w:r>
        <w:rPr>
          <w:rStyle w:val="18"/>
          <w:rFonts w:ascii="仿宋" w:hAnsi="仿宋" w:eastAsia="仿宋"/>
          <w:b w:val="0"/>
          <w:bCs/>
          <w:sz w:val="32"/>
          <w:szCs w:val="32"/>
        </w:rPr>
        <w:t>114.87</w:t>
      </w:r>
      <w:r>
        <w:rPr>
          <w:rStyle w:val="18"/>
          <w:rFonts w:hint="eastAsia" w:ascii="仿宋" w:hAnsi="仿宋" w:eastAsia="仿宋"/>
          <w:b w:val="0"/>
          <w:bCs/>
          <w:sz w:val="32"/>
          <w:szCs w:val="32"/>
        </w:rPr>
        <w:t>万元，完成预算</w:t>
      </w:r>
      <w:r>
        <w:rPr>
          <w:rStyle w:val="18"/>
          <w:rFonts w:ascii="仿宋" w:hAnsi="仿宋" w:eastAsia="仿宋"/>
          <w:b w:val="0"/>
          <w:bCs/>
          <w:sz w:val="32"/>
          <w:szCs w:val="32"/>
        </w:rPr>
        <w:t>100%</w:t>
      </w:r>
      <w:r>
        <w:rPr>
          <w:rStyle w:val="18"/>
          <w:rFonts w:hint="eastAsia" w:ascii="仿宋" w:hAnsi="仿宋" w:eastAsia="仿宋"/>
          <w:b w:val="0"/>
          <w:bCs/>
          <w:sz w:val="32"/>
          <w:szCs w:val="32"/>
        </w:rPr>
        <w:t>。</w:t>
      </w:r>
    </w:p>
    <w:p>
      <w:pPr>
        <w:spacing w:line="600" w:lineRule="exact"/>
        <w:ind w:firstLine="643" w:firstLineChars="200"/>
        <w:rPr>
          <w:rFonts w:ascii="仿宋" w:hAnsi="仿宋" w:eastAsia="仿宋"/>
          <w:b/>
          <w:sz w:val="32"/>
          <w:szCs w:val="32"/>
        </w:rPr>
      </w:pPr>
      <w:r>
        <w:rPr>
          <w:rStyle w:val="18"/>
          <w:rFonts w:ascii="仿宋" w:hAnsi="仿宋" w:eastAsia="仿宋"/>
          <w:bCs/>
          <w:sz w:val="32"/>
          <w:szCs w:val="32"/>
        </w:rPr>
        <w:t>2.</w:t>
      </w:r>
      <w:r>
        <w:rPr>
          <w:rStyle w:val="18"/>
          <w:rFonts w:hint="eastAsia" w:ascii="仿宋" w:hAnsi="仿宋" w:eastAsia="仿宋"/>
          <w:bCs/>
          <w:sz w:val="32"/>
          <w:szCs w:val="32"/>
        </w:rPr>
        <w:t>社会保障和就业支出（类）行政事业单位养老支出（款）  机关事业单位基本养老保险缴费支出（项）</w:t>
      </w:r>
      <w:r>
        <w:rPr>
          <w:rStyle w:val="18"/>
          <w:rFonts w:hint="eastAsia" w:ascii="仿宋" w:hAnsi="仿宋" w:eastAsia="仿宋"/>
          <w:bCs/>
          <w:sz w:val="32"/>
          <w:szCs w:val="32"/>
          <w:lang w:eastAsia="zh-CN"/>
        </w:rPr>
        <w:t>：</w:t>
      </w:r>
      <w:r>
        <w:rPr>
          <w:rStyle w:val="18"/>
          <w:rFonts w:ascii="仿宋" w:hAnsi="仿宋" w:eastAsia="仿宋"/>
          <w:b w:val="0"/>
          <w:bCs/>
          <w:sz w:val="32"/>
          <w:szCs w:val="32"/>
        </w:rPr>
        <w:t xml:space="preserve"> </w:t>
      </w:r>
      <w:r>
        <w:rPr>
          <w:rStyle w:val="18"/>
          <w:rFonts w:hint="eastAsia" w:ascii="仿宋" w:hAnsi="仿宋" w:eastAsia="仿宋"/>
          <w:b w:val="0"/>
          <w:bCs/>
          <w:sz w:val="32"/>
          <w:szCs w:val="32"/>
        </w:rPr>
        <w:t>支出决算为</w:t>
      </w:r>
      <w:r>
        <w:rPr>
          <w:rStyle w:val="18"/>
          <w:rFonts w:ascii="仿宋" w:hAnsi="仿宋" w:eastAsia="仿宋"/>
          <w:b w:val="0"/>
          <w:bCs/>
          <w:sz w:val="32"/>
          <w:szCs w:val="32"/>
        </w:rPr>
        <w:t>10.27</w:t>
      </w:r>
      <w:r>
        <w:rPr>
          <w:rStyle w:val="18"/>
          <w:rFonts w:hint="eastAsia" w:ascii="仿宋" w:hAnsi="仿宋" w:eastAsia="仿宋"/>
          <w:b w:val="0"/>
          <w:bCs/>
          <w:sz w:val="32"/>
          <w:szCs w:val="32"/>
        </w:rPr>
        <w:t>万元，完成预算</w:t>
      </w:r>
      <w:r>
        <w:rPr>
          <w:rStyle w:val="18"/>
          <w:rFonts w:ascii="仿宋" w:hAnsi="仿宋" w:eastAsia="仿宋"/>
          <w:b w:val="0"/>
          <w:bCs/>
          <w:sz w:val="32"/>
          <w:szCs w:val="32"/>
        </w:rPr>
        <w:t>100%</w:t>
      </w:r>
      <w:r>
        <w:rPr>
          <w:rStyle w:val="18"/>
          <w:rFonts w:hint="eastAsia" w:ascii="仿宋" w:hAnsi="仿宋" w:eastAsia="仿宋"/>
          <w:b w:val="0"/>
          <w:bCs/>
          <w:sz w:val="32"/>
          <w:szCs w:val="32"/>
        </w:rPr>
        <w:t>。</w:t>
      </w:r>
    </w:p>
    <w:p>
      <w:pPr>
        <w:spacing w:line="600" w:lineRule="exact"/>
        <w:ind w:firstLine="643" w:firstLineChars="200"/>
        <w:rPr>
          <w:rStyle w:val="18"/>
          <w:rFonts w:ascii="仿宋" w:hAnsi="仿宋" w:eastAsia="仿宋"/>
          <w:b w:val="0"/>
          <w:bCs/>
          <w:sz w:val="32"/>
          <w:szCs w:val="32"/>
        </w:rPr>
      </w:pPr>
      <w:r>
        <w:rPr>
          <w:rStyle w:val="18"/>
          <w:rFonts w:ascii="仿宋" w:hAnsi="仿宋" w:eastAsia="仿宋"/>
          <w:bCs/>
          <w:sz w:val="32"/>
          <w:szCs w:val="32"/>
        </w:rPr>
        <w:t>3.</w:t>
      </w:r>
      <w:r>
        <w:rPr>
          <w:rFonts w:hint="eastAsia" w:ascii="仿宋" w:hAnsi="仿宋" w:eastAsia="仿宋"/>
          <w:b/>
          <w:bCs/>
          <w:sz w:val="32"/>
          <w:szCs w:val="32"/>
        </w:rPr>
        <w:t>卫生健康支出</w:t>
      </w:r>
      <w:r>
        <w:rPr>
          <w:rStyle w:val="18"/>
          <w:rFonts w:hint="eastAsia" w:ascii="仿宋" w:hAnsi="仿宋" w:eastAsia="仿宋"/>
          <w:bCs/>
          <w:sz w:val="32"/>
          <w:szCs w:val="32"/>
        </w:rPr>
        <w:t>（类）行政事业单位医疗（款）行政单位医疗（项）</w:t>
      </w:r>
      <w:r>
        <w:rPr>
          <w:rStyle w:val="18"/>
          <w:rFonts w:hint="eastAsia" w:ascii="仿宋" w:hAnsi="仿宋" w:eastAsia="仿宋"/>
          <w:bCs/>
          <w:sz w:val="32"/>
          <w:szCs w:val="32"/>
          <w:lang w:eastAsia="zh-CN"/>
        </w:rPr>
        <w:t>：</w:t>
      </w:r>
      <w:r>
        <w:rPr>
          <w:rStyle w:val="18"/>
          <w:rFonts w:hint="eastAsia" w:ascii="仿宋" w:hAnsi="仿宋" w:eastAsia="仿宋"/>
          <w:b w:val="0"/>
          <w:bCs/>
          <w:sz w:val="32"/>
          <w:szCs w:val="32"/>
        </w:rPr>
        <w:t>支出决算为</w:t>
      </w:r>
      <w:r>
        <w:rPr>
          <w:rStyle w:val="18"/>
          <w:rFonts w:ascii="仿宋" w:hAnsi="仿宋" w:eastAsia="仿宋"/>
          <w:b w:val="0"/>
          <w:bCs/>
          <w:sz w:val="32"/>
          <w:szCs w:val="32"/>
        </w:rPr>
        <w:t>5.13</w:t>
      </w:r>
      <w:r>
        <w:rPr>
          <w:rStyle w:val="18"/>
          <w:rFonts w:hint="eastAsia" w:ascii="仿宋" w:hAnsi="仿宋" w:eastAsia="仿宋"/>
          <w:b w:val="0"/>
          <w:bCs/>
          <w:sz w:val="32"/>
          <w:szCs w:val="32"/>
        </w:rPr>
        <w:t>万元，完成预算</w:t>
      </w:r>
      <w:r>
        <w:rPr>
          <w:rStyle w:val="18"/>
          <w:rFonts w:ascii="仿宋" w:hAnsi="仿宋" w:eastAsia="仿宋"/>
          <w:b w:val="0"/>
          <w:bCs/>
          <w:sz w:val="32"/>
          <w:szCs w:val="32"/>
        </w:rPr>
        <w:t>100%</w:t>
      </w:r>
      <w:r>
        <w:rPr>
          <w:rStyle w:val="18"/>
          <w:rFonts w:hint="eastAsia" w:ascii="仿宋" w:hAnsi="仿宋" w:eastAsia="仿宋"/>
          <w:b w:val="0"/>
          <w:bCs/>
          <w:sz w:val="32"/>
          <w:szCs w:val="32"/>
        </w:rPr>
        <w:t>。</w:t>
      </w:r>
    </w:p>
    <w:p>
      <w:pPr>
        <w:spacing w:line="600" w:lineRule="exact"/>
        <w:ind w:firstLine="643" w:firstLineChars="200"/>
        <w:rPr>
          <w:rFonts w:ascii="仿宋" w:hAnsi="仿宋" w:eastAsia="仿宋"/>
          <w:bCs/>
          <w:sz w:val="32"/>
          <w:szCs w:val="32"/>
        </w:rPr>
      </w:pPr>
      <w:r>
        <w:rPr>
          <w:rStyle w:val="18"/>
          <w:rFonts w:ascii="仿宋" w:hAnsi="仿宋" w:eastAsia="仿宋"/>
          <w:bCs/>
          <w:sz w:val="32"/>
          <w:szCs w:val="32"/>
        </w:rPr>
        <w:t>4.</w:t>
      </w:r>
      <w:r>
        <w:rPr>
          <w:rFonts w:hint="eastAsia" w:ascii="仿宋" w:hAnsi="仿宋" w:eastAsia="仿宋"/>
          <w:b/>
          <w:bCs/>
          <w:sz w:val="32"/>
          <w:szCs w:val="32"/>
        </w:rPr>
        <w:t>住房保障支出（类）住房改革支出（款）住房公积金（项）：</w:t>
      </w:r>
      <w:r>
        <w:rPr>
          <w:rStyle w:val="18"/>
          <w:rFonts w:hint="eastAsia" w:ascii="仿宋" w:hAnsi="仿宋" w:eastAsia="仿宋"/>
          <w:b w:val="0"/>
          <w:bCs/>
          <w:sz w:val="32"/>
          <w:szCs w:val="32"/>
        </w:rPr>
        <w:t>支出决算为</w:t>
      </w:r>
      <w:r>
        <w:rPr>
          <w:rStyle w:val="18"/>
          <w:rFonts w:ascii="仿宋" w:hAnsi="仿宋" w:eastAsia="仿宋"/>
          <w:b w:val="0"/>
          <w:bCs/>
          <w:sz w:val="32"/>
          <w:szCs w:val="32"/>
        </w:rPr>
        <w:t>7.70</w:t>
      </w:r>
      <w:r>
        <w:rPr>
          <w:rStyle w:val="18"/>
          <w:rFonts w:hint="eastAsia" w:ascii="仿宋" w:hAnsi="仿宋" w:eastAsia="仿宋"/>
          <w:b w:val="0"/>
          <w:bCs/>
          <w:sz w:val="32"/>
          <w:szCs w:val="32"/>
        </w:rPr>
        <w:t>万元，完成预算</w:t>
      </w:r>
      <w:r>
        <w:rPr>
          <w:rStyle w:val="18"/>
          <w:rFonts w:ascii="仿宋" w:hAnsi="仿宋" w:eastAsia="仿宋"/>
          <w:b w:val="0"/>
          <w:bCs/>
          <w:sz w:val="32"/>
          <w:szCs w:val="32"/>
        </w:rPr>
        <w:t>100%</w:t>
      </w:r>
      <w:r>
        <w:rPr>
          <w:rStyle w:val="18"/>
          <w:rFonts w:hint="eastAsia" w:ascii="仿宋" w:hAnsi="仿宋" w:eastAsia="仿宋"/>
          <w:b w:val="0"/>
          <w:bCs/>
          <w:sz w:val="32"/>
          <w:szCs w:val="32"/>
        </w:rPr>
        <w:t>。</w:t>
      </w:r>
    </w:p>
    <w:p>
      <w:pPr>
        <w:tabs>
          <w:tab w:val="right" w:pos="8306"/>
        </w:tabs>
        <w:spacing w:line="600" w:lineRule="exact"/>
        <w:ind w:firstLine="640"/>
        <w:outlineLvl w:val="1"/>
        <w:rPr>
          <w:rStyle w:val="31"/>
        </w:rPr>
      </w:pPr>
      <w:bookmarkStart w:id="34" w:name="_Toc15377214"/>
      <w:bookmarkStart w:id="35" w:name="_Toc15396608"/>
      <w:r>
        <w:rPr>
          <w:rFonts w:hint="eastAsia" w:ascii="黑体" w:eastAsia="黑体"/>
          <w:sz w:val="32"/>
          <w:szCs w:val="32"/>
        </w:rPr>
        <w:t>六</w:t>
      </w:r>
      <w:r>
        <w:rPr>
          <w:rFonts w:hint="eastAsia" w:ascii="黑体" w:eastAsia="黑体"/>
          <w:b/>
          <w:sz w:val="32"/>
          <w:szCs w:val="32"/>
        </w:rPr>
        <w:t>、</w:t>
      </w:r>
      <w:r>
        <w:rPr>
          <w:rFonts w:hint="eastAsia" w:ascii="黑体" w:hAnsi="黑体" w:eastAsia="黑体"/>
          <w:b/>
          <w:sz w:val="32"/>
          <w:szCs w:val="32"/>
        </w:rPr>
        <w:t>一</w:t>
      </w:r>
      <w:r>
        <w:rPr>
          <w:rStyle w:val="31"/>
          <w:rFonts w:hint="eastAsia" w:ascii="黑体" w:hAnsi="黑体" w:eastAsia="黑体"/>
          <w:b w:val="0"/>
        </w:rPr>
        <w:t>般公共预算财政拨款基本支出决算情况说明</w:t>
      </w:r>
      <w:bookmarkEnd w:id="34"/>
      <w:bookmarkEnd w:id="35"/>
      <w:r>
        <w:rPr>
          <w:rStyle w:val="31"/>
          <w:rFonts w:ascii="黑体" w:hAnsi="黑体" w:eastAsia="黑体"/>
          <w:b w:val="0"/>
        </w:rPr>
        <w:tab/>
      </w:r>
    </w:p>
    <w:p>
      <w:pPr>
        <w:spacing w:line="600" w:lineRule="exact"/>
        <w:ind w:firstLine="645"/>
        <w:rPr>
          <w:rFonts w:ascii="仿宋" w:hAnsi="仿宋" w:eastAsia="仿宋"/>
          <w:sz w:val="32"/>
          <w:szCs w:val="32"/>
        </w:rPr>
      </w:pPr>
      <w:r>
        <w:rPr>
          <w:rFonts w:ascii="仿宋" w:hAnsi="仿宋" w:eastAsia="仿宋"/>
          <w:sz w:val="32"/>
          <w:szCs w:val="32"/>
        </w:rPr>
        <w:t>20</w:t>
      </w:r>
      <w:r>
        <w:rPr>
          <w:rFonts w:hint="eastAsia" w:ascii="仿宋" w:hAnsi="仿宋" w:eastAsia="仿宋"/>
          <w:sz w:val="32"/>
          <w:szCs w:val="32"/>
        </w:rPr>
        <w:t>22年一般公共预算财政拨款基本支出</w:t>
      </w:r>
      <w:r>
        <w:rPr>
          <w:rFonts w:ascii="仿宋" w:hAnsi="仿宋" w:eastAsia="仿宋"/>
          <w:sz w:val="32"/>
          <w:szCs w:val="32"/>
        </w:rPr>
        <w:t>137.97</w:t>
      </w:r>
      <w:r>
        <w:rPr>
          <w:rFonts w:hint="eastAsia" w:ascii="仿宋" w:hAnsi="仿宋" w:eastAsia="仿宋"/>
          <w:sz w:val="32"/>
          <w:szCs w:val="32"/>
        </w:rPr>
        <w:t>万元，其中：</w:t>
      </w:r>
    </w:p>
    <w:p>
      <w:pPr>
        <w:rPr>
          <w:rFonts w:ascii="仿宋" w:hAnsi="仿宋" w:eastAsia="仿宋"/>
          <w:sz w:val="32"/>
          <w:szCs w:val="32"/>
        </w:rPr>
      </w:pPr>
      <w:r>
        <w:rPr>
          <w:rFonts w:hint="eastAsia" w:ascii="仿宋" w:hAnsi="仿宋" w:eastAsia="仿宋"/>
          <w:sz w:val="32"/>
          <w:szCs w:val="32"/>
        </w:rPr>
        <w:t>人员经费</w:t>
      </w:r>
      <w:r>
        <w:rPr>
          <w:rFonts w:ascii="仿宋" w:hAnsi="仿宋" w:eastAsia="仿宋"/>
          <w:sz w:val="32"/>
          <w:szCs w:val="32"/>
        </w:rPr>
        <w:t>123.74</w:t>
      </w:r>
      <w:r>
        <w:rPr>
          <w:rFonts w:hint="eastAsia" w:ascii="仿宋" w:hAnsi="仿宋" w:eastAsia="仿宋"/>
          <w:sz w:val="32"/>
          <w:szCs w:val="32"/>
        </w:rPr>
        <w:t>万元，主要包括：基本工资、津贴补贴、奖金、机关事业单位基本养老保险缴费、职工基本医疗保险缴费、其他社会保障缴费住房公积金、其他对个人和家庭的补助支出。</w:t>
      </w:r>
      <w:r>
        <w:rPr>
          <w:rFonts w:ascii="仿宋" w:hAnsi="仿宋" w:eastAsia="仿宋"/>
          <w:sz w:val="32"/>
          <w:szCs w:val="32"/>
        </w:rPr>
        <w:br w:type="textWrapping"/>
      </w:r>
      <w:r>
        <w:rPr>
          <w:rFonts w:hint="eastAsia" w:ascii="仿宋" w:hAnsi="仿宋" w:eastAsia="仿宋"/>
          <w:sz w:val="32"/>
          <w:szCs w:val="32"/>
        </w:rPr>
        <w:t>　　公用经费</w:t>
      </w:r>
      <w:r>
        <w:rPr>
          <w:rFonts w:ascii="仿宋" w:hAnsi="仿宋" w:eastAsia="仿宋"/>
          <w:sz w:val="32"/>
          <w:szCs w:val="32"/>
        </w:rPr>
        <w:t>14.23</w:t>
      </w:r>
      <w:r>
        <w:rPr>
          <w:rFonts w:hint="eastAsia" w:ascii="仿宋" w:hAnsi="仿宋" w:eastAsia="仿宋"/>
          <w:sz w:val="32"/>
          <w:szCs w:val="32"/>
        </w:rPr>
        <w:t>万元，主要包括：办公费、水费、电费、邮电费、差旅费、培训费、公务接待费、工会经费、福利费、其他交通费。</w:t>
      </w:r>
    </w:p>
    <w:p>
      <w:pPr>
        <w:spacing w:line="600" w:lineRule="exact"/>
        <w:ind w:firstLine="640"/>
        <w:outlineLvl w:val="1"/>
        <w:rPr>
          <w:rStyle w:val="31"/>
          <w:rFonts w:ascii="黑体" w:hAnsi="黑体" w:eastAsia="黑体"/>
          <w:b w:val="0"/>
        </w:rPr>
      </w:pPr>
      <w:bookmarkStart w:id="36" w:name="_Toc15377215"/>
      <w:bookmarkStart w:id="37" w:name="_Toc15396609"/>
      <w:r>
        <w:rPr>
          <w:rFonts w:hint="eastAsia" w:ascii="黑体" w:eastAsia="黑体"/>
          <w:sz w:val="32"/>
          <w:szCs w:val="32"/>
        </w:rPr>
        <w:t>七、</w:t>
      </w:r>
      <w:r>
        <w:rPr>
          <w:rStyle w:val="31"/>
          <w:rFonts w:hint="eastAsia" w:ascii="黑体" w:hAnsi="黑体" w:eastAsia="黑体"/>
          <w:b w:val="0"/>
        </w:rPr>
        <w:t>财政拨款</w:t>
      </w:r>
      <w:r>
        <w:rPr>
          <w:rStyle w:val="31"/>
          <w:rFonts w:hint="eastAsia" w:ascii="黑体" w:hAnsi="黑体" w:eastAsia="黑体"/>
        </w:rPr>
        <w:t>“</w:t>
      </w:r>
      <w:r>
        <w:rPr>
          <w:rStyle w:val="31"/>
          <w:rFonts w:hint="eastAsia" w:ascii="黑体" w:hAnsi="黑体" w:eastAsia="黑体"/>
          <w:b w:val="0"/>
        </w:rPr>
        <w:t>三公”经费支出决算情况说明</w:t>
      </w:r>
      <w:bookmarkEnd w:id="36"/>
      <w:bookmarkEnd w:id="37"/>
    </w:p>
    <w:p>
      <w:pPr>
        <w:spacing w:line="600" w:lineRule="exact"/>
        <w:ind w:firstLine="640"/>
        <w:outlineLvl w:val="2"/>
        <w:rPr>
          <w:rFonts w:ascii="仿宋" w:hAnsi="仿宋" w:eastAsia="仿宋"/>
          <w:b/>
          <w:sz w:val="32"/>
          <w:szCs w:val="32"/>
        </w:rPr>
      </w:pPr>
      <w:bookmarkStart w:id="38" w:name="_Toc15377216"/>
      <w:r>
        <w:rPr>
          <w:rFonts w:hint="eastAsia" w:ascii="仿宋" w:hAnsi="仿宋" w:eastAsia="仿宋"/>
          <w:b/>
          <w:sz w:val="32"/>
          <w:szCs w:val="32"/>
        </w:rPr>
        <w:t>（一）“三公”经费财政拨款支出决算总体情况说明</w:t>
      </w:r>
      <w:bookmarkEnd w:id="38"/>
    </w:p>
    <w:p>
      <w:pPr>
        <w:spacing w:line="600" w:lineRule="exact"/>
        <w:ind w:firstLine="640"/>
        <w:rPr>
          <w:rFonts w:ascii="仿宋" w:hAnsi="仿宋" w:eastAsia="仿宋"/>
          <w:sz w:val="32"/>
          <w:szCs w:val="32"/>
        </w:rPr>
      </w:pPr>
      <w:r>
        <w:rPr>
          <w:rFonts w:ascii="仿宋" w:hAnsi="仿宋" w:eastAsia="仿宋"/>
          <w:sz w:val="32"/>
          <w:szCs w:val="32"/>
        </w:rPr>
        <w:t>20</w:t>
      </w:r>
      <w:r>
        <w:rPr>
          <w:rFonts w:hint="eastAsia" w:ascii="仿宋" w:hAnsi="仿宋" w:eastAsia="仿宋"/>
          <w:sz w:val="32"/>
          <w:szCs w:val="32"/>
        </w:rPr>
        <w:t>22年“三公”经费财政拨款支出决算为</w:t>
      </w:r>
      <w:r>
        <w:rPr>
          <w:rFonts w:ascii="仿宋" w:hAnsi="仿宋" w:eastAsia="仿宋"/>
          <w:sz w:val="32"/>
          <w:szCs w:val="32"/>
        </w:rPr>
        <w:t>0.76</w:t>
      </w:r>
      <w:r>
        <w:rPr>
          <w:rFonts w:hint="eastAsia" w:ascii="仿宋" w:hAnsi="仿宋" w:eastAsia="仿宋"/>
          <w:sz w:val="32"/>
          <w:szCs w:val="32"/>
        </w:rPr>
        <w:t>万元，完成预算</w:t>
      </w:r>
      <w:r>
        <w:rPr>
          <w:rFonts w:ascii="仿宋" w:hAnsi="仿宋" w:eastAsia="仿宋"/>
          <w:sz w:val="32"/>
          <w:szCs w:val="32"/>
        </w:rPr>
        <w:t>100%</w:t>
      </w:r>
      <w:r>
        <w:rPr>
          <w:rFonts w:hint="eastAsia" w:ascii="仿宋" w:hAnsi="仿宋" w:eastAsia="仿宋"/>
          <w:sz w:val="32"/>
          <w:szCs w:val="32"/>
        </w:rPr>
        <w:t>，较上年减少</w:t>
      </w:r>
      <w:r>
        <w:rPr>
          <w:rFonts w:ascii="仿宋" w:hAnsi="仿宋" w:eastAsia="仿宋"/>
          <w:sz w:val="32"/>
          <w:szCs w:val="32"/>
        </w:rPr>
        <w:t>1.04</w:t>
      </w:r>
      <w:r>
        <w:rPr>
          <w:rFonts w:hint="eastAsia" w:ascii="仿宋" w:hAnsi="仿宋" w:eastAsia="仿宋"/>
          <w:sz w:val="32"/>
          <w:szCs w:val="32"/>
        </w:rPr>
        <w:t>万元，下降</w:t>
      </w:r>
      <w:r>
        <w:rPr>
          <w:rFonts w:ascii="仿宋" w:hAnsi="仿宋" w:eastAsia="仿宋"/>
          <w:sz w:val="32"/>
          <w:szCs w:val="32"/>
        </w:rPr>
        <w:t>57.78</w:t>
      </w:r>
      <w:r>
        <w:rPr>
          <w:rFonts w:hint="eastAsia" w:ascii="仿宋" w:hAnsi="仿宋" w:eastAsia="仿宋"/>
          <w:sz w:val="32"/>
          <w:szCs w:val="32"/>
        </w:rPr>
        <w:t>%。决算数与预算数持平。</w:t>
      </w:r>
    </w:p>
    <w:p>
      <w:pPr>
        <w:spacing w:line="600" w:lineRule="exact"/>
        <w:ind w:firstLine="640"/>
        <w:outlineLvl w:val="2"/>
        <w:rPr>
          <w:rFonts w:ascii="仿宋" w:hAnsi="仿宋" w:eastAsia="仿宋"/>
          <w:b/>
          <w:sz w:val="32"/>
          <w:szCs w:val="32"/>
        </w:rPr>
      </w:pPr>
      <w:bookmarkStart w:id="39" w:name="_Toc15377217"/>
      <w:r>
        <w:rPr>
          <w:rFonts w:hint="eastAsia" w:ascii="仿宋" w:hAnsi="仿宋" w:eastAsia="仿宋"/>
          <w:b/>
          <w:sz w:val="32"/>
          <w:szCs w:val="32"/>
        </w:rPr>
        <w:t>（二）“三公”经费财政拨款支出决算具体情况说明</w:t>
      </w:r>
      <w:bookmarkEnd w:id="39"/>
    </w:p>
    <w:p>
      <w:pPr>
        <w:spacing w:line="600" w:lineRule="exact"/>
        <w:ind w:firstLine="640"/>
        <w:rPr>
          <w:rFonts w:ascii="仿宋" w:hAnsi="仿宋" w:eastAsia="仿宋"/>
          <w:sz w:val="32"/>
          <w:szCs w:val="32"/>
        </w:rPr>
      </w:pPr>
      <w:r>
        <w:rPr>
          <w:rFonts w:ascii="仿宋" w:hAnsi="仿宋" w:eastAsia="仿宋"/>
          <w:sz w:val="32"/>
          <w:szCs w:val="32"/>
        </w:rPr>
        <w:t>20</w:t>
      </w:r>
      <w:r>
        <w:rPr>
          <w:rFonts w:hint="eastAsia" w:ascii="仿宋" w:hAnsi="仿宋" w:eastAsia="仿宋"/>
          <w:sz w:val="32"/>
          <w:szCs w:val="32"/>
        </w:rPr>
        <w:t>22年“三公”经费财政拨款支出决算中，因公出国（境）费支出决算</w:t>
      </w:r>
      <w:r>
        <w:rPr>
          <w:rFonts w:ascii="仿宋" w:hAnsi="仿宋" w:eastAsia="仿宋"/>
          <w:sz w:val="32"/>
          <w:szCs w:val="32"/>
        </w:rPr>
        <w:t>0</w:t>
      </w:r>
      <w:r>
        <w:rPr>
          <w:rFonts w:hint="eastAsia" w:ascii="仿宋" w:hAnsi="仿宋" w:eastAsia="仿宋"/>
          <w:sz w:val="32"/>
          <w:szCs w:val="32"/>
        </w:rPr>
        <w:t>万元，占</w:t>
      </w:r>
      <w:r>
        <w:rPr>
          <w:rFonts w:ascii="仿宋" w:hAnsi="仿宋" w:eastAsia="仿宋"/>
          <w:sz w:val="32"/>
          <w:szCs w:val="32"/>
        </w:rPr>
        <w:t>0%</w:t>
      </w:r>
      <w:r>
        <w:rPr>
          <w:rFonts w:hint="eastAsia" w:ascii="仿宋" w:hAnsi="仿宋" w:eastAsia="仿宋"/>
          <w:sz w:val="32"/>
          <w:szCs w:val="32"/>
        </w:rPr>
        <w:t>；公务用车购置及运行维护费支出决算</w:t>
      </w:r>
      <w:r>
        <w:rPr>
          <w:rFonts w:ascii="仿宋" w:hAnsi="仿宋" w:eastAsia="仿宋"/>
          <w:sz w:val="32"/>
          <w:szCs w:val="32"/>
        </w:rPr>
        <w:t>0</w:t>
      </w:r>
      <w:r>
        <w:rPr>
          <w:rFonts w:hint="eastAsia" w:ascii="仿宋" w:hAnsi="仿宋" w:eastAsia="仿宋"/>
          <w:sz w:val="32"/>
          <w:szCs w:val="32"/>
        </w:rPr>
        <w:t>万元，占</w:t>
      </w:r>
      <w:r>
        <w:rPr>
          <w:rFonts w:ascii="仿宋" w:hAnsi="仿宋" w:eastAsia="仿宋"/>
          <w:sz w:val="32"/>
          <w:szCs w:val="32"/>
        </w:rPr>
        <w:t>0%</w:t>
      </w:r>
      <w:r>
        <w:rPr>
          <w:rFonts w:hint="eastAsia" w:ascii="仿宋" w:hAnsi="仿宋" w:eastAsia="仿宋"/>
          <w:sz w:val="32"/>
          <w:szCs w:val="32"/>
        </w:rPr>
        <w:t>；公务接待费支出决算</w:t>
      </w:r>
      <w:r>
        <w:rPr>
          <w:rFonts w:ascii="仿宋" w:hAnsi="仿宋" w:eastAsia="仿宋"/>
          <w:sz w:val="32"/>
          <w:szCs w:val="32"/>
        </w:rPr>
        <w:t>0.76</w:t>
      </w:r>
      <w:r>
        <w:rPr>
          <w:rFonts w:hint="eastAsia" w:ascii="仿宋" w:hAnsi="仿宋" w:eastAsia="仿宋"/>
          <w:sz w:val="32"/>
          <w:szCs w:val="32"/>
        </w:rPr>
        <w:t>万元，占</w:t>
      </w:r>
      <w:r>
        <w:rPr>
          <w:rFonts w:ascii="仿宋" w:hAnsi="仿宋" w:eastAsia="仿宋"/>
          <w:sz w:val="32"/>
          <w:szCs w:val="32"/>
        </w:rPr>
        <w:t>100%</w:t>
      </w:r>
      <w:r>
        <w:rPr>
          <w:rFonts w:hint="eastAsia" w:ascii="仿宋" w:hAnsi="仿宋" w:eastAsia="仿宋"/>
          <w:sz w:val="32"/>
          <w:szCs w:val="32"/>
        </w:rPr>
        <w:t>。具体情况如下：</w:t>
      </w:r>
    </w:p>
    <w:p>
      <w:pPr>
        <w:spacing w:line="600" w:lineRule="exact"/>
        <w:ind w:firstLine="640"/>
        <w:rPr>
          <w:rFonts w:ascii="仿宋" w:hAnsi="仿宋" w:eastAsia="仿宋"/>
          <w:sz w:val="32"/>
          <w:szCs w:val="32"/>
        </w:rPr>
      </w:pPr>
      <w:r>
        <w:rPr>
          <w:rFonts w:hint="eastAsia" w:ascii="仿宋" w:hAnsi="仿宋" w:eastAsia="仿宋"/>
          <w:sz w:val="32"/>
          <w:szCs w:val="32"/>
        </w:rPr>
        <w:t>（图7：“三公”经费财政拨款支出结构）（饼状图）</w:t>
      </w:r>
    </w:p>
    <w:p>
      <w:pPr>
        <w:spacing w:line="600" w:lineRule="exact"/>
        <w:ind w:firstLine="640"/>
        <w:rPr>
          <w:rFonts w:ascii="仿宋_GB2312" w:eastAsia="仿宋_GB2312"/>
          <w:sz w:val="32"/>
          <w:szCs w:val="32"/>
        </w:rPr>
      </w:pPr>
      <w:r>
        <w:rPr>
          <w:rFonts w:ascii="仿宋_GB2312" w:eastAsia="仿宋_GB2312"/>
          <w:b/>
          <w:sz w:val="32"/>
          <w:szCs w:val="32"/>
        </w:rPr>
        <w:t>1.</w:t>
      </w:r>
      <w:r>
        <w:rPr>
          <w:rFonts w:hint="eastAsia" w:ascii="仿宋_GB2312" w:eastAsia="仿宋_GB2312"/>
          <w:b/>
          <w:sz w:val="32"/>
          <w:szCs w:val="32"/>
        </w:rPr>
        <w:t>因公出国（境）经费支出</w:t>
      </w:r>
      <w:r>
        <w:rPr>
          <w:rFonts w:ascii="仿宋_GB2312" w:eastAsia="仿宋_GB2312"/>
          <w:sz w:val="32"/>
          <w:szCs w:val="32"/>
        </w:rPr>
        <w:t>0</w:t>
      </w:r>
      <w:r>
        <w:rPr>
          <w:rFonts w:hint="eastAsia" w:ascii="仿宋_GB2312" w:eastAsia="仿宋_GB2312"/>
          <w:sz w:val="32"/>
          <w:szCs w:val="32"/>
        </w:rPr>
        <w:t>万元</w:t>
      </w:r>
      <w:r>
        <w:rPr>
          <w:rStyle w:val="18"/>
          <w:rFonts w:hint="eastAsia" w:ascii="仿宋" w:hAnsi="仿宋" w:eastAsia="仿宋"/>
          <w:b w:val="0"/>
          <w:bCs/>
          <w:sz w:val="32"/>
          <w:szCs w:val="32"/>
        </w:rPr>
        <w:t>。</w:t>
      </w:r>
      <w:r>
        <w:rPr>
          <w:rFonts w:hint="eastAsia" w:ascii="仿宋_GB2312" w:eastAsia="仿宋_GB2312"/>
          <w:sz w:val="32"/>
          <w:szCs w:val="32"/>
        </w:rPr>
        <w:t>全年未安排因公出国（境）活动，与去年一致。</w:t>
      </w:r>
    </w:p>
    <w:p>
      <w:pPr>
        <w:spacing w:line="600" w:lineRule="exact"/>
        <w:ind w:firstLine="640"/>
        <w:rPr>
          <w:rFonts w:ascii="仿宋_GB2312" w:eastAsia="仿宋_GB2312"/>
          <w:sz w:val="32"/>
          <w:szCs w:val="32"/>
        </w:rPr>
      </w:pPr>
      <w:r>
        <w:rPr>
          <w:rFonts w:ascii="仿宋_GB2312" w:eastAsia="仿宋_GB2312"/>
          <w:b/>
          <w:sz w:val="32"/>
          <w:szCs w:val="32"/>
        </w:rPr>
        <w:t>2.</w:t>
      </w:r>
      <w:r>
        <w:rPr>
          <w:rFonts w:hint="eastAsia" w:ascii="仿宋_GB2312" w:eastAsia="仿宋_GB2312"/>
          <w:b/>
          <w:sz w:val="32"/>
          <w:szCs w:val="32"/>
        </w:rPr>
        <w:t>公务用车购置及运行维护费支出</w:t>
      </w:r>
      <w:r>
        <w:rPr>
          <w:rFonts w:ascii="仿宋_GB2312" w:eastAsia="仿宋_GB2312"/>
          <w:sz w:val="32"/>
          <w:szCs w:val="32"/>
        </w:rPr>
        <w:t>0</w:t>
      </w:r>
      <w:r>
        <w:rPr>
          <w:rFonts w:hint="eastAsia" w:ascii="仿宋_GB2312" w:eastAsia="仿宋_GB2312"/>
          <w:sz w:val="32"/>
          <w:szCs w:val="32"/>
        </w:rPr>
        <w:t>万元</w:t>
      </w:r>
      <w:r>
        <w:rPr>
          <w:rStyle w:val="18"/>
          <w:rFonts w:hint="eastAsia" w:ascii="仿宋" w:hAnsi="仿宋" w:eastAsia="仿宋"/>
          <w:b w:val="0"/>
          <w:bCs/>
          <w:sz w:val="32"/>
          <w:szCs w:val="32"/>
        </w:rPr>
        <w:t>。</w:t>
      </w:r>
    </w:p>
    <w:p>
      <w:pPr>
        <w:spacing w:line="600" w:lineRule="exact"/>
        <w:ind w:firstLine="640" w:firstLineChars="200"/>
        <w:rPr>
          <w:rFonts w:ascii="仿宋_GB2312" w:eastAsia="仿宋_GB2312"/>
          <w:b/>
          <w:sz w:val="32"/>
          <w:szCs w:val="32"/>
        </w:rPr>
      </w:pPr>
      <w:r>
        <w:rPr>
          <w:rFonts w:hint="eastAsia" w:ascii="仿宋_GB2312" w:eastAsia="仿宋_GB2312"/>
          <w:sz w:val="32"/>
          <w:szCs w:val="32"/>
        </w:rPr>
        <w:t>截至</w:t>
      </w:r>
      <w:r>
        <w:rPr>
          <w:rFonts w:ascii="仿宋_GB2312" w:eastAsia="仿宋_GB2312"/>
          <w:sz w:val="32"/>
          <w:szCs w:val="32"/>
        </w:rPr>
        <w:t>20</w:t>
      </w:r>
      <w:r>
        <w:rPr>
          <w:rFonts w:hint="eastAsia" w:ascii="仿宋_GB2312" w:eastAsia="仿宋_GB2312"/>
          <w:sz w:val="32"/>
          <w:szCs w:val="32"/>
        </w:rPr>
        <w:t>22年</w:t>
      </w:r>
      <w:r>
        <w:rPr>
          <w:rFonts w:ascii="仿宋_GB2312" w:eastAsia="仿宋_GB2312"/>
          <w:sz w:val="32"/>
          <w:szCs w:val="32"/>
        </w:rPr>
        <w:t>12</w:t>
      </w:r>
      <w:r>
        <w:rPr>
          <w:rFonts w:hint="eastAsia" w:ascii="仿宋_GB2312" w:eastAsia="仿宋_GB2312"/>
          <w:sz w:val="32"/>
          <w:szCs w:val="32"/>
        </w:rPr>
        <w:t>月底，单位共有公务用车</w:t>
      </w:r>
      <w:r>
        <w:rPr>
          <w:rFonts w:ascii="仿宋_GB2312" w:eastAsia="仿宋_GB2312"/>
          <w:sz w:val="32"/>
          <w:szCs w:val="32"/>
        </w:rPr>
        <w:t>1</w:t>
      </w:r>
      <w:r>
        <w:rPr>
          <w:rFonts w:hint="eastAsia" w:ascii="仿宋_GB2312" w:eastAsia="仿宋_GB2312"/>
          <w:sz w:val="32"/>
          <w:szCs w:val="32"/>
        </w:rPr>
        <w:t>辆，其中：     特种专业技术用车1辆。</w:t>
      </w:r>
    </w:p>
    <w:p>
      <w:pPr>
        <w:spacing w:line="600" w:lineRule="exact"/>
        <w:ind w:firstLine="640"/>
        <w:rPr>
          <w:rFonts w:ascii="仿宋_GB2312" w:eastAsia="仿宋_GB2312"/>
          <w:sz w:val="32"/>
          <w:szCs w:val="32"/>
        </w:rPr>
      </w:pPr>
      <w:r>
        <w:rPr>
          <w:rFonts w:ascii="仿宋_GB2312" w:eastAsia="仿宋_GB2312"/>
          <w:b/>
          <w:sz w:val="32"/>
          <w:szCs w:val="32"/>
        </w:rPr>
        <w:t>3.</w:t>
      </w:r>
      <w:r>
        <w:rPr>
          <w:rFonts w:hint="eastAsia" w:ascii="仿宋_GB2312" w:eastAsia="仿宋_GB2312"/>
          <w:b/>
          <w:sz w:val="32"/>
          <w:szCs w:val="32"/>
        </w:rPr>
        <w:t>公务接待费支出</w:t>
      </w:r>
      <w:r>
        <w:rPr>
          <w:rFonts w:ascii="仿宋_GB2312" w:eastAsia="仿宋_GB2312"/>
          <w:sz w:val="32"/>
          <w:szCs w:val="32"/>
        </w:rPr>
        <w:t>0.76</w:t>
      </w:r>
      <w:r>
        <w:rPr>
          <w:rFonts w:hint="eastAsia" w:ascii="仿宋_GB2312" w:eastAsia="仿宋_GB2312"/>
          <w:sz w:val="32"/>
          <w:szCs w:val="32"/>
        </w:rPr>
        <w:t>万元，</w:t>
      </w:r>
      <w:r>
        <w:rPr>
          <w:rStyle w:val="18"/>
          <w:rFonts w:hint="eastAsia" w:ascii="仿宋" w:hAnsi="仿宋" w:eastAsia="仿宋"/>
          <w:b w:val="0"/>
          <w:bCs/>
          <w:sz w:val="32"/>
          <w:szCs w:val="32"/>
        </w:rPr>
        <w:t>完成预算</w:t>
      </w:r>
      <w:r>
        <w:rPr>
          <w:rStyle w:val="18"/>
          <w:rFonts w:ascii="仿宋" w:hAnsi="仿宋" w:eastAsia="仿宋"/>
          <w:b w:val="0"/>
          <w:bCs/>
          <w:sz w:val="32"/>
          <w:szCs w:val="32"/>
        </w:rPr>
        <w:t>100%</w:t>
      </w:r>
      <w:r>
        <w:rPr>
          <w:rStyle w:val="18"/>
          <w:rFonts w:hint="eastAsia" w:ascii="仿宋" w:hAnsi="仿宋" w:eastAsia="仿宋"/>
          <w:b w:val="0"/>
          <w:bCs/>
          <w:sz w:val="32"/>
          <w:szCs w:val="32"/>
        </w:rPr>
        <w:t>。</w:t>
      </w:r>
      <w:r>
        <w:rPr>
          <w:rFonts w:hint="eastAsia" w:ascii="仿宋_GB2312" w:eastAsia="仿宋_GB2312"/>
          <w:sz w:val="32"/>
          <w:szCs w:val="32"/>
        </w:rPr>
        <w:t>公务接待费支出决算比</w:t>
      </w:r>
      <w:r>
        <w:rPr>
          <w:rFonts w:ascii="仿宋_GB2312" w:eastAsia="仿宋_GB2312"/>
          <w:sz w:val="32"/>
          <w:szCs w:val="32"/>
        </w:rPr>
        <w:t>20</w:t>
      </w:r>
      <w:r>
        <w:rPr>
          <w:rFonts w:hint="eastAsia" w:ascii="仿宋_GB2312" w:eastAsia="仿宋_GB2312"/>
          <w:sz w:val="32"/>
          <w:szCs w:val="32"/>
        </w:rPr>
        <w:t>21年减少</w:t>
      </w:r>
      <w:r>
        <w:rPr>
          <w:rFonts w:ascii="仿宋_GB2312" w:eastAsia="仿宋_GB2312"/>
          <w:sz w:val="32"/>
          <w:szCs w:val="32"/>
        </w:rPr>
        <w:t>1.04</w:t>
      </w:r>
      <w:r>
        <w:rPr>
          <w:rFonts w:hint="eastAsia" w:ascii="仿宋_GB2312" w:eastAsia="仿宋_GB2312"/>
          <w:sz w:val="32"/>
          <w:szCs w:val="32"/>
        </w:rPr>
        <w:t>万元，下降</w:t>
      </w:r>
      <w:r>
        <w:rPr>
          <w:rFonts w:ascii="仿宋_GB2312" w:eastAsia="仿宋_GB2312"/>
          <w:sz w:val="32"/>
          <w:szCs w:val="32"/>
        </w:rPr>
        <w:t>57.78%</w:t>
      </w:r>
      <w:r>
        <w:rPr>
          <w:rFonts w:hint="eastAsia" w:ascii="仿宋_GB2312" w:eastAsia="仿宋_GB2312"/>
          <w:sz w:val="32"/>
          <w:szCs w:val="32"/>
        </w:rPr>
        <w:t>。主要原因是当年预算安排减少。其中：</w:t>
      </w:r>
    </w:p>
    <w:p>
      <w:pPr>
        <w:spacing w:line="600" w:lineRule="exact"/>
        <w:ind w:firstLine="640"/>
        <w:rPr>
          <w:rFonts w:ascii="仿宋_GB2312" w:eastAsia="仿宋_GB2312"/>
          <w:sz w:val="32"/>
          <w:szCs w:val="32"/>
        </w:rPr>
      </w:pPr>
      <w:r>
        <w:rPr>
          <w:rFonts w:hint="eastAsia" w:ascii="仿宋" w:hAnsi="仿宋" w:eastAsia="仿宋"/>
          <w:b/>
          <w:sz w:val="32"/>
          <w:szCs w:val="32"/>
        </w:rPr>
        <w:t>国内公务接待支出</w:t>
      </w:r>
      <w:r>
        <w:rPr>
          <w:rFonts w:ascii="仿宋" w:hAnsi="仿宋" w:eastAsia="仿宋"/>
          <w:sz w:val="32"/>
          <w:szCs w:val="32"/>
        </w:rPr>
        <w:t>0.76</w:t>
      </w:r>
      <w:r>
        <w:rPr>
          <w:rFonts w:hint="eastAsia" w:ascii="仿宋_GB2312" w:eastAsia="仿宋_GB2312"/>
          <w:sz w:val="32"/>
          <w:szCs w:val="32"/>
        </w:rPr>
        <w:t>万元，主要用于执行公务、开展业务活动开支的交通费、住宿费、用餐费等。国内公务接待</w:t>
      </w:r>
      <w:r>
        <w:rPr>
          <w:rFonts w:ascii="仿宋_GB2312" w:eastAsia="仿宋_GB2312"/>
          <w:sz w:val="32"/>
          <w:szCs w:val="32"/>
        </w:rPr>
        <w:t>20</w:t>
      </w:r>
      <w:r>
        <w:rPr>
          <w:rFonts w:hint="eastAsia" w:ascii="仿宋_GB2312" w:eastAsia="仿宋_GB2312"/>
          <w:sz w:val="32"/>
          <w:szCs w:val="32"/>
        </w:rPr>
        <w:t>批次，</w:t>
      </w:r>
      <w:r>
        <w:rPr>
          <w:rFonts w:ascii="仿宋_GB2312" w:eastAsia="仿宋_GB2312"/>
          <w:sz w:val="32"/>
          <w:szCs w:val="32"/>
        </w:rPr>
        <w:t>100</w:t>
      </w:r>
      <w:r>
        <w:rPr>
          <w:rFonts w:hint="eastAsia" w:ascii="仿宋_GB2312" w:eastAsia="仿宋_GB2312"/>
          <w:sz w:val="32"/>
          <w:szCs w:val="32"/>
        </w:rPr>
        <w:t>人次（不包括陪同人员），共计支出</w:t>
      </w:r>
      <w:r>
        <w:rPr>
          <w:rFonts w:ascii="仿宋_GB2312" w:eastAsia="仿宋_GB2312"/>
          <w:sz w:val="32"/>
          <w:szCs w:val="32"/>
        </w:rPr>
        <w:t>0.76</w:t>
      </w:r>
      <w:r>
        <w:rPr>
          <w:rFonts w:hint="eastAsia" w:ascii="仿宋_GB2312" w:eastAsia="仿宋_GB2312"/>
          <w:sz w:val="32"/>
          <w:szCs w:val="32"/>
        </w:rPr>
        <w:t>万元，具体内容包括：相关单位之间交流、检查等工作任务。</w:t>
      </w:r>
    </w:p>
    <w:p>
      <w:pPr>
        <w:spacing w:line="600" w:lineRule="exact"/>
        <w:ind w:firstLine="643" w:firstLineChars="200"/>
        <w:rPr>
          <w:rFonts w:ascii="仿宋_GB2312" w:eastAsia="仿宋_GB2312"/>
          <w:sz w:val="32"/>
          <w:szCs w:val="32"/>
        </w:rPr>
      </w:pPr>
      <w:r>
        <w:rPr>
          <w:rFonts w:hint="eastAsia" w:ascii="仿宋" w:hAnsi="仿宋" w:eastAsia="仿宋"/>
          <w:b/>
          <w:sz w:val="32"/>
          <w:szCs w:val="32"/>
        </w:rPr>
        <w:t>外事接待支出</w:t>
      </w:r>
      <w:r>
        <w:rPr>
          <w:rFonts w:ascii="仿宋" w:hAnsi="仿宋" w:eastAsia="仿宋"/>
          <w:sz w:val="32"/>
          <w:szCs w:val="32"/>
        </w:rPr>
        <w:t>0</w:t>
      </w:r>
      <w:r>
        <w:rPr>
          <w:rFonts w:hint="eastAsia" w:ascii="仿宋_GB2312" w:eastAsia="仿宋_GB2312"/>
          <w:sz w:val="32"/>
          <w:szCs w:val="32"/>
        </w:rPr>
        <w:t>万元。</w:t>
      </w:r>
      <w:bookmarkStart w:id="40" w:name="_Toc15396610"/>
      <w:bookmarkStart w:id="41" w:name="_Toc15377218"/>
    </w:p>
    <w:p>
      <w:pPr>
        <w:spacing w:line="600" w:lineRule="exact"/>
        <w:ind w:firstLine="640"/>
        <w:outlineLvl w:val="1"/>
        <w:rPr>
          <w:rStyle w:val="31"/>
          <w:rFonts w:ascii="黑体" w:hAnsi="黑体" w:eastAsia="黑体"/>
        </w:rPr>
      </w:pPr>
      <w:r>
        <w:rPr>
          <w:rFonts w:hint="eastAsia" w:ascii="黑体" w:eastAsia="黑体"/>
          <w:sz w:val="32"/>
          <w:szCs w:val="32"/>
        </w:rPr>
        <w:t>八、</w:t>
      </w:r>
      <w:r>
        <w:rPr>
          <w:rStyle w:val="31"/>
          <w:rFonts w:hint="eastAsia" w:ascii="黑体" w:hAnsi="黑体" w:eastAsia="黑体"/>
          <w:b w:val="0"/>
        </w:rPr>
        <w:t>政府性基金预算支出决算情况说明</w:t>
      </w:r>
      <w:bookmarkEnd w:id="40"/>
      <w:bookmarkEnd w:id="41"/>
    </w:p>
    <w:p>
      <w:pPr>
        <w:spacing w:line="600" w:lineRule="exact"/>
        <w:ind w:firstLine="640"/>
        <w:rPr>
          <w:rFonts w:ascii="仿宋_GB2312" w:eastAsia="仿宋_GB2312"/>
          <w:sz w:val="32"/>
          <w:szCs w:val="32"/>
        </w:rPr>
      </w:pPr>
      <w:r>
        <w:rPr>
          <w:rFonts w:ascii="仿宋_GB2312" w:eastAsia="仿宋_GB2312"/>
          <w:sz w:val="32"/>
          <w:szCs w:val="32"/>
        </w:rPr>
        <w:t>20</w:t>
      </w:r>
      <w:r>
        <w:rPr>
          <w:rFonts w:hint="eastAsia" w:ascii="仿宋_GB2312" w:eastAsia="仿宋_GB2312"/>
          <w:sz w:val="32"/>
          <w:szCs w:val="32"/>
        </w:rPr>
        <w:t>22年政府性基金预算财政拨款支出</w:t>
      </w:r>
      <w:r>
        <w:rPr>
          <w:rFonts w:ascii="仿宋_GB2312" w:eastAsia="仿宋_GB2312"/>
          <w:sz w:val="32"/>
          <w:szCs w:val="32"/>
        </w:rPr>
        <w:t>0</w:t>
      </w:r>
      <w:r>
        <w:rPr>
          <w:rFonts w:hint="eastAsia" w:ascii="仿宋_GB2312" w:eastAsia="仿宋_GB2312"/>
          <w:sz w:val="32"/>
          <w:szCs w:val="32"/>
        </w:rPr>
        <w:t>万元。</w:t>
      </w:r>
    </w:p>
    <w:p>
      <w:pPr>
        <w:numPr>
          <w:ilvl w:val="0"/>
          <w:numId w:val="3"/>
        </w:numPr>
        <w:spacing w:line="600" w:lineRule="exact"/>
        <w:ind w:firstLine="640"/>
        <w:outlineLvl w:val="1"/>
        <w:rPr>
          <w:rStyle w:val="31"/>
          <w:rFonts w:ascii="黑体" w:hAnsi="黑体" w:eastAsia="黑体"/>
          <w:b w:val="0"/>
        </w:rPr>
      </w:pPr>
      <w:bookmarkStart w:id="42" w:name="_Toc15377219"/>
      <w:bookmarkStart w:id="43" w:name="_Toc15396611"/>
      <w:r>
        <w:rPr>
          <w:rStyle w:val="31"/>
          <w:rFonts w:hint="eastAsia" w:ascii="黑体" w:hAnsi="黑体" w:eastAsia="黑体"/>
          <w:b w:val="0"/>
        </w:rPr>
        <w:t>国有资本经营预算支出决算情况说明</w:t>
      </w:r>
      <w:bookmarkEnd w:id="42"/>
      <w:bookmarkEnd w:id="43"/>
    </w:p>
    <w:p>
      <w:pPr>
        <w:spacing w:line="600" w:lineRule="exact"/>
        <w:ind w:firstLine="640"/>
        <w:rPr>
          <w:rFonts w:ascii="仿宋_GB2312" w:eastAsia="仿宋_GB2312"/>
          <w:sz w:val="32"/>
          <w:szCs w:val="32"/>
        </w:rPr>
      </w:pPr>
      <w:r>
        <w:rPr>
          <w:rFonts w:ascii="仿宋_GB2312" w:eastAsia="仿宋_GB2312"/>
          <w:sz w:val="32"/>
          <w:szCs w:val="32"/>
        </w:rPr>
        <w:t>20</w:t>
      </w:r>
      <w:r>
        <w:rPr>
          <w:rFonts w:hint="eastAsia" w:ascii="仿宋_GB2312" w:eastAsia="仿宋_GB2312"/>
          <w:sz w:val="32"/>
          <w:szCs w:val="32"/>
        </w:rPr>
        <w:t>22年国有资本经营预算财政拨款支出</w:t>
      </w:r>
      <w:r>
        <w:rPr>
          <w:rFonts w:ascii="仿宋_GB2312" w:eastAsia="仿宋_GB2312"/>
          <w:sz w:val="32"/>
          <w:szCs w:val="32"/>
        </w:rPr>
        <w:t>0</w:t>
      </w:r>
      <w:r>
        <w:rPr>
          <w:rFonts w:hint="eastAsia" w:ascii="仿宋_GB2312" w:eastAsia="仿宋_GB2312"/>
          <w:sz w:val="32"/>
          <w:szCs w:val="32"/>
        </w:rPr>
        <w:t>万元。</w:t>
      </w:r>
    </w:p>
    <w:p>
      <w:pPr>
        <w:numPr>
          <w:ilvl w:val="0"/>
          <w:numId w:val="3"/>
        </w:numPr>
        <w:spacing w:line="600" w:lineRule="exact"/>
        <w:ind w:firstLine="640"/>
        <w:outlineLvl w:val="1"/>
        <w:rPr>
          <w:rStyle w:val="31"/>
          <w:rFonts w:ascii="黑体" w:hAnsi="黑体" w:eastAsia="黑体"/>
          <w:b w:val="0"/>
        </w:rPr>
      </w:pPr>
      <w:bookmarkStart w:id="44" w:name="_Toc15377221"/>
      <w:bookmarkStart w:id="45" w:name="_Toc15396612"/>
      <w:r>
        <w:rPr>
          <w:rStyle w:val="31"/>
          <w:rFonts w:hint="eastAsia" w:ascii="黑体" w:hAnsi="黑体" w:eastAsia="黑体"/>
          <w:b w:val="0"/>
        </w:rPr>
        <w:t>其他重要事项的情况说明</w:t>
      </w:r>
      <w:bookmarkEnd w:id="44"/>
      <w:bookmarkEnd w:id="45"/>
    </w:p>
    <w:p>
      <w:pPr>
        <w:spacing w:line="600" w:lineRule="exact"/>
        <w:ind w:firstLine="643" w:firstLineChars="200"/>
        <w:outlineLvl w:val="2"/>
        <w:rPr>
          <w:rFonts w:ascii="仿宋" w:hAnsi="仿宋" w:eastAsia="仿宋"/>
          <w:sz w:val="32"/>
          <w:szCs w:val="32"/>
        </w:rPr>
      </w:pPr>
      <w:bookmarkStart w:id="46" w:name="_Toc15377222"/>
      <w:r>
        <w:rPr>
          <w:rFonts w:hint="eastAsia" w:ascii="仿宋" w:hAnsi="仿宋" w:eastAsia="仿宋"/>
          <w:b/>
          <w:sz w:val="32"/>
          <w:szCs w:val="32"/>
        </w:rPr>
        <w:t>（一）机关运行经费支出情况</w:t>
      </w:r>
      <w:bookmarkEnd w:id="46"/>
    </w:p>
    <w:p>
      <w:pPr>
        <w:spacing w:line="600" w:lineRule="exact"/>
        <w:ind w:firstLine="640" w:firstLineChars="200"/>
        <w:rPr>
          <w:rFonts w:ascii="仿宋_GB2312" w:eastAsia="仿宋_GB2312"/>
          <w:sz w:val="32"/>
          <w:szCs w:val="32"/>
        </w:rPr>
      </w:pPr>
      <w:r>
        <w:rPr>
          <w:rFonts w:ascii="仿宋_GB2312" w:eastAsia="仿宋_GB2312"/>
          <w:sz w:val="32"/>
          <w:szCs w:val="32"/>
        </w:rPr>
        <w:t>20</w:t>
      </w:r>
      <w:r>
        <w:rPr>
          <w:rFonts w:hint="eastAsia" w:ascii="仿宋_GB2312" w:eastAsia="仿宋_GB2312"/>
          <w:sz w:val="32"/>
          <w:szCs w:val="32"/>
        </w:rPr>
        <w:t>22年，县科协机关运行经费支出</w:t>
      </w:r>
      <w:r>
        <w:rPr>
          <w:rFonts w:ascii="仿宋_GB2312" w:eastAsia="仿宋_GB2312"/>
          <w:sz w:val="32"/>
          <w:szCs w:val="32"/>
        </w:rPr>
        <w:t>14.23</w:t>
      </w:r>
      <w:r>
        <w:rPr>
          <w:rFonts w:hint="eastAsia" w:ascii="仿宋_GB2312" w:eastAsia="仿宋_GB2312"/>
          <w:sz w:val="32"/>
          <w:szCs w:val="32"/>
        </w:rPr>
        <w:t>万元，比</w:t>
      </w:r>
      <w:r>
        <w:rPr>
          <w:rFonts w:ascii="仿宋_GB2312" w:eastAsia="仿宋_GB2312"/>
          <w:sz w:val="32"/>
          <w:szCs w:val="32"/>
        </w:rPr>
        <w:t>20</w:t>
      </w:r>
      <w:r>
        <w:rPr>
          <w:rFonts w:hint="eastAsia" w:ascii="仿宋_GB2312" w:eastAsia="仿宋_GB2312"/>
          <w:sz w:val="32"/>
          <w:szCs w:val="32"/>
        </w:rPr>
        <w:t>21年减少</w:t>
      </w:r>
      <w:r>
        <w:rPr>
          <w:rFonts w:ascii="仿宋_GB2312" w:eastAsia="仿宋_GB2312"/>
          <w:sz w:val="32"/>
          <w:szCs w:val="32"/>
        </w:rPr>
        <w:t>4.12</w:t>
      </w:r>
      <w:r>
        <w:rPr>
          <w:rFonts w:hint="eastAsia" w:ascii="仿宋_GB2312" w:eastAsia="仿宋_GB2312"/>
          <w:sz w:val="32"/>
          <w:szCs w:val="32"/>
        </w:rPr>
        <w:t>万元，下降</w:t>
      </w:r>
      <w:r>
        <w:rPr>
          <w:rFonts w:ascii="仿宋_GB2312" w:eastAsia="仿宋_GB2312"/>
          <w:sz w:val="32"/>
          <w:szCs w:val="32"/>
        </w:rPr>
        <w:t>22.44%</w:t>
      </w:r>
      <w:r>
        <w:rPr>
          <w:rFonts w:hint="eastAsia" w:ascii="仿宋_GB2312" w:eastAsia="仿宋_GB2312"/>
          <w:sz w:val="32"/>
          <w:szCs w:val="32"/>
        </w:rPr>
        <w:t>。主要原因是当年预算安排适度增加。</w:t>
      </w:r>
    </w:p>
    <w:p>
      <w:pPr>
        <w:autoSpaceDE w:val="0"/>
        <w:autoSpaceDN w:val="0"/>
        <w:adjustRightInd w:val="0"/>
        <w:spacing w:line="600" w:lineRule="exact"/>
        <w:ind w:firstLine="643" w:firstLineChars="200"/>
        <w:jc w:val="left"/>
        <w:outlineLvl w:val="2"/>
        <w:rPr>
          <w:rFonts w:ascii="仿宋" w:hAnsi="仿宋" w:eastAsia="仿宋"/>
          <w:b/>
          <w:sz w:val="32"/>
          <w:szCs w:val="32"/>
        </w:rPr>
      </w:pPr>
      <w:bookmarkStart w:id="47" w:name="_Toc15377223"/>
      <w:r>
        <w:rPr>
          <w:rFonts w:hint="eastAsia" w:ascii="仿宋" w:hAnsi="仿宋" w:eastAsia="仿宋"/>
          <w:b/>
          <w:sz w:val="32"/>
          <w:szCs w:val="32"/>
        </w:rPr>
        <w:t>（二）政府采购支出情况</w:t>
      </w:r>
      <w:bookmarkEnd w:id="47"/>
    </w:p>
    <w:p>
      <w:pPr>
        <w:spacing w:line="600" w:lineRule="exact"/>
        <w:ind w:firstLine="640" w:firstLineChars="200"/>
        <w:rPr>
          <w:rFonts w:ascii="仿宋_GB2312" w:eastAsia="仿宋_GB2312"/>
          <w:sz w:val="32"/>
          <w:szCs w:val="32"/>
        </w:rPr>
      </w:pPr>
      <w:r>
        <w:rPr>
          <w:rFonts w:ascii="仿宋_GB2312" w:eastAsia="仿宋_GB2312"/>
          <w:sz w:val="32"/>
          <w:szCs w:val="32"/>
        </w:rPr>
        <w:t>20</w:t>
      </w:r>
      <w:r>
        <w:rPr>
          <w:rFonts w:hint="eastAsia" w:ascii="仿宋_GB2312" w:eastAsia="仿宋_GB2312"/>
          <w:sz w:val="32"/>
          <w:szCs w:val="32"/>
        </w:rPr>
        <w:t>22年，县科协政府采购支出总额</w:t>
      </w:r>
      <w:r>
        <w:rPr>
          <w:rFonts w:ascii="仿宋_GB2312" w:eastAsia="仿宋_GB2312"/>
          <w:sz w:val="32"/>
          <w:szCs w:val="32"/>
        </w:rPr>
        <w:t>0</w:t>
      </w:r>
      <w:r>
        <w:rPr>
          <w:rFonts w:hint="eastAsia" w:ascii="仿宋_GB2312" w:eastAsia="仿宋_GB2312"/>
          <w:sz w:val="32"/>
          <w:szCs w:val="32"/>
        </w:rPr>
        <w:t>万元，其中：政府采购货物支出</w:t>
      </w:r>
      <w:r>
        <w:rPr>
          <w:rFonts w:ascii="仿宋_GB2312" w:eastAsia="仿宋_GB2312"/>
          <w:sz w:val="32"/>
          <w:szCs w:val="32"/>
        </w:rPr>
        <w:t>0</w:t>
      </w:r>
      <w:r>
        <w:rPr>
          <w:rFonts w:hint="eastAsia" w:ascii="仿宋_GB2312" w:eastAsia="仿宋_GB2312"/>
          <w:sz w:val="32"/>
          <w:szCs w:val="32"/>
        </w:rPr>
        <w:t>万元、政府采购工程支出</w:t>
      </w:r>
      <w:r>
        <w:rPr>
          <w:rFonts w:ascii="仿宋_GB2312" w:eastAsia="仿宋_GB2312"/>
          <w:sz w:val="32"/>
          <w:szCs w:val="32"/>
        </w:rPr>
        <w:t>0</w:t>
      </w:r>
      <w:r>
        <w:rPr>
          <w:rFonts w:hint="eastAsia" w:ascii="仿宋_GB2312" w:eastAsia="仿宋_GB2312"/>
          <w:sz w:val="32"/>
          <w:szCs w:val="32"/>
        </w:rPr>
        <w:t>万元、政府采购服务支出</w:t>
      </w:r>
      <w:r>
        <w:rPr>
          <w:rFonts w:ascii="仿宋_GB2312" w:eastAsia="仿宋_GB2312"/>
          <w:sz w:val="32"/>
          <w:szCs w:val="32"/>
        </w:rPr>
        <w:t>0</w:t>
      </w:r>
      <w:r>
        <w:rPr>
          <w:rFonts w:hint="eastAsia" w:ascii="仿宋_GB2312" w:eastAsia="仿宋_GB2312"/>
          <w:sz w:val="32"/>
          <w:szCs w:val="32"/>
        </w:rPr>
        <w:t>万元。</w:t>
      </w:r>
    </w:p>
    <w:p>
      <w:pPr>
        <w:autoSpaceDE w:val="0"/>
        <w:autoSpaceDN w:val="0"/>
        <w:adjustRightInd w:val="0"/>
        <w:spacing w:line="600" w:lineRule="exact"/>
        <w:ind w:firstLine="643" w:firstLineChars="200"/>
        <w:jc w:val="left"/>
        <w:outlineLvl w:val="2"/>
        <w:rPr>
          <w:rFonts w:ascii="仿宋" w:hAnsi="仿宋" w:eastAsia="仿宋"/>
          <w:b/>
          <w:sz w:val="32"/>
          <w:szCs w:val="32"/>
        </w:rPr>
      </w:pPr>
      <w:bookmarkStart w:id="48" w:name="_Toc15377224"/>
      <w:r>
        <w:rPr>
          <w:rFonts w:hint="eastAsia" w:ascii="仿宋" w:hAnsi="仿宋" w:eastAsia="仿宋"/>
          <w:b/>
          <w:sz w:val="32"/>
          <w:szCs w:val="32"/>
        </w:rPr>
        <w:t>（三）国有资产占有使用情况</w:t>
      </w:r>
      <w:bookmarkEnd w:id="48"/>
    </w:p>
    <w:p>
      <w:pPr>
        <w:autoSpaceDE w:val="0"/>
        <w:autoSpaceDN w:val="0"/>
        <w:adjustRightInd w:val="0"/>
        <w:spacing w:line="600" w:lineRule="exact"/>
        <w:ind w:firstLine="640" w:firstLineChars="200"/>
        <w:jc w:val="left"/>
        <w:rPr>
          <w:rFonts w:ascii="仿宋_GB2312" w:eastAsia="仿宋_GB2312"/>
          <w:sz w:val="32"/>
          <w:szCs w:val="32"/>
        </w:rPr>
      </w:pPr>
      <w:r>
        <w:rPr>
          <w:rFonts w:hint="eastAsia" w:ascii="仿宋_GB2312" w:eastAsia="仿宋_GB2312"/>
          <w:sz w:val="32"/>
          <w:szCs w:val="32"/>
        </w:rPr>
        <w:t>截至</w:t>
      </w:r>
      <w:r>
        <w:rPr>
          <w:rFonts w:ascii="仿宋_GB2312" w:eastAsia="仿宋_GB2312"/>
          <w:sz w:val="32"/>
          <w:szCs w:val="32"/>
        </w:rPr>
        <w:t>20</w:t>
      </w:r>
      <w:r>
        <w:rPr>
          <w:rFonts w:hint="eastAsia" w:ascii="仿宋_GB2312" w:eastAsia="仿宋_GB2312"/>
          <w:sz w:val="32"/>
          <w:szCs w:val="32"/>
        </w:rPr>
        <w:t>22年</w:t>
      </w:r>
      <w:r>
        <w:rPr>
          <w:rFonts w:ascii="仿宋_GB2312" w:eastAsia="仿宋_GB2312"/>
          <w:sz w:val="32"/>
          <w:szCs w:val="32"/>
        </w:rPr>
        <w:t>12</w:t>
      </w:r>
      <w:r>
        <w:rPr>
          <w:rFonts w:hint="eastAsia" w:ascii="仿宋_GB2312" w:eastAsia="仿宋_GB2312"/>
          <w:sz w:val="32"/>
          <w:szCs w:val="32"/>
        </w:rPr>
        <w:t>月</w:t>
      </w:r>
      <w:r>
        <w:rPr>
          <w:rFonts w:ascii="仿宋_GB2312" w:eastAsia="仿宋_GB2312"/>
          <w:sz w:val="32"/>
          <w:szCs w:val="32"/>
        </w:rPr>
        <w:t>31</w:t>
      </w:r>
      <w:r>
        <w:rPr>
          <w:rFonts w:hint="eastAsia" w:ascii="仿宋_GB2312" w:eastAsia="仿宋_GB2312"/>
          <w:sz w:val="32"/>
          <w:szCs w:val="32"/>
        </w:rPr>
        <w:t>日，县科协共有车辆</w:t>
      </w:r>
      <w:r>
        <w:rPr>
          <w:rFonts w:ascii="仿宋_GB2312" w:eastAsia="仿宋_GB2312"/>
          <w:sz w:val="32"/>
          <w:szCs w:val="32"/>
        </w:rPr>
        <w:t>1</w:t>
      </w:r>
      <w:r>
        <w:rPr>
          <w:rFonts w:hint="eastAsia" w:ascii="仿宋_GB2312" w:eastAsia="仿宋_GB2312"/>
          <w:sz w:val="32"/>
          <w:szCs w:val="32"/>
        </w:rPr>
        <w:t>辆，其中：其他用车</w:t>
      </w:r>
      <w:r>
        <w:rPr>
          <w:rFonts w:ascii="仿宋_GB2312" w:eastAsia="仿宋_GB2312"/>
          <w:sz w:val="32"/>
          <w:szCs w:val="32"/>
        </w:rPr>
        <w:t>1</w:t>
      </w:r>
      <w:r>
        <w:rPr>
          <w:rFonts w:hint="eastAsia" w:ascii="仿宋_GB2312" w:eastAsia="仿宋_GB2312"/>
          <w:sz w:val="32"/>
          <w:szCs w:val="32"/>
        </w:rPr>
        <w:t>辆，其他用车主要是用于开展科普活动。单价</w:t>
      </w:r>
      <w:r>
        <w:rPr>
          <w:rFonts w:ascii="仿宋_GB2312" w:eastAsia="仿宋_GB2312"/>
          <w:sz w:val="32"/>
          <w:szCs w:val="32"/>
        </w:rPr>
        <w:t>100</w:t>
      </w:r>
      <w:r>
        <w:rPr>
          <w:rFonts w:hint="eastAsia" w:ascii="仿宋_GB2312" w:eastAsia="仿宋_GB2312"/>
          <w:sz w:val="32"/>
          <w:szCs w:val="32"/>
        </w:rPr>
        <w:t>万元以上专用设备</w:t>
      </w:r>
      <w:r>
        <w:rPr>
          <w:rFonts w:ascii="仿宋_GB2312" w:eastAsia="仿宋_GB2312"/>
          <w:sz w:val="32"/>
          <w:szCs w:val="32"/>
        </w:rPr>
        <w:t>0</w:t>
      </w:r>
      <w:r>
        <w:rPr>
          <w:rFonts w:hint="eastAsia" w:ascii="仿宋_GB2312" w:eastAsia="仿宋_GB2312"/>
          <w:sz w:val="32"/>
          <w:szCs w:val="32"/>
        </w:rPr>
        <w:t>台（套）。</w:t>
      </w:r>
    </w:p>
    <w:p>
      <w:pPr>
        <w:autoSpaceDE w:val="0"/>
        <w:autoSpaceDN w:val="0"/>
        <w:adjustRightInd w:val="0"/>
        <w:spacing w:line="600" w:lineRule="exact"/>
        <w:ind w:firstLine="643" w:firstLineChars="200"/>
        <w:jc w:val="left"/>
        <w:outlineLvl w:val="2"/>
        <w:rPr>
          <w:rFonts w:ascii="仿宋" w:hAnsi="仿宋" w:eastAsia="仿宋"/>
          <w:b/>
          <w:sz w:val="32"/>
          <w:szCs w:val="32"/>
        </w:rPr>
      </w:pPr>
      <w:r>
        <w:rPr>
          <w:rFonts w:hint="eastAsia" w:ascii="仿宋" w:hAnsi="仿宋" w:eastAsia="仿宋"/>
          <w:b/>
          <w:sz w:val="32"/>
          <w:szCs w:val="32"/>
        </w:rPr>
        <w:t>（四）预算绩效管理情况</w:t>
      </w:r>
    </w:p>
    <w:p>
      <w:pPr>
        <w:widowControl/>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根据预算绩效管理要求，本部门在2022年度预算编制阶段，组织对2022年度一般公共预算资金全面开展绩效自评，形成县科协部门整体（含部门预算项目）绩效自评报告，其中，县科协部门整体（含部门预算项目）绩效自评得分为</w:t>
      </w:r>
      <w:r>
        <w:rPr>
          <w:rFonts w:ascii="仿宋_GB2312" w:hAnsi="仿宋_GB2312" w:eastAsia="仿宋_GB2312" w:cs="仿宋_GB2312"/>
          <w:sz w:val="32"/>
          <w:szCs w:val="32"/>
        </w:rPr>
        <w:t>97.10</w:t>
      </w:r>
      <w:r>
        <w:rPr>
          <w:rFonts w:hint="eastAsia" w:ascii="仿宋_GB2312" w:hAnsi="仿宋_GB2312" w:eastAsia="仿宋_GB2312" w:cs="仿宋_GB2312"/>
          <w:sz w:val="32"/>
          <w:szCs w:val="32"/>
        </w:rPr>
        <w:t>分，绩效自评综述：较好地完成了绩效目标各项任务，有效保障了科协系统正常运转，有力推动了全县科协事业不断发展。部门整体绩效评价报告详见附件。</w:t>
      </w:r>
      <w:bookmarkStart w:id="49" w:name="_Toc15396613"/>
      <w:bookmarkStart w:id="50" w:name="_Toc15377225"/>
    </w:p>
    <w:p>
      <w:pPr>
        <w:widowControl/>
        <w:ind w:firstLine="640" w:firstLineChars="200"/>
        <w:jc w:val="left"/>
        <w:rPr>
          <w:rFonts w:ascii="仿宋_GB2312" w:hAnsi="仿宋_GB2312" w:eastAsia="仿宋_GB2312" w:cs="仿宋_GB2312"/>
          <w:sz w:val="32"/>
          <w:szCs w:val="32"/>
        </w:rPr>
      </w:pPr>
    </w:p>
    <w:p>
      <w:pPr>
        <w:widowControl/>
        <w:ind w:firstLine="640" w:firstLineChars="200"/>
        <w:jc w:val="left"/>
        <w:rPr>
          <w:rFonts w:ascii="仿宋_GB2312" w:hAnsi="仿宋_GB2312" w:eastAsia="仿宋_GB2312" w:cs="仿宋_GB2312"/>
          <w:sz w:val="32"/>
          <w:szCs w:val="32"/>
        </w:rPr>
      </w:pPr>
    </w:p>
    <w:p>
      <w:pPr>
        <w:widowControl/>
        <w:ind w:firstLine="640" w:firstLineChars="200"/>
        <w:jc w:val="left"/>
        <w:rPr>
          <w:rFonts w:ascii="仿宋_GB2312" w:hAnsi="仿宋_GB2312" w:eastAsia="仿宋_GB2312" w:cs="仿宋_GB2312"/>
          <w:sz w:val="32"/>
          <w:szCs w:val="32"/>
        </w:rPr>
      </w:pPr>
    </w:p>
    <w:p>
      <w:pPr>
        <w:pStyle w:val="2"/>
        <w:spacing w:before="93"/>
      </w:pPr>
    </w:p>
    <w:p>
      <w:pPr>
        <w:pStyle w:val="2"/>
        <w:spacing w:before="93"/>
      </w:pPr>
    </w:p>
    <w:p>
      <w:pPr>
        <w:pStyle w:val="2"/>
        <w:spacing w:before="93"/>
      </w:pPr>
    </w:p>
    <w:p>
      <w:pPr>
        <w:pStyle w:val="2"/>
        <w:spacing w:before="93"/>
      </w:pPr>
    </w:p>
    <w:p>
      <w:pPr>
        <w:pStyle w:val="2"/>
        <w:spacing w:before="93"/>
      </w:pPr>
    </w:p>
    <w:p>
      <w:pPr>
        <w:pStyle w:val="2"/>
        <w:spacing w:before="93"/>
      </w:pPr>
    </w:p>
    <w:p>
      <w:pPr>
        <w:pStyle w:val="2"/>
        <w:spacing w:before="93"/>
      </w:pPr>
    </w:p>
    <w:p>
      <w:pPr>
        <w:pStyle w:val="2"/>
        <w:spacing w:before="93"/>
        <w:rPr>
          <w:rFonts w:hint="eastAsia"/>
        </w:rPr>
      </w:pPr>
    </w:p>
    <w:p>
      <w:pPr>
        <w:pStyle w:val="2"/>
        <w:spacing w:before="93"/>
      </w:pPr>
    </w:p>
    <w:p>
      <w:pPr>
        <w:pStyle w:val="2"/>
        <w:spacing w:before="93"/>
      </w:pPr>
    </w:p>
    <w:p>
      <w:pPr>
        <w:widowControl/>
        <w:ind w:firstLine="640" w:firstLineChars="200"/>
        <w:jc w:val="left"/>
        <w:rPr>
          <w:rFonts w:ascii="仿宋_GB2312" w:hAnsi="仿宋_GB2312" w:eastAsia="仿宋_GB2312" w:cs="仿宋_GB2312"/>
          <w:sz w:val="32"/>
          <w:szCs w:val="32"/>
        </w:rPr>
      </w:pPr>
    </w:p>
    <w:p>
      <w:pPr>
        <w:widowControl/>
        <w:ind w:firstLine="880" w:firstLineChars="200"/>
        <w:jc w:val="left"/>
        <w:rPr>
          <w:rStyle w:val="30"/>
          <w:rFonts w:ascii="黑体" w:hAnsi="黑体" w:eastAsia="黑体"/>
          <w:b w:val="0"/>
        </w:rPr>
      </w:pPr>
      <w:r>
        <w:rPr>
          <w:rFonts w:hint="eastAsia" w:ascii="黑体" w:hAnsi="黑体" w:eastAsia="黑体"/>
          <w:sz w:val="44"/>
          <w:szCs w:val="44"/>
        </w:rPr>
        <w:t>名</w:t>
      </w:r>
      <w:r>
        <w:rPr>
          <w:rStyle w:val="30"/>
          <w:rFonts w:hint="eastAsia" w:ascii="黑体" w:hAnsi="黑体" w:eastAsia="黑体"/>
          <w:b w:val="0"/>
        </w:rPr>
        <w:t>词解释</w:t>
      </w:r>
      <w:bookmarkEnd w:id="49"/>
      <w:bookmarkEnd w:id="50"/>
    </w:p>
    <w:p>
      <w:pPr>
        <w:spacing w:line="600" w:lineRule="exact"/>
        <w:jc w:val="left"/>
        <w:rPr>
          <w:rFonts w:ascii="宋体"/>
          <w:b/>
          <w:sz w:val="44"/>
          <w:szCs w:val="44"/>
        </w:rPr>
      </w:pPr>
    </w:p>
    <w:p>
      <w:pPr>
        <w:pStyle w:val="28"/>
        <w:spacing w:line="560" w:lineRule="exact"/>
        <w:ind w:firstLine="640" w:firstLineChars="200"/>
        <w:rPr>
          <w:rFonts w:ascii="仿宋_GB2312" w:eastAsia="仿宋_GB2312"/>
          <w:color w:val="auto"/>
          <w:sz w:val="32"/>
          <w:szCs w:val="32"/>
        </w:rPr>
      </w:pPr>
      <w:r>
        <w:rPr>
          <w:rFonts w:ascii="仿宋_GB2312" w:eastAsia="仿宋_GB2312"/>
          <w:color w:val="auto"/>
          <w:sz w:val="32"/>
          <w:szCs w:val="32"/>
        </w:rPr>
        <w:t>1.</w:t>
      </w:r>
      <w:r>
        <w:rPr>
          <w:rFonts w:hint="eastAsia" w:ascii="仿宋_GB2312" w:eastAsia="仿宋_GB2312"/>
          <w:color w:val="auto"/>
          <w:sz w:val="32"/>
          <w:szCs w:val="32"/>
        </w:rPr>
        <w:t>财政拨款收入：指单位从同级财政部门取得的财政预算资金。</w:t>
      </w:r>
    </w:p>
    <w:p>
      <w:pPr>
        <w:pStyle w:val="28"/>
        <w:spacing w:line="560" w:lineRule="exact"/>
        <w:ind w:firstLine="640" w:firstLineChars="200"/>
        <w:rPr>
          <w:rFonts w:ascii="仿宋_GB2312" w:eastAsia="仿宋_GB2312"/>
          <w:color w:val="auto"/>
          <w:sz w:val="32"/>
          <w:szCs w:val="32"/>
        </w:rPr>
      </w:pPr>
      <w:r>
        <w:rPr>
          <w:rFonts w:ascii="仿宋_GB2312" w:eastAsia="仿宋_GB2312"/>
          <w:color w:val="auto"/>
          <w:sz w:val="32"/>
          <w:szCs w:val="32"/>
        </w:rPr>
        <w:t>2.科学技术（类）科学技术普及（款）机构运行（项）：指反映科普事业单位的基本支出。</w:t>
      </w:r>
    </w:p>
    <w:p>
      <w:pPr>
        <w:spacing w:line="336" w:lineRule="auto"/>
        <w:ind w:left="-15" w:right="288" w:firstLine="641"/>
        <w:rPr>
          <w:rFonts w:ascii="仿宋_GB2312" w:hAnsi="Calibri" w:eastAsia="仿宋_GB2312" w:cs="仿宋"/>
          <w:kern w:val="0"/>
          <w:sz w:val="32"/>
          <w:szCs w:val="32"/>
        </w:rPr>
      </w:pPr>
      <w:r>
        <w:rPr>
          <w:rFonts w:ascii="仿宋_GB2312" w:hAnsi="Calibri" w:eastAsia="仿宋_GB2312" w:cs="仿宋"/>
          <w:kern w:val="0"/>
          <w:sz w:val="32"/>
          <w:szCs w:val="32"/>
        </w:rPr>
        <w:t>3.社会保障和就业（类）行政事业单位养老支出（款）机关事业单位基本养老保险缴费支出（项）：</w:t>
      </w:r>
      <w:r>
        <w:rPr>
          <w:rFonts w:hint="eastAsia" w:ascii="仿宋_GB2312" w:hAnsi="Calibri" w:eastAsia="仿宋_GB2312" w:cs="仿宋"/>
          <w:kern w:val="0"/>
          <w:sz w:val="32"/>
          <w:szCs w:val="32"/>
          <w:lang w:eastAsia="zh-CN"/>
        </w:rPr>
        <w:t>指</w:t>
      </w:r>
      <w:r>
        <w:rPr>
          <w:rFonts w:ascii="仿宋_GB2312" w:hAnsi="Calibri" w:eastAsia="仿宋_GB2312" w:cs="仿宋"/>
          <w:kern w:val="0"/>
          <w:sz w:val="32"/>
          <w:szCs w:val="32"/>
        </w:rPr>
        <w:t>反映机关事业单位实施养老保险制度由单位缴纳的基本养老保险费</w:t>
      </w:r>
      <w:r>
        <w:rPr>
          <w:rFonts w:hint="eastAsia" w:ascii="仿宋_GB2312" w:hAnsi="Calibri" w:eastAsia="仿宋_GB2312" w:cs="仿宋"/>
          <w:kern w:val="0"/>
          <w:sz w:val="32"/>
          <w:szCs w:val="32"/>
          <w:lang w:eastAsia="zh-CN"/>
        </w:rPr>
        <w:t>支出</w:t>
      </w:r>
      <w:r>
        <w:rPr>
          <w:rFonts w:ascii="仿宋_GB2312" w:hAnsi="Calibri" w:eastAsia="仿宋_GB2312" w:cs="仿宋"/>
          <w:kern w:val="0"/>
          <w:sz w:val="32"/>
          <w:szCs w:val="32"/>
        </w:rPr>
        <w:t>。</w:t>
      </w:r>
    </w:p>
    <w:p>
      <w:pPr>
        <w:pStyle w:val="28"/>
        <w:spacing w:line="560" w:lineRule="exact"/>
        <w:ind w:firstLine="640" w:firstLineChars="200"/>
        <w:rPr>
          <w:rFonts w:ascii="仿宋_GB2312" w:eastAsia="仿宋_GB2312"/>
          <w:color w:val="auto"/>
          <w:sz w:val="32"/>
          <w:szCs w:val="32"/>
        </w:rPr>
      </w:pPr>
      <w:r>
        <w:rPr>
          <w:rFonts w:ascii="仿宋_GB2312" w:eastAsia="仿宋_GB2312"/>
          <w:color w:val="auto"/>
          <w:sz w:val="32"/>
          <w:szCs w:val="32"/>
        </w:rPr>
        <w:t>4.卫生健康支出（类）行政事业单位医疗（款）行政单位医疗（项）：指反映财政部门安排的行政单位基本医疗保险缴费经费。</w:t>
      </w:r>
    </w:p>
    <w:p>
      <w:pPr>
        <w:pStyle w:val="28"/>
        <w:spacing w:line="560" w:lineRule="exact"/>
        <w:ind w:firstLine="640" w:firstLineChars="200"/>
        <w:rPr>
          <w:rFonts w:ascii="仿宋_GB2312" w:eastAsia="仿宋_GB2312"/>
          <w:color w:val="auto"/>
          <w:sz w:val="32"/>
          <w:szCs w:val="32"/>
        </w:rPr>
      </w:pPr>
      <w:r>
        <w:rPr>
          <w:rFonts w:ascii="仿宋_GB2312" w:eastAsia="仿宋_GB2312"/>
          <w:color w:val="auto"/>
          <w:sz w:val="32"/>
          <w:szCs w:val="32"/>
        </w:rPr>
        <w:t>5.住房保障支出（类）住房改革支出（款）住房公积金（项）</w:t>
      </w:r>
      <w:r>
        <w:rPr>
          <w:rFonts w:hint="eastAsia" w:ascii="仿宋_GB2312" w:eastAsia="仿宋_GB2312"/>
          <w:color w:val="auto"/>
          <w:sz w:val="32"/>
          <w:szCs w:val="32"/>
          <w:lang w:eastAsia="zh-CN"/>
        </w:rPr>
        <w:t>：</w:t>
      </w:r>
      <w:r>
        <w:rPr>
          <w:rFonts w:ascii="仿宋_GB2312" w:eastAsia="仿宋_GB2312"/>
          <w:color w:val="auto"/>
          <w:sz w:val="32"/>
          <w:szCs w:val="32"/>
        </w:rPr>
        <w:t>反映行政事业单位按人力资源和社会保障部、财政部规定的基本工资和津贴补贴以及规定比例为职工缴纳的住房公积金。</w:t>
      </w:r>
    </w:p>
    <w:p>
      <w:pPr>
        <w:ind w:firstLine="640" w:firstLineChars="200"/>
        <w:rPr>
          <w:rFonts w:ascii="仿宋_GB2312" w:eastAsia="仿宋_GB2312"/>
          <w:sz w:val="32"/>
          <w:szCs w:val="32"/>
        </w:rPr>
      </w:pPr>
      <w:r>
        <w:rPr>
          <w:rFonts w:ascii="仿宋_GB2312" w:eastAsia="仿宋_GB2312"/>
          <w:sz w:val="32"/>
          <w:szCs w:val="32"/>
        </w:rPr>
        <w:t>6.</w:t>
      </w:r>
      <w:r>
        <w:rPr>
          <w:rFonts w:hint="eastAsia" w:ascii="仿宋_GB2312" w:eastAsia="仿宋_GB2312"/>
          <w:sz w:val="32"/>
          <w:szCs w:val="32"/>
        </w:rPr>
        <w:t>基本支出：指为保障机构正常运转、完成日常工作任务而发生的人员支出和公用支出。</w:t>
      </w:r>
    </w:p>
    <w:p>
      <w:pPr>
        <w:pStyle w:val="28"/>
        <w:spacing w:line="560" w:lineRule="exact"/>
        <w:ind w:firstLine="640" w:firstLineChars="200"/>
        <w:rPr>
          <w:rFonts w:ascii="仿宋_GB2312" w:eastAsia="仿宋_GB2312"/>
          <w:color w:val="auto"/>
          <w:sz w:val="32"/>
          <w:szCs w:val="32"/>
        </w:rPr>
      </w:pPr>
      <w:r>
        <w:rPr>
          <w:rFonts w:ascii="仿宋_GB2312" w:eastAsia="仿宋_GB2312"/>
          <w:color w:val="auto"/>
          <w:sz w:val="32"/>
          <w:szCs w:val="32"/>
        </w:rPr>
        <w:t>7.</w:t>
      </w:r>
      <w:r>
        <w:rPr>
          <w:rFonts w:hint="eastAsia" w:ascii="仿宋_GB2312" w:eastAsia="仿宋_GB2312"/>
          <w:color w:val="auto"/>
          <w:sz w:val="32"/>
          <w:szCs w:val="32"/>
        </w:rPr>
        <w:t>“三公”经费：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pPr>
        <w:pStyle w:val="28"/>
        <w:spacing w:line="560" w:lineRule="exact"/>
        <w:ind w:firstLine="640" w:firstLineChars="200"/>
        <w:rPr>
          <w:rFonts w:ascii="仿宋_GB2312" w:eastAsia="仿宋_GB2312"/>
          <w:color w:val="auto"/>
          <w:sz w:val="32"/>
          <w:szCs w:val="32"/>
        </w:rPr>
      </w:pPr>
      <w:r>
        <w:rPr>
          <w:rFonts w:ascii="仿宋_GB2312" w:eastAsia="仿宋_GB2312"/>
          <w:color w:val="auto"/>
          <w:sz w:val="32"/>
          <w:szCs w:val="32"/>
        </w:rPr>
        <w:t>8.</w:t>
      </w:r>
      <w:r>
        <w:rPr>
          <w:rFonts w:hint="eastAsia" w:ascii="仿宋_GB2312" w:eastAsia="仿宋_GB2312"/>
          <w:color w:val="auto"/>
          <w:sz w:val="32"/>
          <w:szCs w:val="32"/>
        </w:rPr>
        <w:t>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pPr>
        <w:spacing w:line="600" w:lineRule="exact"/>
        <w:jc w:val="center"/>
        <w:outlineLvl w:val="0"/>
        <w:rPr>
          <w:rFonts w:ascii="黑体" w:hAnsi="黑体" w:eastAsia="黑体"/>
          <w:sz w:val="44"/>
          <w:szCs w:val="44"/>
        </w:rPr>
      </w:pPr>
      <w:bookmarkStart w:id="51" w:name="_Toc15396614"/>
      <w:bookmarkStart w:id="52" w:name="_Toc15377226"/>
    </w:p>
    <w:p>
      <w:pPr>
        <w:spacing w:line="600" w:lineRule="exact"/>
        <w:jc w:val="center"/>
        <w:outlineLvl w:val="0"/>
        <w:rPr>
          <w:rFonts w:ascii="黑体" w:hAnsi="黑体" w:eastAsia="黑体"/>
          <w:sz w:val="44"/>
          <w:szCs w:val="44"/>
        </w:rPr>
      </w:pPr>
    </w:p>
    <w:p>
      <w:pPr>
        <w:spacing w:line="600" w:lineRule="exact"/>
        <w:jc w:val="center"/>
        <w:outlineLvl w:val="0"/>
        <w:rPr>
          <w:rFonts w:ascii="黑体" w:hAnsi="黑体" w:eastAsia="黑体"/>
          <w:sz w:val="44"/>
          <w:szCs w:val="44"/>
        </w:rPr>
      </w:pPr>
    </w:p>
    <w:p>
      <w:pPr>
        <w:spacing w:line="600" w:lineRule="exact"/>
        <w:jc w:val="center"/>
        <w:outlineLvl w:val="0"/>
        <w:rPr>
          <w:rFonts w:ascii="黑体" w:hAnsi="黑体" w:eastAsia="黑体"/>
          <w:sz w:val="44"/>
          <w:szCs w:val="44"/>
        </w:rPr>
      </w:pPr>
    </w:p>
    <w:p>
      <w:pPr>
        <w:spacing w:line="600" w:lineRule="exact"/>
        <w:jc w:val="center"/>
        <w:outlineLvl w:val="0"/>
        <w:rPr>
          <w:rFonts w:ascii="黑体" w:hAnsi="黑体" w:eastAsia="黑体"/>
          <w:sz w:val="44"/>
          <w:szCs w:val="44"/>
        </w:rPr>
      </w:pPr>
    </w:p>
    <w:p>
      <w:pPr>
        <w:spacing w:line="600" w:lineRule="exact"/>
        <w:jc w:val="center"/>
        <w:outlineLvl w:val="0"/>
        <w:rPr>
          <w:rFonts w:ascii="黑体" w:hAnsi="黑体" w:eastAsia="黑体"/>
          <w:sz w:val="44"/>
          <w:szCs w:val="44"/>
        </w:rPr>
      </w:pPr>
    </w:p>
    <w:p>
      <w:pPr>
        <w:spacing w:line="600" w:lineRule="exact"/>
        <w:jc w:val="center"/>
        <w:outlineLvl w:val="0"/>
        <w:rPr>
          <w:rFonts w:ascii="黑体" w:hAnsi="黑体" w:eastAsia="黑体"/>
          <w:sz w:val="44"/>
          <w:szCs w:val="44"/>
        </w:rPr>
      </w:pPr>
    </w:p>
    <w:p>
      <w:pPr>
        <w:spacing w:line="600" w:lineRule="exact"/>
        <w:jc w:val="center"/>
        <w:outlineLvl w:val="0"/>
        <w:rPr>
          <w:rFonts w:ascii="黑体" w:hAnsi="黑体" w:eastAsia="黑体"/>
          <w:sz w:val="44"/>
          <w:szCs w:val="44"/>
        </w:rPr>
      </w:pPr>
    </w:p>
    <w:p>
      <w:pPr>
        <w:spacing w:line="600" w:lineRule="exact"/>
        <w:jc w:val="center"/>
        <w:outlineLvl w:val="0"/>
        <w:rPr>
          <w:rFonts w:ascii="黑体" w:hAnsi="黑体" w:eastAsia="黑体"/>
          <w:sz w:val="44"/>
          <w:szCs w:val="44"/>
        </w:rPr>
      </w:pPr>
    </w:p>
    <w:p>
      <w:pPr>
        <w:spacing w:line="600" w:lineRule="exact"/>
        <w:jc w:val="center"/>
        <w:outlineLvl w:val="0"/>
        <w:rPr>
          <w:rFonts w:ascii="黑体" w:hAnsi="黑体" w:eastAsia="黑体"/>
          <w:sz w:val="44"/>
          <w:szCs w:val="44"/>
        </w:rPr>
      </w:pPr>
    </w:p>
    <w:p>
      <w:pPr>
        <w:spacing w:line="600" w:lineRule="exact"/>
        <w:jc w:val="center"/>
        <w:outlineLvl w:val="0"/>
        <w:rPr>
          <w:rFonts w:ascii="黑体" w:hAnsi="黑体" w:eastAsia="黑体"/>
          <w:sz w:val="44"/>
          <w:szCs w:val="44"/>
        </w:rPr>
      </w:pPr>
    </w:p>
    <w:p>
      <w:pPr>
        <w:spacing w:line="600" w:lineRule="exact"/>
        <w:jc w:val="center"/>
        <w:outlineLvl w:val="0"/>
        <w:rPr>
          <w:rFonts w:ascii="黑体" w:hAnsi="黑体" w:eastAsia="黑体"/>
          <w:sz w:val="44"/>
          <w:szCs w:val="44"/>
        </w:rPr>
      </w:pPr>
    </w:p>
    <w:p>
      <w:pPr>
        <w:spacing w:line="600" w:lineRule="exact"/>
        <w:jc w:val="center"/>
        <w:outlineLvl w:val="0"/>
        <w:rPr>
          <w:rFonts w:ascii="黑体" w:hAnsi="黑体" w:eastAsia="黑体"/>
          <w:sz w:val="44"/>
          <w:szCs w:val="44"/>
        </w:rPr>
      </w:pPr>
    </w:p>
    <w:p>
      <w:pPr>
        <w:spacing w:line="600" w:lineRule="exact"/>
        <w:jc w:val="center"/>
        <w:outlineLvl w:val="0"/>
        <w:rPr>
          <w:rFonts w:ascii="黑体" w:hAnsi="黑体" w:eastAsia="黑体"/>
          <w:sz w:val="44"/>
          <w:szCs w:val="44"/>
        </w:rPr>
      </w:pPr>
    </w:p>
    <w:p>
      <w:pPr>
        <w:spacing w:line="600" w:lineRule="exact"/>
        <w:jc w:val="center"/>
        <w:outlineLvl w:val="0"/>
        <w:rPr>
          <w:rStyle w:val="30"/>
          <w:rFonts w:ascii="黑体" w:hAnsi="黑体" w:eastAsia="黑体"/>
          <w:b w:val="0"/>
        </w:rPr>
      </w:pPr>
      <w:r>
        <w:rPr>
          <w:rFonts w:hint="eastAsia" w:ascii="黑体" w:hAnsi="黑体" w:eastAsia="黑体"/>
          <w:sz w:val="44"/>
          <w:szCs w:val="44"/>
        </w:rPr>
        <w:t>第</w:t>
      </w:r>
      <w:r>
        <w:rPr>
          <w:rStyle w:val="30"/>
          <w:rFonts w:hint="eastAsia" w:ascii="黑体" w:hAnsi="黑体" w:eastAsia="黑体"/>
          <w:b w:val="0"/>
        </w:rPr>
        <w:t>四部分 附件</w:t>
      </w:r>
      <w:bookmarkEnd w:id="51"/>
    </w:p>
    <w:p>
      <w:pPr>
        <w:spacing w:line="572" w:lineRule="exact"/>
        <w:jc w:val="left"/>
        <w:outlineLvl w:val="0"/>
        <w:rPr>
          <w:rFonts w:ascii="方正小标宋简体" w:hAnsi="方正小标宋简体" w:eastAsia="方正小标宋简体" w:cs="方正小标宋简体"/>
          <w:sz w:val="44"/>
          <w:szCs w:val="44"/>
        </w:rPr>
      </w:pPr>
      <w:r>
        <w:rPr>
          <w:rFonts w:hint="eastAsia" w:ascii="黑体" w:hAnsi="黑体" w:eastAsia="黑体" w:cs="黑体"/>
          <w:sz w:val="32"/>
          <w:szCs w:val="32"/>
        </w:rPr>
        <w:t>附件</w:t>
      </w:r>
    </w:p>
    <w:p>
      <w:pPr>
        <w:widowControl/>
        <w:spacing w:line="560" w:lineRule="exact"/>
        <w:contextualSpacing/>
        <w:jc w:val="center"/>
        <w:rPr>
          <w:rFonts w:ascii="宋体" w:hAnsi="宋体"/>
          <w:b/>
          <w:sz w:val="32"/>
          <w:szCs w:val="32"/>
          <w:shd w:val="clear" w:color="auto" w:fill="FFFFFF"/>
        </w:rPr>
      </w:pPr>
      <w:r>
        <w:rPr>
          <w:rFonts w:hint="eastAsia" w:ascii="宋体" w:hAnsi="宋体"/>
          <w:b/>
          <w:sz w:val="32"/>
          <w:szCs w:val="32"/>
          <w:shd w:val="clear" w:color="auto" w:fill="FFFFFF"/>
        </w:rPr>
        <w:t>202</w:t>
      </w:r>
      <w:r>
        <w:rPr>
          <w:rFonts w:ascii="宋体" w:hAnsi="宋体"/>
          <w:b/>
          <w:sz w:val="32"/>
          <w:szCs w:val="32"/>
          <w:shd w:val="clear" w:color="auto" w:fill="FFFFFF"/>
        </w:rPr>
        <w:t>2</w:t>
      </w:r>
      <w:r>
        <w:rPr>
          <w:rFonts w:hint="eastAsia" w:ascii="宋体" w:hAnsi="宋体"/>
          <w:b/>
          <w:sz w:val="32"/>
          <w:szCs w:val="32"/>
          <w:shd w:val="clear" w:color="auto" w:fill="FFFFFF"/>
        </w:rPr>
        <w:t>年科协部门整体绩效评价报告</w:t>
      </w:r>
    </w:p>
    <w:p>
      <w:pPr>
        <w:widowControl/>
        <w:adjustRightInd w:val="0"/>
        <w:snapToGrid w:val="0"/>
        <w:spacing w:line="560" w:lineRule="exact"/>
        <w:ind w:firstLine="640" w:firstLineChars="200"/>
        <w:contextualSpacing/>
        <w:jc w:val="left"/>
        <w:rPr>
          <w:rFonts w:ascii="仿宋" w:hAnsi="仿宋" w:eastAsia="仿宋" w:cs="宋体"/>
          <w:kern w:val="0"/>
          <w:sz w:val="32"/>
          <w:szCs w:val="32"/>
          <w:shd w:val="clear" w:color="auto" w:fill="FFFFFF"/>
        </w:rPr>
      </w:pPr>
    </w:p>
    <w:p>
      <w:pPr>
        <w:widowControl/>
        <w:numPr>
          <w:ilvl w:val="0"/>
          <w:numId w:val="4"/>
        </w:numPr>
        <w:adjustRightInd w:val="0"/>
        <w:snapToGrid w:val="0"/>
        <w:spacing w:line="560" w:lineRule="exact"/>
        <w:ind w:firstLine="640" w:firstLineChars="200"/>
        <w:contextualSpacing/>
        <w:jc w:val="left"/>
        <w:rPr>
          <w:rFonts w:ascii="仿宋" w:hAnsi="仿宋" w:eastAsia="仿宋" w:cs="宋体"/>
          <w:kern w:val="0"/>
          <w:sz w:val="32"/>
          <w:szCs w:val="32"/>
          <w:shd w:val="clear" w:color="auto" w:fill="FFFFFF"/>
          <w:lang w:val="zh-CN"/>
        </w:rPr>
      </w:pPr>
      <w:r>
        <w:rPr>
          <w:rFonts w:hint="eastAsia" w:ascii="仿宋" w:hAnsi="仿宋" w:eastAsia="仿宋" w:cs="宋体"/>
          <w:kern w:val="0"/>
          <w:sz w:val="32"/>
          <w:szCs w:val="32"/>
          <w:shd w:val="clear" w:color="auto" w:fill="FFFFFF"/>
          <w:lang w:val="zh-CN"/>
        </w:rPr>
        <w:t>部门基本情况</w:t>
      </w:r>
    </w:p>
    <w:p>
      <w:pPr>
        <w:pStyle w:val="29"/>
        <w:widowControl/>
        <w:numPr>
          <w:ilvl w:val="0"/>
          <w:numId w:val="5"/>
        </w:numPr>
        <w:adjustRightInd w:val="0"/>
        <w:snapToGrid w:val="0"/>
        <w:spacing w:line="560" w:lineRule="exact"/>
        <w:ind w:firstLineChars="0"/>
        <w:contextualSpacing/>
        <w:jc w:val="left"/>
        <w:rPr>
          <w:rFonts w:ascii="仿宋" w:hAnsi="仿宋" w:eastAsia="仿宋" w:cs="楷体_GB2312"/>
          <w:b/>
          <w:bCs/>
          <w:kern w:val="0"/>
          <w:sz w:val="32"/>
          <w:szCs w:val="32"/>
          <w:shd w:val="clear" w:color="auto" w:fill="FFFFFF"/>
          <w:lang w:val="zh-CN"/>
        </w:rPr>
      </w:pPr>
      <w:r>
        <w:rPr>
          <w:rFonts w:hint="eastAsia" w:ascii="仿宋" w:hAnsi="仿宋" w:eastAsia="仿宋" w:cs="楷体_GB2312"/>
          <w:b/>
          <w:bCs/>
          <w:kern w:val="0"/>
          <w:sz w:val="32"/>
          <w:szCs w:val="32"/>
          <w:shd w:val="clear" w:color="auto" w:fill="FFFFFF"/>
          <w:lang w:val="zh-CN"/>
        </w:rPr>
        <w:t>机构组成。</w:t>
      </w:r>
    </w:p>
    <w:p>
      <w:pPr>
        <w:spacing w:after="18" w:line="560" w:lineRule="exact"/>
        <w:ind w:left="643" w:firstLine="320" w:firstLineChars="100"/>
        <w:rPr>
          <w:rFonts w:ascii="仿宋" w:hAnsi="仿宋" w:eastAsia="仿宋"/>
          <w:sz w:val="32"/>
          <w:szCs w:val="32"/>
        </w:rPr>
      </w:pPr>
      <w:r>
        <w:rPr>
          <w:rFonts w:ascii="仿宋" w:hAnsi="仿宋" w:eastAsia="仿宋" w:cs="仿宋"/>
          <w:sz w:val="32"/>
          <w:szCs w:val="32"/>
        </w:rPr>
        <w:t>县科协是科学技术工作者的群众组织，是中国共产党领导下的人民团体，是党和政府联系科学技术工作者的桥梁和纽带，是我县推动科学技术事业发展的重要力量。县科学技术协会机关设一室（办公室）两部（普及部、学会部）。下设有剑阁县老科协、</w:t>
      </w:r>
      <w:r>
        <w:rPr>
          <w:rFonts w:hint="eastAsia" w:ascii="仿宋" w:hAnsi="仿宋" w:eastAsia="仿宋" w:cs="宋体"/>
          <w:sz w:val="32"/>
          <w:szCs w:val="32"/>
        </w:rPr>
        <w:t>剑阁县反邪教协会。</w:t>
      </w:r>
    </w:p>
    <w:p>
      <w:pPr>
        <w:pStyle w:val="29"/>
        <w:widowControl/>
        <w:numPr>
          <w:ilvl w:val="0"/>
          <w:numId w:val="5"/>
        </w:numPr>
        <w:adjustRightInd w:val="0"/>
        <w:snapToGrid w:val="0"/>
        <w:spacing w:line="560" w:lineRule="exact"/>
        <w:ind w:firstLineChars="0"/>
        <w:contextualSpacing/>
        <w:jc w:val="left"/>
        <w:rPr>
          <w:rFonts w:ascii="仿宋" w:hAnsi="仿宋" w:eastAsia="仿宋" w:cs="楷体_GB2312"/>
          <w:b/>
          <w:bCs/>
          <w:kern w:val="0"/>
          <w:sz w:val="32"/>
          <w:szCs w:val="32"/>
          <w:shd w:val="clear" w:color="auto" w:fill="FFFFFF"/>
          <w:lang w:val="zh-CN"/>
        </w:rPr>
      </w:pPr>
      <w:r>
        <w:rPr>
          <w:rFonts w:hint="eastAsia" w:ascii="仿宋" w:hAnsi="仿宋" w:eastAsia="仿宋" w:cs="楷体_GB2312"/>
          <w:b/>
          <w:bCs/>
          <w:kern w:val="0"/>
          <w:sz w:val="32"/>
          <w:szCs w:val="32"/>
          <w:shd w:val="clear" w:color="auto" w:fill="FFFFFF"/>
          <w:lang w:val="zh-CN"/>
        </w:rPr>
        <w:t>机构职能</w:t>
      </w:r>
    </w:p>
    <w:p>
      <w:pPr>
        <w:widowControl/>
        <w:spacing w:after="159" w:line="560" w:lineRule="exact"/>
        <w:jc w:val="left"/>
        <w:rPr>
          <w:rFonts w:ascii="仿宋" w:hAnsi="仿宋" w:eastAsia="仿宋"/>
          <w:sz w:val="32"/>
          <w:szCs w:val="32"/>
        </w:rPr>
      </w:pPr>
      <w:r>
        <w:rPr>
          <w:rFonts w:hint="eastAsia" w:ascii="仿宋" w:hAnsi="仿宋" w:eastAsia="仿宋" w:cs="仿宋"/>
          <w:sz w:val="32"/>
          <w:szCs w:val="32"/>
        </w:rPr>
        <w:t>1</w:t>
      </w:r>
      <w:r>
        <w:rPr>
          <w:rFonts w:ascii="仿宋" w:hAnsi="仿宋" w:eastAsia="仿宋" w:cs="仿宋"/>
          <w:sz w:val="32"/>
          <w:szCs w:val="32"/>
        </w:rPr>
        <w:t>.开展学术交流，活跃学术思想，促进学科发展。</w:t>
      </w:r>
    </w:p>
    <w:p>
      <w:pPr>
        <w:widowControl/>
        <w:spacing w:after="18" w:line="560" w:lineRule="exact"/>
        <w:jc w:val="left"/>
        <w:rPr>
          <w:rFonts w:ascii="仿宋" w:hAnsi="仿宋" w:eastAsia="仿宋"/>
          <w:sz w:val="32"/>
          <w:szCs w:val="32"/>
        </w:rPr>
      </w:pPr>
      <w:r>
        <w:rPr>
          <w:rFonts w:hint="eastAsia" w:ascii="仿宋" w:hAnsi="仿宋" w:eastAsia="仿宋" w:cs="仿宋"/>
          <w:sz w:val="32"/>
          <w:szCs w:val="32"/>
        </w:rPr>
        <w:t>2</w:t>
      </w:r>
      <w:r>
        <w:rPr>
          <w:rFonts w:ascii="仿宋" w:hAnsi="仿宋" w:eastAsia="仿宋" w:cs="仿宋"/>
          <w:sz w:val="32"/>
          <w:szCs w:val="32"/>
        </w:rPr>
        <w:t>.弘扬科学精神，普及科学知识，传播科学思想和科学方法。捍卫科学尊严，推广先进技术，开展青少年科学技术教育活动，提高全民族科学文化素质。</w:t>
      </w:r>
    </w:p>
    <w:p>
      <w:pPr>
        <w:widowControl/>
        <w:spacing w:after="18" w:line="560" w:lineRule="exact"/>
        <w:jc w:val="left"/>
        <w:rPr>
          <w:rFonts w:ascii="仿宋" w:hAnsi="仿宋" w:eastAsia="仿宋"/>
          <w:sz w:val="32"/>
          <w:szCs w:val="32"/>
        </w:rPr>
      </w:pPr>
      <w:r>
        <w:rPr>
          <w:rFonts w:hint="eastAsia" w:ascii="仿宋" w:hAnsi="仿宋" w:eastAsia="仿宋" w:cs="仿宋"/>
          <w:sz w:val="32"/>
          <w:szCs w:val="32"/>
        </w:rPr>
        <w:t>3</w:t>
      </w:r>
      <w:r>
        <w:rPr>
          <w:rFonts w:ascii="仿宋" w:hAnsi="仿宋" w:eastAsia="仿宋" w:cs="仿宋"/>
          <w:sz w:val="32"/>
          <w:szCs w:val="32"/>
        </w:rPr>
        <w:t>.反映科学技术工作者的意见和要求，维护科学技术工作者的合法权益。组织科学技术工作者参与国家科学技术政策、法规制定和国家事务的政治协商、科学决策、民主监督工作。</w:t>
      </w:r>
    </w:p>
    <w:p>
      <w:pPr>
        <w:widowControl/>
        <w:spacing w:after="159" w:line="560" w:lineRule="exact"/>
        <w:jc w:val="left"/>
        <w:rPr>
          <w:rFonts w:ascii="仿宋" w:hAnsi="仿宋" w:eastAsia="仿宋"/>
          <w:sz w:val="32"/>
          <w:szCs w:val="32"/>
        </w:rPr>
      </w:pPr>
      <w:r>
        <w:rPr>
          <w:rFonts w:hint="eastAsia" w:ascii="仿宋" w:hAnsi="仿宋" w:eastAsia="仿宋" w:cs="仿宋"/>
          <w:sz w:val="32"/>
          <w:szCs w:val="32"/>
        </w:rPr>
        <w:t>4</w:t>
      </w:r>
      <w:r>
        <w:rPr>
          <w:rFonts w:ascii="仿宋" w:hAnsi="仿宋" w:eastAsia="仿宋" w:cs="仿宋"/>
          <w:sz w:val="32"/>
          <w:szCs w:val="32"/>
        </w:rPr>
        <w:t>.表彰奖励优秀科学技术工作者，举荐人才。</w:t>
      </w:r>
    </w:p>
    <w:p>
      <w:pPr>
        <w:widowControl/>
        <w:spacing w:after="18" w:line="560" w:lineRule="exact"/>
        <w:jc w:val="left"/>
        <w:rPr>
          <w:rFonts w:ascii="仿宋" w:hAnsi="仿宋" w:eastAsia="仿宋"/>
          <w:sz w:val="32"/>
          <w:szCs w:val="32"/>
        </w:rPr>
      </w:pPr>
      <w:r>
        <w:rPr>
          <w:rFonts w:hint="eastAsia" w:ascii="仿宋" w:hAnsi="仿宋" w:eastAsia="仿宋" w:cs="仿宋"/>
          <w:sz w:val="32"/>
          <w:szCs w:val="32"/>
        </w:rPr>
        <w:t>5</w:t>
      </w:r>
      <w:r>
        <w:rPr>
          <w:rFonts w:ascii="仿宋" w:hAnsi="仿宋" w:eastAsia="仿宋" w:cs="仿宋"/>
          <w:sz w:val="32"/>
          <w:szCs w:val="32"/>
        </w:rPr>
        <w:t>.开展科学论证、咨询服务，提出政策建议，促进科学技术成果的转化，接受委托承担项目评估、成果鉴定、专业技术职务资格评审等任务。</w:t>
      </w:r>
    </w:p>
    <w:p>
      <w:pPr>
        <w:widowControl/>
        <w:spacing w:after="159" w:line="560" w:lineRule="exact"/>
        <w:jc w:val="left"/>
        <w:rPr>
          <w:rFonts w:ascii="仿宋" w:hAnsi="仿宋" w:eastAsia="仿宋"/>
          <w:sz w:val="32"/>
          <w:szCs w:val="32"/>
        </w:rPr>
      </w:pPr>
      <w:r>
        <w:rPr>
          <w:rFonts w:hint="eastAsia" w:ascii="仿宋" w:hAnsi="仿宋" w:eastAsia="仿宋" w:cs="仿宋"/>
          <w:sz w:val="32"/>
          <w:szCs w:val="32"/>
        </w:rPr>
        <w:t>6</w:t>
      </w:r>
      <w:r>
        <w:rPr>
          <w:rFonts w:ascii="仿宋" w:hAnsi="仿宋" w:eastAsia="仿宋" w:cs="仿宋"/>
          <w:sz w:val="32"/>
          <w:szCs w:val="32"/>
        </w:rPr>
        <w:t>.开展继续教育和培训工作。7、承担县政府全民科学素质领导小组的日常工作。</w:t>
      </w:r>
    </w:p>
    <w:p>
      <w:pPr>
        <w:spacing w:after="159" w:line="560" w:lineRule="exact"/>
        <w:rPr>
          <w:rFonts w:ascii="仿宋" w:hAnsi="仿宋" w:eastAsia="仿宋"/>
          <w:sz w:val="32"/>
          <w:szCs w:val="32"/>
        </w:rPr>
      </w:pPr>
      <w:r>
        <w:rPr>
          <w:rFonts w:ascii="仿宋" w:hAnsi="仿宋" w:eastAsia="仿宋" w:cs="仿宋"/>
          <w:sz w:val="32"/>
          <w:szCs w:val="32"/>
        </w:rPr>
        <w:t>7.承办县委或县政府交办</w:t>
      </w:r>
      <w:r>
        <w:rPr>
          <w:rFonts w:hint="eastAsia" w:ascii="仿宋" w:hAnsi="仿宋" w:eastAsia="仿宋" w:cs="仿宋"/>
          <w:sz w:val="32"/>
          <w:szCs w:val="32"/>
          <w:lang w:eastAsia="zh-CN"/>
        </w:rPr>
        <w:t>的其他事项</w:t>
      </w:r>
      <w:r>
        <w:rPr>
          <w:rFonts w:ascii="仿宋" w:hAnsi="仿宋" w:eastAsia="仿宋" w:cs="仿宋"/>
          <w:sz w:val="32"/>
          <w:szCs w:val="32"/>
        </w:rPr>
        <w:t>。</w:t>
      </w:r>
    </w:p>
    <w:p>
      <w:pPr>
        <w:pStyle w:val="29"/>
        <w:widowControl/>
        <w:numPr>
          <w:ilvl w:val="0"/>
          <w:numId w:val="5"/>
        </w:numPr>
        <w:adjustRightInd w:val="0"/>
        <w:snapToGrid w:val="0"/>
        <w:spacing w:line="560" w:lineRule="exact"/>
        <w:ind w:firstLineChars="0"/>
        <w:contextualSpacing/>
        <w:jc w:val="left"/>
        <w:rPr>
          <w:rFonts w:ascii="仿宋" w:hAnsi="仿宋" w:eastAsia="仿宋" w:cs="楷体_GB2312"/>
          <w:b/>
          <w:bCs/>
          <w:kern w:val="0"/>
          <w:sz w:val="32"/>
          <w:szCs w:val="32"/>
          <w:shd w:val="clear" w:color="auto" w:fill="FFFFFF"/>
          <w:lang w:val="zh-CN"/>
        </w:rPr>
      </w:pPr>
      <w:r>
        <w:rPr>
          <w:rFonts w:hint="eastAsia" w:ascii="仿宋" w:hAnsi="仿宋" w:eastAsia="仿宋" w:cs="楷体_GB2312"/>
          <w:b/>
          <w:bCs/>
          <w:kern w:val="0"/>
          <w:sz w:val="32"/>
          <w:szCs w:val="32"/>
          <w:shd w:val="clear" w:color="auto" w:fill="FFFFFF"/>
          <w:lang w:val="zh-CN"/>
        </w:rPr>
        <w:t>人员概况。</w:t>
      </w:r>
    </w:p>
    <w:p>
      <w:pPr>
        <w:pStyle w:val="2"/>
        <w:spacing w:before="93" w:line="560" w:lineRule="exact"/>
        <w:rPr>
          <w:rFonts w:ascii="仿宋" w:hAnsi="仿宋" w:eastAsia="仿宋"/>
          <w:sz w:val="32"/>
          <w:szCs w:val="32"/>
          <w:lang w:val="zh-CN"/>
        </w:rPr>
      </w:pPr>
      <w:r>
        <w:rPr>
          <w:rFonts w:hint="eastAsia" w:ascii="仿宋" w:hAnsi="仿宋" w:eastAsia="仿宋"/>
          <w:sz w:val="32"/>
          <w:szCs w:val="32"/>
          <w:lang w:val="zh-CN"/>
        </w:rPr>
        <w:t>2</w:t>
      </w:r>
      <w:r>
        <w:rPr>
          <w:rFonts w:ascii="仿宋" w:hAnsi="仿宋" w:eastAsia="仿宋"/>
          <w:sz w:val="32"/>
          <w:szCs w:val="32"/>
          <w:lang w:val="zh-CN"/>
        </w:rPr>
        <w:t>022</w:t>
      </w:r>
      <w:r>
        <w:rPr>
          <w:rFonts w:hint="eastAsia" w:ascii="仿宋" w:hAnsi="仿宋" w:eastAsia="仿宋"/>
          <w:sz w:val="32"/>
          <w:szCs w:val="32"/>
          <w:lang w:val="zh-CN"/>
        </w:rPr>
        <w:t>年末，县科协在职人员实有人数8人，其中参照公务员法管理事业人员7人，非参公事业人员1人。</w:t>
      </w:r>
    </w:p>
    <w:p>
      <w:pPr>
        <w:pStyle w:val="29"/>
        <w:widowControl/>
        <w:numPr>
          <w:ilvl w:val="0"/>
          <w:numId w:val="5"/>
        </w:numPr>
        <w:adjustRightInd w:val="0"/>
        <w:snapToGrid w:val="0"/>
        <w:spacing w:line="560" w:lineRule="exact"/>
        <w:ind w:firstLineChars="0"/>
        <w:contextualSpacing/>
        <w:jc w:val="left"/>
        <w:rPr>
          <w:rFonts w:ascii="仿宋" w:hAnsi="仿宋" w:eastAsia="仿宋" w:cs="楷体_GB2312"/>
          <w:b/>
          <w:bCs/>
          <w:kern w:val="0"/>
          <w:sz w:val="32"/>
          <w:szCs w:val="32"/>
          <w:shd w:val="clear" w:color="auto" w:fill="FFFFFF"/>
          <w:lang w:val="zh-CN"/>
        </w:rPr>
      </w:pPr>
      <w:r>
        <w:rPr>
          <w:rFonts w:hint="eastAsia" w:ascii="仿宋" w:hAnsi="仿宋" w:eastAsia="仿宋" w:cs="楷体_GB2312"/>
          <w:b/>
          <w:bCs/>
          <w:kern w:val="0"/>
          <w:sz w:val="32"/>
          <w:szCs w:val="32"/>
          <w:shd w:val="clear" w:color="auto" w:fill="FFFFFF"/>
          <w:lang w:val="zh-CN"/>
        </w:rPr>
        <w:t>年度主要工作任务。</w:t>
      </w:r>
    </w:p>
    <w:p>
      <w:pPr>
        <w:spacing w:line="560" w:lineRule="exact"/>
        <w:rPr>
          <w:rFonts w:ascii="仿宋" w:hAnsi="仿宋" w:eastAsia="仿宋" w:cs="仿宋"/>
          <w:color w:val="333333"/>
          <w:sz w:val="32"/>
          <w:szCs w:val="32"/>
          <w:shd w:val="clear" w:color="auto" w:fill="FFFFFF"/>
        </w:rPr>
      </w:pPr>
      <w:r>
        <w:rPr>
          <w:rFonts w:hint="eastAsia" w:ascii="仿宋" w:hAnsi="仿宋" w:eastAsia="仿宋" w:cs="仿宋"/>
          <w:color w:val="333333"/>
          <w:sz w:val="32"/>
          <w:szCs w:val="32"/>
          <w:shd w:val="clear" w:color="auto" w:fill="FFFFFF"/>
        </w:rPr>
        <w:t>1</w:t>
      </w:r>
      <w:r>
        <w:rPr>
          <w:rFonts w:ascii="仿宋" w:hAnsi="仿宋" w:eastAsia="仿宋" w:cs="仿宋"/>
          <w:color w:val="333333"/>
          <w:sz w:val="32"/>
          <w:szCs w:val="32"/>
          <w:shd w:val="clear" w:color="auto" w:fill="FFFFFF"/>
        </w:rPr>
        <w:t>.</w:t>
      </w:r>
      <w:r>
        <w:rPr>
          <w:rFonts w:hint="eastAsia" w:ascii="仿宋" w:hAnsi="仿宋" w:eastAsia="仿宋" w:cs="仿宋"/>
          <w:color w:val="333333"/>
          <w:sz w:val="32"/>
          <w:szCs w:val="32"/>
          <w:shd w:val="clear" w:color="auto" w:fill="FFFFFF"/>
        </w:rPr>
        <w:t>按照省、市科普宣传周活动安排，县科协以“全国科普日</w:t>
      </w:r>
      <w:r>
        <w:rPr>
          <w:rFonts w:hint="eastAsia" w:ascii="仿宋" w:hAnsi="仿宋" w:eastAsia="仿宋" w:cs="仿宋"/>
          <w:color w:val="333333"/>
          <w:sz w:val="32"/>
          <w:szCs w:val="32"/>
          <w:shd w:val="clear" w:color="auto" w:fill="FFFFFF"/>
          <w:lang w:eastAsia="zh-CN"/>
        </w:rPr>
        <w:t>”“</w:t>
      </w:r>
      <w:r>
        <w:rPr>
          <w:rFonts w:hint="eastAsia" w:ascii="仿宋" w:hAnsi="仿宋" w:eastAsia="仿宋" w:cs="仿宋"/>
          <w:color w:val="333333"/>
          <w:sz w:val="32"/>
          <w:szCs w:val="32"/>
          <w:shd w:val="clear" w:color="auto" w:fill="FFFFFF"/>
        </w:rPr>
        <w:t>科普活动周</w:t>
      </w:r>
      <w:r>
        <w:rPr>
          <w:rFonts w:hint="eastAsia" w:ascii="仿宋" w:hAnsi="仿宋" w:eastAsia="仿宋" w:cs="仿宋"/>
          <w:color w:val="333333"/>
          <w:sz w:val="32"/>
          <w:szCs w:val="32"/>
          <w:shd w:val="clear" w:color="auto" w:fill="FFFFFF"/>
          <w:lang w:eastAsia="zh-CN"/>
        </w:rPr>
        <w:t>”“</w:t>
      </w:r>
      <w:r>
        <w:rPr>
          <w:rFonts w:hint="eastAsia" w:ascii="仿宋" w:hAnsi="仿宋" w:eastAsia="仿宋" w:cs="仿宋"/>
          <w:color w:val="333333"/>
          <w:sz w:val="32"/>
          <w:szCs w:val="32"/>
          <w:shd w:val="clear" w:color="auto" w:fill="FFFFFF"/>
        </w:rPr>
        <w:t>科技活动周</w:t>
      </w:r>
      <w:r>
        <w:rPr>
          <w:rFonts w:hint="eastAsia" w:ascii="仿宋" w:hAnsi="仿宋" w:eastAsia="仿宋" w:cs="仿宋"/>
          <w:color w:val="333333"/>
          <w:sz w:val="32"/>
          <w:szCs w:val="32"/>
          <w:shd w:val="clear" w:color="auto" w:fill="FFFFFF"/>
          <w:lang w:eastAsia="zh-CN"/>
        </w:rPr>
        <w:t>”“</w:t>
      </w:r>
      <w:r>
        <w:rPr>
          <w:rFonts w:hint="eastAsia" w:ascii="仿宋" w:hAnsi="仿宋" w:eastAsia="仿宋" w:cs="仿宋"/>
          <w:color w:val="333333"/>
          <w:sz w:val="32"/>
          <w:szCs w:val="32"/>
          <w:shd w:val="clear" w:color="auto" w:fill="FFFFFF"/>
        </w:rPr>
        <w:t>科技三下乡</w:t>
      </w:r>
      <w:r>
        <w:rPr>
          <w:rFonts w:hint="eastAsia" w:ascii="仿宋" w:hAnsi="仿宋" w:eastAsia="仿宋" w:cs="仿宋"/>
          <w:color w:val="333333"/>
          <w:sz w:val="32"/>
          <w:szCs w:val="32"/>
          <w:shd w:val="clear" w:color="auto" w:fill="FFFFFF"/>
          <w:lang w:eastAsia="zh-CN"/>
        </w:rPr>
        <w:t>”“</w:t>
      </w:r>
      <w:r>
        <w:rPr>
          <w:rFonts w:hint="eastAsia" w:ascii="仿宋" w:hAnsi="仿宋" w:eastAsia="仿宋" w:cs="仿宋"/>
          <w:color w:val="333333"/>
          <w:sz w:val="32"/>
          <w:szCs w:val="32"/>
          <w:shd w:val="clear" w:color="auto" w:fill="FFFFFF"/>
        </w:rPr>
        <w:t>防灾减灾日</w:t>
      </w:r>
      <w:r>
        <w:rPr>
          <w:rFonts w:hint="eastAsia" w:ascii="仿宋" w:hAnsi="仿宋" w:eastAsia="仿宋" w:cs="仿宋"/>
          <w:color w:val="333333"/>
          <w:sz w:val="32"/>
          <w:szCs w:val="32"/>
          <w:shd w:val="clear" w:color="auto" w:fill="FFFFFF"/>
          <w:lang w:eastAsia="zh-CN"/>
        </w:rPr>
        <w:t>”“</w:t>
      </w:r>
      <w:r>
        <w:rPr>
          <w:rFonts w:hint="eastAsia" w:ascii="仿宋" w:hAnsi="仿宋" w:eastAsia="仿宋" w:cs="仿宋"/>
          <w:color w:val="333333"/>
          <w:sz w:val="32"/>
          <w:szCs w:val="32"/>
          <w:shd w:val="clear" w:color="auto" w:fill="FFFFFF"/>
        </w:rPr>
        <w:t>全国扶贫日”等宣传活动为契机，于</w:t>
      </w:r>
      <w:r>
        <w:rPr>
          <w:rFonts w:hint="eastAsia" w:ascii="仿宋" w:hAnsi="仿宋" w:eastAsia="仿宋" w:cs="仿宋"/>
          <w:sz w:val="32"/>
          <w:szCs w:val="32"/>
        </w:rPr>
        <w:t>2月18日在普安镇水池村开展了主题为“强化农业科技 助推乡村振兴”的“科技之春”宣传月暨产业技术培训活动。</w:t>
      </w:r>
      <w:r>
        <w:rPr>
          <w:rFonts w:hint="eastAsia" w:ascii="仿宋" w:hAnsi="仿宋" w:eastAsia="仿宋" w:cs="仿宋"/>
          <w:color w:val="333333"/>
          <w:sz w:val="32"/>
          <w:szCs w:val="32"/>
          <w:shd w:val="clear" w:color="auto" w:fill="FFFFFF"/>
        </w:rPr>
        <w:t>于5月27日在下寺镇二龙村开展了主题为“</w:t>
      </w:r>
      <w:r>
        <w:rPr>
          <w:rFonts w:hint="eastAsia" w:ascii="仿宋" w:hAnsi="仿宋" w:eastAsia="仿宋" w:cs="仿宋"/>
          <w:sz w:val="32"/>
          <w:szCs w:val="32"/>
        </w:rPr>
        <w:t>走进科技 你我同行</w:t>
      </w:r>
      <w:r>
        <w:rPr>
          <w:rFonts w:hint="eastAsia" w:ascii="仿宋" w:hAnsi="仿宋" w:eastAsia="仿宋" w:cs="仿宋"/>
          <w:color w:val="333333"/>
          <w:sz w:val="32"/>
          <w:szCs w:val="32"/>
          <w:shd w:val="clear" w:color="auto" w:fill="FFFFFF"/>
        </w:rPr>
        <w:t>”的</w:t>
      </w:r>
      <w:r>
        <w:rPr>
          <w:rFonts w:hint="eastAsia" w:ascii="仿宋" w:hAnsi="仿宋" w:eastAsia="仿宋" w:cs="仿宋"/>
          <w:sz w:val="32"/>
          <w:szCs w:val="32"/>
        </w:rPr>
        <w:t>“全国科技活动周”暨“科技下乡万里行”活动</w:t>
      </w:r>
      <w:r>
        <w:rPr>
          <w:rFonts w:hint="eastAsia" w:ascii="仿宋" w:hAnsi="仿宋" w:eastAsia="仿宋" w:cs="仿宋"/>
          <w:color w:val="333333"/>
          <w:sz w:val="32"/>
          <w:szCs w:val="32"/>
          <w:shd w:val="clear" w:color="auto" w:fill="FFFFFF"/>
        </w:rPr>
        <w:t>，在活动现场，县级单位部门和科普志愿者围绕贴近群众、服务群众的原则，先后开展了以</w:t>
      </w:r>
      <w:r>
        <w:rPr>
          <w:rFonts w:hint="eastAsia" w:ascii="仿宋" w:hAnsi="仿宋" w:eastAsia="仿宋" w:cs="仿宋"/>
          <w:sz w:val="32"/>
          <w:szCs w:val="32"/>
        </w:rPr>
        <w:t>冬枣及软籽石榴的管理与病虫害防治、粮油春季田管和核桃、桃树管理和病虫害防治等技术培训</w:t>
      </w:r>
      <w:r>
        <w:rPr>
          <w:rFonts w:hint="eastAsia" w:ascii="仿宋" w:hAnsi="仿宋" w:eastAsia="仿宋" w:cs="仿宋"/>
          <w:color w:val="333333"/>
          <w:sz w:val="32"/>
          <w:szCs w:val="32"/>
          <w:shd w:val="clear" w:color="auto" w:fill="FFFFFF"/>
        </w:rPr>
        <w:t>活动，通过专家现场指导、赠送宣传资料等，让群众在互动演示操作中领略了科技的力量。</w:t>
      </w:r>
    </w:p>
    <w:p>
      <w:pPr>
        <w:pStyle w:val="14"/>
        <w:shd w:val="clear" w:color="auto" w:fill="FFFFFF"/>
        <w:spacing w:before="0" w:beforeAutospacing="0" w:after="0" w:afterAutospacing="0" w:line="560" w:lineRule="exact"/>
        <w:rPr>
          <w:rFonts w:ascii="仿宋" w:hAnsi="仿宋" w:eastAsia="仿宋" w:cs="仿宋"/>
          <w:sz w:val="32"/>
          <w:szCs w:val="32"/>
        </w:rPr>
      </w:pPr>
      <w:r>
        <w:rPr>
          <w:rFonts w:ascii="仿宋" w:hAnsi="仿宋" w:eastAsia="仿宋" w:cs="仿宋"/>
          <w:color w:val="333333"/>
          <w:kern w:val="2"/>
          <w:sz w:val="32"/>
          <w:szCs w:val="32"/>
          <w:shd w:val="clear" w:color="auto" w:fill="FFFFFF"/>
        </w:rPr>
        <w:t>2.</w:t>
      </w:r>
      <w:r>
        <w:rPr>
          <w:rFonts w:hint="eastAsia" w:ascii="仿宋" w:hAnsi="仿宋" w:eastAsia="仿宋" w:cs="仿宋"/>
          <w:color w:val="333333"/>
          <w:kern w:val="2"/>
          <w:sz w:val="32"/>
          <w:szCs w:val="32"/>
          <w:shd w:val="clear" w:color="auto" w:fill="FFFFFF"/>
        </w:rPr>
        <w:t>为确保此次科普日活动“接地气”，9月21日，科普日活动主场被安排到挂联帮扶的银溪村。围绕“喜迎二十大，科普向未来”</w:t>
      </w:r>
      <w:r>
        <w:rPr>
          <w:rFonts w:hint="eastAsia" w:ascii="仿宋" w:hAnsi="仿宋" w:eastAsia="仿宋" w:cs="仿宋"/>
          <w:color w:val="333333"/>
          <w:sz w:val="32"/>
          <w:szCs w:val="32"/>
          <w:shd w:val="clear" w:color="auto" w:fill="FFFFFF"/>
        </w:rPr>
        <w:t>活动主题，分别在姚家场镇开展了以“共创食安新发展 共享美好新生活”为主题的食品安全集中宣传教育活动；在姚家小学开展了科普进校园实践体验活动；在村委会广场开展了</w:t>
      </w:r>
      <w:r>
        <w:rPr>
          <w:rFonts w:hint="eastAsia" w:ascii="仿宋" w:hAnsi="仿宋" w:eastAsia="仿宋" w:cs="仿宋"/>
          <w:sz w:val="32"/>
          <w:szCs w:val="32"/>
        </w:rPr>
        <w:t>“携手同心反邪教，法治护航筑平安”为主题的反邪教宣传教育活动、健康咨询服务大型义诊、天府科技云平台注册培训等活动，</w:t>
      </w:r>
      <w:r>
        <w:rPr>
          <w:rFonts w:hint="eastAsia" w:ascii="仿宋" w:hAnsi="仿宋" w:eastAsia="仿宋" w:cs="仿宋"/>
          <w:color w:val="333333"/>
          <w:sz w:val="32"/>
          <w:szCs w:val="32"/>
          <w:shd w:val="clear" w:color="auto" w:fill="FFFFFF"/>
        </w:rPr>
        <w:t>让大家能够认清邪教和毒品对个人、家庭及社会的危害，增强广大群众禁毒、卫生、健康、环境等意识。</w:t>
      </w:r>
      <w:r>
        <w:rPr>
          <w:rFonts w:eastAsia="仿宋" w:cs="Calibri"/>
          <w:color w:val="333333"/>
          <w:sz w:val="32"/>
          <w:szCs w:val="32"/>
          <w:shd w:val="clear" w:color="auto" w:fill="FFFFFF"/>
        </w:rPr>
        <w:t> </w:t>
      </w:r>
    </w:p>
    <w:p>
      <w:pPr>
        <w:pStyle w:val="14"/>
        <w:shd w:val="clear" w:color="auto" w:fill="FFFFFF"/>
        <w:spacing w:before="0" w:beforeAutospacing="0" w:after="0" w:afterAutospacing="0" w:line="560" w:lineRule="exact"/>
        <w:rPr>
          <w:rFonts w:ascii="仿宋" w:hAnsi="仿宋" w:eastAsia="仿宋" w:cs="仿宋"/>
          <w:color w:val="333333"/>
          <w:sz w:val="32"/>
          <w:szCs w:val="32"/>
          <w:shd w:val="clear" w:color="auto" w:fill="FFFFFF"/>
        </w:rPr>
      </w:pPr>
      <w:r>
        <w:rPr>
          <w:rFonts w:ascii="仿宋" w:hAnsi="仿宋" w:eastAsia="仿宋" w:cs="仿宋"/>
          <w:color w:val="333333"/>
          <w:sz w:val="32"/>
          <w:szCs w:val="32"/>
          <w:shd w:val="clear" w:color="auto" w:fill="FFFFFF"/>
        </w:rPr>
        <w:t>3.</w:t>
      </w:r>
      <w:r>
        <w:rPr>
          <w:rFonts w:hint="eastAsia" w:ascii="仿宋" w:hAnsi="仿宋" w:eastAsia="仿宋" w:cs="仿宋"/>
          <w:color w:val="333333"/>
          <w:sz w:val="32"/>
          <w:szCs w:val="32"/>
          <w:shd w:val="clear" w:color="auto" w:fill="FFFFFF"/>
        </w:rPr>
        <w:t xml:space="preserve">坚持以农村和企业为重点，联合县老科协等15部门开展了送科技、文化、卫生、就业“四下乡”活动。组织“农、林、水、科、教”等部门的专业技术人员，先后深入普安、白龙、开封等29个乡镇的乡村振兴重点村和部分企业，为乡村群众开展文艺汇演、健康诊疗、疫情防控、就业咨询等服务送去科技支撑，为县委、县政府经济发展等中心工作全力保驾护航。　　     </w:t>
      </w:r>
    </w:p>
    <w:p>
      <w:pPr>
        <w:pStyle w:val="14"/>
        <w:shd w:val="clear" w:color="auto" w:fill="FFFFFF"/>
        <w:spacing w:before="0" w:beforeAutospacing="0" w:after="0" w:afterAutospacing="0" w:line="560" w:lineRule="exact"/>
        <w:rPr>
          <w:rFonts w:ascii="仿宋" w:hAnsi="仿宋" w:eastAsia="仿宋" w:cs="仿宋"/>
          <w:color w:val="333333"/>
          <w:sz w:val="32"/>
          <w:szCs w:val="32"/>
          <w:shd w:val="clear" w:color="auto" w:fill="FFFFFF"/>
        </w:rPr>
      </w:pPr>
      <w:r>
        <w:rPr>
          <w:rFonts w:ascii="仿宋" w:hAnsi="仿宋" w:eastAsia="仿宋" w:cs="仿宋"/>
          <w:color w:val="333333"/>
          <w:sz w:val="32"/>
          <w:szCs w:val="32"/>
          <w:shd w:val="clear" w:color="auto" w:fill="FFFFFF"/>
        </w:rPr>
        <w:t>4.</w:t>
      </w:r>
      <w:r>
        <w:rPr>
          <w:rFonts w:hint="eastAsia" w:ascii="仿宋" w:hAnsi="仿宋" w:eastAsia="仿宋" w:cs="仿宋"/>
          <w:color w:val="333333"/>
          <w:sz w:val="32"/>
          <w:szCs w:val="32"/>
          <w:shd w:val="clear" w:color="auto" w:fill="FFFFFF"/>
        </w:rPr>
        <w:t>举办特色农业实用科技培训。组织科技特派员服务团，深入全县乡村振兴重点乡镇和村组开展了一对一科技特派员结对帮扶服务，从产业提升、粮食安全、特色养殖等方面，让农村广大群众现场学习了农作物科学栽培管理、病虫害防治措施、农药化肥科学合理使用、动物疫病防治等实用技术，在12个片区所属乡镇中，培训量达30场次，受众人数达15000多人(次)。通过开展形式多样的宣传普及，丰富了群众的科技文化生活，推动了乡村振兴稳步进程。</w:t>
      </w:r>
    </w:p>
    <w:p>
      <w:pPr>
        <w:widowControl/>
        <w:adjustRightInd w:val="0"/>
        <w:snapToGrid w:val="0"/>
        <w:spacing w:line="560" w:lineRule="exact"/>
        <w:ind w:firstLine="640" w:firstLineChars="200"/>
        <w:contextualSpacing/>
        <w:jc w:val="left"/>
        <w:rPr>
          <w:rFonts w:ascii="仿宋" w:hAnsi="仿宋" w:eastAsia="仿宋" w:cs="宋体"/>
          <w:kern w:val="0"/>
          <w:sz w:val="32"/>
          <w:szCs w:val="32"/>
          <w:shd w:val="clear" w:color="auto" w:fill="FFFFFF"/>
        </w:rPr>
      </w:pPr>
      <w:r>
        <w:rPr>
          <w:rFonts w:hint="eastAsia" w:ascii="仿宋" w:hAnsi="仿宋" w:eastAsia="仿宋" w:cs="宋体"/>
          <w:kern w:val="0"/>
          <w:sz w:val="32"/>
          <w:szCs w:val="32"/>
          <w:shd w:val="clear" w:color="auto" w:fill="FFFFFF"/>
        </w:rPr>
        <w:t>二、部门资金收支情况</w:t>
      </w:r>
    </w:p>
    <w:p>
      <w:pPr>
        <w:widowControl/>
        <w:adjustRightInd w:val="0"/>
        <w:snapToGrid w:val="0"/>
        <w:spacing w:line="560" w:lineRule="exact"/>
        <w:ind w:firstLine="643" w:firstLineChars="200"/>
        <w:contextualSpacing/>
        <w:jc w:val="left"/>
        <w:rPr>
          <w:rFonts w:ascii="仿宋" w:hAnsi="仿宋" w:eastAsia="仿宋" w:cs="楷体_GB2312"/>
          <w:b/>
          <w:bCs/>
          <w:kern w:val="0"/>
          <w:sz w:val="32"/>
          <w:szCs w:val="32"/>
          <w:shd w:val="clear" w:color="auto" w:fill="FFFFFF"/>
          <w:lang w:val="zh-CN"/>
        </w:rPr>
      </w:pPr>
      <w:r>
        <w:rPr>
          <w:rFonts w:hint="eastAsia" w:ascii="仿宋" w:hAnsi="仿宋" w:eastAsia="仿宋" w:cs="楷体_GB2312"/>
          <w:b/>
          <w:bCs/>
          <w:kern w:val="0"/>
          <w:sz w:val="32"/>
          <w:szCs w:val="32"/>
          <w:shd w:val="clear" w:color="auto" w:fill="FFFFFF"/>
          <w:lang w:val="zh-CN"/>
        </w:rPr>
        <w:t>（一）部门总体收支情况。</w:t>
      </w:r>
    </w:p>
    <w:p>
      <w:pPr>
        <w:widowControl/>
        <w:adjustRightInd w:val="0"/>
        <w:snapToGrid w:val="0"/>
        <w:spacing w:line="560" w:lineRule="exact"/>
        <w:ind w:firstLine="640" w:firstLineChars="200"/>
        <w:contextualSpacing/>
        <w:jc w:val="left"/>
        <w:rPr>
          <w:rFonts w:ascii="仿宋" w:hAnsi="仿宋" w:eastAsia="仿宋" w:cs="仿宋_GB2312"/>
          <w:kern w:val="0"/>
          <w:sz w:val="32"/>
          <w:szCs w:val="32"/>
          <w:shd w:val="clear" w:color="auto" w:fill="FFFFFF"/>
        </w:rPr>
      </w:pPr>
      <w:r>
        <w:rPr>
          <w:rFonts w:hint="eastAsia" w:ascii="仿宋" w:hAnsi="仿宋" w:eastAsia="仿宋" w:cs="仿宋_GB2312"/>
          <w:kern w:val="0"/>
          <w:sz w:val="32"/>
          <w:szCs w:val="32"/>
          <w:shd w:val="clear" w:color="auto" w:fill="FFFFFF"/>
        </w:rPr>
        <w:t>1.部门总体收入情况</w:t>
      </w:r>
    </w:p>
    <w:p>
      <w:pPr>
        <w:pStyle w:val="2"/>
        <w:spacing w:before="93" w:line="560" w:lineRule="exact"/>
        <w:rPr>
          <w:rFonts w:ascii="仿宋" w:hAnsi="仿宋" w:eastAsia="仿宋"/>
          <w:sz w:val="32"/>
          <w:szCs w:val="32"/>
        </w:rPr>
      </w:pPr>
      <w:r>
        <w:rPr>
          <w:rFonts w:hint="eastAsia" w:ascii="仿宋" w:hAnsi="仿宋" w:eastAsia="仿宋"/>
          <w:sz w:val="32"/>
          <w:szCs w:val="32"/>
        </w:rPr>
        <w:t>2</w:t>
      </w:r>
      <w:r>
        <w:rPr>
          <w:rFonts w:ascii="仿宋" w:hAnsi="仿宋" w:eastAsia="仿宋"/>
          <w:sz w:val="32"/>
          <w:szCs w:val="32"/>
        </w:rPr>
        <w:t>022</w:t>
      </w:r>
      <w:r>
        <w:rPr>
          <w:rFonts w:hint="eastAsia" w:ascii="仿宋" w:hAnsi="仿宋" w:eastAsia="仿宋"/>
          <w:sz w:val="32"/>
          <w:szCs w:val="32"/>
        </w:rPr>
        <w:t>年收入决算1</w:t>
      </w:r>
      <w:r>
        <w:rPr>
          <w:rFonts w:ascii="仿宋" w:hAnsi="仿宋" w:eastAsia="仿宋"/>
          <w:sz w:val="32"/>
          <w:szCs w:val="32"/>
        </w:rPr>
        <w:t>37.97</w:t>
      </w:r>
      <w:r>
        <w:rPr>
          <w:rFonts w:hint="eastAsia" w:ascii="仿宋" w:hAnsi="仿宋" w:eastAsia="仿宋"/>
          <w:sz w:val="32"/>
          <w:szCs w:val="32"/>
        </w:rPr>
        <w:t>万元，比上年减少1</w:t>
      </w:r>
      <w:r>
        <w:rPr>
          <w:rFonts w:ascii="仿宋" w:hAnsi="仿宋" w:eastAsia="仿宋"/>
          <w:sz w:val="32"/>
          <w:szCs w:val="32"/>
        </w:rPr>
        <w:t>3.37%</w:t>
      </w:r>
      <w:r>
        <w:rPr>
          <w:rFonts w:hint="eastAsia" w:ascii="仿宋" w:hAnsi="仿宋" w:eastAsia="仿宋"/>
          <w:sz w:val="32"/>
          <w:szCs w:val="32"/>
        </w:rPr>
        <w:t>。主要是财政年度预算安排减少。</w:t>
      </w:r>
    </w:p>
    <w:p>
      <w:pPr>
        <w:widowControl/>
        <w:adjustRightInd w:val="0"/>
        <w:snapToGrid w:val="0"/>
        <w:spacing w:line="560" w:lineRule="exact"/>
        <w:ind w:firstLine="640" w:firstLineChars="200"/>
        <w:contextualSpacing/>
        <w:jc w:val="left"/>
        <w:rPr>
          <w:rFonts w:ascii="仿宋" w:hAnsi="仿宋" w:eastAsia="仿宋" w:cs="仿宋_GB2312"/>
          <w:kern w:val="0"/>
          <w:sz w:val="32"/>
          <w:szCs w:val="32"/>
          <w:shd w:val="clear" w:color="auto" w:fill="FFFFFF"/>
        </w:rPr>
      </w:pPr>
      <w:r>
        <w:rPr>
          <w:rFonts w:hint="eastAsia" w:ascii="仿宋" w:hAnsi="仿宋" w:eastAsia="仿宋" w:cs="仿宋_GB2312"/>
          <w:kern w:val="0"/>
          <w:sz w:val="32"/>
          <w:szCs w:val="32"/>
          <w:shd w:val="clear" w:color="auto" w:fill="FFFFFF"/>
        </w:rPr>
        <w:t>2.部门总体支出情况</w:t>
      </w:r>
    </w:p>
    <w:p>
      <w:pPr>
        <w:pStyle w:val="2"/>
        <w:spacing w:before="93" w:line="560" w:lineRule="exact"/>
        <w:rPr>
          <w:rFonts w:ascii="仿宋" w:hAnsi="仿宋" w:eastAsia="仿宋"/>
          <w:sz w:val="32"/>
          <w:szCs w:val="32"/>
        </w:rPr>
      </w:pPr>
      <w:r>
        <w:rPr>
          <w:rFonts w:hint="eastAsia" w:ascii="仿宋" w:hAnsi="仿宋" w:eastAsia="仿宋"/>
          <w:sz w:val="32"/>
          <w:szCs w:val="32"/>
        </w:rPr>
        <w:t>2</w:t>
      </w:r>
      <w:r>
        <w:rPr>
          <w:rFonts w:ascii="仿宋" w:hAnsi="仿宋" w:eastAsia="仿宋"/>
          <w:sz w:val="32"/>
          <w:szCs w:val="32"/>
        </w:rPr>
        <w:t>022</w:t>
      </w:r>
      <w:r>
        <w:rPr>
          <w:rFonts w:hint="eastAsia" w:ascii="仿宋" w:hAnsi="仿宋" w:eastAsia="仿宋"/>
          <w:sz w:val="32"/>
          <w:szCs w:val="32"/>
        </w:rPr>
        <w:t>年支出决算1</w:t>
      </w:r>
      <w:r>
        <w:rPr>
          <w:rFonts w:ascii="仿宋" w:hAnsi="仿宋" w:eastAsia="仿宋"/>
          <w:sz w:val="32"/>
          <w:szCs w:val="32"/>
        </w:rPr>
        <w:t>37.97</w:t>
      </w:r>
      <w:r>
        <w:rPr>
          <w:rFonts w:hint="eastAsia" w:ascii="仿宋" w:hAnsi="仿宋" w:eastAsia="仿宋"/>
          <w:sz w:val="32"/>
          <w:szCs w:val="32"/>
        </w:rPr>
        <w:t>万元，比上年减少2</w:t>
      </w:r>
      <w:r>
        <w:rPr>
          <w:rFonts w:ascii="仿宋" w:hAnsi="仿宋" w:eastAsia="仿宋"/>
          <w:sz w:val="32"/>
          <w:szCs w:val="32"/>
        </w:rPr>
        <w:t>4.81%</w:t>
      </w:r>
      <w:r>
        <w:rPr>
          <w:rFonts w:hint="eastAsia" w:ascii="仿宋" w:hAnsi="仿宋" w:eastAsia="仿宋"/>
          <w:sz w:val="32"/>
          <w:szCs w:val="32"/>
        </w:rPr>
        <w:t>。主要是财政年度预算安排减少。</w:t>
      </w:r>
    </w:p>
    <w:p>
      <w:pPr>
        <w:widowControl/>
        <w:adjustRightInd w:val="0"/>
        <w:snapToGrid w:val="0"/>
        <w:spacing w:line="560" w:lineRule="exact"/>
        <w:ind w:firstLine="643" w:firstLineChars="200"/>
        <w:contextualSpacing/>
        <w:jc w:val="left"/>
        <w:rPr>
          <w:rFonts w:ascii="仿宋" w:hAnsi="仿宋" w:eastAsia="仿宋" w:cs="楷体_GB2312"/>
          <w:b/>
          <w:bCs/>
          <w:kern w:val="0"/>
          <w:sz w:val="32"/>
          <w:szCs w:val="32"/>
          <w:shd w:val="clear" w:color="auto" w:fill="FFFFFF"/>
          <w:lang w:val="zh-CN"/>
        </w:rPr>
      </w:pPr>
      <w:r>
        <w:rPr>
          <w:rFonts w:hint="eastAsia" w:ascii="仿宋" w:hAnsi="仿宋" w:eastAsia="仿宋" w:cs="楷体_GB2312"/>
          <w:b/>
          <w:bCs/>
          <w:kern w:val="0"/>
          <w:sz w:val="32"/>
          <w:szCs w:val="32"/>
          <w:shd w:val="clear" w:color="auto" w:fill="FFFFFF"/>
          <w:lang w:val="zh-CN"/>
        </w:rPr>
        <w:t>（二）部门财政拨款收支情况。</w:t>
      </w:r>
    </w:p>
    <w:p>
      <w:pPr>
        <w:widowControl/>
        <w:adjustRightInd w:val="0"/>
        <w:snapToGrid w:val="0"/>
        <w:spacing w:line="560" w:lineRule="exact"/>
        <w:ind w:firstLine="640" w:firstLineChars="200"/>
        <w:contextualSpacing/>
        <w:jc w:val="left"/>
        <w:rPr>
          <w:rFonts w:ascii="仿宋" w:hAnsi="仿宋" w:eastAsia="仿宋" w:cs="仿宋_GB2312"/>
          <w:kern w:val="0"/>
          <w:sz w:val="32"/>
          <w:szCs w:val="32"/>
          <w:shd w:val="clear" w:color="auto" w:fill="FFFFFF"/>
        </w:rPr>
      </w:pPr>
      <w:r>
        <w:rPr>
          <w:rFonts w:hint="eastAsia" w:ascii="仿宋" w:hAnsi="仿宋" w:eastAsia="仿宋" w:cs="仿宋_GB2312"/>
          <w:kern w:val="0"/>
          <w:sz w:val="32"/>
          <w:szCs w:val="32"/>
          <w:shd w:val="clear" w:color="auto" w:fill="FFFFFF"/>
        </w:rPr>
        <w:t>1.部门财政拨款收入情况</w:t>
      </w:r>
    </w:p>
    <w:p>
      <w:pPr>
        <w:pStyle w:val="2"/>
        <w:spacing w:before="93" w:line="560" w:lineRule="exact"/>
        <w:rPr>
          <w:rFonts w:ascii="仿宋" w:hAnsi="仿宋" w:eastAsia="仿宋"/>
          <w:sz w:val="32"/>
          <w:szCs w:val="32"/>
        </w:rPr>
      </w:pPr>
      <w:r>
        <w:rPr>
          <w:rFonts w:hint="eastAsia" w:ascii="仿宋" w:hAnsi="仿宋" w:eastAsia="仿宋"/>
          <w:sz w:val="32"/>
          <w:szCs w:val="32"/>
        </w:rPr>
        <w:t>2</w:t>
      </w:r>
      <w:r>
        <w:rPr>
          <w:rFonts w:ascii="仿宋" w:hAnsi="仿宋" w:eastAsia="仿宋"/>
          <w:sz w:val="32"/>
          <w:szCs w:val="32"/>
        </w:rPr>
        <w:t>022</w:t>
      </w:r>
      <w:r>
        <w:rPr>
          <w:rFonts w:hint="eastAsia" w:ascii="仿宋" w:hAnsi="仿宋" w:eastAsia="仿宋"/>
          <w:sz w:val="32"/>
          <w:szCs w:val="32"/>
        </w:rPr>
        <w:t>年度财政拨款收入决算总额为1</w:t>
      </w:r>
      <w:r>
        <w:rPr>
          <w:rFonts w:ascii="仿宋" w:hAnsi="仿宋" w:eastAsia="仿宋"/>
          <w:sz w:val="32"/>
          <w:szCs w:val="32"/>
        </w:rPr>
        <w:t>37.97</w:t>
      </w:r>
      <w:r>
        <w:rPr>
          <w:rFonts w:hint="eastAsia" w:ascii="仿宋" w:hAnsi="仿宋" w:eastAsia="仿宋"/>
          <w:sz w:val="32"/>
          <w:szCs w:val="32"/>
        </w:rPr>
        <w:t>万元。其中，当年财政拨款收入为1</w:t>
      </w:r>
      <w:r>
        <w:rPr>
          <w:rFonts w:ascii="仿宋" w:hAnsi="仿宋" w:eastAsia="仿宋"/>
          <w:sz w:val="32"/>
          <w:szCs w:val="32"/>
        </w:rPr>
        <w:t>37.97</w:t>
      </w:r>
      <w:r>
        <w:rPr>
          <w:rFonts w:hint="eastAsia" w:ascii="仿宋" w:hAnsi="仿宋" w:eastAsia="仿宋"/>
          <w:sz w:val="32"/>
          <w:szCs w:val="32"/>
        </w:rPr>
        <w:t>万元，均为一般公共预算财政拨款。</w:t>
      </w:r>
    </w:p>
    <w:p>
      <w:pPr>
        <w:widowControl/>
        <w:adjustRightInd w:val="0"/>
        <w:snapToGrid w:val="0"/>
        <w:spacing w:line="560" w:lineRule="exact"/>
        <w:ind w:firstLine="640" w:firstLineChars="200"/>
        <w:contextualSpacing/>
        <w:jc w:val="left"/>
        <w:rPr>
          <w:rFonts w:ascii="仿宋" w:hAnsi="仿宋" w:eastAsia="仿宋" w:cs="仿宋_GB2312"/>
          <w:kern w:val="0"/>
          <w:sz w:val="32"/>
          <w:szCs w:val="32"/>
          <w:shd w:val="clear" w:color="auto" w:fill="FFFFFF"/>
        </w:rPr>
      </w:pPr>
      <w:r>
        <w:rPr>
          <w:rFonts w:hint="eastAsia" w:ascii="仿宋" w:hAnsi="仿宋" w:eastAsia="仿宋" w:cs="仿宋_GB2312"/>
          <w:kern w:val="0"/>
          <w:sz w:val="32"/>
          <w:szCs w:val="32"/>
          <w:shd w:val="clear" w:color="auto" w:fill="FFFFFF"/>
        </w:rPr>
        <w:t>2.部门财政拨款支出情况</w:t>
      </w:r>
    </w:p>
    <w:p>
      <w:pPr>
        <w:pStyle w:val="2"/>
        <w:spacing w:before="93" w:line="560" w:lineRule="exact"/>
        <w:rPr>
          <w:rFonts w:ascii="仿宋" w:hAnsi="仿宋" w:eastAsia="仿宋"/>
          <w:sz w:val="32"/>
          <w:szCs w:val="32"/>
        </w:rPr>
      </w:pPr>
      <w:r>
        <w:rPr>
          <w:rFonts w:hint="eastAsia" w:ascii="仿宋" w:hAnsi="仿宋" w:eastAsia="仿宋"/>
          <w:sz w:val="32"/>
          <w:szCs w:val="32"/>
        </w:rPr>
        <w:t>2</w:t>
      </w:r>
      <w:r>
        <w:rPr>
          <w:rFonts w:ascii="仿宋" w:hAnsi="仿宋" w:eastAsia="仿宋"/>
          <w:sz w:val="32"/>
          <w:szCs w:val="32"/>
        </w:rPr>
        <w:t>022</w:t>
      </w:r>
      <w:r>
        <w:rPr>
          <w:rFonts w:hint="eastAsia" w:ascii="仿宋" w:hAnsi="仿宋" w:eastAsia="仿宋"/>
          <w:sz w:val="32"/>
          <w:szCs w:val="32"/>
        </w:rPr>
        <w:t>年度财政拨款支出决算总额为1</w:t>
      </w:r>
      <w:r>
        <w:rPr>
          <w:rFonts w:ascii="仿宋" w:hAnsi="仿宋" w:eastAsia="仿宋"/>
          <w:sz w:val="32"/>
          <w:szCs w:val="32"/>
        </w:rPr>
        <w:t>37.97</w:t>
      </w:r>
      <w:r>
        <w:rPr>
          <w:rFonts w:hint="eastAsia" w:ascii="仿宋" w:hAnsi="仿宋" w:eastAsia="仿宋"/>
          <w:sz w:val="32"/>
          <w:szCs w:val="32"/>
        </w:rPr>
        <w:t>万元，其中，当年财政拨款支出为1</w:t>
      </w:r>
      <w:r>
        <w:rPr>
          <w:rFonts w:ascii="仿宋" w:hAnsi="仿宋" w:eastAsia="仿宋"/>
          <w:sz w:val="32"/>
          <w:szCs w:val="32"/>
        </w:rPr>
        <w:t>37.97</w:t>
      </w:r>
      <w:r>
        <w:rPr>
          <w:rFonts w:hint="eastAsia" w:ascii="仿宋" w:hAnsi="仿宋" w:eastAsia="仿宋"/>
          <w:sz w:val="32"/>
          <w:szCs w:val="32"/>
        </w:rPr>
        <w:t>万元，均为基本支出。</w:t>
      </w:r>
    </w:p>
    <w:p>
      <w:pPr>
        <w:widowControl/>
        <w:adjustRightInd w:val="0"/>
        <w:snapToGrid w:val="0"/>
        <w:spacing w:line="560" w:lineRule="exact"/>
        <w:ind w:firstLine="640" w:firstLineChars="200"/>
        <w:contextualSpacing/>
        <w:jc w:val="left"/>
        <w:rPr>
          <w:rFonts w:ascii="仿宋" w:hAnsi="仿宋" w:eastAsia="仿宋" w:cs="宋体"/>
          <w:kern w:val="0"/>
          <w:sz w:val="32"/>
          <w:szCs w:val="32"/>
          <w:shd w:val="clear" w:color="auto" w:fill="FFFFFF"/>
        </w:rPr>
      </w:pPr>
      <w:r>
        <w:rPr>
          <w:rFonts w:hint="eastAsia" w:ascii="仿宋" w:hAnsi="仿宋" w:eastAsia="仿宋" w:cs="宋体"/>
          <w:kern w:val="0"/>
          <w:sz w:val="32"/>
          <w:szCs w:val="32"/>
          <w:shd w:val="clear" w:color="auto" w:fill="FFFFFF"/>
        </w:rPr>
        <w:t>三、部门整体绩效分析</w:t>
      </w:r>
    </w:p>
    <w:p>
      <w:pPr>
        <w:widowControl/>
        <w:adjustRightInd w:val="0"/>
        <w:snapToGrid w:val="0"/>
        <w:spacing w:line="560" w:lineRule="exact"/>
        <w:ind w:firstLine="643" w:firstLineChars="200"/>
        <w:contextualSpacing/>
        <w:jc w:val="left"/>
        <w:rPr>
          <w:rFonts w:ascii="仿宋" w:hAnsi="仿宋" w:eastAsia="仿宋" w:cs="仿宋_GB2312"/>
          <w:kern w:val="0"/>
          <w:sz w:val="32"/>
          <w:szCs w:val="32"/>
          <w:shd w:val="clear" w:color="auto" w:fill="FFFFFF"/>
          <w:lang w:val="zh-CN"/>
        </w:rPr>
      </w:pPr>
      <w:r>
        <w:rPr>
          <w:rFonts w:hint="eastAsia" w:ascii="仿宋" w:hAnsi="仿宋" w:eastAsia="仿宋" w:cs="楷体_GB2312"/>
          <w:b/>
          <w:bCs/>
          <w:kern w:val="0"/>
          <w:sz w:val="32"/>
          <w:szCs w:val="32"/>
          <w:shd w:val="clear" w:color="auto" w:fill="FFFFFF"/>
          <w:lang w:val="zh-CN"/>
        </w:rPr>
        <w:t>（一）部门预算项目绩效分析。</w:t>
      </w:r>
    </w:p>
    <w:p>
      <w:pPr>
        <w:widowControl/>
        <w:adjustRightInd w:val="0"/>
        <w:snapToGrid w:val="0"/>
        <w:spacing w:line="560" w:lineRule="exact"/>
        <w:ind w:firstLine="640" w:firstLineChars="200"/>
        <w:contextualSpacing/>
        <w:jc w:val="left"/>
        <w:rPr>
          <w:rFonts w:ascii="仿宋" w:hAnsi="仿宋" w:eastAsia="仿宋" w:cs="仿宋_GB2312"/>
          <w:kern w:val="0"/>
          <w:sz w:val="32"/>
          <w:szCs w:val="32"/>
          <w:shd w:val="clear" w:color="auto" w:fill="FFFFFF"/>
        </w:rPr>
      </w:pPr>
      <w:r>
        <w:rPr>
          <w:rFonts w:hint="eastAsia" w:ascii="仿宋" w:hAnsi="仿宋" w:eastAsia="仿宋" w:cs="仿宋_GB2312"/>
          <w:kern w:val="0"/>
          <w:sz w:val="32"/>
          <w:szCs w:val="32"/>
          <w:shd w:val="clear" w:color="auto" w:fill="FFFFFF"/>
        </w:rPr>
        <w:t>1</w:t>
      </w:r>
      <w:r>
        <w:rPr>
          <w:rFonts w:ascii="仿宋" w:hAnsi="仿宋" w:eastAsia="仿宋" w:cs="仿宋_GB2312"/>
          <w:kern w:val="0"/>
          <w:sz w:val="32"/>
          <w:szCs w:val="32"/>
          <w:shd w:val="clear" w:color="auto" w:fill="FFFFFF"/>
        </w:rPr>
        <w:t>.</w:t>
      </w:r>
      <w:r>
        <w:rPr>
          <w:rFonts w:hint="eastAsia" w:ascii="仿宋" w:hAnsi="仿宋" w:eastAsia="仿宋" w:cs="仿宋_GB2312"/>
          <w:kern w:val="0"/>
          <w:sz w:val="32"/>
          <w:szCs w:val="32"/>
          <w:shd w:val="clear" w:color="auto" w:fill="FFFFFF"/>
        </w:rPr>
        <w:t>人员类项目绩效分析</w:t>
      </w:r>
    </w:p>
    <w:p>
      <w:pPr>
        <w:widowControl/>
        <w:adjustRightInd w:val="0"/>
        <w:snapToGrid w:val="0"/>
        <w:spacing w:line="560" w:lineRule="exact"/>
        <w:ind w:firstLine="640" w:firstLineChars="200"/>
        <w:contextualSpacing/>
        <w:jc w:val="left"/>
        <w:rPr>
          <w:rFonts w:ascii="仿宋" w:hAnsi="仿宋" w:eastAsia="仿宋" w:cs="仿宋_GB2312"/>
          <w:kern w:val="0"/>
          <w:sz w:val="32"/>
          <w:szCs w:val="32"/>
          <w:shd w:val="clear" w:color="auto" w:fill="FFFFFF"/>
          <w:lang w:val="zh-CN"/>
        </w:rPr>
      </w:pPr>
      <w:r>
        <w:rPr>
          <w:rFonts w:hint="eastAsia" w:ascii="仿宋" w:hAnsi="仿宋" w:eastAsia="仿宋" w:cs="仿宋_GB2312"/>
          <w:kern w:val="0"/>
          <w:sz w:val="32"/>
          <w:szCs w:val="32"/>
          <w:shd w:val="clear" w:color="auto" w:fill="FFFFFF"/>
          <w:lang w:val="zh-CN"/>
        </w:rPr>
        <w:t>（1）目标制定。2</w:t>
      </w:r>
      <w:r>
        <w:rPr>
          <w:rFonts w:ascii="仿宋" w:hAnsi="仿宋" w:eastAsia="仿宋" w:cs="仿宋_GB2312"/>
          <w:kern w:val="0"/>
          <w:sz w:val="32"/>
          <w:szCs w:val="32"/>
          <w:shd w:val="clear" w:color="auto" w:fill="FFFFFF"/>
          <w:lang w:val="zh-CN"/>
        </w:rPr>
        <w:t>022</w:t>
      </w:r>
      <w:r>
        <w:rPr>
          <w:rFonts w:hint="eastAsia" w:ascii="仿宋" w:hAnsi="仿宋" w:eastAsia="仿宋" w:cs="仿宋_GB2312"/>
          <w:kern w:val="0"/>
          <w:sz w:val="32"/>
          <w:szCs w:val="32"/>
          <w:shd w:val="clear" w:color="auto" w:fill="FFFFFF"/>
          <w:lang w:val="zh-CN"/>
        </w:rPr>
        <w:t>年，我会深入贯彻“三保”重要要求，严格执行相关政策，保障工资及时、定额发放和社保及时、足额缴纳，预算编制科学合理，减少结余资金。</w:t>
      </w:r>
    </w:p>
    <w:p>
      <w:pPr>
        <w:pStyle w:val="2"/>
        <w:spacing w:before="93" w:line="560" w:lineRule="exact"/>
        <w:ind w:firstLine="640" w:firstLineChars="200"/>
        <w:rPr>
          <w:rFonts w:ascii="仿宋" w:hAnsi="仿宋" w:eastAsia="仿宋"/>
          <w:sz w:val="32"/>
          <w:szCs w:val="32"/>
          <w:lang w:val="zh-CN"/>
        </w:rPr>
      </w:pPr>
      <w:r>
        <w:rPr>
          <w:rFonts w:hint="eastAsia" w:ascii="仿宋" w:hAnsi="仿宋" w:eastAsia="仿宋"/>
          <w:sz w:val="32"/>
          <w:szCs w:val="32"/>
          <w:lang w:val="zh-CN"/>
        </w:rPr>
        <w:t>（2）目标实现。按照2</w:t>
      </w:r>
      <w:r>
        <w:rPr>
          <w:rFonts w:ascii="仿宋" w:hAnsi="仿宋" w:eastAsia="仿宋"/>
          <w:sz w:val="32"/>
          <w:szCs w:val="32"/>
          <w:lang w:val="zh-CN"/>
        </w:rPr>
        <w:t>022</w:t>
      </w:r>
      <w:r>
        <w:rPr>
          <w:rFonts w:hint="eastAsia" w:ascii="仿宋" w:hAnsi="仿宋" w:eastAsia="仿宋"/>
          <w:sz w:val="32"/>
          <w:szCs w:val="32"/>
          <w:lang w:val="zh-CN"/>
        </w:rPr>
        <w:t>年部门预算编制要求，我会人员类项目按照“优先保障、严格标准、综合预算”的要求，根据定员情况和财政局确定等等工资福利标准和社会保障等相关政策，统筹资金，应编尽编；预算批复后，严格按照政策执行。</w:t>
      </w:r>
    </w:p>
    <w:p>
      <w:pPr>
        <w:pStyle w:val="2"/>
        <w:spacing w:before="93" w:line="560" w:lineRule="exact"/>
        <w:ind w:firstLine="640" w:firstLineChars="200"/>
        <w:rPr>
          <w:rFonts w:ascii="仿宋" w:hAnsi="仿宋" w:eastAsia="仿宋"/>
          <w:sz w:val="32"/>
          <w:szCs w:val="32"/>
          <w:lang w:val="zh-CN"/>
        </w:rPr>
      </w:pPr>
      <w:r>
        <w:rPr>
          <w:rFonts w:hint="eastAsia" w:ascii="仿宋" w:hAnsi="仿宋" w:eastAsia="仿宋"/>
          <w:sz w:val="32"/>
          <w:szCs w:val="32"/>
          <w:lang w:val="zh-CN"/>
        </w:rPr>
        <w:t>（3）及时处置。绩效监控发现的问题，均按照项目相关要求，加快执行进度。</w:t>
      </w:r>
    </w:p>
    <w:p>
      <w:pPr>
        <w:pStyle w:val="2"/>
        <w:spacing w:before="93" w:line="560" w:lineRule="exact"/>
        <w:ind w:firstLine="640" w:firstLineChars="200"/>
        <w:rPr>
          <w:rFonts w:ascii="仿宋" w:hAnsi="仿宋" w:eastAsia="仿宋"/>
          <w:sz w:val="32"/>
          <w:szCs w:val="32"/>
          <w:lang w:val="zh-CN"/>
        </w:rPr>
      </w:pPr>
      <w:r>
        <w:rPr>
          <w:rFonts w:hint="eastAsia" w:ascii="仿宋" w:hAnsi="仿宋" w:eastAsia="仿宋"/>
          <w:sz w:val="32"/>
          <w:szCs w:val="32"/>
          <w:lang w:val="zh-CN"/>
        </w:rPr>
        <w:t>（4）执行进度。年度预算执行进度1</w:t>
      </w:r>
      <w:r>
        <w:rPr>
          <w:rFonts w:ascii="仿宋" w:hAnsi="仿宋" w:eastAsia="仿宋"/>
          <w:sz w:val="32"/>
          <w:szCs w:val="32"/>
          <w:lang w:val="zh-CN"/>
        </w:rPr>
        <w:t>00%</w:t>
      </w:r>
      <w:r>
        <w:rPr>
          <w:rFonts w:hint="eastAsia" w:ascii="仿宋" w:hAnsi="仿宋" w:eastAsia="仿宋"/>
          <w:sz w:val="32"/>
          <w:szCs w:val="32"/>
          <w:lang w:val="zh-CN"/>
        </w:rPr>
        <w:t>。</w:t>
      </w:r>
    </w:p>
    <w:p>
      <w:pPr>
        <w:pStyle w:val="2"/>
        <w:spacing w:before="93" w:line="560" w:lineRule="exact"/>
        <w:ind w:firstLine="640" w:firstLineChars="200"/>
        <w:rPr>
          <w:rFonts w:ascii="仿宋" w:hAnsi="仿宋" w:eastAsia="仿宋"/>
          <w:sz w:val="32"/>
          <w:szCs w:val="32"/>
          <w:lang w:val="zh-CN"/>
        </w:rPr>
      </w:pPr>
      <w:r>
        <w:rPr>
          <w:rFonts w:hint="eastAsia" w:ascii="仿宋" w:hAnsi="仿宋" w:eastAsia="仿宋"/>
          <w:sz w:val="32"/>
          <w:szCs w:val="32"/>
          <w:lang w:val="zh-CN"/>
        </w:rPr>
        <w:t>（5）资金结余率。我会2</w:t>
      </w:r>
      <w:r>
        <w:rPr>
          <w:rFonts w:ascii="仿宋" w:hAnsi="仿宋" w:eastAsia="仿宋"/>
          <w:sz w:val="32"/>
          <w:szCs w:val="32"/>
          <w:lang w:val="zh-CN"/>
        </w:rPr>
        <w:t>022</w:t>
      </w:r>
      <w:r>
        <w:rPr>
          <w:rFonts w:hint="eastAsia" w:ascii="仿宋" w:hAnsi="仿宋" w:eastAsia="仿宋"/>
          <w:sz w:val="32"/>
          <w:szCs w:val="32"/>
          <w:lang w:val="zh-CN"/>
        </w:rPr>
        <w:t>年无人员类项目结余资金。</w:t>
      </w:r>
    </w:p>
    <w:p>
      <w:pPr>
        <w:pStyle w:val="2"/>
        <w:spacing w:before="93" w:line="560" w:lineRule="exact"/>
        <w:ind w:firstLine="640" w:firstLineChars="200"/>
        <w:rPr>
          <w:rFonts w:ascii="仿宋" w:hAnsi="仿宋" w:eastAsia="仿宋"/>
          <w:sz w:val="32"/>
          <w:szCs w:val="32"/>
          <w:lang w:val="zh-CN"/>
        </w:rPr>
      </w:pPr>
      <w:r>
        <w:rPr>
          <w:rFonts w:hint="eastAsia" w:ascii="仿宋" w:hAnsi="仿宋" w:eastAsia="仿宋"/>
          <w:sz w:val="32"/>
          <w:szCs w:val="32"/>
          <w:lang w:val="zh-CN"/>
        </w:rPr>
        <w:t>（6）违规记录。我会2</w:t>
      </w:r>
      <w:r>
        <w:rPr>
          <w:rFonts w:ascii="仿宋" w:hAnsi="仿宋" w:eastAsia="仿宋"/>
          <w:sz w:val="32"/>
          <w:szCs w:val="32"/>
          <w:lang w:val="zh-CN"/>
        </w:rPr>
        <w:t>022</w:t>
      </w:r>
      <w:r>
        <w:rPr>
          <w:rFonts w:hint="eastAsia" w:ascii="仿宋" w:hAnsi="仿宋" w:eastAsia="仿宋"/>
          <w:sz w:val="32"/>
          <w:szCs w:val="32"/>
          <w:lang w:val="zh-CN"/>
        </w:rPr>
        <w:t>年未出现部门预算管理方面违纪违规问题。</w:t>
      </w:r>
    </w:p>
    <w:p>
      <w:pPr>
        <w:widowControl/>
        <w:adjustRightInd w:val="0"/>
        <w:snapToGrid w:val="0"/>
        <w:spacing w:line="560" w:lineRule="exact"/>
        <w:ind w:firstLine="640" w:firstLineChars="200"/>
        <w:contextualSpacing/>
        <w:jc w:val="left"/>
        <w:rPr>
          <w:rFonts w:ascii="仿宋" w:hAnsi="仿宋" w:eastAsia="仿宋" w:cs="仿宋_GB2312"/>
          <w:kern w:val="0"/>
          <w:sz w:val="32"/>
          <w:szCs w:val="32"/>
          <w:shd w:val="clear" w:color="auto" w:fill="FFFFFF"/>
        </w:rPr>
      </w:pPr>
      <w:r>
        <w:rPr>
          <w:rFonts w:ascii="仿宋" w:hAnsi="仿宋" w:eastAsia="仿宋" w:cs="仿宋_GB2312"/>
          <w:kern w:val="0"/>
          <w:sz w:val="32"/>
          <w:szCs w:val="32"/>
          <w:shd w:val="clear" w:color="auto" w:fill="FFFFFF"/>
        </w:rPr>
        <w:t>2.</w:t>
      </w:r>
      <w:r>
        <w:rPr>
          <w:rFonts w:hint="eastAsia" w:ascii="仿宋" w:hAnsi="仿宋" w:eastAsia="仿宋" w:cs="仿宋_GB2312"/>
          <w:kern w:val="0"/>
          <w:sz w:val="32"/>
          <w:szCs w:val="32"/>
          <w:shd w:val="clear" w:color="auto" w:fill="FFFFFF"/>
        </w:rPr>
        <w:t>运转类项目绩效分析</w:t>
      </w:r>
    </w:p>
    <w:p>
      <w:pPr>
        <w:widowControl/>
        <w:adjustRightInd w:val="0"/>
        <w:snapToGrid w:val="0"/>
        <w:spacing w:line="560" w:lineRule="exact"/>
        <w:ind w:firstLine="640" w:firstLineChars="200"/>
        <w:contextualSpacing/>
        <w:jc w:val="left"/>
        <w:rPr>
          <w:rFonts w:ascii="仿宋" w:hAnsi="仿宋" w:eastAsia="仿宋" w:cs="仿宋_GB2312"/>
          <w:kern w:val="0"/>
          <w:sz w:val="32"/>
          <w:szCs w:val="32"/>
          <w:shd w:val="clear" w:color="auto" w:fill="FFFFFF"/>
          <w:lang w:val="zh-CN"/>
        </w:rPr>
      </w:pPr>
      <w:r>
        <w:rPr>
          <w:rFonts w:hint="eastAsia" w:ascii="仿宋" w:hAnsi="仿宋" w:eastAsia="仿宋" w:cs="仿宋_GB2312"/>
          <w:kern w:val="0"/>
          <w:sz w:val="32"/>
          <w:szCs w:val="32"/>
          <w:shd w:val="clear" w:color="auto" w:fill="FFFFFF"/>
          <w:lang w:val="zh-CN"/>
        </w:rPr>
        <w:t>（1）目标制定。2</w:t>
      </w:r>
      <w:r>
        <w:rPr>
          <w:rFonts w:ascii="仿宋" w:hAnsi="仿宋" w:eastAsia="仿宋" w:cs="仿宋_GB2312"/>
          <w:kern w:val="0"/>
          <w:sz w:val="32"/>
          <w:szCs w:val="32"/>
          <w:shd w:val="clear" w:color="auto" w:fill="FFFFFF"/>
          <w:lang w:val="zh-CN"/>
        </w:rPr>
        <w:t>022</w:t>
      </w:r>
      <w:r>
        <w:rPr>
          <w:rFonts w:hint="eastAsia" w:ascii="仿宋" w:hAnsi="仿宋" w:eastAsia="仿宋" w:cs="仿宋_GB2312"/>
          <w:kern w:val="0"/>
          <w:sz w:val="32"/>
          <w:szCs w:val="32"/>
          <w:shd w:val="clear" w:color="auto" w:fill="FFFFFF"/>
          <w:lang w:val="zh-CN"/>
        </w:rPr>
        <w:t>年，我会深入贯彻“保运转”重要要求，合理保障部门正常运转、基本履职和重点工作需要，在统筹考虑财政资金的基础上编制运转类项目预算。</w:t>
      </w:r>
    </w:p>
    <w:p>
      <w:pPr>
        <w:pStyle w:val="2"/>
        <w:spacing w:before="93" w:line="560" w:lineRule="exact"/>
        <w:ind w:firstLine="640" w:firstLineChars="200"/>
        <w:rPr>
          <w:rFonts w:ascii="仿宋" w:hAnsi="仿宋" w:eastAsia="仿宋"/>
          <w:sz w:val="32"/>
          <w:szCs w:val="32"/>
          <w:lang w:val="zh-CN"/>
        </w:rPr>
      </w:pPr>
      <w:r>
        <w:rPr>
          <w:rFonts w:hint="eastAsia" w:ascii="仿宋" w:hAnsi="仿宋" w:eastAsia="仿宋"/>
          <w:sz w:val="32"/>
          <w:szCs w:val="32"/>
          <w:lang w:val="zh-CN"/>
        </w:rPr>
        <w:t>（2）目标实现。2</w:t>
      </w:r>
      <w:r>
        <w:rPr>
          <w:rFonts w:ascii="仿宋" w:hAnsi="仿宋" w:eastAsia="仿宋"/>
          <w:sz w:val="32"/>
          <w:szCs w:val="32"/>
          <w:lang w:val="zh-CN"/>
        </w:rPr>
        <w:t>022</w:t>
      </w:r>
      <w:r>
        <w:rPr>
          <w:rFonts w:hint="eastAsia" w:ascii="仿宋" w:hAnsi="仿宋" w:eastAsia="仿宋"/>
          <w:sz w:val="32"/>
          <w:szCs w:val="32"/>
          <w:lang w:val="zh-CN"/>
        </w:rPr>
        <w:t>年，我会根据自身情况，在统筹考虑财政拨款的基础上编制运转类项目预算，进一步完善运转类项目开支范围，合理确定支出结构，有效保障了单位的正常运转。</w:t>
      </w:r>
    </w:p>
    <w:p>
      <w:pPr>
        <w:pStyle w:val="2"/>
        <w:spacing w:before="93" w:line="560" w:lineRule="exact"/>
        <w:ind w:firstLine="640" w:firstLineChars="200"/>
        <w:rPr>
          <w:rFonts w:ascii="仿宋" w:hAnsi="仿宋" w:eastAsia="仿宋"/>
          <w:sz w:val="32"/>
          <w:szCs w:val="32"/>
          <w:lang w:val="zh-CN"/>
        </w:rPr>
      </w:pPr>
      <w:r>
        <w:rPr>
          <w:rFonts w:hint="eastAsia" w:ascii="仿宋" w:hAnsi="仿宋" w:eastAsia="仿宋"/>
          <w:sz w:val="32"/>
          <w:szCs w:val="32"/>
          <w:lang w:val="zh-CN"/>
        </w:rPr>
        <w:t>（3）及时处置。绩效监控发现的问题，均按照项目相关要求，加快执行进度。</w:t>
      </w:r>
    </w:p>
    <w:p>
      <w:pPr>
        <w:pStyle w:val="2"/>
        <w:spacing w:before="93" w:line="560" w:lineRule="exact"/>
        <w:ind w:firstLine="640" w:firstLineChars="200"/>
        <w:rPr>
          <w:rFonts w:ascii="仿宋" w:hAnsi="仿宋" w:eastAsia="仿宋"/>
          <w:sz w:val="32"/>
          <w:szCs w:val="32"/>
          <w:lang w:val="zh-CN"/>
        </w:rPr>
      </w:pPr>
      <w:r>
        <w:rPr>
          <w:rFonts w:hint="eastAsia" w:ascii="仿宋" w:hAnsi="仿宋" w:eastAsia="仿宋"/>
          <w:sz w:val="32"/>
          <w:szCs w:val="32"/>
          <w:lang w:val="zh-CN"/>
        </w:rPr>
        <w:t>（4）执行进度。年度预算执行进度1</w:t>
      </w:r>
      <w:r>
        <w:rPr>
          <w:rFonts w:ascii="仿宋" w:hAnsi="仿宋" w:eastAsia="仿宋"/>
          <w:sz w:val="32"/>
          <w:szCs w:val="32"/>
          <w:lang w:val="zh-CN"/>
        </w:rPr>
        <w:t>00%</w:t>
      </w:r>
      <w:r>
        <w:rPr>
          <w:rFonts w:hint="eastAsia" w:ascii="仿宋" w:hAnsi="仿宋" w:eastAsia="仿宋"/>
          <w:sz w:val="32"/>
          <w:szCs w:val="32"/>
          <w:lang w:val="zh-CN"/>
        </w:rPr>
        <w:t>。</w:t>
      </w:r>
    </w:p>
    <w:p>
      <w:pPr>
        <w:pStyle w:val="2"/>
        <w:spacing w:before="93" w:line="560" w:lineRule="exact"/>
        <w:ind w:firstLine="640" w:firstLineChars="200"/>
        <w:rPr>
          <w:rFonts w:ascii="仿宋" w:hAnsi="仿宋" w:eastAsia="仿宋"/>
          <w:sz w:val="32"/>
          <w:szCs w:val="32"/>
          <w:lang w:val="zh-CN"/>
        </w:rPr>
      </w:pPr>
      <w:r>
        <w:rPr>
          <w:rFonts w:hint="eastAsia" w:ascii="仿宋" w:hAnsi="仿宋" w:eastAsia="仿宋"/>
          <w:sz w:val="32"/>
          <w:szCs w:val="32"/>
          <w:lang w:val="zh-CN"/>
        </w:rPr>
        <w:t>（5）资金结余率。我会2</w:t>
      </w:r>
      <w:r>
        <w:rPr>
          <w:rFonts w:ascii="仿宋" w:hAnsi="仿宋" w:eastAsia="仿宋"/>
          <w:sz w:val="32"/>
          <w:szCs w:val="32"/>
          <w:lang w:val="zh-CN"/>
        </w:rPr>
        <w:t>022</w:t>
      </w:r>
      <w:r>
        <w:rPr>
          <w:rFonts w:hint="eastAsia" w:ascii="仿宋" w:hAnsi="仿宋" w:eastAsia="仿宋"/>
          <w:sz w:val="32"/>
          <w:szCs w:val="32"/>
          <w:lang w:val="zh-CN"/>
        </w:rPr>
        <w:t>年无运转类项目结余资金。</w:t>
      </w:r>
    </w:p>
    <w:p>
      <w:pPr>
        <w:pStyle w:val="2"/>
        <w:spacing w:before="93" w:line="560" w:lineRule="exact"/>
        <w:ind w:firstLine="640" w:firstLineChars="200"/>
        <w:rPr>
          <w:rFonts w:ascii="仿宋" w:hAnsi="仿宋" w:eastAsia="仿宋"/>
          <w:sz w:val="32"/>
          <w:szCs w:val="32"/>
          <w:lang w:val="zh-CN"/>
        </w:rPr>
      </w:pPr>
      <w:r>
        <w:rPr>
          <w:rFonts w:hint="eastAsia" w:ascii="仿宋" w:hAnsi="仿宋" w:eastAsia="仿宋"/>
          <w:sz w:val="32"/>
          <w:szCs w:val="32"/>
          <w:lang w:val="zh-CN"/>
        </w:rPr>
        <w:t>（6）违规记录。我会2</w:t>
      </w:r>
      <w:r>
        <w:rPr>
          <w:rFonts w:ascii="仿宋" w:hAnsi="仿宋" w:eastAsia="仿宋"/>
          <w:sz w:val="32"/>
          <w:szCs w:val="32"/>
          <w:lang w:val="zh-CN"/>
        </w:rPr>
        <w:t>022</w:t>
      </w:r>
      <w:r>
        <w:rPr>
          <w:rFonts w:hint="eastAsia" w:ascii="仿宋" w:hAnsi="仿宋" w:eastAsia="仿宋"/>
          <w:sz w:val="32"/>
          <w:szCs w:val="32"/>
          <w:lang w:val="zh-CN"/>
        </w:rPr>
        <w:t>年未出现部门预算管理方面违纪违规问题。</w:t>
      </w:r>
    </w:p>
    <w:p>
      <w:pPr>
        <w:pStyle w:val="2"/>
        <w:spacing w:before="93" w:line="560" w:lineRule="exact"/>
        <w:ind w:firstLine="640" w:firstLineChars="200"/>
        <w:rPr>
          <w:rFonts w:ascii="仿宋" w:hAnsi="仿宋" w:eastAsia="仿宋"/>
          <w:sz w:val="32"/>
          <w:szCs w:val="32"/>
        </w:rPr>
      </w:pPr>
    </w:p>
    <w:p>
      <w:pPr>
        <w:widowControl/>
        <w:adjustRightInd w:val="0"/>
        <w:snapToGrid w:val="0"/>
        <w:spacing w:line="560" w:lineRule="exact"/>
        <w:ind w:firstLine="643" w:firstLineChars="200"/>
        <w:contextualSpacing/>
        <w:jc w:val="left"/>
        <w:rPr>
          <w:rFonts w:ascii="仿宋" w:hAnsi="仿宋" w:eastAsia="仿宋" w:cs="楷体_GB2312"/>
          <w:b/>
          <w:bCs/>
          <w:kern w:val="0"/>
          <w:sz w:val="32"/>
          <w:szCs w:val="32"/>
          <w:shd w:val="clear" w:color="auto" w:fill="FFFFFF"/>
          <w:lang w:val="zh-CN"/>
        </w:rPr>
      </w:pPr>
      <w:r>
        <w:rPr>
          <w:rFonts w:hint="eastAsia" w:ascii="仿宋" w:hAnsi="仿宋" w:eastAsia="仿宋" w:cs="楷体_GB2312"/>
          <w:b/>
          <w:bCs/>
          <w:kern w:val="0"/>
          <w:sz w:val="32"/>
          <w:szCs w:val="32"/>
          <w:shd w:val="clear" w:color="auto" w:fill="FFFFFF"/>
          <w:lang w:val="zh-CN"/>
        </w:rPr>
        <w:t>（二）部门整体履职绩效分析。</w:t>
      </w:r>
    </w:p>
    <w:p>
      <w:pPr>
        <w:pStyle w:val="14"/>
        <w:shd w:val="clear" w:color="auto" w:fill="FFFFFF"/>
        <w:spacing w:before="0" w:beforeAutospacing="0" w:after="0" w:afterAutospacing="0" w:line="560" w:lineRule="exact"/>
        <w:ind w:firstLine="640" w:firstLineChars="200"/>
        <w:rPr>
          <w:rFonts w:ascii="仿宋" w:hAnsi="仿宋" w:eastAsia="仿宋" w:cs="Calibri"/>
          <w:color w:val="333333"/>
          <w:sz w:val="32"/>
          <w:szCs w:val="32"/>
          <w:shd w:val="clear" w:color="auto" w:fill="FFFFFF"/>
        </w:rPr>
      </w:pPr>
      <w:r>
        <w:rPr>
          <w:rFonts w:hint="eastAsia" w:ascii="仿宋" w:hAnsi="仿宋" w:eastAsia="仿宋" w:cs="仿宋"/>
          <w:color w:val="333333"/>
          <w:sz w:val="32"/>
          <w:szCs w:val="32"/>
          <w:shd w:val="clear" w:color="auto" w:fill="FFFFFF"/>
        </w:rPr>
        <w:t>2022年，县科协在县委、县政府的领导下，在市科协的指导下，坚持以习近平新时代中国特色社会主义思想为指导，全面贯彻党的十九大和十九届二中、三中、四中、五中、六中全会精神，以科普惠民为主抓手，团结和发动广大科技工作者，</w:t>
      </w:r>
      <w:r>
        <w:rPr>
          <w:rFonts w:hint="eastAsia" w:ascii="仿宋" w:hAnsi="仿宋" w:eastAsia="仿宋" w:cs="仿宋"/>
          <w:color w:val="333333"/>
          <w:sz w:val="32"/>
          <w:szCs w:val="32"/>
          <w:shd w:val="clear" w:color="auto" w:fill="FFFFFF"/>
          <w:lang w:eastAsia="zh-CN"/>
        </w:rPr>
        <w:t>大力弘扬</w:t>
      </w:r>
      <w:r>
        <w:rPr>
          <w:rFonts w:hint="eastAsia" w:ascii="仿宋" w:hAnsi="仿宋" w:eastAsia="仿宋" w:cs="仿宋"/>
          <w:color w:val="333333"/>
          <w:sz w:val="32"/>
          <w:szCs w:val="32"/>
          <w:shd w:val="clear" w:color="auto" w:fill="FFFFFF"/>
        </w:rPr>
        <w:t>科学精神，普及科学知识，传播科学思想和科学方法，充分发挥各科普示范基地、农技协的作用，用心用力为“1233”执政兴县战略大局服务，各项工作取得了一定成绩。</w:t>
      </w:r>
      <w:r>
        <w:rPr>
          <w:rFonts w:eastAsia="仿宋" w:cs="Calibri"/>
          <w:color w:val="333333"/>
          <w:sz w:val="32"/>
          <w:szCs w:val="32"/>
          <w:shd w:val="clear" w:color="auto" w:fill="FFFFFF"/>
        </w:rPr>
        <w:t> </w:t>
      </w:r>
    </w:p>
    <w:p>
      <w:pPr>
        <w:pStyle w:val="14"/>
        <w:shd w:val="clear" w:color="auto" w:fill="FFFFFF"/>
        <w:spacing w:before="0" w:beforeAutospacing="0" w:after="0" w:afterAutospacing="0" w:line="560" w:lineRule="exact"/>
        <w:ind w:firstLine="640" w:firstLineChars="200"/>
        <w:rPr>
          <w:rFonts w:ascii="仿宋" w:hAnsi="仿宋" w:eastAsia="仿宋" w:cs="仿宋"/>
          <w:color w:val="333333"/>
          <w:sz w:val="32"/>
          <w:szCs w:val="32"/>
          <w:shd w:val="clear" w:color="auto" w:fill="FFFFFF"/>
        </w:rPr>
      </w:pPr>
      <w:r>
        <w:rPr>
          <w:rFonts w:hint="eastAsia" w:ascii="仿宋" w:hAnsi="仿宋" w:eastAsia="仿宋" w:cs="仿宋"/>
          <w:color w:val="333333"/>
          <w:sz w:val="32"/>
          <w:szCs w:val="32"/>
          <w:shd w:val="clear" w:color="auto" w:fill="FFFFFF"/>
        </w:rPr>
        <w:t>一是科普宣传周和“全国科普日”、防范邪教宣传月活动效果明显、成绩突出。</w:t>
      </w:r>
    </w:p>
    <w:p>
      <w:pPr>
        <w:pStyle w:val="14"/>
        <w:shd w:val="clear" w:color="auto" w:fill="FFFFFF"/>
        <w:spacing w:before="0" w:beforeAutospacing="0" w:after="0" w:afterAutospacing="0" w:line="560" w:lineRule="exact"/>
        <w:ind w:firstLine="640" w:firstLineChars="200"/>
        <w:rPr>
          <w:rFonts w:ascii="仿宋" w:hAnsi="仿宋" w:eastAsia="仿宋" w:cs="仿宋"/>
          <w:color w:val="333333"/>
          <w:sz w:val="32"/>
          <w:szCs w:val="32"/>
          <w:shd w:val="clear" w:color="auto" w:fill="FFFFFF"/>
        </w:rPr>
      </w:pPr>
      <w:r>
        <w:rPr>
          <w:rFonts w:hint="eastAsia" w:ascii="仿宋" w:hAnsi="仿宋" w:eastAsia="仿宋" w:cs="仿宋"/>
          <w:color w:val="333333"/>
          <w:sz w:val="32"/>
          <w:szCs w:val="32"/>
          <w:shd w:val="clear" w:color="auto" w:fill="FFFFFF"/>
        </w:rPr>
        <w:t>二是青少年科普工作有新突破。</w:t>
      </w:r>
    </w:p>
    <w:p>
      <w:pPr>
        <w:pStyle w:val="14"/>
        <w:shd w:val="clear" w:color="auto" w:fill="FFFFFF"/>
        <w:spacing w:before="0" w:beforeAutospacing="0" w:after="0" w:afterAutospacing="0" w:line="560" w:lineRule="exact"/>
        <w:ind w:firstLine="640" w:firstLineChars="200"/>
        <w:rPr>
          <w:rFonts w:ascii="仿宋" w:hAnsi="仿宋" w:eastAsia="仿宋" w:cs="仿宋"/>
          <w:color w:val="333333"/>
          <w:sz w:val="32"/>
          <w:szCs w:val="32"/>
          <w:shd w:val="clear" w:color="auto" w:fill="FFFFFF"/>
        </w:rPr>
      </w:pPr>
      <w:r>
        <w:rPr>
          <w:rFonts w:hint="eastAsia" w:ascii="仿宋" w:hAnsi="仿宋" w:eastAsia="仿宋" w:cs="仿宋"/>
          <w:color w:val="333333"/>
          <w:sz w:val="32"/>
          <w:szCs w:val="32"/>
          <w:shd w:val="clear" w:color="auto" w:fill="FFFFFF"/>
        </w:rPr>
        <w:t>三是科技“四下乡”活动贴近群众。</w:t>
      </w:r>
    </w:p>
    <w:p>
      <w:pPr>
        <w:pStyle w:val="14"/>
        <w:shd w:val="clear" w:color="auto" w:fill="FFFFFF"/>
        <w:spacing w:before="0" w:beforeAutospacing="0" w:after="0" w:afterAutospacing="0" w:line="560" w:lineRule="exact"/>
        <w:ind w:firstLine="640" w:firstLineChars="200"/>
        <w:rPr>
          <w:rFonts w:ascii="仿宋" w:hAnsi="仿宋" w:eastAsia="仿宋" w:cs="仿宋"/>
          <w:color w:val="333333"/>
          <w:sz w:val="32"/>
          <w:szCs w:val="32"/>
          <w:shd w:val="clear" w:color="auto" w:fill="FFFFFF"/>
        </w:rPr>
      </w:pPr>
      <w:r>
        <w:rPr>
          <w:rFonts w:hint="eastAsia" w:ascii="仿宋" w:hAnsi="仿宋" w:eastAsia="仿宋" w:cs="仿宋"/>
          <w:color w:val="333333"/>
          <w:sz w:val="32"/>
          <w:szCs w:val="32"/>
          <w:shd w:val="clear" w:color="auto" w:fill="FFFFFF"/>
        </w:rPr>
        <w:t>四是全民科学素质普遍提升。</w:t>
      </w:r>
    </w:p>
    <w:p>
      <w:pPr>
        <w:pStyle w:val="14"/>
        <w:shd w:val="clear" w:color="auto" w:fill="FFFFFF"/>
        <w:spacing w:before="0" w:beforeAutospacing="0" w:after="0" w:afterAutospacing="0" w:line="560" w:lineRule="exact"/>
        <w:ind w:firstLine="640" w:firstLineChars="200"/>
        <w:rPr>
          <w:rFonts w:ascii="仿宋" w:hAnsi="仿宋" w:eastAsia="仿宋" w:cs="仿宋"/>
          <w:color w:val="333333"/>
          <w:sz w:val="32"/>
          <w:szCs w:val="32"/>
          <w:shd w:val="clear" w:color="auto" w:fill="FFFFFF"/>
        </w:rPr>
      </w:pPr>
      <w:r>
        <w:rPr>
          <w:rFonts w:hint="eastAsia" w:ascii="仿宋" w:hAnsi="仿宋" w:eastAsia="仿宋" w:cs="仿宋"/>
          <w:color w:val="333333"/>
          <w:sz w:val="32"/>
          <w:szCs w:val="32"/>
          <w:shd w:val="clear" w:color="auto" w:fill="FFFFFF"/>
        </w:rPr>
        <w:t>五是抓疫情防控，助推复工复产工作</w:t>
      </w:r>
      <w:r>
        <w:rPr>
          <w:rFonts w:eastAsia="仿宋" w:cs="Calibri"/>
          <w:color w:val="333333"/>
          <w:sz w:val="32"/>
          <w:szCs w:val="32"/>
          <w:shd w:val="clear" w:color="auto" w:fill="FFFFFF"/>
        </w:rPr>
        <w:t> </w:t>
      </w:r>
      <w:r>
        <w:rPr>
          <w:rFonts w:hint="eastAsia" w:ascii="仿宋" w:hAnsi="仿宋" w:eastAsia="仿宋" w:cs="仿宋"/>
          <w:color w:val="333333"/>
          <w:sz w:val="32"/>
          <w:szCs w:val="32"/>
          <w:shd w:val="clear" w:color="auto" w:fill="FFFFFF"/>
        </w:rPr>
        <w:t>。</w:t>
      </w:r>
    </w:p>
    <w:p>
      <w:pPr>
        <w:pStyle w:val="14"/>
        <w:shd w:val="clear" w:color="auto" w:fill="FFFFFF"/>
        <w:spacing w:before="0" w:beforeAutospacing="0" w:after="0" w:afterAutospacing="0" w:line="560" w:lineRule="exact"/>
        <w:ind w:firstLine="640" w:firstLineChars="200"/>
        <w:rPr>
          <w:rFonts w:ascii="仿宋" w:hAnsi="仿宋" w:eastAsia="仿宋" w:cs="仿宋"/>
          <w:color w:val="333333"/>
          <w:sz w:val="32"/>
          <w:szCs w:val="32"/>
          <w:shd w:val="clear" w:color="auto" w:fill="FFFFFF"/>
        </w:rPr>
      </w:pPr>
      <w:r>
        <w:rPr>
          <w:rFonts w:hint="eastAsia" w:ascii="仿宋" w:hAnsi="仿宋" w:eastAsia="仿宋" w:cs="仿宋"/>
          <w:color w:val="333333"/>
          <w:sz w:val="32"/>
          <w:szCs w:val="32"/>
          <w:shd w:val="clear" w:color="auto" w:fill="FFFFFF"/>
        </w:rPr>
        <w:t>六是强基层党建，落实党风廉政建设</w:t>
      </w:r>
      <w:r>
        <w:rPr>
          <w:rFonts w:eastAsia="仿宋" w:cs="Calibri"/>
          <w:color w:val="333333"/>
          <w:sz w:val="32"/>
          <w:szCs w:val="32"/>
          <w:shd w:val="clear" w:color="auto" w:fill="FFFFFF"/>
        </w:rPr>
        <w:t> </w:t>
      </w:r>
      <w:r>
        <w:rPr>
          <w:rFonts w:hint="eastAsia" w:ascii="仿宋" w:hAnsi="仿宋" w:eastAsia="仿宋" w:cs="仿宋"/>
          <w:color w:val="333333"/>
          <w:sz w:val="32"/>
          <w:szCs w:val="32"/>
          <w:shd w:val="clear" w:color="auto" w:fill="FFFFFF"/>
        </w:rPr>
        <w:t>稳步推进。</w:t>
      </w:r>
    </w:p>
    <w:p>
      <w:pPr>
        <w:pStyle w:val="14"/>
        <w:shd w:val="clear" w:color="auto" w:fill="FFFFFF"/>
        <w:spacing w:before="0" w:beforeAutospacing="0" w:after="0" w:afterAutospacing="0" w:line="560" w:lineRule="exact"/>
        <w:ind w:firstLine="640" w:firstLineChars="200"/>
        <w:jc w:val="both"/>
        <w:rPr>
          <w:rFonts w:ascii="仿宋" w:hAnsi="仿宋" w:eastAsia="仿宋" w:cs="仿宋"/>
          <w:color w:val="333333"/>
          <w:sz w:val="32"/>
          <w:szCs w:val="32"/>
          <w:shd w:val="clear" w:color="auto" w:fill="FFFFFF"/>
        </w:rPr>
      </w:pPr>
      <w:r>
        <w:rPr>
          <w:rFonts w:hint="eastAsia" w:ascii="仿宋" w:hAnsi="仿宋" w:eastAsia="仿宋" w:cs="仿宋"/>
          <w:color w:val="333333"/>
          <w:sz w:val="32"/>
          <w:szCs w:val="32"/>
          <w:shd w:val="clear" w:color="auto" w:fill="FFFFFF"/>
        </w:rPr>
        <w:t>七是驻村帮扶扎实有效。</w:t>
      </w:r>
    </w:p>
    <w:p>
      <w:pPr>
        <w:widowControl/>
        <w:adjustRightInd w:val="0"/>
        <w:snapToGrid w:val="0"/>
        <w:spacing w:line="560" w:lineRule="exact"/>
        <w:ind w:firstLine="643" w:firstLineChars="200"/>
        <w:contextualSpacing/>
        <w:jc w:val="left"/>
        <w:rPr>
          <w:rFonts w:ascii="仿宋" w:hAnsi="仿宋" w:eastAsia="仿宋" w:cs="楷体_GB2312"/>
          <w:b/>
          <w:bCs/>
          <w:kern w:val="0"/>
          <w:sz w:val="32"/>
          <w:szCs w:val="32"/>
          <w:shd w:val="clear" w:color="auto" w:fill="FFFFFF"/>
          <w:lang w:val="zh-CN"/>
        </w:rPr>
      </w:pPr>
      <w:r>
        <w:rPr>
          <w:rFonts w:hint="eastAsia" w:ascii="仿宋" w:hAnsi="仿宋" w:eastAsia="仿宋" w:cs="楷体_GB2312"/>
          <w:b/>
          <w:bCs/>
          <w:kern w:val="0"/>
          <w:sz w:val="32"/>
          <w:szCs w:val="32"/>
          <w:shd w:val="clear" w:color="auto" w:fill="FFFFFF"/>
          <w:lang w:val="zh-CN"/>
        </w:rPr>
        <w:t>（三）结果应用情况。</w:t>
      </w:r>
    </w:p>
    <w:p>
      <w:pPr>
        <w:widowControl/>
        <w:adjustRightInd w:val="0"/>
        <w:snapToGrid w:val="0"/>
        <w:spacing w:line="560" w:lineRule="exact"/>
        <w:ind w:firstLine="640" w:firstLineChars="200"/>
        <w:contextualSpacing/>
        <w:jc w:val="left"/>
        <w:rPr>
          <w:rFonts w:ascii="仿宋" w:hAnsi="仿宋" w:eastAsia="仿宋" w:cs="仿宋_GB2312"/>
          <w:kern w:val="0"/>
          <w:sz w:val="32"/>
          <w:szCs w:val="32"/>
          <w:shd w:val="clear" w:color="auto" w:fill="FFFFFF"/>
          <w:lang w:val="zh-CN"/>
        </w:rPr>
      </w:pPr>
      <w:r>
        <w:rPr>
          <w:rFonts w:hint="eastAsia" w:ascii="仿宋" w:hAnsi="仿宋" w:eastAsia="仿宋" w:cs="仿宋_GB2312"/>
          <w:kern w:val="0"/>
          <w:sz w:val="32"/>
          <w:szCs w:val="32"/>
          <w:shd w:val="clear" w:color="auto" w:fill="FFFFFF"/>
          <w:lang w:val="zh-CN"/>
        </w:rPr>
        <w:t>1</w:t>
      </w:r>
      <w:r>
        <w:rPr>
          <w:rFonts w:ascii="仿宋" w:hAnsi="仿宋" w:eastAsia="仿宋" w:cs="仿宋_GB2312"/>
          <w:kern w:val="0"/>
          <w:sz w:val="32"/>
          <w:szCs w:val="32"/>
          <w:shd w:val="clear" w:color="auto" w:fill="FFFFFF"/>
          <w:lang w:val="zh-CN"/>
        </w:rPr>
        <w:t>.</w:t>
      </w:r>
      <w:r>
        <w:rPr>
          <w:rFonts w:hint="eastAsia" w:ascii="仿宋" w:hAnsi="仿宋" w:eastAsia="仿宋" w:cs="仿宋_GB2312"/>
          <w:kern w:val="0"/>
          <w:sz w:val="32"/>
          <w:szCs w:val="32"/>
          <w:shd w:val="clear" w:color="auto" w:fill="FFFFFF"/>
          <w:lang w:val="zh-CN"/>
        </w:rPr>
        <w:t>信息公开。</w:t>
      </w:r>
    </w:p>
    <w:p>
      <w:pPr>
        <w:pStyle w:val="2"/>
        <w:spacing w:before="93" w:line="560" w:lineRule="exact"/>
        <w:rPr>
          <w:rFonts w:ascii="仿宋" w:hAnsi="仿宋" w:eastAsia="仿宋"/>
          <w:sz w:val="32"/>
          <w:szCs w:val="32"/>
          <w:lang w:val="zh-CN"/>
        </w:rPr>
      </w:pPr>
      <w:r>
        <w:rPr>
          <w:rFonts w:hint="eastAsia" w:ascii="仿宋" w:hAnsi="仿宋" w:eastAsia="仿宋"/>
          <w:sz w:val="32"/>
          <w:szCs w:val="32"/>
          <w:lang w:val="zh-CN"/>
        </w:rPr>
        <w:t>我会按要求将相关绩效信息随同决算一并公开。</w:t>
      </w:r>
    </w:p>
    <w:p>
      <w:pPr>
        <w:widowControl/>
        <w:adjustRightInd w:val="0"/>
        <w:snapToGrid w:val="0"/>
        <w:spacing w:line="560" w:lineRule="exact"/>
        <w:ind w:firstLine="640" w:firstLineChars="200"/>
        <w:contextualSpacing/>
        <w:jc w:val="left"/>
        <w:rPr>
          <w:rFonts w:ascii="仿宋" w:hAnsi="仿宋" w:eastAsia="仿宋" w:cs="仿宋_GB2312"/>
          <w:kern w:val="0"/>
          <w:sz w:val="32"/>
          <w:szCs w:val="32"/>
          <w:shd w:val="clear" w:color="auto" w:fill="FFFFFF"/>
          <w:lang w:val="zh-CN"/>
        </w:rPr>
      </w:pPr>
      <w:r>
        <w:rPr>
          <w:rFonts w:hint="eastAsia" w:ascii="仿宋" w:hAnsi="仿宋" w:eastAsia="仿宋" w:cs="仿宋_GB2312"/>
          <w:kern w:val="0"/>
          <w:sz w:val="32"/>
          <w:szCs w:val="32"/>
          <w:shd w:val="clear" w:color="auto" w:fill="FFFFFF"/>
          <w:lang w:val="zh-CN"/>
        </w:rPr>
        <w:t>2</w:t>
      </w:r>
      <w:r>
        <w:rPr>
          <w:rFonts w:ascii="仿宋" w:hAnsi="仿宋" w:eastAsia="仿宋" w:cs="仿宋_GB2312"/>
          <w:kern w:val="0"/>
          <w:sz w:val="32"/>
          <w:szCs w:val="32"/>
          <w:shd w:val="clear" w:color="auto" w:fill="FFFFFF"/>
          <w:lang w:val="zh-CN"/>
        </w:rPr>
        <w:t>.</w:t>
      </w:r>
      <w:r>
        <w:rPr>
          <w:rFonts w:hint="eastAsia" w:ascii="仿宋" w:hAnsi="仿宋" w:eastAsia="仿宋" w:cs="仿宋_GB2312"/>
          <w:kern w:val="0"/>
          <w:sz w:val="32"/>
          <w:szCs w:val="32"/>
          <w:shd w:val="clear" w:color="auto" w:fill="FFFFFF"/>
          <w:lang w:val="zh-CN"/>
        </w:rPr>
        <w:t>应用反馈。</w:t>
      </w:r>
    </w:p>
    <w:p>
      <w:pPr>
        <w:pStyle w:val="2"/>
        <w:spacing w:before="93" w:line="560" w:lineRule="exact"/>
        <w:rPr>
          <w:rFonts w:ascii="仿宋" w:hAnsi="仿宋" w:eastAsia="仿宋"/>
          <w:sz w:val="32"/>
          <w:szCs w:val="32"/>
          <w:lang w:val="zh-CN"/>
        </w:rPr>
      </w:pPr>
      <w:r>
        <w:rPr>
          <w:rFonts w:hint="eastAsia" w:ascii="仿宋" w:hAnsi="仿宋" w:eastAsia="仿宋"/>
          <w:sz w:val="32"/>
          <w:szCs w:val="32"/>
          <w:lang w:val="zh-CN"/>
        </w:rPr>
        <w:t>我会按要求在规定时间内向财政局反馈了应用绩效报告。</w:t>
      </w:r>
    </w:p>
    <w:p>
      <w:pPr>
        <w:widowControl/>
        <w:numPr>
          <w:ilvl w:val="0"/>
          <w:numId w:val="6"/>
        </w:numPr>
        <w:adjustRightInd w:val="0"/>
        <w:snapToGrid w:val="0"/>
        <w:spacing w:line="560" w:lineRule="exact"/>
        <w:ind w:firstLine="643" w:firstLineChars="200"/>
        <w:contextualSpacing/>
        <w:jc w:val="left"/>
        <w:rPr>
          <w:rFonts w:ascii="仿宋" w:hAnsi="仿宋" w:eastAsia="仿宋" w:cs="楷体_GB2312"/>
          <w:b/>
          <w:bCs/>
          <w:kern w:val="0"/>
          <w:sz w:val="32"/>
          <w:szCs w:val="32"/>
          <w:shd w:val="clear" w:color="auto" w:fill="FFFFFF"/>
          <w:lang w:val="zh-CN"/>
        </w:rPr>
      </w:pPr>
      <w:r>
        <w:rPr>
          <w:rFonts w:hint="eastAsia" w:ascii="仿宋" w:hAnsi="仿宋" w:eastAsia="仿宋" w:cs="楷体_GB2312"/>
          <w:b/>
          <w:bCs/>
          <w:kern w:val="0"/>
          <w:sz w:val="32"/>
          <w:szCs w:val="32"/>
          <w:shd w:val="clear" w:color="auto" w:fill="FFFFFF"/>
          <w:lang w:val="zh-CN"/>
        </w:rPr>
        <w:t>自评质量。</w:t>
      </w:r>
    </w:p>
    <w:p>
      <w:pPr>
        <w:widowControl/>
        <w:adjustRightInd w:val="0"/>
        <w:snapToGrid w:val="0"/>
        <w:spacing w:line="560" w:lineRule="exact"/>
        <w:ind w:firstLine="640" w:firstLineChars="200"/>
        <w:contextualSpacing/>
        <w:jc w:val="left"/>
        <w:rPr>
          <w:rFonts w:ascii="仿宋" w:hAnsi="仿宋" w:eastAsia="仿宋" w:cs="仿宋_GB2312"/>
          <w:kern w:val="0"/>
          <w:sz w:val="32"/>
          <w:szCs w:val="32"/>
          <w:shd w:val="clear" w:color="auto" w:fill="FFFFFF"/>
        </w:rPr>
      </w:pPr>
      <w:r>
        <w:rPr>
          <w:rFonts w:hint="eastAsia" w:ascii="仿宋" w:hAnsi="仿宋" w:eastAsia="仿宋" w:cs="仿宋_GB2312"/>
          <w:kern w:val="0"/>
          <w:sz w:val="32"/>
          <w:szCs w:val="32"/>
          <w:shd w:val="clear" w:color="auto" w:fill="FFFFFF"/>
        </w:rPr>
        <w:t>我会认真组织单位开展了2</w:t>
      </w:r>
      <w:r>
        <w:rPr>
          <w:rFonts w:ascii="仿宋" w:hAnsi="仿宋" w:eastAsia="仿宋" w:cs="仿宋_GB2312"/>
          <w:kern w:val="0"/>
          <w:sz w:val="32"/>
          <w:szCs w:val="32"/>
          <w:shd w:val="clear" w:color="auto" w:fill="FFFFFF"/>
        </w:rPr>
        <w:t>022</w:t>
      </w:r>
      <w:r>
        <w:rPr>
          <w:rFonts w:hint="eastAsia" w:ascii="仿宋" w:hAnsi="仿宋" w:eastAsia="仿宋" w:cs="仿宋_GB2312"/>
          <w:kern w:val="0"/>
          <w:sz w:val="32"/>
          <w:szCs w:val="32"/>
          <w:shd w:val="clear" w:color="auto" w:fill="FFFFFF"/>
        </w:rPr>
        <w:t>年度整体支出绩效评价工作，较好地完成了本次绩效评价相关工作。</w:t>
      </w:r>
    </w:p>
    <w:p>
      <w:pPr>
        <w:widowControl/>
        <w:adjustRightInd w:val="0"/>
        <w:snapToGrid w:val="0"/>
        <w:spacing w:line="560" w:lineRule="exact"/>
        <w:ind w:firstLine="640" w:firstLineChars="200"/>
        <w:contextualSpacing/>
        <w:jc w:val="left"/>
        <w:rPr>
          <w:rFonts w:ascii="仿宋" w:hAnsi="仿宋" w:eastAsia="仿宋" w:cs="宋体"/>
          <w:kern w:val="0"/>
          <w:sz w:val="32"/>
          <w:szCs w:val="32"/>
          <w:shd w:val="clear" w:color="auto" w:fill="FFFFFF"/>
        </w:rPr>
      </w:pPr>
      <w:r>
        <w:rPr>
          <w:rFonts w:hint="eastAsia" w:ascii="仿宋" w:hAnsi="仿宋" w:eastAsia="仿宋" w:cs="宋体"/>
          <w:kern w:val="0"/>
          <w:sz w:val="32"/>
          <w:szCs w:val="32"/>
          <w:shd w:val="clear" w:color="auto" w:fill="FFFFFF"/>
        </w:rPr>
        <w:t>四、评价结论及建议</w:t>
      </w:r>
    </w:p>
    <w:p>
      <w:pPr>
        <w:widowControl/>
        <w:adjustRightInd w:val="0"/>
        <w:snapToGrid w:val="0"/>
        <w:spacing w:line="560" w:lineRule="exact"/>
        <w:ind w:firstLine="643" w:firstLineChars="200"/>
        <w:contextualSpacing/>
        <w:jc w:val="left"/>
        <w:rPr>
          <w:rFonts w:ascii="仿宋" w:hAnsi="仿宋" w:eastAsia="仿宋" w:cs="楷体_GB2312"/>
          <w:b/>
          <w:bCs/>
          <w:kern w:val="0"/>
          <w:sz w:val="32"/>
          <w:szCs w:val="32"/>
          <w:shd w:val="clear" w:color="auto" w:fill="FFFFFF"/>
          <w:lang w:val="zh-CN"/>
        </w:rPr>
      </w:pPr>
      <w:r>
        <w:rPr>
          <w:rFonts w:hint="eastAsia" w:ascii="仿宋" w:hAnsi="仿宋" w:eastAsia="仿宋" w:cs="楷体_GB2312"/>
          <w:b/>
          <w:bCs/>
          <w:kern w:val="0"/>
          <w:sz w:val="32"/>
          <w:szCs w:val="32"/>
          <w:shd w:val="clear" w:color="auto" w:fill="FFFFFF"/>
          <w:lang w:val="zh-CN"/>
        </w:rPr>
        <w:t>（一）评价结论。</w:t>
      </w:r>
    </w:p>
    <w:p>
      <w:pPr>
        <w:pStyle w:val="2"/>
        <w:spacing w:before="93" w:line="560" w:lineRule="exact"/>
        <w:rPr>
          <w:rFonts w:ascii="仿宋" w:hAnsi="仿宋" w:eastAsia="仿宋"/>
          <w:sz w:val="32"/>
          <w:szCs w:val="32"/>
          <w:lang w:val="zh-CN"/>
        </w:rPr>
      </w:pPr>
      <w:r>
        <w:rPr>
          <w:rFonts w:hint="eastAsia" w:ascii="仿宋" w:hAnsi="仿宋" w:eastAsia="仿宋"/>
          <w:sz w:val="32"/>
          <w:szCs w:val="32"/>
          <w:lang w:val="zh-CN"/>
        </w:rPr>
        <w:t>我会较好地完成了绩效目标各项任务，有效保障了系统正常运转，有力推动了全县科协事业不断发展。</w:t>
      </w:r>
    </w:p>
    <w:p>
      <w:pPr>
        <w:widowControl/>
        <w:adjustRightInd w:val="0"/>
        <w:snapToGrid w:val="0"/>
        <w:spacing w:line="560" w:lineRule="exact"/>
        <w:ind w:firstLine="643" w:firstLineChars="200"/>
        <w:contextualSpacing/>
        <w:jc w:val="left"/>
        <w:rPr>
          <w:rFonts w:ascii="仿宋" w:hAnsi="仿宋" w:eastAsia="仿宋" w:cs="楷体_GB2312"/>
          <w:b/>
          <w:bCs/>
          <w:kern w:val="0"/>
          <w:sz w:val="32"/>
          <w:szCs w:val="32"/>
          <w:shd w:val="clear" w:color="auto" w:fill="FFFFFF"/>
          <w:lang w:val="zh-CN"/>
        </w:rPr>
      </w:pPr>
      <w:r>
        <w:rPr>
          <w:rFonts w:hint="eastAsia" w:ascii="仿宋" w:hAnsi="仿宋" w:eastAsia="仿宋" w:cs="楷体_GB2312"/>
          <w:b/>
          <w:bCs/>
          <w:kern w:val="0"/>
          <w:sz w:val="32"/>
          <w:szCs w:val="32"/>
          <w:shd w:val="clear" w:color="auto" w:fill="FFFFFF"/>
          <w:lang w:val="zh-CN"/>
        </w:rPr>
        <w:t>（二）存在问题。</w:t>
      </w:r>
    </w:p>
    <w:p>
      <w:pPr>
        <w:spacing w:after="157" w:line="560" w:lineRule="exact"/>
        <w:ind w:left="610" w:hanging="10"/>
        <w:rPr>
          <w:rFonts w:ascii="仿宋" w:hAnsi="仿宋" w:eastAsia="仿宋"/>
          <w:kern w:val="0"/>
          <w:sz w:val="32"/>
          <w:szCs w:val="32"/>
          <w:lang w:val="zh-CN"/>
        </w:rPr>
      </w:pPr>
      <w:r>
        <w:rPr>
          <w:rFonts w:ascii="仿宋" w:hAnsi="仿宋" w:eastAsia="仿宋"/>
          <w:kern w:val="0"/>
          <w:sz w:val="32"/>
          <w:szCs w:val="32"/>
          <w:lang w:val="zh-CN"/>
        </w:rPr>
        <w:t>1.</w:t>
      </w:r>
      <w:r>
        <w:rPr>
          <w:rFonts w:hint="eastAsia" w:ascii="仿宋" w:hAnsi="仿宋" w:eastAsia="仿宋"/>
          <w:kern w:val="0"/>
          <w:sz w:val="32"/>
          <w:szCs w:val="32"/>
          <w:lang w:val="zh-CN"/>
        </w:rPr>
        <w:t>部分绩效目标编制不够准确，存在超额完成情况。</w:t>
      </w:r>
    </w:p>
    <w:p>
      <w:pPr>
        <w:spacing w:after="159" w:line="560" w:lineRule="exact"/>
        <w:ind w:left="610" w:hanging="10"/>
        <w:rPr>
          <w:rFonts w:ascii="仿宋" w:hAnsi="仿宋" w:eastAsia="仿宋"/>
          <w:kern w:val="0"/>
          <w:sz w:val="32"/>
          <w:szCs w:val="32"/>
          <w:lang w:val="zh-CN"/>
        </w:rPr>
      </w:pPr>
      <w:r>
        <w:rPr>
          <w:rFonts w:ascii="仿宋" w:hAnsi="仿宋" w:eastAsia="仿宋"/>
          <w:kern w:val="0"/>
          <w:sz w:val="32"/>
          <w:szCs w:val="32"/>
          <w:lang w:val="zh-CN"/>
        </w:rPr>
        <w:t>2.</w:t>
      </w:r>
      <w:r>
        <w:rPr>
          <w:rFonts w:hint="eastAsia" w:ascii="仿宋" w:hAnsi="仿宋" w:eastAsia="仿宋"/>
          <w:kern w:val="0"/>
          <w:sz w:val="32"/>
          <w:szCs w:val="32"/>
          <w:lang w:val="zh-CN"/>
        </w:rPr>
        <w:t>部门预算执行进度不均衡，与财政要求目标进度存在差距。</w:t>
      </w:r>
    </w:p>
    <w:p>
      <w:pPr>
        <w:widowControl/>
        <w:adjustRightInd w:val="0"/>
        <w:snapToGrid w:val="0"/>
        <w:spacing w:line="560" w:lineRule="exact"/>
        <w:ind w:firstLine="643" w:firstLineChars="200"/>
        <w:contextualSpacing/>
        <w:jc w:val="left"/>
        <w:rPr>
          <w:rFonts w:ascii="仿宋" w:hAnsi="仿宋" w:eastAsia="仿宋" w:cs="楷体_GB2312"/>
          <w:b/>
          <w:bCs/>
          <w:kern w:val="0"/>
          <w:sz w:val="32"/>
          <w:szCs w:val="32"/>
          <w:shd w:val="clear" w:color="auto" w:fill="FFFFFF"/>
          <w:lang w:val="zh-CN"/>
        </w:rPr>
      </w:pPr>
      <w:r>
        <w:rPr>
          <w:rFonts w:hint="eastAsia" w:ascii="仿宋" w:hAnsi="仿宋" w:eastAsia="仿宋" w:cs="楷体_GB2312"/>
          <w:b/>
          <w:bCs/>
          <w:kern w:val="0"/>
          <w:sz w:val="32"/>
          <w:szCs w:val="32"/>
          <w:shd w:val="clear" w:color="auto" w:fill="FFFFFF"/>
          <w:lang w:val="zh-CN"/>
        </w:rPr>
        <w:t>（三）改进建议。</w:t>
      </w:r>
    </w:p>
    <w:p>
      <w:pPr>
        <w:spacing w:after="18" w:line="560" w:lineRule="exact"/>
        <w:ind w:left="-15" w:firstLine="600"/>
        <w:rPr>
          <w:rFonts w:ascii="仿宋" w:hAnsi="仿宋" w:eastAsia="仿宋"/>
          <w:kern w:val="0"/>
          <w:sz w:val="32"/>
          <w:szCs w:val="32"/>
          <w:lang w:val="zh-CN"/>
        </w:rPr>
      </w:pPr>
      <w:r>
        <w:rPr>
          <w:rFonts w:hint="eastAsia" w:ascii="仿宋" w:hAnsi="仿宋" w:eastAsia="仿宋"/>
          <w:kern w:val="0"/>
          <w:sz w:val="32"/>
          <w:szCs w:val="32"/>
          <w:lang w:val="zh-CN"/>
        </w:rPr>
        <w:t>一是在年初制定预算项目绩效目标时，通过开展事前绩效评估等相关工作，合理设置绩效指标和指标值。二是加强预算绩效监控结果运用。在预算执行过程中，发现项目执行与预期值偏差较大时，年中及时调整预算并同步调整绩效目标，确保绩效目标顺利完成。</w:t>
      </w:r>
    </w:p>
    <w:p>
      <w:pPr>
        <w:pStyle w:val="15"/>
        <w:spacing w:line="560" w:lineRule="exact"/>
        <w:ind w:left="0" w:leftChars="0" w:firstLine="640"/>
        <w:rPr>
          <w:rFonts w:hAnsi="仿宋_GB2312" w:eastAsia="仿宋_GB2312" w:cs="仿宋_GB2312"/>
          <w:sz w:val="32"/>
        </w:rPr>
      </w:pPr>
      <w:r>
        <w:rPr>
          <w:rFonts w:hint="eastAsia" w:hAnsi="仿宋_GB2312" w:eastAsia="仿宋_GB2312" w:cs="仿宋_GB2312"/>
          <w:sz w:val="32"/>
          <w:lang w:val="zh-CN"/>
        </w:rPr>
        <w:t>附表：</w:t>
      </w:r>
      <w:r>
        <w:rPr>
          <w:rFonts w:hint="eastAsia" w:hAnsi="仿宋_GB2312" w:eastAsia="仿宋_GB2312" w:cs="仿宋_GB2312"/>
          <w:sz w:val="32"/>
        </w:rPr>
        <w:t>部门预算项目支出绩效自评表（2022年度）</w:t>
      </w:r>
    </w:p>
    <w:p>
      <w:pPr>
        <w:pStyle w:val="15"/>
        <w:spacing w:line="560" w:lineRule="exact"/>
        <w:ind w:left="0" w:leftChars="0" w:firstLine="640"/>
        <w:rPr>
          <w:rFonts w:hAnsi="仿宋_GB2312" w:eastAsia="仿宋_GB2312" w:cs="仿宋_GB2312"/>
          <w:sz w:val="32"/>
          <w:lang w:val="zh-CN"/>
        </w:rPr>
      </w:pPr>
    </w:p>
    <w:tbl>
      <w:tblPr>
        <w:tblStyle w:val="16"/>
        <w:tblW w:w="9940" w:type="dxa"/>
        <w:jc w:val="center"/>
        <w:tblLayout w:type="autofit"/>
        <w:tblCellMar>
          <w:top w:w="0" w:type="dxa"/>
          <w:left w:w="108" w:type="dxa"/>
          <w:bottom w:w="0" w:type="dxa"/>
          <w:right w:w="108" w:type="dxa"/>
        </w:tblCellMar>
      </w:tblPr>
      <w:tblGrid>
        <w:gridCol w:w="681"/>
        <w:gridCol w:w="1411"/>
        <w:gridCol w:w="763"/>
        <w:gridCol w:w="1206"/>
        <w:gridCol w:w="722"/>
        <w:gridCol w:w="735"/>
        <w:gridCol w:w="722"/>
        <w:gridCol w:w="846"/>
        <w:gridCol w:w="576"/>
        <w:gridCol w:w="450"/>
        <w:gridCol w:w="1828"/>
      </w:tblGrid>
      <w:tr>
        <w:tblPrEx>
          <w:tblCellMar>
            <w:top w:w="0" w:type="dxa"/>
            <w:left w:w="108" w:type="dxa"/>
            <w:bottom w:w="0" w:type="dxa"/>
            <w:right w:w="108" w:type="dxa"/>
          </w:tblCellMar>
        </w:tblPrEx>
        <w:trPr>
          <w:trHeight w:val="904" w:hRule="atLeast"/>
          <w:jc w:val="center"/>
        </w:trPr>
        <w:tc>
          <w:tcPr>
            <w:tcW w:w="9940"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黑体" w:hAnsi="黑体" w:eastAsia="黑体" w:cs="宋体"/>
                <w:b/>
                <w:bCs/>
                <w:color w:val="000000"/>
                <w:kern w:val="0"/>
                <w:sz w:val="30"/>
                <w:szCs w:val="30"/>
              </w:rPr>
            </w:pPr>
            <w:r>
              <w:rPr>
                <w:rFonts w:hint="eastAsia" w:ascii="黑体" w:hAnsi="黑体" w:eastAsia="黑体" w:cs="宋体"/>
                <w:b/>
                <w:bCs/>
                <w:color w:val="000000"/>
                <w:kern w:val="0"/>
                <w:sz w:val="30"/>
                <w:szCs w:val="30"/>
              </w:rPr>
              <w:t>部门预算项目支出绩效自评表（2022年度）</w:t>
            </w:r>
          </w:p>
        </w:tc>
      </w:tr>
      <w:tr>
        <w:tblPrEx>
          <w:tblCellMar>
            <w:top w:w="0" w:type="dxa"/>
            <w:left w:w="108" w:type="dxa"/>
            <w:bottom w:w="0" w:type="dxa"/>
            <w:right w:w="108" w:type="dxa"/>
          </w:tblCellMar>
        </w:tblPrEx>
        <w:trPr>
          <w:trHeight w:val="285" w:hRule="atLeast"/>
          <w:jc w:val="center"/>
        </w:trPr>
        <w:tc>
          <w:tcPr>
            <w:tcW w:w="22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项目名称</w:t>
            </w:r>
          </w:p>
        </w:tc>
        <w:tc>
          <w:tcPr>
            <w:tcW w:w="7680" w:type="dxa"/>
            <w:gridSpan w:val="9"/>
            <w:tcBorders>
              <w:top w:val="single" w:color="000000" w:sz="4" w:space="0"/>
              <w:left w:val="nil"/>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51000021R000000019953</w:t>
            </w:r>
            <w:r>
              <w:rPr>
                <w:rFonts w:hint="eastAsia" w:ascii="宋体" w:hAnsi="宋体" w:cs="宋体"/>
                <w:color w:val="000000"/>
                <w:kern w:val="0"/>
                <w:sz w:val="18"/>
                <w:szCs w:val="18"/>
                <w:lang w:eastAsia="zh-CN"/>
              </w:rPr>
              <w:t>－</w:t>
            </w:r>
            <w:r>
              <w:rPr>
                <w:rFonts w:hint="eastAsia" w:ascii="宋体" w:hAnsi="宋体" w:cs="宋体"/>
                <w:color w:val="000000"/>
                <w:kern w:val="0"/>
                <w:sz w:val="18"/>
                <w:szCs w:val="18"/>
              </w:rPr>
              <w:t>单位缴费</w:t>
            </w:r>
          </w:p>
        </w:tc>
      </w:tr>
      <w:tr>
        <w:tblPrEx>
          <w:tblCellMar>
            <w:top w:w="0" w:type="dxa"/>
            <w:left w:w="108" w:type="dxa"/>
            <w:bottom w:w="0" w:type="dxa"/>
            <w:right w:w="108" w:type="dxa"/>
          </w:tblCellMar>
        </w:tblPrEx>
        <w:trPr>
          <w:trHeight w:val="690" w:hRule="atLeast"/>
          <w:jc w:val="center"/>
        </w:trPr>
        <w:tc>
          <w:tcPr>
            <w:tcW w:w="22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主管部门</w:t>
            </w:r>
          </w:p>
        </w:tc>
        <w:tc>
          <w:tcPr>
            <w:tcW w:w="3900" w:type="dxa"/>
            <w:gridSpan w:val="5"/>
            <w:tcBorders>
              <w:top w:val="single" w:color="000000" w:sz="4" w:space="0"/>
              <w:left w:val="nil"/>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剑阁县科学技术协会本级</w:t>
            </w:r>
          </w:p>
        </w:tc>
        <w:tc>
          <w:tcPr>
            <w:tcW w:w="780" w:type="dxa"/>
            <w:tcBorders>
              <w:top w:val="nil"/>
              <w:left w:val="nil"/>
              <w:bottom w:val="nil"/>
              <w:right w:val="nil"/>
            </w:tcBorders>
            <w:shd w:val="clear" w:color="auto" w:fill="auto"/>
            <w:vAlign w:val="center"/>
          </w:tcPr>
          <w:p>
            <w:pPr>
              <w:widowControl/>
              <w:jc w:val="left"/>
              <w:rPr>
                <w:rFonts w:ascii="Courier New" w:hAnsi="Courier New" w:eastAsia="等线" w:cs="Courier New"/>
                <w:color w:val="000000"/>
                <w:kern w:val="0"/>
                <w:sz w:val="18"/>
                <w:szCs w:val="18"/>
              </w:rPr>
            </w:pPr>
            <w:r>
              <w:rPr>
                <w:rFonts w:ascii="Courier New" w:hAnsi="Courier New" w:eastAsia="等线" w:cs="Courier New"/>
                <w:color w:val="000000"/>
                <w:kern w:val="0"/>
                <w:sz w:val="18"/>
                <w:szCs w:val="18"/>
              </w:rPr>
              <w:t>实施单位 （盖章）</w:t>
            </w:r>
          </w:p>
        </w:tc>
        <w:tc>
          <w:tcPr>
            <w:tcW w:w="300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剑阁县科学技术协会</w:t>
            </w:r>
          </w:p>
        </w:tc>
      </w:tr>
      <w:tr>
        <w:tblPrEx>
          <w:tblCellMar>
            <w:top w:w="0" w:type="dxa"/>
            <w:left w:w="108" w:type="dxa"/>
            <w:bottom w:w="0" w:type="dxa"/>
            <w:right w:w="108" w:type="dxa"/>
          </w:tblCellMar>
        </w:tblPrEx>
        <w:trPr>
          <w:trHeight w:val="285" w:hRule="atLeast"/>
          <w:jc w:val="center"/>
        </w:trPr>
        <w:tc>
          <w:tcPr>
            <w:tcW w:w="700" w:type="dxa"/>
            <w:vMerge w:val="restart"/>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项目基本情况</w:t>
            </w:r>
          </w:p>
        </w:tc>
        <w:tc>
          <w:tcPr>
            <w:tcW w:w="1560" w:type="dxa"/>
            <w:vMerge w:val="restart"/>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1.项目年度目标完成情况</w:t>
            </w:r>
          </w:p>
        </w:tc>
        <w:tc>
          <w:tcPr>
            <w:tcW w:w="3900" w:type="dxa"/>
            <w:gridSpan w:val="5"/>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项目年度目标</w:t>
            </w:r>
          </w:p>
        </w:tc>
        <w:tc>
          <w:tcPr>
            <w:tcW w:w="3780" w:type="dxa"/>
            <w:gridSpan w:val="4"/>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Courier New" w:hAnsi="Courier New" w:eastAsia="等线" w:cs="Courier New"/>
                <w:color w:val="000000"/>
                <w:kern w:val="0"/>
                <w:sz w:val="18"/>
                <w:szCs w:val="18"/>
              </w:rPr>
            </w:pPr>
            <w:r>
              <w:rPr>
                <w:rFonts w:ascii="Courier New" w:hAnsi="Courier New" w:eastAsia="等线" w:cs="Courier New"/>
                <w:color w:val="000000"/>
                <w:kern w:val="0"/>
                <w:sz w:val="18"/>
                <w:szCs w:val="18"/>
              </w:rPr>
              <w:t>年度目标完成情况</w:t>
            </w:r>
          </w:p>
        </w:tc>
      </w:tr>
      <w:tr>
        <w:tblPrEx>
          <w:tblCellMar>
            <w:top w:w="0" w:type="dxa"/>
            <w:left w:w="108" w:type="dxa"/>
            <w:bottom w:w="0" w:type="dxa"/>
            <w:right w:w="108" w:type="dxa"/>
          </w:tblCellMar>
        </w:tblPrEx>
        <w:trPr>
          <w:trHeight w:val="709" w:hRule="atLeast"/>
          <w:jc w:val="center"/>
        </w:trPr>
        <w:tc>
          <w:tcPr>
            <w:tcW w:w="700"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1560"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3900" w:type="dxa"/>
            <w:gridSpan w:val="5"/>
            <w:tcBorders>
              <w:top w:val="single" w:color="000000" w:sz="4" w:space="0"/>
              <w:left w:val="nil"/>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严格执行相关政策，保障工资及时、足额发放或社保及时、足额缴纳，预算编制科学合理，减少结余资金。</w:t>
            </w:r>
          </w:p>
        </w:tc>
        <w:tc>
          <w:tcPr>
            <w:tcW w:w="3780" w:type="dxa"/>
            <w:gridSpan w:val="4"/>
            <w:tcBorders>
              <w:top w:val="single" w:color="000000" w:sz="4" w:space="0"/>
              <w:left w:val="nil"/>
              <w:bottom w:val="single" w:color="000000" w:sz="4" w:space="0"/>
              <w:right w:val="single" w:color="000000" w:sz="4" w:space="0"/>
            </w:tcBorders>
            <w:shd w:val="clear" w:color="auto" w:fill="auto"/>
            <w:vAlign w:val="center"/>
          </w:tcPr>
          <w:p>
            <w:pPr>
              <w:widowControl/>
              <w:jc w:val="left"/>
              <w:rPr>
                <w:rFonts w:ascii="Courier New" w:hAnsi="Courier New" w:eastAsia="等线" w:cs="Courier New"/>
                <w:color w:val="000000"/>
                <w:kern w:val="0"/>
                <w:sz w:val="18"/>
                <w:szCs w:val="18"/>
              </w:rPr>
            </w:pPr>
            <w:r>
              <w:rPr>
                <w:rFonts w:ascii="Courier New" w:hAnsi="Courier New" w:eastAsia="等线" w:cs="Courier New"/>
                <w:color w:val="000000"/>
                <w:kern w:val="0"/>
                <w:sz w:val="18"/>
                <w:szCs w:val="18"/>
              </w:rPr>
              <w:t>对照年度目标，说明相关任务目标的完成情况（100字以内）</w:t>
            </w:r>
          </w:p>
        </w:tc>
      </w:tr>
      <w:tr>
        <w:tblPrEx>
          <w:tblCellMar>
            <w:top w:w="0" w:type="dxa"/>
            <w:left w:w="108" w:type="dxa"/>
            <w:bottom w:w="0" w:type="dxa"/>
            <w:right w:w="108" w:type="dxa"/>
          </w:tblCellMar>
        </w:tblPrEx>
        <w:trPr>
          <w:trHeight w:val="694" w:hRule="atLeast"/>
          <w:jc w:val="center"/>
        </w:trPr>
        <w:tc>
          <w:tcPr>
            <w:tcW w:w="700"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1560"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2.项目实施内容及过程概述</w:t>
            </w:r>
          </w:p>
        </w:tc>
        <w:tc>
          <w:tcPr>
            <w:tcW w:w="7680" w:type="dxa"/>
            <w:gridSpan w:val="9"/>
            <w:tcBorders>
              <w:top w:val="single" w:color="000000" w:sz="4" w:space="0"/>
              <w:left w:val="nil"/>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　</w:t>
            </w:r>
          </w:p>
        </w:tc>
      </w:tr>
      <w:tr>
        <w:tblPrEx>
          <w:tblCellMar>
            <w:top w:w="0" w:type="dxa"/>
            <w:left w:w="108" w:type="dxa"/>
            <w:bottom w:w="0" w:type="dxa"/>
            <w:right w:w="108" w:type="dxa"/>
          </w:tblCellMar>
        </w:tblPrEx>
        <w:trPr>
          <w:trHeight w:val="360" w:hRule="atLeast"/>
          <w:jc w:val="center"/>
        </w:trPr>
        <w:tc>
          <w:tcPr>
            <w:tcW w:w="700" w:type="dxa"/>
            <w:vMerge w:val="restart"/>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预算执行情况（10分）</w:t>
            </w:r>
          </w:p>
        </w:tc>
        <w:tc>
          <w:tcPr>
            <w:tcW w:w="156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年度预算数（万元）</w:t>
            </w:r>
          </w:p>
        </w:tc>
        <w:tc>
          <w:tcPr>
            <w:tcW w:w="78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年初预算</w:t>
            </w:r>
          </w:p>
        </w:tc>
        <w:tc>
          <w:tcPr>
            <w:tcW w:w="78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调整后预算数</w:t>
            </w:r>
          </w:p>
        </w:tc>
        <w:tc>
          <w:tcPr>
            <w:tcW w:w="2340" w:type="dxa"/>
            <w:gridSpan w:val="3"/>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预算执行数</w:t>
            </w:r>
          </w:p>
        </w:tc>
        <w:tc>
          <w:tcPr>
            <w:tcW w:w="78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预算执行率</w:t>
            </w:r>
          </w:p>
        </w:tc>
        <w:tc>
          <w:tcPr>
            <w:tcW w:w="52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权重</w:t>
            </w:r>
          </w:p>
        </w:tc>
        <w:tc>
          <w:tcPr>
            <w:tcW w:w="46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得分</w:t>
            </w:r>
          </w:p>
        </w:tc>
        <w:tc>
          <w:tcPr>
            <w:tcW w:w="202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原因</w:t>
            </w:r>
          </w:p>
        </w:tc>
      </w:tr>
      <w:tr>
        <w:tblPrEx>
          <w:tblCellMar>
            <w:top w:w="0" w:type="dxa"/>
            <w:left w:w="108" w:type="dxa"/>
            <w:bottom w:w="0" w:type="dxa"/>
            <w:right w:w="108" w:type="dxa"/>
          </w:tblCellMar>
        </w:tblPrEx>
        <w:trPr>
          <w:trHeight w:val="387" w:hRule="atLeast"/>
          <w:jc w:val="center"/>
        </w:trPr>
        <w:tc>
          <w:tcPr>
            <w:tcW w:w="700"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156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总额</w:t>
            </w:r>
          </w:p>
        </w:tc>
        <w:tc>
          <w:tcPr>
            <w:tcW w:w="78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78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0.02</w:t>
            </w:r>
          </w:p>
        </w:tc>
        <w:tc>
          <w:tcPr>
            <w:tcW w:w="2340" w:type="dxa"/>
            <w:gridSpan w:val="3"/>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0.02</w:t>
            </w:r>
          </w:p>
        </w:tc>
        <w:tc>
          <w:tcPr>
            <w:tcW w:w="78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100.00%</w:t>
            </w:r>
          </w:p>
        </w:tc>
        <w:tc>
          <w:tcPr>
            <w:tcW w:w="52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10</w:t>
            </w:r>
          </w:p>
        </w:tc>
        <w:tc>
          <w:tcPr>
            <w:tcW w:w="46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2020" w:type="dxa"/>
            <w:vMerge w:val="restart"/>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Courier New" w:hAnsi="Courier New" w:eastAsia="等线" w:cs="Courier New"/>
                <w:i/>
                <w:iCs/>
                <w:color w:val="000000"/>
                <w:kern w:val="0"/>
                <w:sz w:val="18"/>
                <w:szCs w:val="18"/>
              </w:rPr>
            </w:pPr>
            <w:r>
              <w:rPr>
                <w:rFonts w:ascii="Courier New" w:hAnsi="Courier New" w:eastAsia="等线" w:cs="Courier New"/>
                <w:i/>
                <w:iCs/>
                <w:color w:val="000000"/>
                <w:kern w:val="0"/>
                <w:sz w:val="18"/>
                <w:szCs w:val="18"/>
              </w:rPr>
              <w:t>1.预算执行率=预算执行数/调整后预算数，预算执行率未达到90%的需说明原因（100字以内）</w:t>
            </w:r>
            <w:r>
              <w:rPr>
                <w:rFonts w:hint="eastAsia" w:ascii="Courier New" w:hAnsi="Courier New" w:eastAsia="等线" w:cs="Courier New"/>
                <w:i/>
                <w:iCs/>
                <w:color w:val="000000"/>
                <w:kern w:val="0"/>
                <w:sz w:val="18"/>
                <w:szCs w:val="18"/>
                <w:lang w:eastAsia="zh-CN"/>
              </w:rPr>
              <w:t>；</w:t>
            </w:r>
            <w:r>
              <w:rPr>
                <w:rFonts w:ascii="Courier New" w:hAnsi="Courier New" w:eastAsia="等线" w:cs="Courier New"/>
                <w:i/>
                <w:iCs/>
                <w:color w:val="000000"/>
                <w:kern w:val="0"/>
                <w:sz w:val="18"/>
                <w:szCs w:val="18"/>
              </w:rPr>
              <w:t>2.年中发生预算调整的（追加或调减）</w:t>
            </w:r>
            <w:r>
              <w:rPr>
                <w:rFonts w:hint="eastAsia" w:ascii="Courier New" w:hAnsi="Courier New" w:eastAsia="等线" w:cs="Courier New"/>
                <w:i/>
                <w:iCs/>
                <w:color w:val="000000"/>
                <w:kern w:val="0"/>
                <w:sz w:val="18"/>
                <w:szCs w:val="18"/>
                <w:lang w:eastAsia="zh-CN"/>
              </w:rPr>
              <w:t>，</w:t>
            </w:r>
            <w:r>
              <w:rPr>
                <w:rFonts w:ascii="Courier New" w:hAnsi="Courier New" w:eastAsia="等线" w:cs="Courier New"/>
                <w:i/>
                <w:iCs/>
                <w:color w:val="000000"/>
                <w:kern w:val="0"/>
                <w:sz w:val="18"/>
                <w:szCs w:val="18"/>
              </w:rPr>
              <w:t>应单独说明理由；3.其他资金包括：社会投入资金、银行贷款.</w:t>
            </w:r>
          </w:p>
        </w:tc>
      </w:tr>
      <w:tr>
        <w:tblPrEx>
          <w:tblCellMar>
            <w:top w:w="0" w:type="dxa"/>
            <w:left w:w="108" w:type="dxa"/>
            <w:bottom w:w="0" w:type="dxa"/>
            <w:right w:w="108" w:type="dxa"/>
          </w:tblCellMar>
        </w:tblPrEx>
        <w:trPr>
          <w:trHeight w:val="432" w:hRule="atLeast"/>
          <w:jc w:val="center"/>
        </w:trPr>
        <w:tc>
          <w:tcPr>
            <w:tcW w:w="700"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156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其中：财政资金</w:t>
            </w:r>
          </w:p>
        </w:tc>
        <w:tc>
          <w:tcPr>
            <w:tcW w:w="78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78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0.02</w:t>
            </w:r>
          </w:p>
        </w:tc>
        <w:tc>
          <w:tcPr>
            <w:tcW w:w="2340" w:type="dxa"/>
            <w:gridSpan w:val="3"/>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0.02</w:t>
            </w:r>
          </w:p>
        </w:tc>
        <w:tc>
          <w:tcPr>
            <w:tcW w:w="78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100.00%</w:t>
            </w:r>
          </w:p>
        </w:tc>
        <w:tc>
          <w:tcPr>
            <w:tcW w:w="52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46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2020" w:type="dxa"/>
            <w:vMerge w:val="continue"/>
            <w:tcBorders>
              <w:top w:val="nil"/>
              <w:left w:val="single" w:color="000000" w:sz="4" w:space="0"/>
              <w:bottom w:val="single" w:color="000000" w:sz="4" w:space="0"/>
              <w:right w:val="single" w:color="000000" w:sz="4" w:space="0"/>
            </w:tcBorders>
            <w:vAlign w:val="center"/>
          </w:tcPr>
          <w:p>
            <w:pPr>
              <w:widowControl/>
              <w:jc w:val="left"/>
              <w:rPr>
                <w:rFonts w:ascii="Courier New" w:hAnsi="Courier New" w:eastAsia="等线" w:cs="Courier New"/>
                <w:i/>
                <w:iCs/>
                <w:color w:val="000000"/>
                <w:kern w:val="0"/>
                <w:sz w:val="18"/>
                <w:szCs w:val="18"/>
              </w:rPr>
            </w:pPr>
          </w:p>
        </w:tc>
      </w:tr>
      <w:tr>
        <w:tblPrEx>
          <w:tblCellMar>
            <w:top w:w="0" w:type="dxa"/>
            <w:left w:w="108" w:type="dxa"/>
            <w:bottom w:w="0" w:type="dxa"/>
            <w:right w:w="108" w:type="dxa"/>
          </w:tblCellMar>
        </w:tblPrEx>
        <w:trPr>
          <w:trHeight w:val="447" w:hRule="atLeast"/>
          <w:jc w:val="center"/>
        </w:trPr>
        <w:tc>
          <w:tcPr>
            <w:tcW w:w="700"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156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财政专户管理资金</w:t>
            </w:r>
          </w:p>
        </w:tc>
        <w:tc>
          <w:tcPr>
            <w:tcW w:w="78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78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2340" w:type="dxa"/>
            <w:gridSpan w:val="3"/>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78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52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46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2020" w:type="dxa"/>
            <w:vMerge w:val="continue"/>
            <w:tcBorders>
              <w:top w:val="nil"/>
              <w:left w:val="single" w:color="000000" w:sz="4" w:space="0"/>
              <w:bottom w:val="single" w:color="000000" w:sz="4" w:space="0"/>
              <w:right w:val="single" w:color="000000" w:sz="4" w:space="0"/>
            </w:tcBorders>
            <w:vAlign w:val="center"/>
          </w:tcPr>
          <w:p>
            <w:pPr>
              <w:widowControl/>
              <w:jc w:val="left"/>
              <w:rPr>
                <w:rFonts w:ascii="Courier New" w:hAnsi="Courier New" w:eastAsia="等线" w:cs="Courier New"/>
                <w:i/>
                <w:iCs/>
                <w:color w:val="000000"/>
                <w:kern w:val="0"/>
                <w:sz w:val="18"/>
                <w:szCs w:val="18"/>
              </w:rPr>
            </w:pPr>
          </w:p>
        </w:tc>
      </w:tr>
      <w:tr>
        <w:tblPrEx>
          <w:tblCellMar>
            <w:top w:w="0" w:type="dxa"/>
            <w:left w:w="108" w:type="dxa"/>
            <w:bottom w:w="0" w:type="dxa"/>
            <w:right w:w="108" w:type="dxa"/>
          </w:tblCellMar>
        </w:tblPrEx>
        <w:trPr>
          <w:trHeight w:val="402" w:hRule="atLeast"/>
          <w:jc w:val="center"/>
        </w:trPr>
        <w:tc>
          <w:tcPr>
            <w:tcW w:w="700"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156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单位资金</w:t>
            </w:r>
          </w:p>
        </w:tc>
        <w:tc>
          <w:tcPr>
            <w:tcW w:w="78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78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2340" w:type="dxa"/>
            <w:gridSpan w:val="3"/>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78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52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46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2020" w:type="dxa"/>
            <w:vMerge w:val="continue"/>
            <w:tcBorders>
              <w:top w:val="nil"/>
              <w:left w:val="single" w:color="000000" w:sz="4" w:space="0"/>
              <w:bottom w:val="single" w:color="000000" w:sz="4" w:space="0"/>
              <w:right w:val="single" w:color="000000" w:sz="4" w:space="0"/>
            </w:tcBorders>
            <w:vAlign w:val="center"/>
          </w:tcPr>
          <w:p>
            <w:pPr>
              <w:widowControl/>
              <w:jc w:val="left"/>
              <w:rPr>
                <w:rFonts w:ascii="Courier New" w:hAnsi="Courier New" w:eastAsia="等线" w:cs="Courier New"/>
                <w:i/>
                <w:iCs/>
                <w:color w:val="000000"/>
                <w:kern w:val="0"/>
                <w:sz w:val="18"/>
                <w:szCs w:val="18"/>
              </w:rPr>
            </w:pPr>
          </w:p>
        </w:tc>
      </w:tr>
      <w:tr>
        <w:tblPrEx>
          <w:tblCellMar>
            <w:top w:w="0" w:type="dxa"/>
            <w:left w:w="108" w:type="dxa"/>
            <w:bottom w:w="0" w:type="dxa"/>
            <w:right w:w="108" w:type="dxa"/>
          </w:tblCellMar>
        </w:tblPrEx>
        <w:trPr>
          <w:trHeight w:val="379" w:hRule="atLeast"/>
          <w:jc w:val="center"/>
        </w:trPr>
        <w:tc>
          <w:tcPr>
            <w:tcW w:w="700"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156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其他资金</w:t>
            </w:r>
          </w:p>
        </w:tc>
        <w:tc>
          <w:tcPr>
            <w:tcW w:w="780" w:type="dxa"/>
            <w:tcBorders>
              <w:top w:val="nil"/>
              <w:left w:val="nil"/>
              <w:bottom w:val="single" w:color="000000" w:sz="4" w:space="0"/>
              <w:right w:val="single" w:color="000000" w:sz="4" w:space="0"/>
            </w:tcBorders>
            <w:shd w:val="clear" w:color="auto" w:fill="auto"/>
            <w:vAlign w:val="center"/>
          </w:tcPr>
          <w:p>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c>
          <w:tcPr>
            <w:tcW w:w="780" w:type="dxa"/>
            <w:tcBorders>
              <w:top w:val="nil"/>
              <w:left w:val="nil"/>
              <w:bottom w:val="single" w:color="000000" w:sz="4" w:space="0"/>
              <w:right w:val="single" w:color="000000" w:sz="4" w:space="0"/>
            </w:tcBorders>
            <w:shd w:val="clear" w:color="auto" w:fill="auto"/>
            <w:vAlign w:val="center"/>
          </w:tcPr>
          <w:p>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c>
          <w:tcPr>
            <w:tcW w:w="2340" w:type="dxa"/>
            <w:gridSpan w:val="3"/>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c>
          <w:tcPr>
            <w:tcW w:w="780" w:type="dxa"/>
            <w:tcBorders>
              <w:top w:val="nil"/>
              <w:left w:val="nil"/>
              <w:bottom w:val="single" w:color="000000" w:sz="4" w:space="0"/>
              <w:right w:val="single" w:color="000000" w:sz="4" w:space="0"/>
            </w:tcBorders>
            <w:shd w:val="clear" w:color="auto" w:fill="auto"/>
            <w:vAlign w:val="center"/>
          </w:tcPr>
          <w:p>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c>
          <w:tcPr>
            <w:tcW w:w="52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46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2020" w:type="dxa"/>
            <w:vMerge w:val="continue"/>
            <w:tcBorders>
              <w:top w:val="nil"/>
              <w:left w:val="single" w:color="000000" w:sz="4" w:space="0"/>
              <w:bottom w:val="single" w:color="000000" w:sz="4" w:space="0"/>
              <w:right w:val="single" w:color="000000" w:sz="4" w:space="0"/>
            </w:tcBorders>
            <w:vAlign w:val="center"/>
          </w:tcPr>
          <w:p>
            <w:pPr>
              <w:widowControl/>
              <w:jc w:val="left"/>
              <w:rPr>
                <w:rFonts w:ascii="Courier New" w:hAnsi="Courier New" w:eastAsia="等线" w:cs="Courier New"/>
                <w:i/>
                <w:iCs/>
                <w:color w:val="000000"/>
                <w:kern w:val="0"/>
                <w:sz w:val="18"/>
                <w:szCs w:val="18"/>
              </w:rPr>
            </w:pPr>
          </w:p>
        </w:tc>
      </w:tr>
      <w:tr>
        <w:tblPrEx>
          <w:tblCellMar>
            <w:top w:w="0" w:type="dxa"/>
            <w:left w:w="108" w:type="dxa"/>
            <w:bottom w:w="0" w:type="dxa"/>
            <w:right w:w="108" w:type="dxa"/>
          </w:tblCellMar>
        </w:tblPrEx>
        <w:trPr>
          <w:trHeight w:val="454" w:hRule="atLeast"/>
          <w:jc w:val="center"/>
        </w:trPr>
        <w:tc>
          <w:tcPr>
            <w:tcW w:w="700" w:type="dxa"/>
            <w:vMerge w:val="restart"/>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绩效指标（90分）</w:t>
            </w:r>
          </w:p>
        </w:tc>
        <w:tc>
          <w:tcPr>
            <w:tcW w:w="156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一级指标</w:t>
            </w:r>
          </w:p>
        </w:tc>
        <w:tc>
          <w:tcPr>
            <w:tcW w:w="78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二级指标</w:t>
            </w:r>
          </w:p>
        </w:tc>
        <w:tc>
          <w:tcPr>
            <w:tcW w:w="78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三级指标</w:t>
            </w:r>
          </w:p>
        </w:tc>
        <w:tc>
          <w:tcPr>
            <w:tcW w:w="78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指标性质</w:t>
            </w:r>
          </w:p>
        </w:tc>
        <w:tc>
          <w:tcPr>
            <w:tcW w:w="78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指标值</w:t>
            </w:r>
          </w:p>
        </w:tc>
        <w:tc>
          <w:tcPr>
            <w:tcW w:w="78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度量单位</w:t>
            </w:r>
          </w:p>
        </w:tc>
        <w:tc>
          <w:tcPr>
            <w:tcW w:w="78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完成值</w:t>
            </w:r>
          </w:p>
        </w:tc>
        <w:tc>
          <w:tcPr>
            <w:tcW w:w="52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权重</w:t>
            </w:r>
          </w:p>
        </w:tc>
        <w:tc>
          <w:tcPr>
            <w:tcW w:w="46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得分</w:t>
            </w:r>
          </w:p>
        </w:tc>
        <w:tc>
          <w:tcPr>
            <w:tcW w:w="202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未完成原因分析</w:t>
            </w:r>
          </w:p>
        </w:tc>
      </w:tr>
      <w:tr>
        <w:tblPrEx>
          <w:tblCellMar>
            <w:top w:w="0" w:type="dxa"/>
            <w:left w:w="108" w:type="dxa"/>
            <w:bottom w:w="0" w:type="dxa"/>
            <w:right w:w="108" w:type="dxa"/>
          </w:tblCellMar>
        </w:tblPrEx>
        <w:trPr>
          <w:trHeight w:val="338" w:hRule="atLeast"/>
          <w:jc w:val="center"/>
        </w:trPr>
        <w:tc>
          <w:tcPr>
            <w:tcW w:w="700"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156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产出指标</w:t>
            </w:r>
          </w:p>
        </w:tc>
        <w:tc>
          <w:tcPr>
            <w:tcW w:w="78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数量指标</w:t>
            </w:r>
          </w:p>
        </w:tc>
        <w:tc>
          <w:tcPr>
            <w:tcW w:w="78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发放（缴纳）覆盖率</w:t>
            </w:r>
          </w:p>
        </w:tc>
        <w:tc>
          <w:tcPr>
            <w:tcW w:w="78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78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100</w:t>
            </w:r>
          </w:p>
        </w:tc>
        <w:tc>
          <w:tcPr>
            <w:tcW w:w="78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780" w:type="dxa"/>
            <w:tcBorders>
              <w:top w:val="nil"/>
              <w:left w:val="nil"/>
              <w:bottom w:val="single" w:color="000000" w:sz="4" w:space="0"/>
              <w:right w:val="single" w:color="000000" w:sz="4" w:space="0"/>
            </w:tcBorders>
            <w:shd w:val="clear" w:color="auto" w:fill="auto"/>
            <w:vAlign w:val="center"/>
          </w:tcPr>
          <w:p>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c>
          <w:tcPr>
            <w:tcW w:w="52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60</w:t>
            </w:r>
          </w:p>
        </w:tc>
        <w:tc>
          <w:tcPr>
            <w:tcW w:w="46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2020" w:type="dxa"/>
            <w:tcBorders>
              <w:top w:val="nil"/>
              <w:left w:val="nil"/>
              <w:bottom w:val="single" w:color="000000" w:sz="4" w:space="0"/>
              <w:right w:val="single" w:color="000000" w:sz="4" w:space="0"/>
            </w:tcBorders>
            <w:shd w:val="clear" w:color="auto" w:fill="auto"/>
            <w:vAlign w:val="center"/>
          </w:tcPr>
          <w:p>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r>
      <w:tr>
        <w:tblPrEx>
          <w:tblCellMar>
            <w:top w:w="0" w:type="dxa"/>
            <w:left w:w="108" w:type="dxa"/>
            <w:bottom w:w="0" w:type="dxa"/>
            <w:right w:w="108" w:type="dxa"/>
          </w:tblCellMar>
        </w:tblPrEx>
        <w:trPr>
          <w:trHeight w:val="338" w:hRule="atLeast"/>
          <w:jc w:val="center"/>
        </w:trPr>
        <w:tc>
          <w:tcPr>
            <w:tcW w:w="700"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156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效益指标</w:t>
            </w:r>
          </w:p>
        </w:tc>
        <w:tc>
          <w:tcPr>
            <w:tcW w:w="78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社会效益指标</w:t>
            </w:r>
          </w:p>
        </w:tc>
        <w:tc>
          <w:tcPr>
            <w:tcW w:w="78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足额保障率（参保率）</w:t>
            </w:r>
          </w:p>
        </w:tc>
        <w:tc>
          <w:tcPr>
            <w:tcW w:w="78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78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100</w:t>
            </w:r>
          </w:p>
        </w:tc>
        <w:tc>
          <w:tcPr>
            <w:tcW w:w="78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780" w:type="dxa"/>
            <w:tcBorders>
              <w:top w:val="nil"/>
              <w:left w:val="nil"/>
              <w:bottom w:val="single" w:color="000000" w:sz="4" w:space="0"/>
              <w:right w:val="single" w:color="000000" w:sz="4" w:space="0"/>
            </w:tcBorders>
            <w:shd w:val="clear" w:color="auto" w:fill="auto"/>
            <w:vAlign w:val="center"/>
          </w:tcPr>
          <w:p>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c>
          <w:tcPr>
            <w:tcW w:w="52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30</w:t>
            </w:r>
          </w:p>
        </w:tc>
        <w:tc>
          <w:tcPr>
            <w:tcW w:w="46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2020" w:type="dxa"/>
            <w:tcBorders>
              <w:top w:val="nil"/>
              <w:left w:val="nil"/>
              <w:bottom w:val="single" w:color="000000" w:sz="4" w:space="0"/>
              <w:right w:val="single" w:color="000000" w:sz="4" w:space="0"/>
            </w:tcBorders>
            <w:shd w:val="clear" w:color="auto" w:fill="auto"/>
            <w:vAlign w:val="center"/>
          </w:tcPr>
          <w:p>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r>
      <w:tr>
        <w:tblPrEx>
          <w:tblCellMar>
            <w:top w:w="0" w:type="dxa"/>
            <w:left w:w="108" w:type="dxa"/>
            <w:bottom w:w="0" w:type="dxa"/>
            <w:right w:w="108" w:type="dxa"/>
          </w:tblCellMar>
        </w:tblPrEx>
        <w:trPr>
          <w:trHeight w:val="285" w:hRule="atLeast"/>
          <w:jc w:val="center"/>
        </w:trPr>
        <w:tc>
          <w:tcPr>
            <w:tcW w:w="6940"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合计</w:t>
            </w:r>
          </w:p>
        </w:tc>
        <w:tc>
          <w:tcPr>
            <w:tcW w:w="52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100</w:t>
            </w:r>
          </w:p>
        </w:tc>
        <w:tc>
          <w:tcPr>
            <w:tcW w:w="460"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　</w:t>
            </w:r>
          </w:p>
        </w:tc>
        <w:tc>
          <w:tcPr>
            <w:tcW w:w="2020"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　</w:t>
            </w:r>
          </w:p>
        </w:tc>
      </w:tr>
      <w:tr>
        <w:tblPrEx>
          <w:tblCellMar>
            <w:top w:w="0" w:type="dxa"/>
            <w:left w:w="108" w:type="dxa"/>
            <w:bottom w:w="0" w:type="dxa"/>
            <w:right w:w="108" w:type="dxa"/>
          </w:tblCellMar>
        </w:tblPrEx>
        <w:trPr>
          <w:trHeight w:val="604" w:hRule="atLeast"/>
          <w:jc w:val="center"/>
        </w:trPr>
        <w:tc>
          <w:tcPr>
            <w:tcW w:w="700" w:type="dxa"/>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评价结论</w:t>
            </w:r>
          </w:p>
        </w:tc>
        <w:tc>
          <w:tcPr>
            <w:tcW w:w="9240" w:type="dxa"/>
            <w:gridSpan w:val="10"/>
            <w:tcBorders>
              <w:top w:val="single" w:color="000000" w:sz="4" w:space="0"/>
              <w:left w:val="nil"/>
              <w:bottom w:val="single" w:color="000000" w:sz="4" w:space="0"/>
              <w:right w:val="single" w:color="000000" w:sz="4" w:space="0"/>
            </w:tcBorders>
            <w:shd w:val="clear" w:color="auto" w:fill="auto"/>
            <w:vAlign w:val="center"/>
          </w:tcPr>
          <w:p>
            <w:pPr>
              <w:widowControl/>
              <w:jc w:val="left"/>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r>
      <w:tr>
        <w:tblPrEx>
          <w:tblCellMar>
            <w:top w:w="0" w:type="dxa"/>
            <w:left w:w="108" w:type="dxa"/>
            <w:bottom w:w="0" w:type="dxa"/>
            <w:right w:w="108" w:type="dxa"/>
          </w:tblCellMar>
        </w:tblPrEx>
        <w:trPr>
          <w:trHeight w:val="574" w:hRule="atLeast"/>
          <w:jc w:val="center"/>
        </w:trPr>
        <w:tc>
          <w:tcPr>
            <w:tcW w:w="700" w:type="dxa"/>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存在问题</w:t>
            </w:r>
          </w:p>
        </w:tc>
        <w:tc>
          <w:tcPr>
            <w:tcW w:w="9240" w:type="dxa"/>
            <w:gridSpan w:val="10"/>
            <w:tcBorders>
              <w:top w:val="single" w:color="000000" w:sz="4" w:space="0"/>
              <w:left w:val="nil"/>
              <w:bottom w:val="single" w:color="000000" w:sz="4" w:space="0"/>
              <w:right w:val="single" w:color="000000" w:sz="4" w:space="0"/>
            </w:tcBorders>
            <w:shd w:val="clear" w:color="auto" w:fill="auto"/>
            <w:vAlign w:val="center"/>
          </w:tcPr>
          <w:p>
            <w:pPr>
              <w:widowControl/>
              <w:jc w:val="left"/>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r>
      <w:tr>
        <w:tblPrEx>
          <w:tblCellMar>
            <w:top w:w="0" w:type="dxa"/>
            <w:left w:w="108" w:type="dxa"/>
            <w:bottom w:w="0" w:type="dxa"/>
            <w:right w:w="108" w:type="dxa"/>
          </w:tblCellMar>
        </w:tblPrEx>
        <w:trPr>
          <w:trHeight w:val="634" w:hRule="atLeast"/>
          <w:jc w:val="center"/>
        </w:trPr>
        <w:tc>
          <w:tcPr>
            <w:tcW w:w="700" w:type="dxa"/>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改进措施</w:t>
            </w:r>
          </w:p>
        </w:tc>
        <w:tc>
          <w:tcPr>
            <w:tcW w:w="9240" w:type="dxa"/>
            <w:gridSpan w:val="10"/>
            <w:tcBorders>
              <w:top w:val="single" w:color="000000" w:sz="4" w:space="0"/>
              <w:left w:val="nil"/>
              <w:bottom w:val="single" w:color="000000" w:sz="4" w:space="0"/>
              <w:right w:val="single" w:color="000000" w:sz="4" w:space="0"/>
            </w:tcBorders>
            <w:shd w:val="clear" w:color="auto" w:fill="auto"/>
            <w:vAlign w:val="center"/>
          </w:tcPr>
          <w:p>
            <w:pPr>
              <w:widowControl/>
              <w:jc w:val="left"/>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r>
      <w:tr>
        <w:tblPrEx>
          <w:tblCellMar>
            <w:top w:w="0" w:type="dxa"/>
            <w:left w:w="108" w:type="dxa"/>
            <w:bottom w:w="0" w:type="dxa"/>
            <w:right w:w="108" w:type="dxa"/>
          </w:tblCellMar>
        </w:tblPrEx>
        <w:trPr>
          <w:trHeight w:val="285" w:hRule="atLeast"/>
          <w:jc w:val="center"/>
        </w:trPr>
        <w:tc>
          <w:tcPr>
            <w:tcW w:w="460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Courier New" w:hAnsi="Courier New" w:eastAsia="等线" w:cs="Courier New"/>
                <w:color w:val="000000"/>
                <w:kern w:val="0"/>
                <w:sz w:val="18"/>
                <w:szCs w:val="18"/>
              </w:rPr>
            </w:pPr>
            <w:r>
              <w:rPr>
                <w:rFonts w:ascii="Courier New" w:hAnsi="Courier New" w:eastAsia="等线" w:cs="Courier New"/>
                <w:color w:val="000000"/>
                <w:kern w:val="0"/>
                <w:sz w:val="18"/>
                <w:szCs w:val="18"/>
              </w:rPr>
              <w:t>项目负责人：</w:t>
            </w:r>
          </w:p>
        </w:tc>
        <w:tc>
          <w:tcPr>
            <w:tcW w:w="5340" w:type="dxa"/>
            <w:gridSpan w:val="6"/>
            <w:tcBorders>
              <w:top w:val="single" w:color="000000" w:sz="4" w:space="0"/>
              <w:left w:val="nil"/>
              <w:bottom w:val="single" w:color="000000" w:sz="4" w:space="0"/>
              <w:right w:val="single" w:color="000000" w:sz="4" w:space="0"/>
            </w:tcBorders>
            <w:shd w:val="clear" w:color="auto" w:fill="auto"/>
            <w:vAlign w:val="center"/>
          </w:tcPr>
          <w:p>
            <w:pPr>
              <w:widowControl/>
              <w:jc w:val="left"/>
              <w:rPr>
                <w:rFonts w:ascii="Courier New" w:hAnsi="Courier New" w:eastAsia="等线" w:cs="Courier New"/>
                <w:color w:val="000000"/>
                <w:kern w:val="0"/>
                <w:sz w:val="18"/>
                <w:szCs w:val="18"/>
              </w:rPr>
            </w:pPr>
            <w:r>
              <w:rPr>
                <w:rFonts w:ascii="Courier New" w:hAnsi="Courier New" w:eastAsia="等线" w:cs="Courier New"/>
                <w:color w:val="000000"/>
                <w:kern w:val="0"/>
                <w:sz w:val="18"/>
                <w:szCs w:val="18"/>
              </w:rPr>
              <w:t>财务负责人：</w:t>
            </w:r>
          </w:p>
        </w:tc>
      </w:tr>
      <w:tr>
        <w:tblPrEx>
          <w:tblCellMar>
            <w:top w:w="0" w:type="dxa"/>
            <w:left w:w="108" w:type="dxa"/>
            <w:bottom w:w="0" w:type="dxa"/>
            <w:right w:w="108" w:type="dxa"/>
          </w:tblCellMar>
        </w:tblPrEx>
        <w:trPr>
          <w:trHeight w:val="285" w:hRule="atLeast"/>
          <w:jc w:val="center"/>
        </w:trPr>
        <w:tc>
          <w:tcPr>
            <w:tcW w:w="700" w:type="dxa"/>
            <w:tcBorders>
              <w:top w:val="nil"/>
              <w:left w:val="nil"/>
              <w:bottom w:val="nil"/>
              <w:right w:val="nil"/>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　</w:t>
            </w:r>
          </w:p>
        </w:tc>
        <w:tc>
          <w:tcPr>
            <w:tcW w:w="1560" w:type="dxa"/>
            <w:tcBorders>
              <w:top w:val="nil"/>
              <w:left w:val="nil"/>
              <w:bottom w:val="nil"/>
              <w:right w:val="nil"/>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　</w:t>
            </w:r>
          </w:p>
        </w:tc>
        <w:tc>
          <w:tcPr>
            <w:tcW w:w="780" w:type="dxa"/>
            <w:tcBorders>
              <w:top w:val="nil"/>
              <w:left w:val="nil"/>
              <w:bottom w:val="nil"/>
              <w:right w:val="nil"/>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　</w:t>
            </w:r>
          </w:p>
        </w:tc>
        <w:tc>
          <w:tcPr>
            <w:tcW w:w="780" w:type="dxa"/>
            <w:tcBorders>
              <w:top w:val="nil"/>
              <w:left w:val="nil"/>
              <w:bottom w:val="nil"/>
              <w:right w:val="nil"/>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　</w:t>
            </w:r>
          </w:p>
        </w:tc>
        <w:tc>
          <w:tcPr>
            <w:tcW w:w="780" w:type="dxa"/>
            <w:tcBorders>
              <w:top w:val="nil"/>
              <w:left w:val="nil"/>
              <w:bottom w:val="nil"/>
              <w:right w:val="nil"/>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　</w:t>
            </w:r>
          </w:p>
        </w:tc>
        <w:tc>
          <w:tcPr>
            <w:tcW w:w="780" w:type="dxa"/>
            <w:tcBorders>
              <w:top w:val="nil"/>
              <w:left w:val="nil"/>
              <w:bottom w:val="nil"/>
              <w:right w:val="nil"/>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　</w:t>
            </w:r>
          </w:p>
        </w:tc>
        <w:tc>
          <w:tcPr>
            <w:tcW w:w="780" w:type="dxa"/>
            <w:tcBorders>
              <w:top w:val="nil"/>
              <w:left w:val="nil"/>
              <w:bottom w:val="nil"/>
              <w:right w:val="nil"/>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　</w:t>
            </w:r>
          </w:p>
        </w:tc>
        <w:tc>
          <w:tcPr>
            <w:tcW w:w="780" w:type="dxa"/>
            <w:tcBorders>
              <w:top w:val="nil"/>
              <w:left w:val="nil"/>
              <w:bottom w:val="nil"/>
              <w:right w:val="nil"/>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　</w:t>
            </w:r>
          </w:p>
        </w:tc>
        <w:tc>
          <w:tcPr>
            <w:tcW w:w="520" w:type="dxa"/>
            <w:tcBorders>
              <w:top w:val="nil"/>
              <w:left w:val="nil"/>
              <w:bottom w:val="nil"/>
              <w:right w:val="nil"/>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　</w:t>
            </w:r>
          </w:p>
        </w:tc>
        <w:tc>
          <w:tcPr>
            <w:tcW w:w="460" w:type="dxa"/>
            <w:tcBorders>
              <w:top w:val="nil"/>
              <w:left w:val="nil"/>
              <w:bottom w:val="nil"/>
              <w:right w:val="nil"/>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　</w:t>
            </w:r>
          </w:p>
        </w:tc>
        <w:tc>
          <w:tcPr>
            <w:tcW w:w="2020" w:type="dxa"/>
            <w:tcBorders>
              <w:top w:val="nil"/>
              <w:left w:val="nil"/>
              <w:bottom w:val="nil"/>
              <w:right w:val="nil"/>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　</w:t>
            </w:r>
          </w:p>
        </w:tc>
      </w:tr>
      <w:tr>
        <w:tblPrEx>
          <w:tblCellMar>
            <w:top w:w="0" w:type="dxa"/>
            <w:left w:w="108" w:type="dxa"/>
            <w:bottom w:w="0" w:type="dxa"/>
            <w:right w:w="108" w:type="dxa"/>
          </w:tblCellMar>
        </w:tblPrEx>
        <w:trPr>
          <w:trHeight w:val="904" w:hRule="atLeast"/>
          <w:jc w:val="center"/>
        </w:trPr>
        <w:tc>
          <w:tcPr>
            <w:tcW w:w="9940"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黑体" w:hAnsi="黑体" w:eastAsia="黑体" w:cs="宋体"/>
                <w:b/>
                <w:bCs/>
                <w:color w:val="000000"/>
                <w:kern w:val="0"/>
                <w:sz w:val="30"/>
                <w:szCs w:val="30"/>
              </w:rPr>
            </w:pPr>
            <w:r>
              <w:rPr>
                <w:rFonts w:hint="eastAsia" w:ascii="黑体" w:hAnsi="黑体" w:eastAsia="黑体" w:cs="宋体"/>
                <w:b/>
                <w:bCs/>
                <w:color w:val="000000"/>
                <w:kern w:val="0"/>
                <w:sz w:val="30"/>
                <w:szCs w:val="30"/>
              </w:rPr>
              <w:t>部门预算项目支出绩效自评表（2022年度）</w:t>
            </w:r>
          </w:p>
        </w:tc>
      </w:tr>
      <w:tr>
        <w:tblPrEx>
          <w:tblCellMar>
            <w:top w:w="0" w:type="dxa"/>
            <w:left w:w="108" w:type="dxa"/>
            <w:bottom w:w="0" w:type="dxa"/>
            <w:right w:w="108" w:type="dxa"/>
          </w:tblCellMar>
        </w:tblPrEx>
        <w:trPr>
          <w:trHeight w:val="285" w:hRule="atLeast"/>
          <w:jc w:val="center"/>
        </w:trPr>
        <w:tc>
          <w:tcPr>
            <w:tcW w:w="22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项目名称</w:t>
            </w:r>
          </w:p>
        </w:tc>
        <w:tc>
          <w:tcPr>
            <w:tcW w:w="7680" w:type="dxa"/>
            <w:gridSpan w:val="9"/>
            <w:tcBorders>
              <w:top w:val="single" w:color="000000" w:sz="4" w:space="0"/>
              <w:left w:val="nil"/>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51082321R000000025238</w:t>
            </w:r>
            <w:r>
              <w:rPr>
                <w:rFonts w:hint="eastAsia" w:ascii="宋体" w:hAnsi="宋体" w:cs="宋体"/>
                <w:color w:val="000000"/>
                <w:kern w:val="0"/>
                <w:sz w:val="18"/>
                <w:szCs w:val="18"/>
                <w:lang w:eastAsia="zh-CN"/>
              </w:rPr>
              <w:t>－</w:t>
            </w:r>
            <w:r>
              <w:rPr>
                <w:rFonts w:hint="eastAsia" w:ascii="宋体" w:hAnsi="宋体" w:cs="宋体"/>
                <w:color w:val="000000"/>
                <w:kern w:val="0"/>
                <w:sz w:val="18"/>
                <w:szCs w:val="18"/>
              </w:rPr>
              <w:t>目标绩效考核奖励</w:t>
            </w:r>
          </w:p>
        </w:tc>
      </w:tr>
      <w:tr>
        <w:tblPrEx>
          <w:tblCellMar>
            <w:top w:w="0" w:type="dxa"/>
            <w:left w:w="108" w:type="dxa"/>
            <w:bottom w:w="0" w:type="dxa"/>
            <w:right w:w="108" w:type="dxa"/>
          </w:tblCellMar>
        </w:tblPrEx>
        <w:trPr>
          <w:trHeight w:val="514" w:hRule="atLeast"/>
          <w:jc w:val="center"/>
        </w:trPr>
        <w:tc>
          <w:tcPr>
            <w:tcW w:w="22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主管部门</w:t>
            </w:r>
          </w:p>
        </w:tc>
        <w:tc>
          <w:tcPr>
            <w:tcW w:w="3900" w:type="dxa"/>
            <w:gridSpan w:val="5"/>
            <w:tcBorders>
              <w:top w:val="single" w:color="000000" w:sz="4" w:space="0"/>
              <w:left w:val="nil"/>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剑阁县科学技术协会本级</w:t>
            </w:r>
          </w:p>
        </w:tc>
        <w:tc>
          <w:tcPr>
            <w:tcW w:w="780" w:type="dxa"/>
            <w:tcBorders>
              <w:top w:val="nil"/>
              <w:left w:val="nil"/>
              <w:bottom w:val="nil"/>
              <w:right w:val="nil"/>
            </w:tcBorders>
            <w:shd w:val="clear" w:color="auto" w:fill="auto"/>
            <w:vAlign w:val="center"/>
          </w:tcPr>
          <w:p>
            <w:pPr>
              <w:widowControl/>
              <w:jc w:val="left"/>
              <w:rPr>
                <w:rFonts w:ascii="Courier New" w:hAnsi="Courier New" w:eastAsia="等线" w:cs="Courier New"/>
                <w:color w:val="000000"/>
                <w:kern w:val="0"/>
                <w:sz w:val="18"/>
                <w:szCs w:val="18"/>
              </w:rPr>
            </w:pPr>
            <w:r>
              <w:rPr>
                <w:rFonts w:ascii="Courier New" w:hAnsi="Courier New" w:eastAsia="等线" w:cs="Courier New"/>
                <w:color w:val="000000"/>
                <w:kern w:val="0"/>
                <w:sz w:val="18"/>
                <w:szCs w:val="18"/>
              </w:rPr>
              <w:t>实施单位 （盖章）</w:t>
            </w:r>
          </w:p>
        </w:tc>
        <w:tc>
          <w:tcPr>
            <w:tcW w:w="300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剑阁县科学技术协会</w:t>
            </w:r>
          </w:p>
        </w:tc>
      </w:tr>
      <w:tr>
        <w:tblPrEx>
          <w:tblCellMar>
            <w:top w:w="0" w:type="dxa"/>
            <w:left w:w="108" w:type="dxa"/>
            <w:bottom w:w="0" w:type="dxa"/>
            <w:right w:w="108" w:type="dxa"/>
          </w:tblCellMar>
        </w:tblPrEx>
        <w:trPr>
          <w:trHeight w:val="285" w:hRule="atLeast"/>
          <w:jc w:val="center"/>
        </w:trPr>
        <w:tc>
          <w:tcPr>
            <w:tcW w:w="700" w:type="dxa"/>
            <w:vMerge w:val="restart"/>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项目基本情况</w:t>
            </w:r>
          </w:p>
        </w:tc>
        <w:tc>
          <w:tcPr>
            <w:tcW w:w="1560" w:type="dxa"/>
            <w:vMerge w:val="restart"/>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1.项目年度目标完成情况</w:t>
            </w:r>
          </w:p>
        </w:tc>
        <w:tc>
          <w:tcPr>
            <w:tcW w:w="3900" w:type="dxa"/>
            <w:gridSpan w:val="5"/>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项目年度目标</w:t>
            </w:r>
          </w:p>
        </w:tc>
        <w:tc>
          <w:tcPr>
            <w:tcW w:w="3780" w:type="dxa"/>
            <w:gridSpan w:val="4"/>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Courier New" w:hAnsi="Courier New" w:eastAsia="等线" w:cs="Courier New"/>
                <w:color w:val="000000"/>
                <w:kern w:val="0"/>
                <w:sz w:val="18"/>
                <w:szCs w:val="18"/>
              </w:rPr>
            </w:pPr>
            <w:r>
              <w:rPr>
                <w:rFonts w:ascii="Courier New" w:hAnsi="Courier New" w:eastAsia="等线" w:cs="Courier New"/>
                <w:color w:val="000000"/>
                <w:kern w:val="0"/>
                <w:sz w:val="18"/>
                <w:szCs w:val="18"/>
              </w:rPr>
              <w:t>年度目标完成情况</w:t>
            </w:r>
          </w:p>
        </w:tc>
      </w:tr>
      <w:tr>
        <w:tblPrEx>
          <w:tblCellMar>
            <w:top w:w="0" w:type="dxa"/>
            <w:left w:w="108" w:type="dxa"/>
            <w:bottom w:w="0" w:type="dxa"/>
            <w:right w:w="108" w:type="dxa"/>
          </w:tblCellMar>
        </w:tblPrEx>
        <w:trPr>
          <w:trHeight w:val="709" w:hRule="atLeast"/>
          <w:jc w:val="center"/>
        </w:trPr>
        <w:tc>
          <w:tcPr>
            <w:tcW w:w="700"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1560"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3900" w:type="dxa"/>
            <w:gridSpan w:val="5"/>
            <w:tcBorders>
              <w:top w:val="single" w:color="000000" w:sz="4" w:space="0"/>
              <w:left w:val="nil"/>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严格执行相关政策，保障工资及时发放、足额发放，预算编制科学合理，减少结余资金</w:t>
            </w:r>
          </w:p>
        </w:tc>
        <w:tc>
          <w:tcPr>
            <w:tcW w:w="3780" w:type="dxa"/>
            <w:gridSpan w:val="4"/>
            <w:tcBorders>
              <w:top w:val="single" w:color="000000" w:sz="4" w:space="0"/>
              <w:left w:val="nil"/>
              <w:bottom w:val="single" w:color="000000" w:sz="4" w:space="0"/>
              <w:right w:val="single" w:color="000000" w:sz="4" w:space="0"/>
            </w:tcBorders>
            <w:shd w:val="clear" w:color="auto" w:fill="auto"/>
            <w:vAlign w:val="center"/>
          </w:tcPr>
          <w:p>
            <w:pPr>
              <w:widowControl/>
              <w:jc w:val="left"/>
              <w:rPr>
                <w:rFonts w:ascii="Courier New" w:hAnsi="Courier New" w:eastAsia="等线" w:cs="Courier New"/>
                <w:color w:val="000000"/>
                <w:kern w:val="0"/>
                <w:sz w:val="18"/>
                <w:szCs w:val="18"/>
              </w:rPr>
            </w:pPr>
            <w:r>
              <w:rPr>
                <w:rFonts w:ascii="Courier New" w:hAnsi="Courier New" w:eastAsia="等线" w:cs="Courier New"/>
                <w:color w:val="000000"/>
                <w:kern w:val="0"/>
                <w:sz w:val="18"/>
                <w:szCs w:val="18"/>
              </w:rPr>
              <w:t>对照年度目标，说明相关任务目标的完成情况（100字以内）</w:t>
            </w:r>
          </w:p>
        </w:tc>
      </w:tr>
      <w:tr>
        <w:tblPrEx>
          <w:tblCellMar>
            <w:top w:w="0" w:type="dxa"/>
            <w:left w:w="108" w:type="dxa"/>
            <w:bottom w:w="0" w:type="dxa"/>
            <w:right w:w="108" w:type="dxa"/>
          </w:tblCellMar>
        </w:tblPrEx>
        <w:trPr>
          <w:trHeight w:val="694" w:hRule="atLeast"/>
          <w:jc w:val="center"/>
        </w:trPr>
        <w:tc>
          <w:tcPr>
            <w:tcW w:w="700"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1560"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2.项目实施内容及过程概述</w:t>
            </w:r>
          </w:p>
        </w:tc>
        <w:tc>
          <w:tcPr>
            <w:tcW w:w="7680" w:type="dxa"/>
            <w:gridSpan w:val="9"/>
            <w:tcBorders>
              <w:top w:val="single" w:color="000000" w:sz="4" w:space="0"/>
              <w:left w:val="nil"/>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　</w:t>
            </w:r>
          </w:p>
        </w:tc>
      </w:tr>
      <w:tr>
        <w:tblPrEx>
          <w:tblCellMar>
            <w:top w:w="0" w:type="dxa"/>
            <w:left w:w="108" w:type="dxa"/>
            <w:bottom w:w="0" w:type="dxa"/>
            <w:right w:w="108" w:type="dxa"/>
          </w:tblCellMar>
        </w:tblPrEx>
        <w:trPr>
          <w:trHeight w:val="360" w:hRule="atLeast"/>
          <w:jc w:val="center"/>
        </w:trPr>
        <w:tc>
          <w:tcPr>
            <w:tcW w:w="700" w:type="dxa"/>
            <w:vMerge w:val="restart"/>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预算执行情况（10分）</w:t>
            </w:r>
          </w:p>
        </w:tc>
        <w:tc>
          <w:tcPr>
            <w:tcW w:w="156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年度预算数（万元）</w:t>
            </w:r>
          </w:p>
        </w:tc>
        <w:tc>
          <w:tcPr>
            <w:tcW w:w="78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年初预算</w:t>
            </w:r>
          </w:p>
        </w:tc>
        <w:tc>
          <w:tcPr>
            <w:tcW w:w="78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调整后预算数</w:t>
            </w:r>
          </w:p>
        </w:tc>
        <w:tc>
          <w:tcPr>
            <w:tcW w:w="2340" w:type="dxa"/>
            <w:gridSpan w:val="3"/>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预算执行数</w:t>
            </w:r>
          </w:p>
        </w:tc>
        <w:tc>
          <w:tcPr>
            <w:tcW w:w="78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预算执行率</w:t>
            </w:r>
          </w:p>
        </w:tc>
        <w:tc>
          <w:tcPr>
            <w:tcW w:w="52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权重</w:t>
            </w:r>
          </w:p>
        </w:tc>
        <w:tc>
          <w:tcPr>
            <w:tcW w:w="46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得分</w:t>
            </w:r>
          </w:p>
        </w:tc>
        <w:tc>
          <w:tcPr>
            <w:tcW w:w="202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原因</w:t>
            </w:r>
          </w:p>
        </w:tc>
      </w:tr>
      <w:tr>
        <w:tblPrEx>
          <w:tblCellMar>
            <w:top w:w="0" w:type="dxa"/>
            <w:left w:w="108" w:type="dxa"/>
            <w:bottom w:w="0" w:type="dxa"/>
            <w:right w:w="108" w:type="dxa"/>
          </w:tblCellMar>
        </w:tblPrEx>
        <w:trPr>
          <w:trHeight w:val="387" w:hRule="atLeast"/>
          <w:jc w:val="center"/>
        </w:trPr>
        <w:tc>
          <w:tcPr>
            <w:tcW w:w="700"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156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总额</w:t>
            </w:r>
          </w:p>
        </w:tc>
        <w:tc>
          <w:tcPr>
            <w:tcW w:w="78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28.80</w:t>
            </w:r>
          </w:p>
        </w:tc>
        <w:tc>
          <w:tcPr>
            <w:tcW w:w="78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28.80</w:t>
            </w:r>
          </w:p>
        </w:tc>
        <w:tc>
          <w:tcPr>
            <w:tcW w:w="2340" w:type="dxa"/>
            <w:gridSpan w:val="3"/>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28.80</w:t>
            </w:r>
          </w:p>
        </w:tc>
        <w:tc>
          <w:tcPr>
            <w:tcW w:w="78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100.00%</w:t>
            </w:r>
          </w:p>
        </w:tc>
        <w:tc>
          <w:tcPr>
            <w:tcW w:w="52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10</w:t>
            </w:r>
          </w:p>
        </w:tc>
        <w:tc>
          <w:tcPr>
            <w:tcW w:w="46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2020" w:type="dxa"/>
            <w:vMerge w:val="restart"/>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Courier New" w:hAnsi="Courier New" w:eastAsia="等线" w:cs="Courier New"/>
                <w:i/>
                <w:iCs/>
                <w:color w:val="000000"/>
                <w:kern w:val="0"/>
                <w:sz w:val="18"/>
                <w:szCs w:val="18"/>
              </w:rPr>
            </w:pPr>
            <w:r>
              <w:rPr>
                <w:rFonts w:ascii="Courier New" w:hAnsi="Courier New" w:eastAsia="等线" w:cs="Courier New"/>
                <w:i/>
                <w:iCs/>
                <w:color w:val="000000"/>
                <w:kern w:val="0"/>
                <w:sz w:val="18"/>
                <w:szCs w:val="18"/>
              </w:rPr>
              <w:t>1.预算执行率=预算执行数/调整后预算数，预算执行率未达到90%的需说明原因（100字以内）</w:t>
            </w:r>
            <w:r>
              <w:rPr>
                <w:rFonts w:hint="eastAsia" w:ascii="Courier New" w:hAnsi="Courier New" w:eastAsia="等线" w:cs="Courier New"/>
                <w:i/>
                <w:iCs/>
                <w:color w:val="000000"/>
                <w:kern w:val="0"/>
                <w:sz w:val="18"/>
                <w:szCs w:val="18"/>
                <w:lang w:eastAsia="zh-CN"/>
              </w:rPr>
              <w:t>；</w:t>
            </w:r>
            <w:r>
              <w:rPr>
                <w:rFonts w:ascii="Courier New" w:hAnsi="Courier New" w:eastAsia="等线" w:cs="Courier New"/>
                <w:i/>
                <w:iCs/>
                <w:color w:val="000000"/>
                <w:kern w:val="0"/>
                <w:sz w:val="18"/>
                <w:szCs w:val="18"/>
              </w:rPr>
              <w:t>2.年中发生预算调整的（追加或调减）</w:t>
            </w:r>
            <w:r>
              <w:rPr>
                <w:rFonts w:hint="eastAsia" w:ascii="Courier New" w:hAnsi="Courier New" w:eastAsia="等线" w:cs="Courier New"/>
                <w:i/>
                <w:iCs/>
                <w:color w:val="000000"/>
                <w:kern w:val="0"/>
                <w:sz w:val="18"/>
                <w:szCs w:val="18"/>
                <w:lang w:eastAsia="zh-CN"/>
              </w:rPr>
              <w:t>，</w:t>
            </w:r>
            <w:r>
              <w:rPr>
                <w:rFonts w:ascii="Courier New" w:hAnsi="Courier New" w:eastAsia="等线" w:cs="Courier New"/>
                <w:i/>
                <w:iCs/>
                <w:color w:val="000000"/>
                <w:kern w:val="0"/>
                <w:sz w:val="18"/>
                <w:szCs w:val="18"/>
              </w:rPr>
              <w:t>应单独说明理由；3.其他资金包括：社会投入资金、银行贷款.</w:t>
            </w:r>
          </w:p>
        </w:tc>
      </w:tr>
      <w:tr>
        <w:tblPrEx>
          <w:tblCellMar>
            <w:top w:w="0" w:type="dxa"/>
            <w:left w:w="108" w:type="dxa"/>
            <w:bottom w:w="0" w:type="dxa"/>
            <w:right w:w="108" w:type="dxa"/>
          </w:tblCellMar>
        </w:tblPrEx>
        <w:trPr>
          <w:trHeight w:val="432" w:hRule="atLeast"/>
          <w:jc w:val="center"/>
        </w:trPr>
        <w:tc>
          <w:tcPr>
            <w:tcW w:w="700"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156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其中：财政资金</w:t>
            </w:r>
          </w:p>
        </w:tc>
        <w:tc>
          <w:tcPr>
            <w:tcW w:w="78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28.80</w:t>
            </w:r>
          </w:p>
        </w:tc>
        <w:tc>
          <w:tcPr>
            <w:tcW w:w="78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28.80</w:t>
            </w:r>
          </w:p>
        </w:tc>
        <w:tc>
          <w:tcPr>
            <w:tcW w:w="2340" w:type="dxa"/>
            <w:gridSpan w:val="3"/>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28.80</w:t>
            </w:r>
          </w:p>
        </w:tc>
        <w:tc>
          <w:tcPr>
            <w:tcW w:w="78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100.00%</w:t>
            </w:r>
          </w:p>
        </w:tc>
        <w:tc>
          <w:tcPr>
            <w:tcW w:w="52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46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2020" w:type="dxa"/>
            <w:vMerge w:val="continue"/>
            <w:tcBorders>
              <w:top w:val="nil"/>
              <w:left w:val="single" w:color="000000" w:sz="4" w:space="0"/>
              <w:bottom w:val="single" w:color="000000" w:sz="4" w:space="0"/>
              <w:right w:val="single" w:color="000000" w:sz="4" w:space="0"/>
            </w:tcBorders>
            <w:vAlign w:val="center"/>
          </w:tcPr>
          <w:p>
            <w:pPr>
              <w:widowControl/>
              <w:jc w:val="left"/>
              <w:rPr>
                <w:rFonts w:ascii="Courier New" w:hAnsi="Courier New" w:eastAsia="等线" w:cs="Courier New"/>
                <w:i/>
                <w:iCs/>
                <w:color w:val="000000"/>
                <w:kern w:val="0"/>
                <w:sz w:val="18"/>
                <w:szCs w:val="18"/>
              </w:rPr>
            </w:pPr>
          </w:p>
        </w:tc>
      </w:tr>
      <w:tr>
        <w:tblPrEx>
          <w:tblCellMar>
            <w:top w:w="0" w:type="dxa"/>
            <w:left w:w="108" w:type="dxa"/>
            <w:bottom w:w="0" w:type="dxa"/>
            <w:right w:w="108" w:type="dxa"/>
          </w:tblCellMar>
        </w:tblPrEx>
        <w:trPr>
          <w:trHeight w:val="447" w:hRule="atLeast"/>
          <w:jc w:val="center"/>
        </w:trPr>
        <w:tc>
          <w:tcPr>
            <w:tcW w:w="700"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156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财政专户管理资金</w:t>
            </w:r>
          </w:p>
        </w:tc>
        <w:tc>
          <w:tcPr>
            <w:tcW w:w="78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78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2340" w:type="dxa"/>
            <w:gridSpan w:val="3"/>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78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52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46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2020" w:type="dxa"/>
            <w:vMerge w:val="continue"/>
            <w:tcBorders>
              <w:top w:val="nil"/>
              <w:left w:val="single" w:color="000000" w:sz="4" w:space="0"/>
              <w:bottom w:val="single" w:color="000000" w:sz="4" w:space="0"/>
              <w:right w:val="single" w:color="000000" w:sz="4" w:space="0"/>
            </w:tcBorders>
            <w:vAlign w:val="center"/>
          </w:tcPr>
          <w:p>
            <w:pPr>
              <w:widowControl/>
              <w:jc w:val="left"/>
              <w:rPr>
                <w:rFonts w:ascii="Courier New" w:hAnsi="Courier New" w:eastAsia="等线" w:cs="Courier New"/>
                <w:i/>
                <w:iCs/>
                <w:color w:val="000000"/>
                <w:kern w:val="0"/>
                <w:sz w:val="18"/>
                <w:szCs w:val="18"/>
              </w:rPr>
            </w:pPr>
          </w:p>
        </w:tc>
      </w:tr>
      <w:tr>
        <w:tblPrEx>
          <w:tblCellMar>
            <w:top w:w="0" w:type="dxa"/>
            <w:left w:w="108" w:type="dxa"/>
            <w:bottom w:w="0" w:type="dxa"/>
            <w:right w:w="108" w:type="dxa"/>
          </w:tblCellMar>
        </w:tblPrEx>
        <w:trPr>
          <w:trHeight w:val="402" w:hRule="atLeast"/>
          <w:jc w:val="center"/>
        </w:trPr>
        <w:tc>
          <w:tcPr>
            <w:tcW w:w="700"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156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单位资金</w:t>
            </w:r>
          </w:p>
        </w:tc>
        <w:tc>
          <w:tcPr>
            <w:tcW w:w="78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78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2340" w:type="dxa"/>
            <w:gridSpan w:val="3"/>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78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52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46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2020" w:type="dxa"/>
            <w:vMerge w:val="continue"/>
            <w:tcBorders>
              <w:top w:val="nil"/>
              <w:left w:val="single" w:color="000000" w:sz="4" w:space="0"/>
              <w:bottom w:val="single" w:color="000000" w:sz="4" w:space="0"/>
              <w:right w:val="single" w:color="000000" w:sz="4" w:space="0"/>
            </w:tcBorders>
            <w:vAlign w:val="center"/>
          </w:tcPr>
          <w:p>
            <w:pPr>
              <w:widowControl/>
              <w:jc w:val="left"/>
              <w:rPr>
                <w:rFonts w:ascii="Courier New" w:hAnsi="Courier New" w:eastAsia="等线" w:cs="Courier New"/>
                <w:i/>
                <w:iCs/>
                <w:color w:val="000000"/>
                <w:kern w:val="0"/>
                <w:sz w:val="18"/>
                <w:szCs w:val="18"/>
              </w:rPr>
            </w:pPr>
          </w:p>
        </w:tc>
      </w:tr>
      <w:tr>
        <w:tblPrEx>
          <w:tblCellMar>
            <w:top w:w="0" w:type="dxa"/>
            <w:left w:w="108" w:type="dxa"/>
            <w:bottom w:w="0" w:type="dxa"/>
            <w:right w:w="108" w:type="dxa"/>
          </w:tblCellMar>
        </w:tblPrEx>
        <w:trPr>
          <w:trHeight w:val="379" w:hRule="atLeast"/>
          <w:jc w:val="center"/>
        </w:trPr>
        <w:tc>
          <w:tcPr>
            <w:tcW w:w="700"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156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其他资金</w:t>
            </w:r>
          </w:p>
        </w:tc>
        <w:tc>
          <w:tcPr>
            <w:tcW w:w="780" w:type="dxa"/>
            <w:tcBorders>
              <w:top w:val="nil"/>
              <w:left w:val="nil"/>
              <w:bottom w:val="single" w:color="000000" w:sz="4" w:space="0"/>
              <w:right w:val="single" w:color="000000" w:sz="4" w:space="0"/>
            </w:tcBorders>
            <w:shd w:val="clear" w:color="auto" w:fill="auto"/>
            <w:vAlign w:val="center"/>
          </w:tcPr>
          <w:p>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c>
          <w:tcPr>
            <w:tcW w:w="780" w:type="dxa"/>
            <w:tcBorders>
              <w:top w:val="nil"/>
              <w:left w:val="nil"/>
              <w:bottom w:val="single" w:color="000000" w:sz="4" w:space="0"/>
              <w:right w:val="single" w:color="000000" w:sz="4" w:space="0"/>
            </w:tcBorders>
            <w:shd w:val="clear" w:color="auto" w:fill="auto"/>
            <w:vAlign w:val="center"/>
          </w:tcPr>
          <w:p>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c>
          <w:tcPr>
            <w:tcW w:w="2340" w:type="dxa"/>
            <w:gridSpan w:val="3"/>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c>
          <w:tcPr>
            <w:tcW w:w="780" w:type="dxa"/>
            <w:tcBorders>
              <w:top w:val="nil"/>
              <w:left w:val="nil"/>
              <w:bottom w:val="single" w:color="000000" w:sz="4" w:space="0"/>
              <w:right w:val="single" w:color="000000" w:sz="4" w:space="0"/>
            </w:tcBorders>
            <w:shd w:val="clear" w:color="auto" w:fill="auto"/>
            <w:vAlign w:val="center"/>
          </w:tcPr>
          <w:p>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c>
          <w:tcPr>
            <w:tcW w:w="52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46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2020" w:type="dxa"/>
            <w:vMerge w:val="continue"/>
            <w:tcBorders>
              <w:top w:val="nil"/>
              <w:left w:val="single" w:color="000000" w:sz="4" w:space="0"/>
              <w:bottom w:val="single" w:color="000000" w:sz="4" w:space="0"/>
              <w:right w:val="single" w:color="000000" w:sz="4" w:space="0"/>
            </w:tcBorders>
            <w:vAlign w:val="center"/>
          </w:tcPr>
          <w:p>
            <w:pPr>
              <w:widowControl/>
              <w:jc w:val="left"/>
              <w:rPr>
                <w:rFonts w:ascii="Courier New" w:hAnsi="Courier New" w:eastAsia="等线" w:cs="Courier New"/>
                <w:i/>
                <w:iCs/>
                <w:color w:val="000000"/>
                <w:kern w:val="0"/>
                <w:sz w:val="18"/>
                <w:szCs w:val="18"/>
              </w:rPr>
            </w:pPr>
          </w:p>
        </w:tc>
      </w:tr>
      <w:tr>
        <w:tblPrEx>
          <w:tblCellMar>
            <w:top w:w="0" w:type="dxa"/>
            <w:left w:w="108" w:type="dxa"/>
            <w:bottom w:w="0" w:type="dxa"/>
            <w:right w:w="108" w:type="dxa"/>
          </w:tblCellMar>
        </w:tblPrEx>
        <w:trPr>
          <w:trHeight w:val="454" w:hRule="atLeast"/>
          <w:jc w:val="center"/>
        </w:trPr>
        <w:tc>
          <w:tcPr>
            <w:tcW w:w="700" w:type="dxa"/>
            <w:vMerge w:val="restart"/>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绩效指标（90分）</w:t>
            </w:r>
          </w:p>
        </w:tc>
        <w:tc>
          <w:tcPr>
            <w:tcW w:w="156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一级指标</w:t>
            </w:r>
          </w:p>
        </w:tc>
        <w:tc>
          <w:tcPr>
            <w:tcW w:w="78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二级指标</w:t>
            </w:r>
          </w:p>
        </w:tc>
        <w:tc>
          <w:tcPr>
            <w:tcW w:w="78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三级指标</w:t>
            </w:r>
          </w:p>
        </w:tc>
        <w:tc>
          <w:tcPr>
            <w:tcW w:w="78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指标性质</w:t>
            </w:r>
          </w:p>
        </w:tc>
        <w:tc>
          <w:tcPr>
            <w:tcW w:w="78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指标值</w:t>
            </w:r>
          </w:p>
        </w:tc>
        <w:tc>
          <w:tcPr>
            <w:tcW w:w="78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度量单位</w:t>
            </w:r>
          </w:p>
        </w:tc>
        <w:tc>
          <w:tcPr>
            <w:tcW w:w="78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完成值</w:t>
            </w:r>
          </w:p>
        </w:tc>
        <w:tc>
          <w:tcPr>
            <w:tcW w:w="52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权重</w:t>
            </w:r>
          </w:p>
        </w:tc>
        <w:tc>
          <w:tcPr>
            <w:tcW w:w="46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得分</w:t>
            </w:r>
          </w:p>
        </w:tc>
        <w:tc>
          <w:tcPr>
            <w:tcW w:w="202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未完成原因分析</w:t>
            </w:r>
          </w:p>
        </w:tc>
      </w:tr>
      <w:tr>
        <w:tblPrEx>
          <w:tblCellMar>
            <w:top w:w="0" w:type="dxa"/>
            <w:left w:w="108" w:type="dxa"/>
            <w:bottom w:w="0" w:type="dxa"/>
            <w:right w:w="108" w:type="dxa"/>
          </w:tblCellMar>
        </w:tblPrEx>
        <w:trPr>
          <w:trHeight w:val="338" w:hRule="atLeast"/>
          <w:jc w:val="center"/>
        </w:trPr>
        <w:tc>
          <w:tcPr>
            <w:tcW w:w="700"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1560" w:type="dxa"/>
            <w:vMerge w:val="restart"/>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产出指标</w:t>
            </w:r>
          </w:p>
        </w:tc>
        <w:tc>
          <w:tcPr>
            <w:tcW w:w="780" w:type="dxa"/>
            <w:vMerge w:val="restart"/>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数量指标</w:t>
            </w:r>
          </w:p>
        </w:tc>
        <w:tc>
          <w:tcPr>
            <w:tcW w:w="78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科目调整次数</w:t>
            </w:r>
          </w:p>
        </w:tc>
        <w:tc>
          <w:tcPr>
            <w:tcW w:w="78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78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10</w:t>
            </w:r>
          </w:p>
        </w:tc>
        <w:tc>
          <w:tcPr>
            <w:tcW w:w="78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次</w:t>
            </w:r>
          </w:p>
        </w:tc>
        <w:tc>
          <w:tcPr>
            <w:tcW w:w="780" w:type="dxa"/>
            <w:tcBorders>
              <w:top w:val="nil"/>
              <w:left w:val="nil"/>
              <w:bottom w:val="single" w:color="000000" w:sz="4" w:space="0"/>
              <w:right w:val="single" w:color="000000" w:sz="4" w:space="0"/>
            </w:tcBorders>
            <w:shd w:val="clear" w:color="auto" w:fill="auto"/>
            <w:vAlign w:val="center"/>
          </w:tcPr>
          <w:p>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c>
          <w:tcPr>
            <w:tcW w:w="52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22.5</w:t>
            </w:r>
          </w:p>
        </w:tc>
        <w:tc>
          <w:tcPr>
            <w:tcW w:w="46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2020" w:type="dxa"/>
            <w:tcBorders>
              <w:top w:val="nil"/>
              <w:left w:val="nil"/>
              <w:bottom w:val="single" w:color="000000" w:sz="4" w:space="0"/>
              <w:right w:val="single" w:color="000000" w:sz="4" w:space="0"/>
            </w:tcBorders>
            <w:shd w:val="clear" w:color="auto" w:fill="auto"/>
            <w:vAlign w:val="center"/>
          </w:tcPr>
          <w:p>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r>
      <w:tr>
        <w:tblPrEx>
          <w:tblCellMar>
            <w:top w:w="0" w:type="dxa"/>
            <w:left w:w="108" w:type="dxa"/>
            <w:bottom w:w="0" w:type="dxa"/>
            <w:right w:w="108" w:type="dxa"/>
          </w:tblCellMar>
        </w:tblPrEx>
        <w:trPr>
          <w:trHeight w:val="338" w:hRule="atLeast"/>
          <w:jc w:val="center"/>
        </w:trPr>
        <w:tc>
          <w:tcPr>
            <w:tcW w:w="700"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1560"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780"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78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足额保障率</w:t>
            </w:r>
          </w:p>
        </w:tc>
        <w:tc>
          <w:tcPr>
            <w:tcW w:w="78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78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100</w:t>
            </w:r>
          </w:p>
        </w:tc>
        <w:tc>
          <w:tcPr>
            <w:tcW w:w="78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780" w:type="dxa"/>
            <w:tcBorders>
              <w:top w:val="nil"/>
              <w:left w:val="nil"/>
              <w:bottom w:val="single" w:color="000000" w:sz="4" w:space="0"/>
              <w:right w:val="single" w:color="000000" w:sz="4" w:space="0"/>
            </w:tcBorders>
            <w:shd w:val="clear" w:color="auto" w:fill="auto"/>
            <w:vAlign w:val="center"/>
          </w:tcPr>
          <w:p>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c>
          <w:tcPr>
            <w:tcW w:w="52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22.5</w:t>
            </w:r>
          </w:p>
        </w:tc>
        <w:tc>
          <w:tcPr>
            <w:tcW w:w="46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2020" w:type="dxa"/>
            <w:tcBorders>
              <w:top w:val="nil"/>
              <w:left w:val="nil"/>
              <w:bottom w:val="single" w:color="000000" w:sz="4" w:space="0"/>
              <w:right w:val="single" w:color="000000" w:sz="4" w:space="0"/>
            </w:tcBorders>
            <w:shd w:val="clear" w:color="auto" w:fill="auto"/>
            <w:vAlign w:val="center"/>
          </w:tcPr>
          <w:p>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r>
      <w:tr>
        <w:tblPrEx>
          <w:tblCellMar>
            <w:top w:w="0" w:type="dxa"/>
            <w:left w:w="108" w:type="dxa"/>
            <w:bottom w:w="0" w:type="dxa"/>
            <w:right w:w="108" w:type="dxa"/>
          </w:tblCellMar>
        </w:tblPrEx>
        <w:trPr>
          <w:trHeight w:val="338" w:hRule="atLeast"/>
          <w:jc w:val="center"/>
        </w:trPr>
        <w:tc>
          <w:tcPr>
            <w:tcW w:w="700"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1560"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78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时效指标</w:t>
            </w:r>
          </w:p>
        </w:tc>
        <w:tc>
          <w:tcPr>
            <w:tcW w:w="78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按时发放率</w:t>
            </w:r>
          </w:p>
        </w:tc>
        <w:tc>
          <w:tcPr>
            <w:tcW w:w="78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78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100</w:t>
            </w:r>
          </w:p>
        </w:tc>
        <w:tc>
          <w:tcPr>
            <w:tcW w:w="78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780" w:type="dxa"/>
            <w:tcBorders>
              <w:top w:val="nil"/>
              <w:left w:val="nil"/>
              <w:bottom w:val="single" w:color="000000" w:sz="4" w:space="0"/>
              <w:right w:val="single" w:color="000000" w:sz="4" w:space="0"/>
            </w:tcBorders>
            <w:shd w:val="clear" w:color="auto" w:fill="auto"/>
            <w:vAlign w:val="center"/>
          </w:tcPr>
          <w:p>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c>
          <w:tcPr>
            <w:tcW w:w="52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22.5</w:t>
            </w:r>
          </w:p>
        </w:tc>
        <w:tc>
          <w:tcPr>
            <w:tcW w:w="46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2020" w:type="dxa"/>
            <w:tcBorders>
              <w:top w:val="nil"/>
              <w:left w:val="nil"/>
              <w:bottom w:val="single" w:color="000000" w:sz="4" w:space="0"/>
              <w:right w:val="single" w:color="000000" w:sz="4" w:space="0"/>
            </w:tcBorders>
            <w:shd w:val="clear" w:color="auto" w:fill="auto"/>
            <w:vAlign w:val="center"/>
          </w:tcPr>
          <w:p>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r>
      <w:tr>
        <w:tblPrEx>
          <w:tblCellMar>
            <w:top w:w="0" w:type="dxa"/>
            <w:left w:w="108" w:type="dxa"/>
            <w:bottom w:w="0" w:type="dxa"/>
            <w:right w:w="108" w:type="dxa"/>
          </w:tblCellMar>
        </w:tblPrEx>
        <w:trPr>
          <w:trHeight w:val="454" w:hRule="atLeast"/>
          <w:jc w:val="center"/>
        </w:trPr>
        <w:tc>
          <w:tcPr>
            <w:tcW w:w="700"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156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效益指标</w:t>
            </w:r>
          </w:p>
        </w:tc>
        <w:tc>
          <w:tcPr>
            <w:tcW w:w="78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经济效益指标</w:t>
            </w:r>
          </w:p>
        </w:tc>
        <w:tc>
          <w:tcPr>
            <w:tcW w:w="78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结余率（计算方法为：结余数/预算数）</w:t>
            </w:r>
          </w:p>
        </w:tc>
        <w:tc>
          <w:tcPr>
            <w:tcW w:w="78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78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5</w:t>
            </w:r>
          </w:p>
        </w:tc>
        <w:tc>
          <w:tcPr>
            <w:tcW w:w="78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780" w:type="dxa"/>
            <w:tcBorders>
              <w:top w:val="nil"/>
              <w:left w:val="nil"/>
              <w:bottom w:val="single" w:color="000000" w:sz="4" w:space="0"/>
              <w:right w:val="single" w:color="000000" w:sz="4" w:space="0"/>
            </w:tcBorders>
            <w:shd w:val="clear" w:color="auto" w:fill="auto"/>
            <w:vAlign w:val="center"/>
          </w:tcPr>
          <w:p>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c>
          <w:tcPr>
            <w:tcW w:w="52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22.5</w:t>
            </w:r>
          </w:p>
        </w:tc>
        <w:tc>
          <w:tcPr>
            <w:tcW w:w="46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2020" w:type="dxa"/>
            <w:tcBorders>
              <w:top w:val="nil"/>
              <w:left w:val="nil"/>
              <w:bottom w:val="single" w:color="000000" w:sz="4" w:space="0"/>
              <w:right w:val="single" w:color="000000" w:sz="4" w:space="0"/>
            </w:tcBorders>
            <w:shd w:val="clear" w:color="auto" w:fill="auto"/>
            <w:vAlign w:val="center"/>
          </w:tcPr>
          <w:p>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r>
      <w:tr>
        <w:tblPrEx>
          <w:tblCellMar>
            <w:top w:w="0" w:type="dxa"/>
            <w:left w:w="108" w:type="dxa"/>
            <w:bottom w:w="0" w:type="dxa"/>
            <w:right w:w="108" w:type="dxa"/>
          </w:tblCellMar>
        </w:tblPrEx>
        <w:trPr>
          <w:trHeight w:val="285" w:hRule="atLeast"/>
          <w:jc w:val="center"/>
        </w:trPr>
        <w:tc>
          <w:tcPr>
            <w:tcW w:w="6940"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合计</w:t>
            </w:r>
          </w:p>
        </w:tc>
        <w:tc>
          <w:tcPr>
            <w:tcW w:w="52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100</w:t>
            </w:r>
          </w:p>
        </w:tc>
        <w:tc>
          <w:tcPr>
            <w:tcW w:w="460"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　</w:t>
            </w:r>
          </w:p>
        </w:tc>
        <w:tc>
          <w:tcPr>
            <w:tcW w:w="2020"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　</w:t>
            </w:r>
          </w:p>
        </w:tc>
      </w:tr>
      <w:tr>
        <w:tblPrEx>
          <w:tblCellMar>
            <w:top w:w="0" w:type="dxa"/>
            <w:left w:w="108" w:type="dxa"/>
            <w:bottom w:w="0" w:type="dxa"/>
            <w:right w:w="108" w:type="dxa"/>
          </w:tblCellMar>
        </w:tblPrEx>
        <w:trPr>
          <w:trHeight w:val="604" w:hRule="atLeast"/>
          <w:jc w:val="center"/>
        </w:trPr>
        <w:tc>
          <w:tcPr>
            <w:tcW w:w="700" w:type="dxa"/>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评价结论</w:t>
            </w:r>
          </w:p>
        </w:tc>
        <w:tc>
          <w:tcPr>
            <w:tcW w:w="9240" w:type="dxa"/>
            <w:gridSpan w:val="10"/>
            <w:tcBorders>
              <w:top w:val="single" w:color="000000" w:sz="4" w:space="0"/>
              <w:left w:val="nil"/>
              <w:bottom w:val="single" w:color="000000" w:sz="4" w:space="0"/>
              <w:right w:val="single" w:color="000000" w:sz="4" w:space="0"/>
            </w:tcBorders>
            <w:shd w:val="clear" w:color="auto" w:fill="auto"/>
            <w:vAlign w:val="center"/>
          </w:tcPr>
          <w:p>
            <w:pPr>
              <w:widowControl/>
              <w:jc w:val="left"/>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r>
      <w:tr>
        <w:tblPrEx>
          <w:tblCellMar>
            <w:top w:w="0" w:type="dxa"/>
            <w:left w:w="108" w:type="dxa"/>
            <w:bottom w:w="0" w:type="dxa"/>
            <w:right w:w="108" w:type="dxa"/>
          </w:tblCellMar>
        </w:tblPrEx>
        <w:trPr>
          <w:trHeight w:val="574" w:hRule="atLeast"/>
          <w:jc w:val="center"/>
        </w:trPr>
        <w:tc>
          <w:tcPr>
            <w:tcW w:w="700" w:type="dxa"/>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存在问题</w:t>
            </w:r>
          </w:p>
        </w:tc>
        <w:tc>
          <w:tcPr>
            <w:tcW w:w="9240" w:type="dxa"/>
            <w:gridSpan w:val="10"/>
            <w:tcBorders>
              <w:top w:val="single" w:color="000000" w:sz="4" w:space="0"/>
              <w:left w:val="nil"/>
              <w:bottom w:val="single" w:color="000000" w:sz="4" w:space="0"/>
              <w:right w:val="single" w:color="000000" w:sz="4" w:space="0"/>
            </w:tcBorders>
            <w:shd w:val="clear" w:color="auto" w:fill="auto"/>
            <w:vAlign w:val="center"/>
          </w:tcPr>
          <w:p>
            <w:pPr>
              <w:widowControl/>
              <w:jc w:val="left"/>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r>
      <w:tr>
        <w:tblPrEx>
          <w:tblCellMar>
            <w:top w:w="0" w:type="dxa"/>
            <w:left w:w="108" w:type="dxa"/>
            <w:bottom w:w="0" w:type="dxa"/>
            <w:right w:w="108" w:type="dxa"/>
          </w:tblCellMar>
        </w:tblPrEx>
        <w:trPr>
          <w:trHeight w:val="634" w:hRule="atLeast"/>
          <w:jc w:val="center"/>
        </w:trPr>
        <w:tc>
          <w:tcPr>
            <w:tcW w:w="700" w:type="dxa"/>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改进措施</w:t>
            </w:r>
          </w:p>
        </w:tc>
        <w:tc>
          <w:tcPr>
            <w:tcW w:w="9240" w:type="dxa"/>
            <w:gridSpan w:val="10"/>
            <w:tcBorders>
              <w:top w:val="single" w:color="000000" w:sz="4" w:space="0"/>
              <w:left w:val="nil"/>
              <w:bottom w:val="single" w:color="000000" w:sz="4" w:space="0"/>
              <w:right w:val="single" w:color="000000" w:sz="4" w:space="0"/>
            </w:tcBorders>
            <w:shd w:val="clear" w:color="auto" w:fill="auto"/>
            <w:vAlign w:val="center"/>
          </w:tcPr>
          <w:p>
            <w:pPr>
              <w:widowControl/>
              <w:jc w:val="left"/>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r>
      <w:tr>
        <w:tblPrEx>
          <w:tblCellMar>
            <w:top w:w="0" w:type="dxa"/>
            <w:left w:w="108" w:type="dxa"/>
            <w:bottom w:w="0" w:type="dxa"/>
            <w:right w:w="108" w:type="dxa"/>
          </w:tblCellMar>
        </w:tblPrEx>
        <w:trPr>
          <w:trHeight w:val="285" w:hRule="atLeast"/>
          <w:jc w:val="center"/>
        </w:trPr>
        <w:tc>
          <w:tcPr>
            <w:tcW w:w="460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Courier New" w:hAnsi="Courier New" w:eastAsia="等线" w:cs="Courier New"/>
                <w:color w:val="000000"/>
                <w:kern w:val="0"/>
                <w:sz w:val="18"/>
                <w:szCs w:val="18"/>
              </w:rPr>
            </w:pPr>
            <w:r>
              <w:rPr>
                <w:rFonts w:ascii="Courier New" w:hAnsi="Courier New" w:eastAsia="等线" w:cs="Courier New"/>
                <w:color w:val="000000"/>
                <w:kern w:val="0"/>
                <w:sz w:val="18"/>
                <w:szCs w:val="18"/>
              </w:rPr>
              <w:t>项目负责人：</w:t>
            </w:r>
          </w:p>
        </w:tc>
        <w:tc>
          <w:tcPr>
            <w:tcW w:w="5340" w:type="dxa"/>
            <w:gridSpan w:val="6"/>
            <w:tcBorders>
              <w:top w:val="single" w:color="000000" w:sz="4" w:space="0"/>
              <w:left w:val="nil"/>
              <w:bottom w:val="single" w:color="000000" w:sz="4" w:space="0"/>
              <w:right w:val="single" w:color="000000" w:sz="4" w:space="0"/>
            </w:tcBorders>
            <w:shd w:val="clear" w:color="auto" w:fill="auto"/>
            <w:vAlign w:val="center"/>
          </w:tcPr>
          <w:p>
            <w:pPr>
              <w:widowControl/>
              <w:jc w:val="left"/>
              <w:rPr>
                <w:rFonts w:ascii="Courier New" w:hAnsi="Courier New" w:eastAsia="等线" w:cs="Courier New"/>
                <w:color w:val="000000"/>
                <w:kern w:val="0"/>
                <w:sz w:val="18"/>
                <w:szCs w:val="18"/>
              </w:rPr>
            </w:pPr>
            <w:r>
              <w:rPr>
                <w:rFonts w:ascii="Courier New" w:hAnsi="Courier New" w:eastAsia="等线" w:cs="Courier New"/>
                <w:color w:val="000000"/>
                <w:kern w:val="0"/>
                <w:sz w:val="18"/>
                <w:szCs w:val="18"/>
              </w:rPr>
              <w:t>财务负责人：</w:t>
            </w:r>
          </w:p>
        </w:tc>
      </w:tr>
      <w:tr>
        <w:tblPrEx>
          <w:tblCellMar>
            <w:top w:w="0" w:type="dxa"/>
            <w:left w:w="108" w:type="dxa"/>
            <w:bottom w:w="0" w:type="dxa"/>
            <w:right w:w="108" w:type="dxa"/>
          </w:tblCellMar>
        </w:tblPrEx>
        <w:trPr>
          <w:trHeight w:val="285" w:hRule="atLeast"/>
          <w:jc w:val="center"/>
        </w:trPr>
        <w:tc>
          <w:tcPr>
            <w:tcW w:w="700" w:type="dxa"/>
            <w:tcBorders>
              <w:top w:val="nil"/>
              <w:left w:val="nil"/>
              <w:bottom w:val="nil"/>
              <w:right w:val="nil"/>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　</w:t>
            </w:r>
          </w:p>
        </w:tc>
        <w:tc>
          <w:tcPr>
            <w:tcW w:w="1560" w:type="dxa"/>
            <w:tcBorders>
              <w:top w:val="nil"/>
              <w:left w:val="nil"/>
              <w:bottom w:val="nil"/>
              <w:right w:val="nil"/>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　</w:t>
            </w:r>
          </w:p>
        </w:tc>
        <w:tc>
          <w:tcPr>
            <w:tcW w:w="780" w:type="dxa"/>
            <w:tcBorders>
              <w:top w:val="nil"/>
              <w:left w:val="nil"/>
              <w:bottom w:val="nil"/>
              <w:right w:val="nil"/>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　</w:t>
            </w:r>
          </w:p>
        </w:tc>
        <w:tc>
          <w:tcPr>
            <w:tcW w:w="780" w:type="dxa"/>
            <w:tcBorders>
              <w:top w:val="nil"/>
              <w:left w:val="nil"/>
              <w:bottom w:val="nil"/>
              <w:right w:val="nil"/>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　</w:t>
            </w:r>
          </w:p>
        </w:tc>
        <w:tc>
          <w:tcPr>
            <w:tcW w:w="780" w:type="dxa"/>
            <w:tcBorders>
              <w:top w:val="nil"/>
              <w:left w:val="nil"/>
              <w:bottom w:val="nil"/>
              <w:right w:val="nil"/>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　</w:t>
            </w:r>
          </w:p>
        </w:tc>
        <w:tc>
          <w:tcPr>
            <w:tcW w:w="780" w:type="dxa"/>
            <w:tcBorders>
              <w:top w:val="nil"/>
              <w:left w:val="nil"/>
              <w:bottom w:val="nil"/>
              <w:right w:val="nil"/>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　</w:t>
            </w:r>
          </w:p>
        </w:tc>
        <w:tc>
          <w:tcPr>
            <w:tcW w:w="780" w:type="dxa"/>
            <w:tcBorders>
              <w:top w:val="nil"/>
              <w:left w:val="nil"/>
              <w:bottom w:val="nil"/>
              <w:right w:val="nil"/>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　</w:t>
            </w:r>
          </w:p>
        </w:tc>
        <w:tc>
          <w:tcPr>
            <w:tcW w:w="780" w:type="dxa"/>
            <w:tcBorders>
              <w:top w:val="nil"/>
              <w:left w:val="nil"/>
              <w:bottom w:val="nil"/>
              <w:right w:val="nil"/>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　</w:t>
            </w:r>
          </w:p>
        </w:tc>
        <w:tc>
          <w:tcPr>
            <w:tcW w:w="520" w:type="dxa"/>
            <w:tcBorders>
              <w:top w:val="nil"/>
              <w:left w:val="nil"/>
              <w:bottom w:val="nil"/>
              <w:right w:val="nil"/>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　</w:t>
            </w:r>
          </w:p>
        </w:tc>
        <w:tc>
          <w:tcPr>
            <w:tcW w:w="460" w:type="dxa"/>
            <w:tcBorders>
              <w:top w:val="nil"/>
              <w:left w:val="nil"/>
              <w:bottom w:val="nil"/>
              <w:right w:val="nil"/>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　</w:t>
            </w:r>
          </w:p>
        </w:tc>
        <w:tc>
          <w:tcPr>
            <w:tcW w:w="2020" w:type="dxa"/>
            <w:tcBorders>
              <w:top w:val="nil"/>
              <w:left w:val="nil"/>
              <w:bottom w:val="nil"/>
              <w:right w:val="nil"/>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　</w:t>
            </w:r>
          </w:p>
        </w:tc>
      </w:tr>
      <w:tr>
        <w:tblPrEx>
          <w:tblCellMar>
            <w:top w:w="0" w:type="dxa"/>
            <w:left w:w="108" w:type="dxa"/>
            <w:bottom w:w="0" w:type="dxa"/>
            <w:right w:w="108" w:type="dxa"/>
          </w:tblCellMar>
        </w:tblPrEx>
        <w:trPr>
          <w:trHeight w:val="904" w:hRule="atLeast"/>
          <w:jc w:val="center"/>
        </w:trPr>
        <w:tc>
          <w:tcPr>
            <w:tcW w:w="9940"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黑体" w:hAnsi="黑体" w:eastAsia="黑体" w:cs="宋体"/>
                <w:b/>
                <w:bCs/>
                <w:color w:val="000000"/>
                <w:kern w:val="0"/>
                <w:sz w:val="30"/>
                <w:szCs w:val="30"/>
              </w:rPr>
            </w:pPr>
            <w:r>
              <w:rPr>
                <w:rFonts w:hint="eastAsia" w:ascii="黑体" w:hAnsi="黑体" w:eastAsia="黑体" w:cs="宋体"/>
                <w:b/>
                <w:bCs/>
                <w:color w:val="000000"/>
                <w:kern w:val="0"/>
                <w:sz w:val="30"/>
                <w:szCs w:val="30"/>
              </w:rPr>
              <w:t>部门预算项目支出绩效自评表（2022年度）</w:t>
            </w:r>
          </w:p>
        </w:tc>
      </w:tr>
      <w:tr>
        <w:tblPrEx>
          <w:tblCellMar>
            <w:top w:w="0" w:type="dxa"/>
            <w:left w:w="108" w:type="dxa"/>
            <w:bottom w:w="0" w:type="dxa"/>
            <w:right w:w="108" w:type="dxa"/>
          </w:tblCellMar>
        </w:tblPrEx>
        <w:trPr>
          <w:trHeight w:val="285" w:hRule="atLeast"/>
          <w:jc w:val="center"/>
        </w:trPr>
        <w:tc>
          <w:tcPr>
            <w:tcW w:w="22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项目名称</w:t>
            </w:r>
          </w:p>
        </w:tc>
        <w:tc>
          <w:tcPr>
            <w:tcW w:w="7680" w:type="dxa"/>
            <w:gridSpan w:val="9"/>
            <w:tcBorders>
              <w:top w:val="single" w:color="000000" w:sz="4" w:space="0"/>
              <w:left w:val="nil"/>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51082321R000000025241</w:t>
            </w:r>
            <w:r>
              <w:rPr>
                <w:rFonts w:hint="eastAsia" w:ascii="宋体" w:hAnsi="宋体" w:cs="宋体"/>
                <w:color w:val="000000"/>
                <w:kern w:val="0"/>
                <w:sz w:val="18"/>
                <w:szCs w:val="18"/>
                <w:lang w:eastAsia="zh-CN"/>
              </w:rPr>
              <w:t>－</w:t>
            </w:r>
            <w:r>
              <w:rPr>
                <w:rFonts w:hint="eastAsia" w:ascii="宋体" w:hAnsi="宋体" w:cs="宋体"/>
                <w:color w:val="000000"/>
                <w:kern w:val="0"/>
                <w:sz w:val="18"/>
                <w:szCs w:val="18"/>
              </w:rPr>
              <w:t>优秀公务员和事业人员嘉奖</w:t>
            </w:r>
          </w:p>
        </w:tc>
      </w:tr>
      <w:tr>
        <w:tblPrEx>
          <w:tblCellMar>
            <w:top w:w="0" w:type="dxa"/>
            <w:left w:w="108" w:type="dxa"/>
            <w:bottom w:w="0" w:type="dxa"/>
            <w:right w:w="108" w:type="dxa"/>
          </w:tblCellMar>
        </w:tblPrEx>
        <w:trPr>
          <w:trHeight w:val="514" w:hRule="atLeast"/>
          <w:jc w:val="center"/>
        </w:trPr>
        <w:tc>
          <w:tcPr>
            <w:tcW w:w="22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主管部门</w:t>
            </w:r>
          </w:p>
        </w:tc>
        <w:tc>
          <w:tcPr>
            <w:tcW w:w="3900" w:type="dxa"/>
            <w:gridSpan w:val="5"/>
            <w:tcBorders>
              <w:top w:val="single" w:color="000000" w:sz="4" w:space="0"/>
              <w:left w:val="nil"/>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剑阁县科学技术协会本级</w:t>
            </w:r>
          </w:p>
        </w:tc>
        <w:tc>
          <w:tcPr>
            <w:tcW w:w="780" w:type="dxa"/>
            <w:tcBorders>
              <w:top w:val="nil"/>
              <w:left w:val="nil"/>
              <w:bottom w:val="nil"/>
              <w:right w:val="nil"/>
            </w:tcBorders>
            <w:shd w:val="clear" w:color="auto" w:fill="auto"/>
            <w:vAlign w:val="center"/>
          </w:tcPr>
          <w:p>
            <w:pPr>
              <w:widowControl/>
              <w:jc w:val="left"/>
              <w:rPr>
                <w:rFonts w:ascii="Courier New" w:hAnsi="Courier New" w:eastAsia="等线" w:cs="Courier New"/>
                <w:color w:val="000000"/>
                <w:kern w:val="0"/>
                <w:sz w:val="18"/>
                <w:szCs w:val="18"/>
              </w:rPr>
            </w:pPr>
            <w:r>
              <w:rPr>
                <w:rFonts w:ascii="Courier New" w:hAnsi="Courier New" w:eastAsia="等线" w:cs="Courier New"/>
                <w:color w:val="000000"/>
                <w:kern w:val="0"/>
                <w:sz w:val="18"/>
                <w:szCs w:val="18"/>
              </w:rPr>
              <w:t>实施单位 （盖章）</w:t>
            </w:r>
          </w:p>
        </w:tc>
        <w:tc>
          <w:tcPr>
            <w:tcW w:w="300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剑阁县科学技术协会</w:t>
            </w:r>
          </w:p>
        </w:tc>
      </w:tr>
      <w:tr>
        <w:tblPrEx>
          <w:tblCellMar>
            <w:top w:w="0" w:type="dxa"/>
            <w:left w:w="108" w:type="dxa"/>
            <w:bottom w:w="0" w:type="dxa"/>
            <w:right w:w="108" w:type="dxa"/>
          </w:tblCellMar>
        </w:tblPrEx>
        <w:trPr>
          <w:trHeight w:val="285" w:hRule="atLeast"/>
          <w:jc w:val="center"/>
        </w:trPr>
        <w:tc>
          <w:tcPr>
            <w:tcW w:w="700" w:type="dxa"/>
            <w:vMerge w:val="restart"/>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项目基本情况</w:t>
            </w:r>
          </w:p>
        </w:tc>
        <w:tc>
          <w:tcPr>
            <w:tcW w:w="1560" w:type="dxa"/>
            <w:vMerge w:val="restart"/>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1.项目年度目标完成情况</w:t>
            </w:r>
          </w:p>
        </w:tc>
        <w:tc>
          <w:tcPr>
            <w:tcW w:w="3900" w:type="dxa"/>
            <w:gridSpan w:val="5"/>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项目年度目标</w:t>
            </w:r>
          </w:p>
        </w:tc>
        <w:tc>
          <w:tcPr>
            <w:tcW w:w="3780" w:type="dxa"/>
            <w:gridSpan w:val="4"/>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Courier New" w:hAnsi="Courier New" w:eastAsia="等线" w:cs="Courier New"/>
                <w:color w:val="000000"/>
                <w:kern w:val="0"/>
                <w:sz w:val="18"/>
                <w:szCs w:val="18"/>
              </w:rPr>
            </w:pPr>
            <w:r>
              <w:rPr>
                <w:rFonts w:ascii="Courier New" w:hAnsi="Courier New" w:eastAsia="等线" w:cs="Courier New"/>
                <w:color w:val="000000"/>
                <w:kern w:val="0"/>
                <w:sz w:val="18"/>
                <w:szCs w:val="18"/>
              </w:rPr>
              <w:t>年度目标完成情况</w:t>
            </w:r>
          </w:p>
        </w:tc>
      </w:tr>
      <w:tr>
        <w:tblPrEx>
          <w:tblCellMar>
            <w:top w:w="0" w:type="dxa"/>
            <w:left w:w="108" w:type="dxa"/>
            <w:bottom w:w="0" w:type="dxa"/>
            <w:right w:w="108" w:type="dxa"/>
          </w:tblCellMar>
        </w:tblPrEx>
        <w:trPr>
          <w:trHeight w:val="709" w:hRule="atLeast"/>
          <w:jc w:val="center"/>
        </w:trPr>
        <w:tc>
          <w:tcPr>
            <w:tcW w:w="700"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1560"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3900" w:type="dxa"/>
            <w:gridSpan w:val="5"/>
            <w:tcBorders>
              <w:top w:val="single" w:color="000000" w:sz="4" w:space="0"/>
              <w:left w:val="nil"/>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　</w:t>
            </w:r>
          </w:p>
        </w:tc>
        <w:tc>
          <w:tcPr>
            <w:tcW w:w="3780" w:type="dxa"/>
            <w:gridSpan w:val="4"/>
            <w:tcBorders>
              <w:top w:val="single" w:color="000000" w:sz="4" w:space="0"/>
              <w:left w:val="nil"/>
              <w:bottom w:val="single" w:color="000000" w:sz="4" w:space="0"/>
              <w:right w:val="single" w:color="000000" w:sz="4" w:space="0"/>
            </w:tcBorders>
            <w:shd w:val="clear" w:color="auto" w:fill="auto"/>
            <w:vAlign w:val="center"/>
          </w:tcPr>
          <w:p>
            <w:pPr>
              <w:widowControl/>
              <w:jc w:val="left"/>
              <w:rPr>
                <w:rFonts w:ascii="Courier New" w:hAnsi="Courier New" w:eastAsia="等线" w:cs="Courier New"/>
                <w:color w:val="000000"/>
                <w:kern w:val="0"/>
                <w:sz w:val="18"/>
                <w:szCs w:val="18"/>
              </w:rPr>
            </w:pPr>
            <w:r>
              <w:rPr>
                <w:rFonts w:ascii="Courier New" w:hAnsi="Courier New" w:eastAsia="等线" w:cs="Courier New"/>
                <w:color w:val="000000"/>
                <w:kern w:val="0"/>
                <w:sz w:val="18"/>
                <w:szCs w:val="18"/>
              </w:rPr>
              <w:t>对照年度目标，说明相关任务目标的完成情况（100字以内）</w:t>
            </w:r>
          </w:p>
        </w:tc>
      </w:tr>
      <w:tr>
        <w:tblPrEx>
          <w:tblCellMar>
            <w:top w:w="0" w:type="dxa"/>
            <w:left w:w="108" w:type="dxa"/>
            <w:bottom w:w="0" w:type="dxa"/>
            <w:right w:w="108" w:type="dxa"/>
          </w:tblCellMar>
        </w:tblPrEx>
        <w:trPr>
          <w:trHeight w:val="694" w:hRule="atLeast"/>
          <w:jc w:val="center"/>
        </w:trPr>
        <w:tc>
          <w:tcPr>
            <w:tcW w:w="700"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1560"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2.项目实施内容及过程概述</w:t>
            </w:r>
          </w:p>
        </w:tc>
        <w:tc>
          <w:tcPr>
            <w:tcW w:w="7680" w:type="dxa"/>
            <w:gridSpan w:val="9"/>
            <w:tcBorders>
              <w:top w:val="single" w:color="000000" w:sz="4" w:space="0"/>
              <w:left w:val="nil"/>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　</w:t>
            </w:r>
          </w:p>
        </w:tc>
      </w:tr>
      <w:tr>
        <w:tblPrEx>
          <w:tblCellMar>
            <w:top w:w="0" w:type="dxa"/>
            <w:left w:w="108" w:type="dxa"/>
            <w:bottom w:w="0" w:type="dxa"/>
            <w:right w:w="108" w:type="dxa"/>
          </w:tblCellMar>
        </w:tblPrEx>
        <w:trPr>
          <w:trHeight w:val="360" w:hRule="atLeast"/>
          <w:jc w:val="center"/>
        </w:trPr>
        <w:tc>
          <w:tcPr>
            <w:tcW w:w="700" w:type="dxa"/>
            <w:vMerge w:val="restart"/>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预算执行情况（10分）</w:t>
            </w:r>
          </w:p>
        </w:tc>
        <w:tc>
          <w:tcPr>
            <w:tcW w:w="156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年度预算数（万元）</w:t>
            </w:r>
          </w:p>
        </w:tc>
        <w:tc>
          <w:tcPr>
            <w:tcW w:w="78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年初预算</w:t>
            </w:r>
          </w:p>
        </w:tc>
        <w:tc>
          <w:tcPr>
            <w:tcW w:w="78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调整后预算数</w:t>
            </w:r>
          </w:p>
        </w:tc>
        <w:tc>
          <w:tcPr>
            <w:tcW w:w="2340" w:type="dxa"/>
            <w:gridSpan w:val="3"/>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预算执行数</w:t>
            </w:r>
          </w:p>
        </w:tc>
        <w:tc>
          <w:tcPr>
            <w:tcW w:w="78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预算执行率</w:t>
            </w:r>
          </w:p>
        </w:tc>
        <w:tc>
          <w:tcPr>
            <w:tcW w:w="52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权重</w:t>
            </w:r>
          </w:p>
        </w:tc>
        <w:tc>
          <w:tcPr>
            <w:tcW w:w="46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得分</w:t>
            </w:r>
          </w:p>
        </w:tc>
        <w:tc>
          <w:tcPr>
            <w:tcW w:w="202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原因</w:t>
            </w:r>
          </w:p>
        </w:tc>
      </w:tr>
      <w:tr>
        <w:tblPrEx>
          <w:tblCellMar>
            <w:top w:w="0" w:type="dxa"/>
            <w:left w:w="108" w:type="dxa"/>
            <w:bottom w:w="0" w:type="dxa"/>
            <w:right w:w="108" w:type="dxa"/>
          </w:tblCellMar>
        </w:tblPrEx>
        <w:trPr>
          <w:trHeight w:val="387" w:hRule="atLeast"/>
          <w:jc w:val="center"/>
        </w:trPr>
        <w:tc>
          <w:tcPr>
            <w:tcW w:w="700"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156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总额</w:t>
            </w:r>
          </w:p>
        </w:tc>
        <w:tc>
          <w:tcPr>
            <w:tcW w:w="78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78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0.45</w:t>
            </w:r>
          </w:p>
        </w:tc>
        <w:tc>
          <w:tcPr>
            <w:tcW w:w="2340" w:type="dxa"/>
            <w:gridSpan w:val="3"/>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0.45</w:t>
            </w:r>
          </w:p>
        </w:tc>
        <w:tc>
          <w:tcPr>
            <w:tcW w:w="78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100.00%</w:t>
            </w:r>
          </w:p>
        </w:tc>
        <w:tc>
          <w:tcPr>
            <w:tcW w:w="52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10</w:t>
            </w:r>
          </w:p>
        </w:tc>
        <w:tc>
          <w:tcPr>
            <w:tcW w:w="46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2020" w:type="dxa"/>
            <w:vMerge w:val="restart"/>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Courier New" w:hAnsi="Courier New" w:eastAsia="等线" w:cs="Courier New"/>
                <w:i/>
                <w:iCs/>
                <w:color w:val="000000"/>
                <w:kern w:val="0"/>
                <w:sz w:val="18"/>
                <w:szCs w:val="18"/>
              </w:rPr>
            </w:pPr>
            <w:r>
              <w:rPr>
                <w:rFonts w:ascii="Courier New" w:hAnsi="Courier New" w:eastAsia="等线" w:cs="Courier New"/>
                <w:i/>
                <w:iCs/>
                <w:color w:val="000000"/>
                <w:kern w:val="0"/>
                <w:sz w:val="18"/>
                <w:szCs w:val="18"/>
              </w:rPr>
              <w:t>1.预算执行率=预算执行数/调整后预算数，预算执行率未达到90%的需说明原因（100字以内）</w:t>
            </w:r>
            <w:r>
              <w:rPr>
                <w:rFonts w:hint="eastAsia" w:ascii="Courier New" w:hAnsi="Courier New" w:eastAsia="等线" w:cs="Courier New"/>
                <w:i/>
                <w:iCs/>
                <w:color w:val="000000"/>
                <w:kern w:val="0"/>
                <w:sz w:val="18"/>
                <w:szCs w:val="18"/>
                <w:lang w:eastAsia="zh-CN"/>
              </w:rPr>
              <w:t>；</w:t>
            </w:r>
            <w:r>
              <w:rPr>
                <w:rFonts w:ascii="Courier New" w:hAnsi="Courier New" w:eastAsia="等线" w:cs="Courier New"/>
                <w:i/>
                <w:iCs/>
                <w:color w:val="000000"/>
                <w:kern w:val="0"/>
                <w:sz w:val="18"/>
                <w:szCs w:val="18"/>
              </w:rPr>
              <w:t>2.年中发生预算调整的（追加或调减）</w:t>
            </w:r>
            <w:r>
              <w:rPr>
                <w:rFonts w:hint="eastAsia" w:ascii="Courier New" w:hAnsi="Courier New" w:eastAsia="等线" w:cs="Courier New"/>
                <w:i/>
                <w:iCs/>
                <w:color w:val="000000"/>
                <w:kern w:val="0"/>
                <w:sz w:val="18"/>
                <w:szCs w:val="18"/>
                <w:lang w:eastAsia="zh-CN"/>
              </w:rPr>
              <w:t>，</w:t>
            </w:r>
            <w:r>
              <w:rPr>
                <w:rFonts w:ascii="Courier New" w:hAnsi="Courier New" w:eastAsia="等线" w:cs="Courier New"/>
                <w:i/>
                <w:iCs/>
                <w:color w:val="000000"/>
                <w:kern w:val="0"/>
                <w:sz w:val="18"/>
                <w:szCs w:val="18"/>
              </w:rPr>
              <w:t>应单独说明理由；3.其他资金包括：社会投入资金、银行贷款.</w:t>
            </w:r>
          </w:p>
        </w:tc>
      </w:tr>
      <w:tr>
        <w:tblPrEx>
          <w:tblCellMar>
            <w:top w:w="0" w:type="dxa"/>
            <w:left w:w="108" w:type="dxa"/>
            <w:bottom w:w="0" w:type="dxa"/>
            <w:right w:w="108" w:type="dxa"/>
          </w:tblCellMar>
        </w:tblPrEx>
        <w:trPr>
          <w:trHeight w:val="432" w:hRule="atLeast"/>
          <w:jc w:val="center"/>
        </w:trPr>
        <w:tc>
          <w:tcPr>
            <w:tcW w:w="700"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156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其中：财政资金</w:t>
            </w:r>
          </w:p>
        </w:tc>
        <w:tc>
          <w:tcPr>
            <w:tcW w:w="78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78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0.45</w:t>
            </w:r>
          </w:p>
        </w:tc>
        <w:tc>
          <w:tcPr>
            <w:tcW w:w="2340" w:type="dxa"/>
            <w:gridSpan w:val="3"/>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0.45</w:t>
            </w:r>
          </w:p>
        </w:tc>
        <w:tc>
          <w:tcPr>
            <w:tcW w:w="78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100.00%</w:t>
            </w:r>
          </w:p>
        </w:tc>
        <w:tc>
          <w:tcPr>
            <w:tcW w:w="52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46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2020" w:type="dxa"/>
            <w:vMerge w:val="continue"/>
            <w:tcBorders>
              <w:top w:val="nil"/>
              <w:left w:val="single" w:color="000000" w:sz="4" w:space="0"/>
              <w:bottom w:val="single" w:color="000000" w:sz="4" w:space="0"/>
              <w:right w:val="single" w:color="000000" w:sz="4" w:space="0"/>
            </w:tcBorders>
            <w:vAlign w:val="center"/>
          </w:tcPr>
          <w:p>
            <w:pPr>
              <w:widowControl/>
              <w:jc w:val="left"/>
              <w:rPr>
                <w:rFonts w:ascii="Courier New" w:hAnsi="Courier New" w:eastAsia="等线" w:cs="Courier New"/>
                <w:i/>
                <w:iCs/>
                <w:color w:val="000000"/>
                <w:kern w:val="0"/>
                <w:sz w:val="18"/>
                <w:szCs w:val="18"/>
              </w:rPr>
            </w:pPr>
          </w:p>
        </w:tc>
      </w:tr>
      <w:tr>
        <w:tblPrEx>
          <w:tblCellMar>
            <w:top w:w="0" w:type="dxa"/>
            <w:left w:w="108" w:type="dxa"/>
            <w:bottom w:w="0" w:type="dxa"/>
            <w:right w:w="108" w:type="dxa"/>
          </w:tblCellMar>
        </w:tblPrEx>
        <w:trPr>
          <w:trHeight w:val="447" w:hRule="atLeast"/>
          <w:jc w:val="center"/>
        </w:trPr>
        <w:tc>
          <w:tcPr>
            <w:tcW w:w="700"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156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财政专户管理资金</w:t>
            </w:r>
          </w:p>
        </w:tc>
        <w:tc>
          <w:tcPr>
            <w:tcW w:w="78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78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2340" w:type="dxa"/>
            <w:gridSpan w:val="3"/>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78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52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46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2020" w:type="dxa"/>
            <w:vMerge w:val="continue"/>
            <w:tcBorders>
              <w:top w:val="nil"/>
              <w:left w:val="single" w:color="000000" w:sz="4" w:space="0"/>
              <w:bottom w:val="single" w:color="000000" w:sz="4" w:space="0"/>
              <w:right w:val="single" w:color="000000" w:sz="4" w:space="0"/>
            </w:tcBorders>
            <w:vAlign w:val="center"/>
          </w:tcPr>
          <w:p>
            <w:pPr>
              <w:widowControl/>
              <w:jc w:val="left"/>
              <w:rPr>
                <w:rFonts w:ascii="Courier New" w:hAnsi="Courier New" w:eastAsia="等线" w:cs="Courier New"/>
                <w:i/>
                <w:iCs/>
                <w:color w:val="000000"/>
                <w:kern w:val="0"/>
                <w:sz w:val="18"/>
                <w:szCs w:val="18"/>
              </w:rPr>
            </w:pPr>
          </w:p>
        </w:tc>
      </w:tr>
      <w:tr>
        <w:tblPrEx>
          <w:tblCellMar>
            <w:top w:w="0" w:type="dxa"/>
            <w:left w:w="108" w:type="dxa"/>
            <w:bottom w:w="0" w:type="dxa"/>
            <w:right w:w="108" w:type="dxa"/>
          </w:tblCellMar>
        </w:tblPrEx>
        <w:trPr>
          <w:trHeight w:val="402" w:hRule="atLeast"/>
          <w:jc w:val="center"/>
        </w:trPr>
        <w:tc>
          <w:tcPr>
            <w:tcW w:w="700"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156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单位资金</w:t>
            </w:r>
          </w:p>
        </w:tc>
        <w:tc>
          <w:tcPr>
            <w:tcW w:w="78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78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2340" w:type="dxa"/>
            <w:gridSpan w:val="3"/>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78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52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46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2020" w:type="dxa"/>
            <w:vMerge w:val="continue"/>
            <w:tcBorders>
              <w:top w:val="nil"/>
              <w:left w:val="single" w:color="000000" w:sz="4" w:space="0"/>
              <w:bottom w:val="single" w:color="000000" w:sz="4" w:space="0"/>
              <w:right w:val="single" w:color="000000" w:sz="4" w:space="0"/>
            </w:tcBorders>
            <w:vAlign w:val="center"/>
          </w:tcPr>
          <w:p>
            <w:pPr>
              <w:widowControl/>
              <w:jc w:val="left"/>
              <w:rPr>
                <w:rFonts w:ascii="Courier New" w:hAnsi="Courier New" w:eastAsia="等线" w:cs="Courier New"/>
                <w:i/>
                <w:iCs/>
                <w:color w:val="000000"/>
                <w:kern w:val="0"/>
                <w:sz w:val="18"/>
                <w:szCs w:val="18"/>
              </w:rPr>
            </w:pPr>
          </w:p>
        </w:tc>
      </w:tr>
      <w:tr>
        <w:tblPrEx>
          <w:tblCellMar>
            <w:top w:w="0" w:type="dxa"/>
            <w:left w:w="108" w:type="dxa"/>
            <w:bottom w:w="0" w:type="dxa"/>
            <w:right w:w="108" w:type="dxa"/>
          </w:tblCellMar>
        </w:tblPrEx>
        <w:trPr>
          <w:trHeight w:val="379" w:hRule="atLeast"/>
          <w:jc w:val="center"/>
        </w:trPr>
        <w:tc>
          <w:tcPr>
            <w:tcW w:w="700"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156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其他资金</w:t>
            </w:r>
          </w:p>
        </w:tc>
        <w:tc>
          <w:tcPr>
            <w:tcW w:w="780" w:type="dxa"/>
            <w:tcBorders>
              <w:top w:val="nil"/>
              <w:left w:val="nil"/>
              <w:bottom w:val="single" w:color="000000" w:sz="4" w:space="0"/>
              <w:right w:val="single" w:color="000000" w:sz="4" w:space="0"/>
            </w:tcBorders>
            <w:shd w:val="clear" w:color="auto" w:fill="auto"/>
            <w:vAlign w:val="center"/>
          </w:tcPr>
          <w:p>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c>
          <w:tcPr>
            <w:tcW w:w="780" w:type="dxa"/>
            <w:tcBorders>
              <w:top w:val="nil"/>
              <w:left w:val="nil"/>
              <w:bottom w:val="single" w:color="000000" w:sz="4" w:space="0"/>
              <w:right w:val="single" w:color="000000" w:sz="4" w:space="0"/>
            </w:tcBorders>
            <w:shd w:val="clear" w:color="auto" w:fill="auto"/>
            <w:vAlign w:val="center"/>
          </w:tcPr>
          <w:p>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c>
          <w:tcPr>
            <w:tcW w:w="2340" w:type="dxa"/>
            <w:gridSpan w:val="3"/>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c>
          <w:tcPr>
            <w:tcW w:w="780" w:type="dxa"/>
            <w:tcBorders>
              <w:top w:val="nil"/>
              <w:left w:val="nil"/>
              <w:bottom w:val="single" w:color="000000" w:sz="4" w:space="0"/>
              <w:right w:val="single" w:color="000000" w:sz="4" w:space="0"/>
            </w:tcBorders>
            <w:shd w:val="clear" w:color="auto" w:fill="auto"/>
            <w:vAlign w:val="center"/>
          </w:tcPr>
          <w:p>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c>
          <w:tcPr>
            <w:tcW w:w="52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46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2020" w:type="dxa"/>
            <w:vMerge w:val="continue"/>
            <w:tcBorders>
              <w:top w:val="nil"/>
              <w:left w:val="single" w:color="000000" w:sz="4" w:space="0"/>
              <w:bottom w:val="single" w:color="000000" w:sz="4" w:space="0"/>
              <w:right w:val="single" w:color="000000" w:sz="4" w:space="0"/>
            </w:tcBorders>
            <w:vAlign w:val="center"/>
          </w:tcPr>
          <w:p>
            <w:pPr>
              <w:widowControl/>
              <w:jc w:val="left"/>
              <w:rPr>
                <w:rFonts w:ascii="Courier New" w:hAnsi="Courier New" w:eastAsia="等线" w:cs="Courier New"/>
                <w:i/>
                <w:iCs/>
                <w:color w:val="000000"/>
                <w:kern w:val="0"/>
                <w:sz w:val="18"/>
                <w:szCs w:val="18"/>
              </w:rPr>
            </w:pPr>
          </w:p>
        </w:tc>
      </w:tr>
      <w:tr>
        <w:tblPrEx>
          <w:tblCellMar>
            <w:top w:w="0" w:type="dxa"/>
            <w:left w:w="108" w:type="dxa"/>
            <w:bottom w:w="0" w:type="dxa"/>
            <w:right w:w="108" w:type="dxa"/>
          </w:tblCellMar>
        </w:tblPrEx>
        <w:trPr>
          <w:trHeight w:val="454" w:hRule="atLeast"/>
          <w:jc w:val="center"/>
        </w:trPr>
        <w:tc>
          <w:tcPr>
            <w:tcW w:w="700" w:type="dxa"/>
            <w:vMerge w:val="restart"/>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绩效指标（90分）</w:t>
            </w:r>
          </w:p>
        </w:tc>
        <w:tc>
          <w:tcPr>
            <w:tcW w:w="156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一级指标</w:t>
            </w:r>
          </w:p>
        </w:tc>
        <w:tc>
          <w:tcPr>
            <w:tcW w:w="78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二级指标</w:t>
            </w:r>
          </w:p>
        </w:tc>
        <w:tc>
          <w:tcPr>
            <w:tcW w:w="78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三级指标</w:t>
            </w:r>
          </w:p>
        </w:tc>
        <w:tc>
          <w:tcPr>
            <w:tcW w:w="78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指标性质</w:t>
            </w:r>
          </w:p>
        </w:tc>
        <w:tc>
          <w:tcPr>
            <w:tcW w:w="78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指标值</w:t>
            </w:r>
          </w:p>
        </w:tc>
        <w:tc>
          <w:tcPr>
            <w:tcW w:w="78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度量单位</w:t>
            </w:r>
          </w:p>
        </w:tc>
        <w:tc>
          <w:tcPr>
            <w:tcW w:w="78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完成值</w:t>
            </w:r>
          </w:p>
        </w:tc>
        <w:tc>
          <w:tcPr>
            <w:tcW w:w="52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权重</w:t>
            </w:r>
          </w:p>
        </w:tc>
        <w:tc>
          <w:tcPr>
            <w:tcW w:w="46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得分</w:t>
            </w:r>
          </w:p>
        </w:tc>
        <w:tc>
          <w:tcPr>
            <w:tcW w:w="202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未完成原因分析</w:t>
            </w:r>
          </w:p>
        </w:tc>
      </w:tr>
      <w:tr>
        <w:tblPrEx>
          <w:tblCellMar>
            <w:top w:w="0" w:type="dxa"/>
            <w:left w:w="108" w:type="dxa"/>
            <w:bottom w:w="0" w:type="dxa"/>
            <w:right w:w="108" w:type="dxa"/>
          </w:tblCellMar>
        </w:tblPrEx>
        <w:trPr>
          <w:trHeight w:val="338" w:hRule="atLeast"/>
          <w:jc w:val="center"/>
        </w:trPr>
        <w:tc>
          <w:tcPr>
            <w:tcW w:w="700"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156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78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78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78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78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78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780" w:type="dxa"/>
            <w:tcBorders>
              <w:top w:val="nil"/>
              <w:left w:val="nil"/>
              <w:bottom w:val="single" w:color="000000" w:sz="4" w:space="0"/>
              <w:right w:val="single" w:color="000000" w:sz="4" w:space="0"/>
            </w:tcBorders>
            <w:shd w:val="clear" w:color="auto" w:fill="auto"/>
            <w:vAlign w:val="center"/>
          </w:tcPr>
          <w:p>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c>
          <w:tcPr>
            <w:tcW w:w="52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46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2020" w:type="dxa"/>
            <w:tcBorders>
              <w:top w:val="nil"/>
              <w:left w:val="nil"/>
              <w:bottom w:val="single" w:color="000000" w:sz="4" w:space="0"/>
              <w:right w:val="single" w:color="000000" w:sz="4" w:space="0"/>
            </w:tcBorders>
            <w:shd w:val="clear" w:color="auto" w:fill="auto"/>
            <w:vAlign w:val="center"/>
          </w:tcPr>
          <w:p>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r>
      <w:tr>
        <w:tblPrEx>
          <w:tblCellMar>
            <w:top w:w="0" w:type="dxa"/>
            <w:left w:w="108" w:type="dxa"/>
            <w:bottom w:w="0" w:type="dxa"/>
            <w:right w:w="108" w:type="dxa"/>
          </w:tblCellMar>
        </w:tblPrEx>
        <w:trPr>
          <w:trHeight w:val="285" w:hRule="atLeast"/>
          <w:jc w:val="center"/>
        </w:trPr>
        <w:tc>
          <w:tcPr>
            <w:tcW w:w="6940"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合计</w:t>
            </w:r>
          </w:p>
        </w:tc>
        <w:tc>
          <w:tcPr>
            <w:tcW w:w="52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100</w:t>
            </w:r>
          </w:p>
        </w:tc>
        <w:tc>
          <w:tcPr>
            <w:tcW w:w="460"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　</w:t>
            </w:r>
          </w:p>
        </w:tc>
        <w:tc>
          <w:tcPr>
            <w:tcW w:w="2020"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　</w:t>
            </w:r>
          </w:p>
        </w:tc>
      </w:tr>
      <w:tr>
        <w:tblPrEx>
          <w:tblCellMar>
            <w:top w:w="0" w:type="dxa"/>
            <w:left w:w="108" w:type="dxa"/>
            <w:bottom w:w="0" w:type="dxa"/>
            <w:right w:w="108" w:type="dxa"/>
          </w:tblCellMar>
        </w:tblPrEx>
        <w:trPr>
          <w:trHeight w:val="604" w:hRule="atLeast"/>
          <w:jc w:val="center"/>
        </w:trPr>
        <w:tc>
          <w:tcPr>
            <w:tcW w:w="700" w:type="dxa"/>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评价结论</w:t>
            </w:r>
          </w:p>
        </w:tc>
        <w:tc>
          <w:tcPr>
            <w:tcW w:w="9240" w:type="dxa"/>
            <w:gridSpan w:val="10"/>
            <w:tcBorders>
              <w:top w:val="single" w:color="000000" w:sz="4" w:space="0"/>
              <w:left w:val="nil"/>
              <w:bottom w:val="single" w:color="000000" w:sz="4" w:space="0"/>
              <w:right w:val="single" w:color="000000" w:sz="4" w:space="0"/>
            </w:tcBorders>
            <w:shd w:val="clear" w:color="auto" w:fill="auto"/>
            <w:vAlign w:val="center"/>
          </w:tcPr>
          <w:p>
            <w:pPr>
              <w:widowControl/>
              <w:jc w:val="left"/>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结合得分100。（200字以内）</w:t>
            </w:r>
          </w:p>
        </w:tc>
      </w:tr>
      <w:tr>
        <w:tblPrEx>
          <w:tblCellMar>
            <w:top w:w="0" w:type="dxa"/>
            <w:left w:w="108" w:type="dxa"/>
            <w:bottom w:w="0" w:type="dxa"/>
            <w:right w:w="108" w:type="dxa"/>
          </w:tblCellMar>
        </w:tblPrEx>
        <w:trPr>
          <w:trHeight w:val="574" w:hRule="atLeast"/>
          <w:jc w:val="center"/>
        </w:trPr>
        <w:tc>
          <w:tcPr>
            <w:tcW w:w="700" w:type="dxa"/>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存在问题</w:t>
            </w:r>
          </w:p>
        </w:tc>
        <w:tc>
          <w:tcPr>
            <w:tcW w:w="9240" w:type="dxa"/>
            <w:gridSpan w:val="10"/>
            <w:tcBorders>
              <w:top w:val="single" w:color="000000" w:sz="4" w:space="0"/>
              <w:left w:val="nil"/>
              <w:bottom w:val="single" w:color="000000" w:sz="4" w:space="0"/>
              <w:right w:val="single" w:color="000000" w:sz="4" w:space="0"/>
            </w:tcBorders>
            <w:shd w:val="clear" w:color="auto" w:fill="auto"/>
            <w:vAlign w:val="center"/>
          </w:tcPr>
          <w:p>
            <w:pPr>
              <w:widowControl/>
              <w:jc w:val="left"/>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r>
      <w:tr>
        <w:tblPrEx>
          <w:tblCellMar>
            <w:top w:w="0" w:type="dxa"/>
            <w:left w:w="108" w:type="dxa"/>
            <w:bottom w:w="0" w:type="dxa"/>
            <w:right w:w="108" w:type="dxa"/>
          </w:tblCellMar>
        </w:tblPrEx>
        <w:trPr>
          <w:trHeight w:val="634" w:hRule="atLeast"/>
          <w:jc w:val="center"/>
        </w:trPr>
        <w:tc>
          <w:tcPr>
            <w:tcW w:w="700" w:type="dxa"/>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改进措施</w:t>
            </w:r>
          </w:p>
        </w:tc>
        <w:tc>
          <w:tcPr>
            <w:tcW w:w="9240" w:type="dxa"/>
            <w:gridSpan w:val="10"/>
            <w:tcBorders>
              <w:top w:val="single" w:color="000000" w:sz="4" w:space="0"/>
              <w:left w:val="nil"/>
              <w:bottom w:val="single" w:color="000000" w:sz="4" w:space="0"/>
              <w:right w:val="single" w:color="000000" w:sz="4" w:space="0"/>
            </w:tcBorders>
            <w:shd w:val="clear" w:color="auto" w:fill="auto"/>
            <w:vAlign w:val="center"/>
          </w:tcPr>
          <w:p>
            <w:pPr>
              <w:widowControl/>
              <w:jc w:val="left"/>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r>
      <w:tr>
        <w:tblPrEx>
          <w:tblCellMar>
            <w:top w:w="0" w:type="dxa"/>
            <w:left w:w="108" w:type="dxa"/>
            <w:bottom w:w="0" w:type="dxa"/>
            <w:right w:w="108" w:type="dxa"/>
          </w:tblCellMar>
        </w:tblPrEx>
        <w:trPr>
          <w:trHeight w:val="285" w:hRule="atLeast"/>
          <w:jc w:val="center"/>
        </w:trPr>
        <w:tc>
          <w:tcPr>
            <w:tcW w:w="460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Courier New" w:hAnsi="Courier New" w:eastAsia="等线" w:cs="Courier New"/>
                <w:color w:val="000000"/>
                <w:kern w:val="0"/>
                <w:sz w:val="18"/>
                <w:szCs w:val="18"/>
              </w:rPr>
            </w:pPr>
            <w:r>
              <w:rPr>
                <w:rFonts w:ascii="Courier New" w:hAnsi="Courier New" w:eastAsia="等线" w:cs="Courier New"/>
                <w:color w:val="000000"/>
                <w:kern w:val="0"/>
                <w:sz w:val="18"/>
                <w:szCs w:val="18"/>
              </w:rPr>
              <w:t>项目负责人：</w:t>
            </w:r>
          </w:p>
        </w:tc>
        <w:tc>
          <w:tcPr>
            <w:tcW w:w="5340" w:type="dxa"/>
            <w:gridSpan w:val="6"/>
            <w:tcBorders>
              <w:top w:val="single" w:color="000000" w:sz="4" w:space="0"/>
              <w:left w:val="nil"/>
              <w:bottom w:val="single" w:color="000000" w:sz="4" w:space="0"/>
              <w:right w:val="single" w:color="000000" w:sz="4" w:space="0"/>
            </w:tcBorders>
            <w:shd w:val="clear" w:color="auto" w:fill="auto"/>
            <w:vAlign w:val="center"/>
          </w:tcPr>
          <w:p>
            <w:pPr>
              <w:widowControl/>
              <w:jc w:val="left"/>
              <w:rPr>
                <w:rFonts w:ascii="Courier New" w:hAnsi="Courier New" w:eastAsia="等线" w:cs="Courier New"/>
                <w:color w:val="000000"/>
                <w:kern w:val="0"/>
                <w:sz w:val="18"/>
                <w:szCs w:val="18"/>
              </w:rPr>
            </w:pPr>
            <w:r>
              <w:rPr>
                <w:rFonts w:ascii="Courier New" w:hAnsi="Courier New" w:eastAsia="等线" w:cs="Courier New"/>
                <w:color w:val="000000"/>
                <w:kern w:val="0"/>
                <w:sz w:val="18"/>
                <w:szCs w:val="18"/>
              </w:rPr>
              <w:t>财务负责人：</w:t>
            </w:r>
          </w:p>
        </w:tc>
      </w:tr>
      <w:tr>
        <w:tblPrEx>
          <w:tblCellMar>
            <w:top w:w="0" w:type="dxa"/>
            <w:left w:w="108" w:type="dxa"/>
            <w:bottom w:w="0" w:type="dxa"/>
            <w:right w:w="108" w:type="dxa"/>
          </w:tblCellMar>
        </w:tblPrEx>
        <w:trPr>
          <w:trHeight w:val="285" w:hRule="atLeast"/>
          <w:jc w:val="center"/>
        </w:trPr>
        <w:tc>
          <w:tcPr>
            <w:tcW w:w="700" w:type="dxa"/>
            <w:tcBorders>
              <w:top w:val="nil"/>
              <w:left w:val="nil"/>
              <w:bottom w:val="nil"/>
              <w:right w:val="nil"/>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　</w:t>
            </w:r>
          </w:p>
        </w:tc>
        <w:tc>
          <w:tcPr>
            <w:tcW w:w="1560" w:type="dxa"/>
            <w:tcBorders>
              <w:top w:val="nil"/>
              <w:left w:val="nil"/>
              <w:bottom w:val="nil"/>
              <w:right w:val="nil"/>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　</w:t>
            </w:r>
          </w:p>
        </w:tc>
        <w:tc>
          <w:tcPr>
            <w:tcW w:w="780" w:type="dxa"/>
            <w:tcBorders>
              <w:top w:val="nil"/>
              <w:left w:val="nil"/>
              <w:bottom w:val="nil"/>
              <w:right w:val="nil"/>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　</w:t>
            </w:r>
          </w:p>
        </w:tc>
        <w:tc>
          <w:tcPr>
            <w:tcW w:w="780" w:type="dxa"/>
            <w:tcBorders>
              <w:top w:val="nil"/>
              <w:left w:val="nil"/>
              <w:bottom w:val="nil"/>
              <w:right w:val="nil"/>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　</w:t>
            </w:r>
          </w:p>
        </w:tc>
        <w:tc>
          <w:tcPr>
            <w:tcW w:w="780" w:type="dxa"/>
            <w:tcBorders>
              <w:top w:val="nil"/>
              <w:left w:val="nil"/>
              <w:bottom w:val="nil"/>
              <w:right w:val="nil"/>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　</w:t>
            </w:r>
          </w:p>
        </w:tc>
        <w:tc>
          <w:tcPr>
            <w:tcW w:w="780" w:type="dxa"/>
            <w:tcBorders>
              <w:top w:val="nil"/>
              <w:left w:val="nil"/>
              <w:bottom w:val="nil"/>
              <w:right w:val="nil"/>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　</w:t>
            </w:r>
          </w:p>
        </w:tc>
        <w:tc>
          <w:tcPr>
            <w:tcW w:w="780" w:type="dxa"/>
            <w:tcBorders>
              <w:top w:val="nil"/>
              <w:left w:val="nil"/>
              <w:bottom w:val="nil"/>
              <w:right w:val="nil"/>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　</w:t>
            </w:r>
          </w:p>
        </w:tc>
        <w:tc>
          <w:tcPr>
            <w:tcW w:w="780" w:type="dxa"/>
            <w:tcBorders>
              <w:top w:val="nil"/>
              <w:left w:val="nil"/>
              <w:bottom w:val="nil"/>
              <w:right w:val="nil"/>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　</w:t>
            </w:r>
          </w:p>
        </w:tc>
        <w:tc>
          <w:tcPr>
            <w:tcW w:w="520" w:type="dxa"/>
            <w:tcBorders>
              <w:top w:val="nil"/>
              <w:left w:val="nil"/>
              <w:bottom w:val="nil"/>
              <w:right w:val="nil"/>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　</w:t>
            </w:r>
          </w:p>
        </w:tc>
        <w:tc>
          <w:tcPr>
            <w:tcW w:w="460" w:type="dxa"/>
            <w:tcBorders>
              <w:top w:val="nil"/>
              <w:left w:val="nil"/>
              <w:bottom w:val="nil"/>
              <w:right w:val="nil"/>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　</w:t>
            </w:r>
          </w:p>
        </w:tc>
        <w:tc>
          <w:tcPr>
            <w:tcW w:w="2020" w:type="dxa"/>
            <w:tcBorders>
              <w:top w:val="nil"/>
              <w:left w:val="nil"/>
              <w:bottom w:val="nil"/>
              <w:right w:val="nil"/>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　</w:t>
            </w:r>
          </w:p>
        </w:tc>
      </w:tr>
      <w:tr>
        <w:tblPrEx>
          <w:tblCellMar>
            <w:top w:w="0" w:type="dxa"/>
            <w:left w:w="108" w:type="dxa"/>
            <w:bottom w:w="0" w:type="dxa"/>
            <w:right w:w="108" w:type="dxa"/>
          </w:tblCellMar>
        </w:tblPrEx>
        <w:trPr>
          <w:trHeight w:val="904" w:hRule="atLeast"/>
          <w:jc w:val="center"/>
        </w:trPr>
        <w:tc>
          <w:tcPr>
            <w:tcW w:w="9940"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黑体" w:hAnsi="黑体" w:eastAsia="黑体" w:cs="宋体"/>
                <w:b/>
                <w:bCs/>
                <w:color w:val="000000"/>
                <w:kern w:val="0"/>
                <w:sz w:val="30"/>
                <w:szCs w:val="30"/>
              </w:rPr>
            </w:pPr>
            <w:r>
              <w:rPr>
                <w:rFonts w:hint="eastAsia" w:ascii="黑体" w:hAnsi="黑体" w:eastAsia="黑体" w:cs="宋体"/>
                <w:b/>
                <w:bCs/>
                <w:color w:val="000000"/>
                <w:kern w:val="0"/>
                <w:sz w:val="30"/>
                <w:szCs w:val="30"/>
              </w:rPr>
              <w:t>部门预算项目支出绩效自评表（2022年度）</w:t>
            </w:r>
          </w:p>
        </w:tc>
      </w:tr>
      <w:tr>
        <w:tblPrEx>
          <w:tblCellMar>
            <w:top w:w="0" w:type="dxa"/>
            <w:left w:w="108" w:type="dxa"/>
            <w:bottom w:w="0" w:type="dxa"/>
            <w:right w:w="108" w:type="dxa"/>
          </w:tblCellMar>
        </w:tblPrEx>
        <w:trPr>
          <w:trHeight w:val="285" w:hRule="atLeast"/>
          <w:jc w:val="center"/>
        </w:trPr>
        <w:tc>
          <w:tcPr>
            <w:tcW w:w="22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项目名称</w:t>
            </w:r>
          </w:p>
        </w:tc>
        <w:tc>
          <w:tcPr>
            <w:tcW w:w="7680" w:type="dxa"/>
            <w:gridSpan w:val="9"/>
            <w:tcBorders>
              <w:top w:val="single" w:color="000000" w:sz="4" w:space="0"/>
              <w:left w:val="nil"/>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51082321Y000000029651</w:t>
            </w:r>
            <w:r>
              <w:rPr>
                <w:rFonts w:hint="eastAsia" w:ascii="宋体" w:hAnsi="宋体" w:cs="宋体"/>
                <w:color w:val="000000"/>
                <w:kern w:val="0"/>
                <w:sz w:val="18"/>
                <w:szCs w:val="18"/>
                <w:lang w:eastAsia="zh-CN"/>
              </w:rPr>
              <w:t>－</w:t>
            </w:r>
            <w:r>
              <w:rPr>
                <w:rFonts w:hint="eastAsia" w:ascii="宋体" w:hAnsi="宋体" w:cs="宋体"/>
                <w:color w:val="000000"/>
                <w:kern w:val="0"/>
                <w:sz w:val="18"/>
                <w:szCs w:val="18"/>
              </w:rPr>
              <w:t>工会经费与福利费</w:t>
            </w:r>
          </w:p>
        </w:tc>
      </w:tr>
      <w:tr>
        <w:tblPrEx>
          <w:tblCellMar>
            <w:top w:w="0" w:type="dxa"/>
            <w:left w:w="108" w:type="dxa"/>
            <w:bottom w:w="0" w:type="dxa"/>
            <w:right w:w="108" w:type="dxa"/>
          </w:tblCellMar>
        </w:tblPrEx>
        <w:trPr>
          <w:trHeight w:val="514" w:hRule="atLeast"/>
          <w:jc w:val="center"/>
        </w:trPr>
        <w:tc>
          <w:tcPr>
            <w:tcW w:w="22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主管部门</w:t>
            </w:r>
          </w:p>
        </w:tc>
        <w:tc>
          <w:tcPr>
            <w:tcW w:w="3900" w:type="dxa"/>
            <w:gridSpan w:val="5"/>
            <w:tcBorders>
              <w:top w:val="single" w:color="000000" w:sz="4" w:space="0"/>
              <w:left w:val="nil"/>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剑阁县科学技术协会本级</w:t>
            </w:r>
          </w:p>
        </w:tc>
        <w:tc>
          <w:tcPr>
            <w:tcW w:w="780" w:type="dxa"/>
            <w:tcBorders>
              <w:top w:val="nil"/>
              <w:left w:val="nil"/>
              <w:bottom w:val="nil"/>
              <w:right w:val="nil"/>
            </w:tcBorders>
            <w:shd w:val="clear" w:color="auto" w:fill="auto"/>
            <w:vAlign w:val="center"/>
          </w:tcPr>
          <w:p>
            <w:pPr>
              <w:widowControl/>
              <w:jc w:val="left"/>
              <w:rPr>
                <w:rFonts w:ascii="Courier New" w:hAnsi="Courier New" w:eastAsia="等线" w:cs="Courier New"/>
                <w:color w:val="000000"/>
                <w:kern w:val="0"/>
                <w:sz w:val="18"/>
                <w:szCs w:val="18"/>
              </w:rPr>
            </w:pPr>
            <w:r>
              <w:rPr>
                <w:rFonts w:ascii="Courier New" w:hAnsi="Courier New" w:eastAsia="等线" w:cs="Courier New"/>
                <w:color w:val="000000"/>
                <w:kern w:val="0"/>
                <w:sz w:val="18"/>
                <w:szCs w:val="18"/>
              </w:rPr>
              <w:t>实施单位 （盖章）</w:t>
            </w:r>
          </w:p>
        </w:tc>
        <w:tc>
          <w:tcPr>
            <w:tcW w:w="300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剑阁县科学技术协会</w:t>
            </w:r>
          </w:p>
        </w:tc>
      </w:tr>
      <w:tr>
        <w:tblPrEx>
          <w:tblCellMar>
            <w:top w:w="0" w:type="dxa"/>
            <w:left w:w="108" w:type="dxa"/>
            <w:bottom w:w="0" w:type="dxa"/>
            <w:right w:w="108" w:type="dxa"/>
          </w:tblCellMar>
        </w:tblPrEx>
        <w:trPr>
          <w:trHeight w:val="285" w:hRule="atLeast"/>
          <w:jc w:val="center"/>
        </w:trPr>
        <w:tc>
          <w:tcPr>
            <w:tcW w:w="700" w:type="dxa"/>
            <w:vMerge w:val="restart"/>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项目基本情况</w:t>
            </w:r>
          </w:p>
        </w:tc>
        <w:tc>
          <w:tcPr>
            <w:tcW w:w="1560" w:type="dxa"/>
            <w:vMerge w:val="restart"/>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1.项目年度目标完成情况</w:t>
            </w:r>
          </w:p>
        </w:tc>
        <w:tc>
          <w:tcPr>
            <w:tcW w:w="3900" w:type="dxa"/>
            <w:gridSpan w:val="5"/>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项目年度目标</w:t>
            </w:r>
          </w:p>
        </w:tc>
        <w:tc>
          <w:tcPr>
            <w:tcW w:w="3780" w:type="dxa"/>
            <w:gridSpan w:val="4"/>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Courier New" w:hAnsi="Courier New" w:eastAsia="等线" w:cs="Courier New"/>
                <w:color w:val="000000"/>
                <w:kern w:val="0"/>
                <w:sz w:val="18"/>
                <w:szCs w:val="18"/>
              </w:rPr>
            </w:pPr>
            <w:r>
              <w:rPr>
                <w:rFonts w:ascii="Courier New" w:hAnsi="Courier New" w:eastAsia="等线" w:cs="Courier New"/>
                <w:color w:val="000000"/>
                <w:kern w:val="0"/>
                <w:sz w:val="18"/>
                <w:szCs w:val="18"/>
              </w:rPr>
              <w:t>年度目标完成情况</w:t>
            </w:r>
          </w:p>
        </w:tc>
      </w:tr>
      <w:tr>
        <w:tblPrEx>
          <w:tblCellMar>
            <w:top w:w="0" w:type="dxa"/>
            <w:left w:w="108" w:type="dxa"/>
            <w:bottom w:w="0" w:type="dxa"/>
            <w:right w:w="108" w:type="dxa"/>
          </w:tblCellMar>
        </w:tblPrEx>
        <w:trPr>
          <w:trHeight w:val="709" w:hRule="atLeast"/>
          <w:jc w:val="center"/>
        </w:trPr>
        <w:tc>
          <w:tcPr>
            <w:tcW w:w="700"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1560"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3900" w:type="dxa"/>
            <w:gridSpan w:val="5"/>
            <w:tcBorders>
              <w:top w:val="single" w:color="000000" w:sz="4" w:space="0"/>
              <w:left w:val="nil"/>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提高预算编制质量，严格执行预算，保障单位日常运转。</w:t>
            </w:r>
          </w:p>
        </w:tc>
        <w:tc>
          <w:tcPr>
            <w:tcW w:w="3780" w:type="dxa"/>
            <w:gridSpan w:val="4"/>
            <w:tcBorders>
              <w:top w:val="single" w:color="000000" w:sz="4" w:space="0"/>
              <w:left w:val="nil"/>
              <w:bottom w:val="single" w:color="000000" w:sz="4" w:space="0"/>
              <w:right w:val="single" w:color="000000" w:sz="4" w:space="0"/>
            </w:tcBorders>
            <w:shd w:val="clear" w:color="auto" w:fill="auto"/>
            <w:vAlign w:val="center"/>
          </w:tcPr>
          <w:p>
            <w:pPr>
              <w:widowControl/>
              <w:jc w:val="left"/>
              <w:rPr>
                <w:rFonts w:ascii="Courier New" w:hAnsi="Courier New" w:eastAsia="等线" w:cs="Courier New"/>
                <w:color w:val="000000"/>
                <w:kern w:val="0"/>
                <w:sz w:val="18"/>
                <w:szCs w:val="18"/>
              </w:rPr>
            </w:pPr>
            <w:r>
              <w:rPr>
                <w:rFonts w:ascii="Courier New" w:hAnsi="Courier New" w:eastAsia="等线" w:cs="Courier New"/>
                <w:color w:val="000000"/>
                <w:kern w:val="0"/>
                <w:sz w:val="18"/>
                <w:szCs w:val="18"/>
              </w:rPr>
              <w:t>对照年度目标，说明相关任务目标的完成情况（100字以内）</w:t>
            </w:r>
          </w:p>
        </w:tc>
      </w:tr>
      <w:tr>
        <w:tblPrEx>
          <w:tblCellMar>
            <w:top w:w="0" w:type="dxa"/>
            <w:left w:w="108" w:type="dxa"/>
            <w:bottom w:w="0" w:type="dxa"/>
            <w:right w:w="108" w:type="dxa"/>
          </w:tblCellMar>
        </w:tblPrEx>
        <w:trPr>
          <w:trHeight w:val="694" w:hRule="atLeast"/>
          <w:jc w:val="center"/>
        </w:trPr>
        <w:tc>
          <w:tcPr>
            <w:tcW w:w="700"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1560"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2.项目实施内容及过程概述</w:t>
            </w:r>
          </w:p>
        </w:tc>
        <w:tc>
          <w:tcPr>
            <w:tcW w:w="7680" w:type="dxa"/>
            <w:gridSpan w:val="9"/>
            <w:tcBorders>
              <w:top w:val="single" w:color="000000" w:sz="4" w:space="0"/>
              <w:left w:val="nil"/>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　</w:t>
            </w:r>
          </w:p>
        </w:tc>
      </w:tr>
      <w:tr>
        <w:tblPrEx>
          <w:tblCellMar>
            <w:top w:w="0" w:type="dxa"/>
            <w:left w:w="108" w:type="dxa"/>
            <w:bottom w:w="0" w:type="dxa"/>
            <w:right w:w="108" w:type="dxa"/>
          </w:tblCellMar>
        </w:tblPrEx>
        <w:trPr>
          <w:trHeight w:val="360" w:hRule="atLeast"/>
          <w:jc w:val="center"/>
        </w:trPr>
        <w:tc>
          <w:tcPr>
            <w:tcW w:w="700" w:type="dxa"/>
            <w:vMerge w:val="restart"/>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预算执行情况（10分）</w:t>
            </w:r>
          </w:p>
        </w:tc>
        <w:tc>
          <w:tcPr>
            <w:tcW w:w="156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年度预算数（万元）</w:t>
            </w:r>
          </w:p>
        </w:tc>
        <w:tc>
          <w:tcPr>
            <w:tcW w:w="78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年初预算</w:t>
            </w:r>
          </w:p>
        </w:tc>
        <w:tc>
          <w:tcPr>
            <w:tcW w:w="78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调整后预算数</w:t>
            </w:r>
          </w:p>
        </w:tc>
        <w:tc>
          <w:tcPr>
            <w:tcW w:w="2340" w:type="dxa"/>
            <w:gridSpan w:val="3"/>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预算执行数</w:t>
            </w:r>
          </w:p>
        </w:tc>
        <w:tc>
          <w:tcPr>
            <w:tcW w:w="78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预算执行率</w:t>
            </w:r>
          </w:p>
        </w:tc>
        <w:tc>
          <w:tcPr>
            <w:tcW w:w="52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权重</w:t>
            </w:r>
          </w:p>
        </w:tc>
        <w:tc>
          <w:tcPr>
            <w:tcW w:w="46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得分</w:t>
            </w:r>
          </w:p>
        </w:tc>
        <w:tc>
          <w:tcPr>
            <w:tcW w:w="202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原因</w:t>
            </w:r>
          </w:p>
        </w:tc>
      </w:tr>
      <w:tr>
        <w:tblPrEx>
          <w:tblCellMar>
            <w:top w:w="0" w:type="dxa"/>
            <w:left w:w="108" w:type="dxa"/>
            <w:bottom w:w="0" w:type="dxa"/>
            <w:right w:w="108" w:type="dxa"/>
          </w:tblCellMar>
        </w:tblPrEx>
        <w:trPr>
          <w:trHeight w:val="387" w:hRule="atLeast"/>
          <w:jc w:val="center"/>
        </w:trPr>
        <w:tc>
          <w:tcPr>
            <w:tcW w:w="700"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156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总额</w:t>
            </w:r>
          </w:p>
        </w:tc>
        <w:tc>
          <w:tcPr>
            <w:tcW w:w="78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1.16</w:t>
            </w:r>
          </w:p>
        </w:tc>
        <w:tc>
          <w:tcPr>
            <w:tcW w:w="78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1.16</w:t>
            </w:r>
          </w:p>
        </w:tc>
        <w:tc>
          <w:tcPr>
            <w:tcW w:w="2340" w:type="dxa"/>
            <w:gridSpan w:val="3"/>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1.16</w:t>
            </w:r>
          </w:p>
        </w:tc>
        <w:tc>
          <w:tcPr>
            <w:tcW w:w="78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100.00%</w:t>
            </w:r>
          </w:p>
        </w:tc>
        <w:tc>
          <w:tcPr>
            <w:tcW w:w="52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10</w:t>
            </w:r>
          </w:p>
        </w:tc>
        <w:tc>
          <w:tcPr>
            <w:tcW w:w="46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2020" w:type="dxa"/>
            <w:vMerge w:val="restart"/>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Courier New" w:hAnsi="Courier New" w:eastAsia="等线" w:cs="Courier New"/>
                <w:i/>
                <w:iCs/>
                <w:color w:val="000000"/>
                <w:kern w:val="0"/>
                <w:sz w:val="18"/>
                <w:szCs w:val="18"/>
              </w:rPr>
            </w:pPr>
            <w:r>
              <w:rPr>
                <w:rFonts w:ascii="Courier New" w:hAnsi="Courier New" w:eastAsia="等线" w:cs="Courier New"/>
                <w:i/>
                <w:iCs/>
                <w:color w:val="000000"/>
                <w:kern w:val="0"/>
                <w:sz w:val="18"/>
                <w:szCs w:val="18"/>
              </w:rPr>
              <w:t>1.预算执行率=预算执行数/调整后预算数，预算执行率未达到90%的需说明原因（100字以内）</w:t>
            </w:r>
            <w:r>
              <w:rPr>
                <w:rFonts w:hint="eastAsia" w:ascii="Courier New" w:hAnsi="Courier New" w:eastAsia="等线" w:cs="Courier New"/>
                <w:i/>
                <w:iCs/>
                <w:color w:val="000000"/>
                <w:kern w:val="0"/>
                <w:sz w:val="18"/>
                <w:szCs w:val="18"/>
                <w:lang w:eastAsia="zh-CN"/>
              </w:rPr>
              <w:t>；</w:t>
            </w:r>
            <w:r>
              <w:rPr>
                <w:rFonts w:ascii="Courier New" w:hAnsi="Courier New" w:eastAsia="等线" w:cs="Courier New"/>
                <w:i/>
                <w:iCs/>
                <w:color w:val="000000"/>
                <w:kern w:val="0"/>
                <w:sz w:val="18"/>
                <w:szCs w:val="18"/>
              </w:rPr>
              <w:t>2.年中发生预算调整的（追加或调减）</w:t>
            </w:r>
            <w:r>
              <w:rPr>
                <w:rFonts w:hint="eastAsia" w:ascii="Courier New" w:hAnsi="Courier New" w:eastAsia="等线" w:cs="Courier New"/>
                <w:i/>
                <w:iCs/>
                <w:color w:val="000000"/>
                <w:kern w:val="0"/>
                <w:sz w:val="18"/>
                <w:szCs w:val="18"/>
                <w:lang w:eastAsia="zh-CN"/>
              </w:rPr>
              <w:t>，</w:t>
            </w:r>
            <w:r>
              <w:rPr>
                <w:rFonts w:ascii="Courier New" w:hAnsi="Courier New" w:eastAsia="等线" w:cs="Courier New"/>
                <w:i/>
                <w:iCs/>
                <w:color w:val="000000"/>
                <w:kern w:val="0"/>
                <w:sz w:val="18"/>
                <w:szCs w:val="18"/>
              </w:rPr>
              <w:t>应单独说明理由；3.其他资金包括：社会投入资金、银行贷款.</w:t>
            </w:r>
          </w:p>
        </w:tc>
      </w:tr>
      <w:tr>
        <w:tblPrEx>
          <w:tblCellMar>
            <w:top w:w="0" w:type="dxa"/>
            <w:left w:w="108" w:type="dxa"/>
            <w:bottom w:w="0" w:type="dxa"/>
            <w:right w:w="108" w:type="dxa"/>
          </w:tblCellMar>
        </w:tblPrEx>
        <w:trPr>
          <w:trHeight w:val="432" w:hRule="atLeast"/>
          <w:jc w:val="center"/>
        </w:trPr>
        <w:tc>
          <w:tcPr>
            <w:tcW w:w="700"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156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其中：财政资金</w:t>
            </w:r>
          </w:p>
        </w:tc>
        <w:tc>
          <w:tcPr>
            <w:tcW w:w="78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1.16</w:t>
            </w:r>
          </w:p>
        </w:tc>
        <w:tc>
          <w:tcPr>
            <w:tcW w:w="78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1.16</w:t>
            </w:r>
          </w:p>
        </w:tc>
        <w:tc>
          <w:tcPr>
            <w:tcW w:w="2340" w:type="dxa"/>
            <w:gridSpan w:val="3"/>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1.16</w:t>
            </w:r>
          </w:p>
        </w:tc>
        <w:tc>
          <w:tcPr>
            <w:tcW w:w="78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100.00%</w:t>
            </w:r>
          </w:p>
        </w:tc>
        <w:tc>
          <w:tcPr>
            <w:tcW w:w="52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46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2020" w:type="dxa"/>
            <w:vMerge w:val="continue"/>
            <w:tcBorders>
              <w:top w:val="nil"/>
              <w:left w:val="single" w:color="000000" w:sz="4" w:space="0"/>
              <w:bottom w:val="single" w:color="000000" w:sz="4" w:space="0"/>
              <w:right w:val="single" w:color="000000" w:sz="4" w:space="0"/>
            </w:tcBorders>
            <w:vAlign w:val="center"/>
          </w:tcPr>
          <w:p>
            <w:pPr>
              <w:widowControl/>
              <w:jc w:val="left"/>
              <w:rPr>
                <w:rFonts w:ascii="Courier New" w:hAnsi="Courier New" w:eastAsia="等线" w:cs="Courier New"/>
                <w:i/>
                <w:iCs/>
                <w:color w:val="000000"/>
                <w:kern w:val="0"/>
                <w:sz w:val="18"/>
                <w:szCs w:val="18"/>
              </w:rPr>
            </w:pPr>
          </w:p>
        </w:tc>
      </w:tr>
      <w:tr>
        <w:tblPrEx>
          <w:tblCellMar>
            <w:top w:w="0" w:type="dxa"/>
            <w:left w:w="108" w:type="dxa"/>
            <w:bottom w:w="0" w:type="dxa"/>
            <w:right w:w="108" w:type="dxa"/>
          </w:tblCellMar>
        </w:tblPrEx>
        <w:trPr>
          <w:trHeight w:val="447" w:hRule="atLeast"/>
          <w:jc w:val="center"/>
        </w:trPr>
        <w:tc>
          <w:tcPr>
            <w:tcW w:w="700"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156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财政专户管理资金</w:t>
            </w:r>
          </w:p>
        </w:tc>
        <w:tc>
          <w:tcPr>
            <w:tcW w:w="78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78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2340" w:type="dxa"/>
            <w:gridSpan w:val="3"/>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78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52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46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2020" w:type="dxa"/>
            <w:vMerge w:val="continue"/>
            <w:tcBorders>
              <w:top w:val="nil"/>
              <w:left w:val="single" w:color="000000" w:sz="4" w:space="0"/>
              <w:bottom w:val="single" w:color="000000" w:sz="4" w:space="0"/>
              <w:right w:val="single" w:color="000000" w:sz="4" w:space="0"/>
            </w:tcBorders>
            <w:vAlign w:val="center"/>
          </w:tcPr>
          <w:p>
            <w:pPr>
              <w:widowControl/>
              <w:jc w:val="left"/>
              <w:rPr>
                <w:rFonts w:ascii="Courier New" w:hAnsi="Courier New" w:eastAsia="等线" w:cs="Courier New"/>
                <w:i/>
                <w:iCs/>
                <w:color w:val="000000"/>
                <w:kern w:val="0"/>
                <w:sz w:val="18"/>
                <w:szCs w:val="18"/>
              </w:rPr>
            </w:pPr>
          </w:p>
        </w:tc>
      </w:tr>
      <w:tr>
        <w:tblPrEx>
          <w:tblCellMar>
            <w:top w:w="0" w:type="dxa"/>
            <w:left w:w="108" w:type="dxa"/>
            <w:bottom w:w="0" w:type="dxa"/>
            <w:right w:w="108" w:type="dxa"/>
          </w:tblCellMar>
        </w:tblPrEx>
        <w:trPr>
          <w:trHeight w:val="402" w:hRule="atLeast"/>
          <w:jc w:val="center"/>
        </w:trPr>
        <w:tc>
          <w:tcPr>
            <w:tcW w:w="700"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156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单位资金</w:t>
            </w:r>
          </w:p>
        </w:tc>
        <w:tc>
          <w:tcPr>
            <w:tcW w:w="78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78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2340" w:type="dxa"/>
            <w:gridSpan w:val="3"/>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78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52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46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2020" w:type="dxa"/>
            <w:vMerge w:val="continue"/>
            <w:tcBorders>
              <w:top w:val="nil"/>
              <w:left w:val="single" w:color="000000" w:sz="4" w:space="0"/>
              <w:bottom w:val="single" w:color="000000" w:sz="4" w:space="0"/>
              <w:right w:val="single" w:color="000000" w:sz="4" w:space="0"/>
            </w:tcBorders>
            <w:vAlign w:val="center"/>
          </w:tcPr>
          <w:p>
            <w:pPr>
              <w:widowControl/>
              <w:jc w:val="left"/>
              <w:rPr>
                <w:rFonts w:ascii="Courier New" w:hAnsi="Courier New" w:eastAsia="等线" w:cs="Courier New"/>
                <w:i/>
                <w:iCs/>
                <w:color w:val="000000"/>
                <w:kern w:val="0"/>
                <w:sz w:val="18"/>
                <w:szCs w:val="18"/>
              </w:rPr>
            </w:pPr>
          </w:p>
        </w:tc>
      </w:tr>
      <w:tr>
        <w:tblPrEx>
          <w:tblCellMar>
            <w:top w:w="0" w:type="dxa"/>
            <w:left w:w="108" w:type="dxa"/>
            <w:bottom w:w="0" w:type="dxa"/>
            <w:right w:w="108" w:type="dxa"/>
          </w:tblCellMar>
        </w:tblPrEx>
        <w:trPr>
          <w:trHeight w:val="379" w:hRule="atLeast"/>
          <w:jc w:val="center"/>
        </w:trPr>
        <w:tc>
          <w:tcPr>
            <w:tcW w:w="700"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156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其他资金</w:t>
            </w:r>
          </w:p>
        </w:tc>
        <w:tc>
          <w:tcPr>
            <w:tcW w:w="780" w:type="dxa"/>
            <w:tcBorders>
              <w:top w:val="nil"/>
              <w:left w:val="nil"/>
              <w:bottom w:val="single" w:color="000000" w:sz="4" w:space="0"/>
              <w:right w:val="single" w:color="000000" w:sz="4" w:space="0"/>
            </w:tcBorders>
            <w:shd w:val="clear" w:color="auto" w:fill="auto"/>
            <w:vAlign w:val="center"/>
          </w:tcPr>
          <w:p>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c>
          <w:tcPr>
            <w:tcW w:w="780" w:type="dxa"/>
            <w:tcBorders>
              <w:top w:val="nil"/>
              <w:left w:val="nil"/>
              <w:bottom w:val="single" w:color="000000" w:sz="4" w:space="0"/>
              <w:right w:val="single" w:color="000000" w:sz="4" w:space="0"/>
            </w:tcBorders>
            <w:shd w:val="clear" w:color="auto" w:fill="auto"/>
            <w:vAlign w:val="center"/>
          </w:tcPr>
          <w:p>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c>
          <w:tcPr>
            <w:tcW w:w="2340" w:type="dxa"/>
            <w:gridSpan w:val="3"/>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c>
          <w:tcPr>
            <w:tcW w:w="780" w:type="dxa"/>
            <w:tcBorders>
              <w:top w:val="nil"/>
              <w:left w:val="nil"/>
              <w:bottom w:val="single" w:color="000000" w:sz="4" w:space="0"/>
              <w:right w:val="single" w:color="000000" w:sz="4" w:space="0"/>
            </w:tcBorders>
            <w:shd w:val="clear" w:color="auto" w:fill="auto"/>
            <w:vAlign w:val="center"/>
          </w:tcPr>
          <w:p>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c>
          <w:tcPr>
            <w:tcW w:w="52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46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2020" w:type="dxa"/>
            <w:vMerge w:val="continue"/>
            <w:tcBorders>
              <w:top w:val="nil"/>
              <w:left w:val="single" w:color="000000" w:sz="4" w:space="0"/>
              <w:bottom w:val="single" w:color="000000" w:sz="4" w:space="0"/>
              <w:right w:val="single" w:color="000000" w:sz="4" w:space="0"/>
            </w:tcBorders>
            <w:vAlign w:val="center"/>
          </w:tcPr>
          <w:p>
            <w:pPr>
              <w:widowControl/>
              <w:jc w:val="left"/>
              <w:rPr>
                <w:rFonts w:ascii="Courier New" w:hAnsi="Courier New" w:eastAsia="等线" w:cs="Courier New"/>
                <w:i/>
                <w:iCs/>
                <w:color w:val="000000"/>
                <w:kern w:val="0"/>
                <w:sz w:val="18"/>
                <w:szCs w:val="18"/>
              </w:rPr>
            </w:pPr>
          </w:p>
        </w:tc>
      </w:tr>
      <w:tr>
        <w:tblPrEx>
          <w:tblCellMar>
            <w:top w:w="0" w:type="dxa"/>
            <w:left w:w="108" w:type="dxa"/>
            <w:bottom w:w="0" w:type="dxa"/>
            <w:right w:w="108" w:type="dxa"/>
          </w:tblCellMar>
        </w:tblPrEx>
        <w:trPr>
          <w:trHeight w:val="454" w:hRule="atLeast"/>
          <w:jc w:val="center"/>
        </w:trPr>
        <w:tc>
          <w:tcPr>
            <w:tcW w:w="700" w:type="dxa"/>
            <w:vMerge w:val="restart"/>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绩效指标（90分）</w:t>
            </w:r>
          </w:p>
        </w:tc>
        <w:tc>
          <w:tcPr>
            <w:tcW w:w="156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一级指标</w:t>
            </w:r>
          </w:p>
        </w:tc>
        <w:tc>
          <w:tcPr>
            <w:tcW w:w="78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二级指标</w:t>
            </w:r>
          </w:p>
        </w:tc>
        <w:tc>
          <w:tcPr>
            <w:tcW w:w="78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三级指标</w:t>
            </w:r>
          </w:p>
        </w:tc>
        <w:tc>
          <w:tcPr>
            <w:tcW w:w="78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指标性质</w:t>
            </w:r>
          </w:p>
        </w:tc>
        <w:tc>
          <w:tcPr>
            <w:tcW w:w="78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指标值</w:t>
            </w:r>
          </w:p>
        </w:tc>
        <w:tc>
          <w:tcPr>
            <w:tcW w:w="78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度量单位</w:t>
            </w:r>
          </w:p>
        </w:tc>
        <w:tc>
          <w:tcPr>
            <w:tcW w:w="78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完成值</w:t>
            </w:r>
          </w:p>
        </w:tc>
        <w:tc>
          <w:tcPr>
            <w:tcW w:w="52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权重</w:t>
            </w:r>
          </w:p>
        </w:tc>
        <w:tc>
          <w:tcPr>
            <w:tcW w:w="46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得分</w:t>
            </w:r>
          </w:p>
        </w:tc>
        <w:tc>
          <w:tcPr>
            <w:tcW w:w="202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未完成原因分析</w:t>
            </w:r>
          </w:p>
        </w:tc>
      </w:tr>
      <w:tr>
        <w:tblPrEx>
          <w:tblCellMar>
            <w:top w:w="0" w:type="dxa"/>
            <w:left w:w="108" w:type="dxa"/>
            <w:bottom w:w="0" w:type="dxa"/>
            <w:right w:w="108" w:type="dxa"/>
          </w:tblCellMar>
        </w:tblPrEx>
        <w:trPr>
          <w:trHeight w:val="338" w:hRule="atLeast"/>
          <w:jc w:val="center"/>
        </w:trPr>
        <w:tc>
          <w:tcPr>
            <w:tcW w:w="700"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1560" w:type="dxa"/>
            <w:vMerge w:val="restart"/>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产出指标</w:t>
            </w:r>
          </w:p>
        </w:tc>
        <w:tc>
          <w:tcPr>
            <w:tcW w:w="78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数量指标</w:t>
            </w:r>
          </w:p>
        </w:tc>
        <w:tc>
          <w:tcPr>
            <w:tcW w:w="78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科目调整次数</w:t>
            </w:r>
          </w:p>
        </w:tc>
        <w:tc>
          <w:tcPr>
            <w:tcW w:w="78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78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5</w:t>
            </w:r>
          </w:p>
        </w:tc>
        <w:tc>
          <w:tcPr>
            <w:tcW w:w="78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次</w:t>
            </w:r>
          </w:p>
        </w:tc>
        <w:tc>
          <w:tcPr>
            <w:tcW w:w="780" w:type="dxa"/>
            <w:tcBorders>
              <w:top w:val="nil"/>
              <w:left w:val="nil"/>
              <w:bottom w:val="single" w:color="000000" w:sz="4" w:space="0"/>
              <w:right w:val="single" w:color="000000" w:sz="4" w:space="0"/>
            </w:tcBorders>
            <w:shd w:val="clear" w:color="auto" w:fill="auto"/>
            <w:vAlign w:val="center"/>
          </w:tcPr>
          <w:p>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c>
          <w:tcPr>
            <w:tcW w:w="52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20</w:t>
            </w:r>
          </w:p>
        </w:tc>
        <w:tc>
          <w:tcPr>
            <w:tcW w:w="46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2020" w:type="dxa"/>
            <w:tcBorders>
              <w:top w:val="nil"/>
              <w:left w:val="nil"/>
              <w:bottom w:val="single" w:color="000000" w:sz="4" w:space="0"/>
              <w:right w:val="single" w:color="000000" w:sz="4" w:space="0"/>
            </w:tcBorders>
            <w:shd w:val="clear" w:color="auto" w:fill="auto"/>
            <w:vAlign w:val="center"/>
          </w:tcPr>
          <w:p>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r>
      <w:tr>
        <w:tblPrEx>
          <w:tblCellMar>
            <w:top w:w="0" w:type="dxa"/>
            <w:left w:w="108" w:type="dxa"/>
            <w:bottom w:w="0" w:type="dxa"/>
            <w:right w:w="108" w:type="dxa"/>
          </w:tblCellMar>
        </w:tblPrEx>
        <w:trPr>
          <w:trHeight w:val="679" w:hRule="atLeast"/>
          <w:jc w:val="center"/>
        </w:trPr>
        <w:tc>
          <w:tcPr>
            <w:tcW w:w="700"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1560"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78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质量指标</w:t>
            </w:r>
          </w:p>
        </w:tc>
        <w:tc>
          <w:tcPr>
            <w:tcW w:w="78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预算编制准确率（计算方法为：∣（执行数</w:t>
            </w:r>
            <w:r>
              <w:rPr>
                <w:rFonts w:hint="eastAsia" w:ascii="宋体" w:hAnsi="宋体" w:cs="宋体"/>
                <w:color w:val="000000"/>
                <w:kern w:val="0"/>
                <w:sz w:val="18"/>
                <w:szCs w:val="18"/>
                <w:lang w:eastAsia="zh-CN"/>
              </w:rPr>
              <w:t>－</w:t>
            </w:r>
            <w:r>
              <w:rPr>
                <w:rFonts w:hint="eastAsia" w:ascii="宋体" w:hAnsi="宋体" w:cs="宋体"/>
                <w:color w:val="000000"/>
                <w:kern w:val="0"/>
                <w:sz w:val="18"/>
                <w:szCs w:val="18"/>
              </w:rPr>
              <w:t>预算数）/预算数∣）</w:t>
            </w:r>
          </w:p>
        </w:tc>
        <w:tc>
          <w:tcPr>
            <w:tcW w:w="78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78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5</w:t>
            </w:r>
          </w:p>
        </w:tc>
        <w:tc>
          <w:tcPr>
            <w:tcW w:w="78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780" w:type="dxa"/>
            <w:tcBorders>
              <w:top w:val="nil"/>
              <w:left w:val="nil"/>
              <w:bottom w:val="single" w:color="000000" w:sz="4" w:space="0"/>
              <w:right w:val="single" w:color="000000" w:sz="4" w:space="0"/>
            </w:tcBorders>
            <w:shd w:val="clear" w:color="auto" w:fill="auto"/>
            <w:vAlign w:val="center"/>
          </w:tcPr>
          <w:p>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c>
          <w:tcPr>
            <w:tcW w:w="52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30</w:t>
            </w:r>
          </w:p>
        </w:tc>
        <w:tc>
          <w:tcPr>
            <w:tcW w:w="46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2020" w:type="dxa"/>
            <w:tcBorders>
              <w:top w:val="nil"/>
              <w:left w:val="nil"/>
              <w:bottom w:val="single" w:color="000000" w:sz="4" w:space="0"/>
              <w:right w:val="single" w:color="000000" w:sz="4" w:space="0"/>
            </w:tcBorders>
            <w:shd w:val="clear" w:color="auto" w:fill="auto"/>
            <w:vAlign w:val="center"/>
          </w:tcPr>
          <w:p>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r>
      <w:tr>
        <w:tblPrEx>
          <w:tblCellMar>
            <w:top w:w="0" w:type="dxa"/>
            <w:left w:w="108" w:type="dxa"/>
            <w:bottom w:w="0" w:type="dxa"/>
            <w:right w:w="108" w:type="dxa"/>
          </w:tblCellMar>
        </w:tblPrEx>
        <w:trPr>
          <w:trHeight w:val="904" w:hRule="atLeast"/>
          <w:jc w:val="center"/>
        </w:trPr>
        <w:tc>
          <w:tcPr>
            <w:tcW w:w="700"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1560" w:type="dxa"/>
            <w:vMerge w:val="restart"/>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效益指标</w:t>
            </w:r>
          </w:p>
        </w:tc>
        <w:tc>
          <w:tcPr>
            <w:tcW w:w="78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经济效益指标</w:t>
            </w:r>
          </w:p>
        </w:tc>
        <w:tc>
          <w:tcPr>
            <w:tcW w:w="78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“三公经费”控制率[计算方法为：（三公经费实际支出数/预算安排数]×100%）</w:t>
            </w:r>
          </w:p>
        </w:tc>
        <w:tc>
          <w:tcPr>
            <w:tcW w:w="78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78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100</w:t>
            </w:r>
          </w:p>
        </w:tc>
        <w:tc>
          <w:tcPr>
            <w:tcW w:w="78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780" w:type="dxa"/>
            <w:tcBorders>
              <w:top w:val="nil"/>
              <w:left w:val="nil"/>
              <w:bottom w:val="single" w:color="000000" w:sz="4" w:space="0"/>
              <w:right w:val="single" w:color="000000" w:sz="4" w:space="0"/>
            </w:tcBorders>
            <w:shd w:val="clear" w:color="auto" w:fill="auto"/>
            <w:vAlign w:val="center"/>
          </w:tcPr>
          <w:p>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c>
          <w:tcPr>
            <w:tcW w:w="52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20</w:t>
            </w:r>
          </w:p>
        </w:tc>
        <w:tc>
          <w:tcPr>
            <w:tcW w:w="46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2020" w:type="dxa"/>
            <w:tcBorders>
              <w:top w:val="nil"/>
              <w:left w:val="nil"/>
              <w:bottom w:val="single" w:color="000000" w:sz="4" w:space="0"/>
              <w:right w:val="single" w:color="000000" w:sz="4" w:space="0"/>
            </w:tcBorders>
            <w:shd w:val="clear" w:color="auto" w:fill="auto"/>
            <w:vAlign w:val="center"/>
          </w:tcPr>
          <w:p>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r>
      <w:tr>
        <w:tblPrEx>
          <w:tblCellMar>
            <w:top w:w="0" w:type="dxa"/>
            <w:left w:w="108" w:type="dxa"/>
            <w:bottom w:w="0" w:type="dxa"/>
            <w:right w:w="108" w:type="dxa"/>
          </w:tblCellMar>
        </w:tblPrEx>
        <w:trPr>
          <w:trHeight w:val="338" w:hRule="atLeast"/>
          <w:jc w:val="center"/>
        </w:trPr>
        <w:tc>
          <w:tcPr>
            <w:tcW w:w="700"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1560"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78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社会效益指标</w:t>
            </w:r>
          </w:p>
        </w:tc>
        <w:tc>
          <w:tcPr>
            <w:tcW w:w="78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运转保障率</w:t>
            </w:r>
          </w:p>
        </w:tc>
        <w:tc>
          <w:tcPr>
            <w:tcW w:w="78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78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100</w:t>
            </w:r>
          </w:p>
        </w:tc>
        <w:tc>
          <w:tcPr>
            <w:tcW w:w="78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780" w:type="dxa"/>
            <w:tcBorders>
              <w:top w:val="nil"/>
              <w:left w:val="nil"/>
              <w:bottom w:val="single" w:color="000000" w:sz="4" w:space="0"/>
              <w:right w:val="single" w:color="000000" w:sz="4" w:space="0"/>
            </w:tcBorders>
            <w:shd w:val="clear" w:color="auto" w:fill="auto"/>
            <w:vAlign w:val="center"/>
          </w:tcPr>
          <w:p>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c>
          <w:tcPr>
            <w:tcW w:w="52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20</w:t>
            </w:r>
          </w:p>
        </w:tc>
        <w:tc>
          <w:tcPr>
            <w:tcW w:w="46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2020" w:type="dxa"/>
            <w:tcBorders>
              <w:top w:val="nil"/>
              <w:left w:val="nil"/>
              <w:bottom w:val="single" w:color="000000" w:sz="4" w:space="0"/>
              <w:right w:val="single" w:color="000000" w:sz="4" w:space="0"/>
            </w:tcBorders>
            <w:shd w:val="clear" w:color="auto" w:fill="auto"/>
            <w:vAlign w:val="center"/>
          </w:tcPr>
          <w:p>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r>
      <w:tr>
        <w:tblPrEx>
          <w:tblCellMar>
            <w:top w:w="0" w:type="dxa"/>
            <w:left w:w="108" w:type="dxa"/>
            <w:bottom w:w="0" w:type="dxa"/>
            <w:right w:w="108" w:type="dxa"/>
          </w:tblCellMar>
        </w:tblPrEx>
        <w:trPr>
          <w:trHeight w:val="285" w:hRule="atLeast"/>
          <w:jc w:val="center"/>
        </w:trPr>
        <w:tc>
          <w:tcPr>
            <w:tcW w:w="6940"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合计</w:t>
            </w:r>
          </w:p>
        </w:tc>
        <w:tc>
          <w:tcPr>
            <w:tcW w:w="52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100</w:t>
            </w:r>
          </w:p>
        </w:tc>
        <w:tc>
          <w:tcPr>
            <w:tcW w:w="460"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　</w:t>
            </w:r>
          </w:p>
        </w:tc>
        <w:tc>
          <w:tcPr>
            <w:tcW w:w="2020"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　</w:t>
            </w:r>
          </w:p>
        </w:tc>
      </w:tr>
      <w:tr>
        <w:tblPrEx>
          <w:tblCellMar>
            <w:top w:w="0" w:type="dxa"/>
            <w:left w:w="108" w:type="dxa"/>
            <w:bottom w:w="0" w:type="dxa"/>
            <w:right w:w="108" w:type="dxa"/>
          </w:tblCellMar>
        </w:tblPrEx>
        <w:trPr>
          <w:trHeight w:val="604" w:hRule="atLeast"/>
          <w:jc w:val="center"/>
        </w:trPr>
        <w:tc>
          <w:tcPr>
            <w:tcW w:w="700" w:type="dxa"/>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评价结论</w:t>
            </w:r>
          </w:p>
        </w:tc>
        <w:tc>
          <w:tcPr>
            <w:tcW w:w="9240" w:type="dxa"/>
            <w:gridSpan w:val="10"/>
            <w:tcBorders>
              <w:top w:val="single" w:color="000000" w:sz="4" w:space="0"/>
              <w:left w:val="nil"/>
              <w:bottom w:val="single" w:color="000000" w:sz="4" w:space="0"/>
              <w:right w:val="single" w:color="000000" w:sz="4" w:space="0"/>
            </w:tcBorders>
            <w:shd w:val="clear" w:color="auto" w:fill="auto"/>
            <w:vAlign w:val="center"/>
          </w:tcPr>
          <w:p>
            <w:pPr>
              <w:widowControl/>
              <w:jc w:val="left"/>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r>
      <w:tr>
        <w:tblPrEx>
          <w:tblCellMar>
            <w:top w:w="0" w:type="dxa"/>
            <w:left w:w="108" w:type="dxa"/>
            <w:bottom w:w="0" w:type="dxa"/>
            <w:right w:w="108" w:type="dxa"/>
          </w:tblCellMar>
        </w:tblPrEx>
        <w:trPr>
          <w:trHeight w:val="574" w:hRule="atLeast"/>
          <w:jc w:val="center"/>
        </w:trPr>
        <w:tc>
          <w:tcPr>
            <w:tcW w:w="700" w:type="dxa"/>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存在问题</w:t>
            </w:r>
          </w:p>
        </w:tc>
        <w:tc>
          <w:tcPr>
            <w:tcW w:w="9240" w:type="dxa"/>
            <w:gridSpan w:val="10"/>
            <w:tcBorders>
              <w:top w:val="single" w:color="000000" w:sz="4" w:space="0"/>
              <w:left w:val="nil"/>
              <w:bottom w:val="single" w:color="000000" w:sz="4" w:space="0"/>
              <w:right w:val="single" w:color="000000" w:sz="4" w:space="0"/>
            </w:tcBorders>
            <w:shd w:val="clear" w:color="auto" w:fill="auto"/>
            <w:vAlign w:val="center"/>
          </w:tcPr>
          <w:p>
            <w:pPr>
              <w:widowControl/>
              <w:jc w:val="left"/>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r>
      <w:tr>
        <w:tblPrEx>
          <w:tblCellMar>
            <w:top w:w="0" w:type="dxa"/>
            <w:left w:w="108" w:type="dxa"/>
            <w:bottom w:w="0" w:type="dxa"/>
            <w:right w:w="108" w:type="dxa"/>
          </w:tblCellMar>
        </w:tblPrEx>
        <w:trPr>
          <w:trHeight w:val="634" w:hRule="atLeast"/>
          <w:jc w:val="center"/>
        </w:trPr>
        <w:tc>
          <w:tcPr>
            <w:tcW w:w="700" w:type="dxa"/>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改进措施</w:t>
            </w:r>
          </w:p>
        </w:tc>
        <w:tc>
          <w:tcPr>
            <w:tcW w:w="9240" w:type="dxa"/>
            <w:gridSpan w:val="10"/>
            <w:tcBorders>
              <w:top w:val="single" w:color="000000" w:sz="4" w:space="0"/>
              <w:left w:val="nil"/>
              <w:bottom w:val="single" w:color="000000" w:sz="4" w:space="0"/>
              <w:right w:val="single" w:color="000000" w:sz="4" w:space="0"/>
            </w:tcBorders>
            <w:shd w:val="clear" w:color="auto" w:fill="auto"/>
            <w:vAlign w:val="center"/>
          </w:tcPr>
          <w:p>
            <w:pPr>
              <w:widowControl/>
              <w:jc w:val="left"/>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r>
      <w:tr>
        <w:tblPrEx>
          <w:tblCellMar>
            <w:top w:w="0" w:type="dxa"/>
            <w:left w:w="108" w:type="dxa"/>
            <w:bottom w:w="0" w:type="dxa"/>
            <w:right w:w="108" w:type="dxa"/>
          </w:tblCellMar>
        </w:tblPrEx>
        <w:trPr>
          <w:trHeight w:val="285" w:hRule="atLeast"/>
          <w:jc w:val="center"/>
        </w:trPr>
        <w:tc>
          <w:tcPr>
            <w:tcW w:w="460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Courier New" w:hAnsi="Courier New" w:eastAsia="等线" w:cs="Courier New"/>
                <w:color w:val="000000"/>
                <w:kern w:val="0"/>
                <w:sz w:val="18"/>
                <w:szCs w:val="18"/>
              </w:rPr>
            </w:pPr>
            <w:r>
              <w:rPr>
                <w:rFonts w:ascii="Courier New" w:hAnsi="Courier New" w:eastAsia="等线" w:cs="Courier New"/>
                <w:color w:val="000000"/>
                <w:kern w:val="0"/>
                <w:sz w:val="18"/>
                <w:szCs w:val="18"/>
              </w:rPr>
              <w:t>项目负责人：</w:t>
            </w:r>
          </w:p>
        </w:tc>
        <w:tc>
          <w:tcPr>
            <w:tcW w:w="5340" w:type="dxa"/>
            <w:gridSpan w:val="6"/>
            <w:tcBorders>
              <w:top w:val="single" w:color="000000" w:sz="4" w:space="0"/>
              <w:left w:val="nil"/>
              <w:bottom w:val="single" w:color="000000" w:sz="4" w:space="0"/>
              <w:right w:val="single" w:color="000000" w:sz="4" w:space="0"/>
            </w:tcBorders>
            <w:shd w:val="clear" w:color="auto" w:fill="auto"/>
            <w:vAlign w:val="center"/>
          </w:tcPr>
          <w:p>
            <w:pPr>
              <w:widowControl/>
              <w:jc w:val="left"/>
              <w:rPr>
                <w:rFonts w:ascii="Courier New" w:hAnsi="Courier New" w:eastAsia="等线" w:cs="Courier New"/>
                <w:color w:val="000000"/>
                <w:kern w:val="0"/>
                <w:sz w:val="18"/>
                <w:szCs w:val="18"/>
              </w:rPr>
            </w:pPr>
            <w:r>
              <w:rPr>
                <w:rFonts w:ascii="Courier New" w:hAnsi="Courier New" w:eastAsia="等线" w:cs="Courier New"/>
                <w:color w:val="000000"/>
                <w:kern w:val="0"/>
                <w:sz w:val="18"/>
                <w:szCs w:val="18"/>
              </w:rPr>
              <w:t>财务负责人：</w:t>
            </w:r>
          </w:p>
        </w:tc>
      </w:tr>
      <w:tr>
        <w:tblPrEx>
          <w:tblCellMar>
            <w:top w:w="0" w:type="dxa"/>
            <w:left w:w="108" w:type="dxa"/>
            <w:bottom w:w="0" w:type="dxa"/>
            <w:right w:w="108" w:type="dxa"/>
          </w:tblCellMar>
        </w:tblPrEx>
        <w:trPr>
          <w:trHeight w:val="285" w:hRule="atLeast"/>
          <w:jc w:val="center"/>
        </w:trPr>
        <w:tc>
          <w:tcPr>
            <w:tcW w:w="700" w:type="dxa"/>
            <w:tcBorders>
              <w:top w:val="nil"/>
              <w:left w:val="nil"/>
              <w:bottom w:val="nil"/>
              <w:right w:val="nil"/>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　</w:t>
            </w:r>
          </w:p>
        </w:tc>
        <w:tc>
          <w:tcPr>
            <w:tcW w:w="1560" w:type="dxa"/>
            <w:tcBorders>
              <w:top w:val="nil"/>
              <w:left w:val="nil"/>
              <w:bottom w:val="nil"/>
              <w:right w:val="nil"/>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　</w:t>
            </w:r>
          </w:p>
        </w:tc>
        <w:tc>
          <w:tcPr>
            <w:tcW w:w="780" w:type="dxa"/>
            <w:tcBorders>
              <w:top w:val="nil"/>
              <w:left w:val="nil"/>
              <w:bottom w:val="nil"/>
              <w:right w:val="nil"/>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　</w:t>
            </w:r>
          </w:p>
        </w:tc>
        <w:tc>
          <w:tcPr>
            <w:tcW w:w="780" w:type="dxa"/>
            <w:tcBorders>
              <w:top w:val="nil"/>
              <w:left w:val="nil"/>
              <w:bottom w:val="nil"/>
              <w:right w:val="nil"/>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　</w:t>
            </w:r>
          </w:p>
        </w:tc>
        <w:tc>
          <w:tcPr>
            <w:tcW w:w="780" w:type="dxa"/>
            <w:tcBorders>
              <w:top w:val="nil"/>
              <w:left w:val="nil"/>
              <w:bottom w:val="nil"/>
              <w:right w:val="nil"/>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　</w:t>
            </w:r>
          </w:p>
        </w:tc>
        <w:tc>
          <w:tcPr>
            <w:tcW w:w="780" w:type="dxa"/>
            <w:tcBorders>
              <w:top w:val="nil"/>
              <w:left w:val="nil"/>
              <w:bottom w:val="nil"/>
              <w:right w:val="nil"/>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　</w:t>
            </w:r>
          </w:p>
        </w:tc>
        <w:tc>
          <w:tcPr>
            <w:tcW w:w="780" w:type="dxa"/>
            <w:tcBorders>
              <w:top w:val="nil"/>
              <w:left w:val="nil"/>
              <w:bottom w:val="nil"/>
              <w:right w:val="nil"/>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　</w:t>
            </w:r>
          </w:p>
        </w:tc>
        <w:tc>
          <w:tcPr>
            <w:tcW w:w="780" w:type="dxa"/>
            <w:tcBorders>
              <w:top w:val="nil"/>
              <w:left w:val="nil"/>
              <w:bottom w:val="nil"/>
              <w:right w:val="nil"/>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　</w:t>
            </w:r>
          </w:p>
        </w:tc>
        <w:tc>
          <w:tcPr>
            <w:tcW w:w="520" w:type="dxa"/>
            <w:tcBorders>
              <w:top w:val="nil"/>
              <w:left w:val="nil"/>
              <w:bottom w:val="nil"/>
              <w:right w:val="nil"/>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　</w:t>
            </w:r>
          </w:p>
        </w:tc>
        <w:tc>
          <w:tcPr>
            <w:tcW w:w="460" w:type="dxa"/>
            <w:tcBorders>
              <w:top w:val="nil"/>
              <w:left w:val="nil"/>
              <w:bottom w:val="nil"/>
              <w:right w:val="nil"/>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　</w:t>
            </w:r>
          </w:p>
        </w:tc>
        <w:tc>
          <w:tcPr>
            <w:tcW w:w="2020" w:type="dxa"/>
            <w:tcBorders>
              <w:top w:val="nil"/>
              <w:left w:val="nil"/>
              <w:bottom w:val="nil"/>
              <w:right w:val="nil"/>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　</w:t>
            </w:r>
          </w:p>
        </w:tc>
      </w:tr>
      <w:tr>
        <w:tblPrEx>
          <w:tblCellMar>
            <w:top w:w="0" w:type="dxa"/>
            <w:left w:w="108" w:type="dxa"/>
            <w:bottom w:w="0" w:type="dxa"/>
            <w:right w:w="108" w:type="dxa"/>
          </w:tblCellMar>
        </w:tblPrEx>
        <w:trPr>
          <w:trHeight w:val="904" w:hRule="atLeast"/>
          <w:jc w:val="center"/>
        </w:trPr>
        <w:tc>
          <w:tcPr>
            <w:tcW w:w="9940"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黑体" w:hAnsi="黑体" w:eastAsia="黑体" w:cs="宋体"/>
                <w:b/>
                <w:bCs/>
                <w:color w:val="000000"/>
                <w:kern w:val="0"/>
                <w:sz w:val="30"/>
                <w:szCs w:val="30"/>
              </w:rPr>
            </w:pPr>
            <w:r>
              <w:rPr>
                <w:rFonts w:hint="eastAsia" w:ascii="黑体" w:hAnsi="黑体" w:eastAsia="黑体" w:cs="宋体"/>
                <w:b/>
                <w:bCs/>
                <w:color w:val="000000"/>
                <w:kern w:val="0"/>
                <w:sz w:val="30"/>
                <w:szCs w:val="30"/>
              </w:rPr>
              <w:t>部门预算项目支出绩效自评表（2022年度）</w:t>
            </w:r>
          </w:p>
        </w:tc>
      </w:tr>
      <w:tr>
        <w:tblPrEx>
          <w:tblCellMar>
            <w:top w:w="0" w:type="dxa"/>
            <w:left w:w="108" w:type="dxa"/>
            <w:bottom w:w="0" w:type="dxa"/>
            <w:right w:w="108" w:type="dxa"/>
          </w:tblCellMar>
        </w:tblPrEx>
        <w:trPr>
          <w:trHeight w:val="285" w:hRule="atLeast"/>
          <w:jc w:val="center"/>
        </w:trPr>
        <w:tc>
          <w:tcPr>
            <w:tcW w:w="22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项目名称</w:t>
            </w:r>
          </w:p>
        </w:tc>
        <w:tc>
          <w:tcPr>
            <w:tcW w:w="7680" w:type="dxa"/>
            <w:gridSpan w:val="9"/>
            <w:tcBorders>
              <w:top w:val="single" w:color="000000" w:sz="4" w:space="0"/>
              <w:left w:val="nil"/>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51082321Y000000044437</w:t>
            </w:r>
            <w:r>
              <w:rPr>
                <w:rFonts w:hint="eastAsia" w:ascii="宋体" w:hAnsi="宋体" w:cs="宋体"/>
                <w:color w:val="000000"/>
                <w:kern w:val="0"/>
                <w:sz w:val="18"/>
                <w:szCs w:val="18"/>
                <w:lang w:eastAsia="zh-CN"/>
              </w:rPr>
              <w:t>－</w:t>
            </w:r>
            <w:r>
              <w:rPr>
                <w:rFonts w:hint="eastAsia" w:ascii="宋体" w:hAnsi="宋体" w:cs="宋体"/>
                <w:color w:val="000000"/>
                <w:kern w:val="0"/>
                <w:sz w:val="18"/>
                <w:szCs w:val="18"/>
              </w:rPr>
              <w:t>日常公用经费</w:t>
            </w:r>
          </w:p>
        </w:tc>
      </w:tr>
      <w:tr>
        <w:tblPrEx>
          <w:tblCellMar>
            <w:top w:w="0" w:type="dxa"/>
            <w:left w:w="108" w:type="dxa"/>
            <w:bottom w:w="0" w:type="dxa"/>
            <w:right w:w="108" w:type="dxa"/>
          </w:tblCellMar>
        </w:tblPrEx>
        <w:trPr>
          <w:trHeight w:val="514" w:hRule="atLeast"/>
          <w:jc w:val="center"/>
        </w:trPr>
        <w:tc>
          <w:tcPr>
            <w:tcW w:w="22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主管部门</w:t>
            </w:r>
          </w:p>
        </w:tc>
        <w:tc>
          <w:tcPr>
            <w:tcW w:w="3900" w:type="dxa"/>
            <w:gridSpan w:val="5"/>
            <w:tcBorders>
              <w:top w:val="single" w:color="000000" w:sz="4" w:space="0"/>
              <w:left w:val="nil"/>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剑阁县科学技术协会本级</w:t>
            </w:r>
          </w:p>
        </w:tc>
        <w:tc>
          <w:tcPr>
            <w:tcW w:w="780" w:type="dxa"/>
            <w:tcBorders>
              <w:top w:val="nil"/>
              <w:left w:val="nil"/>
              <w:bottom w:val="nil"/>
              <w:right w:val="nil"/>
            </w:tcBorders>
            <w:shd w:val="clear" w:color="auto" w:fill="auto"/>
            <w:vAlign w:val="center"/>
          </w:tcPr>
          <w:p>
            <w:pPr>
              <w:widowControl/>
              <w:jc w:val="left"/>
              <w:rPr>
                <w:rFonts w:ascii="Courier New" w:hAnsi="Courier New" w:eastAsia="等线" w:cs="Courier New"/>
                <w:color w:val="000000"/>
                <w:kern w:val="0"/>
                <w:sz w:val="18"/>
                <w:szCs w:val="18"/>
              </w:rPr>
            </w:pPr>
            <w:r>
              <w:rPr>
                <w:rFonts w:ascii="Courier New" w:hAnsi="Courier New" w:eastAsia="等线" w:cs="Courier New"/>
                <w:color w:val="000000"/>
                <w:kern w:val="0"/>
                <w:sz w:val="18"/>
                <w:szCs w:val="18"/>
              </w:rPr>
              <w:t>实施单位 （盖章）</w:t>
            </w:r>
          </w:p>
        </w:tc>
        <w:tc>
          <w:tcPr>
            <w:tcW w:w="300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剑阁县科学技术协会</w:t>
            </w:r>
          </w:p>
        </w:tc>
      </w:tr>
      <w:tr>
        <w:tblPrEx>
          <w:tblCellMar>
            <w:top w:w="0" w:type="dxa"/>
            <w:left w:w="108" w:type="dxa"/>
            <w:bottom w:w="0" w:type="dxa"/>
            <w:right w:w="108" w:type="dxa"/>
          </w:tblCellMar>
        </w:tblPrEx>
        <w:trPr>
          <w:trHeight w:val="285" w:hRule="atLeast"/>
          <w:jc w:val="center"/>
        </w:trPr>
        <w:tc>
          <w:tcPr>
            <w:tcW w:w="700" w:type="dxa"/>
            <w:vMerge w:val="restart"/>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项目基本情况</w:t>
            </w:r>
          </w:p>
        </w:tc>
        <w:tc>
          <w:tcPr>
            <w:tcW w:w="1560" w:type="dxa"/>
            <w:vMerge w:val="restart"/>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1.项目年度目标完成情况</w:t>
            </w:r>
          </w:p>
        </w:tc>
        <w:tc>
          <w:tcPr>
            <w:tcW w:w="3900" w:type="dxa"/>
            <w:gridSpan w:val="5"/>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项目年度目标</w:t>
            </w:r>
          </w:p>
        </w:tc>
        <w:tc>
          <w:tcPr>
            <w:tcW w:w="3780" w:type="dxa"/>
            <w:gridSpan w:val="4"/>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Courier New" w:hAnsi="Courier New" w:eastAsia="等线" w:cs="Courier New"/>
                <w:color w:val="000000"/>
                <w:kern w:val="0"/>
                <w:sz w:val="18"/>
                <w:szCs w:val="18"/>
              </w:rPr>
            </w:pPr>
            <w:r>
              <w:rPr>
                <w:rFonts w:ascii="Courier New" w:hAnsi="Courier New" w:eastAsia="等线" w:cs="Courier New"/>
                <w:color w:val="000000"/>
                <w:kern w:val="0"/>
                <w:sz w:val="18"/>
                <w:szCs w:val="18"/>
              </w:rPr>
              <w:t>年度目标完成情况</w:t>
            </w:r>
          </w:p>
        </w:tc>
      </w:tr>
      <w:tr>
        <w:tblPrEx>
          <w:tblCellMar>
            <w:top w:w="0" w:type="dxa"/>
            <w:left w:w="108" w:type="dxa"/>
            <w:bottom w:w="0" w:type="dxa"/>
            <w:right w:w="108" w:type="dxa"/>
          </w:tblCellMar>
        </w:tblPrEx>
        <w:trPr>
          <w:trHeight w:val="709" w:hRule="atLeast"/>
          <w:jc w:val="center"/>
        </w:trPr>
        <w:tc>
          <w:tcPr>
            <w:tcW w:w="700"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1560"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3900" w:type="dxa"/>
            <w:gridSpan w:val="5"/>
            <w:tcBorders>
              <w:top w:val="single" w:color="000000" w:sz="4" w:space="0"/>
              <w:left w:val="nil"/>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提高预算编制质量，严格执行预算，保障单位日常运转。</w:t>
            </w:r>
          </w:p>
        </w:tc>
        <w:tc>
          <w:tcPr>
            <w:tcW w:w="3780" w:type="dxa"/>
            <w:gridSpan w:val="4"/>
            <w:tcBorders>
              <w:top w:val="single" w:color="000000" w:sz="4" w:space="0"/>
              <w:left w:val="nil"/>
              <w:bottom w:val="single" w:color="000000" w:sz="4" w:space="0"/>
              <w:right w:val="single" w:color="000000" w:sz="4" w:space="0"/>
            </w:tcBorders>
            <w:shd w:val="clear" w:color="auto" w:fill="auto"/>
            <w:vAlign w:val="center"/>
          </w:tcPr>
          <w:p>
            <w:pPr>
              <w:widowControl/>
              <w:jc w:val="left"/>
              <w:rPr>
                <w:rFonts w:ascii="Courier New" w:hAnsi="Courier New" w:eastAsia="等线" w:cs="Courier New"/>
                <w:color w:val="000000"/>
                <w:kern w:val="0"/>
                <w:sz w:val="18"/>
                <w:szCs w:val="18"/>
              </w:rPr>
            </w:pPr>
            <w:r>
              <w:rPr>
                <w:rFonts w:ascii="Courier New" w:hAnsi="Courier New" w:eastAsia="等线" w:cs="Courier New"/>
                <w:color w:val="000000"/>
                <w:kern w:val="0"/>
                <w:sz w:val="18"/>
                <w:szCs w:val="18"/>
              </w:rPr>
              <w:t>对照年度目标，说明相关任务目标的完成情况（100字以内）</w:t>
            </w:r>
          </w:p>
        </w:tc>
      </w:tr>
      <w:tr>
        <w:tblPrEx>
          <w:tblCellMar>
            <w:top w:w="0" w:type="dxa"/>
            <w:left w:w="108" w:type="dxa"/>
            <w:bottom w:w="0" w:type="dxa"/>
            <w:right w:w="108" w:type="dxa"/>
          </w:tblCellMar>
        </w:tblPrEx>
        <w:trPr>
          <w:trHeight w:val="694" w:hRule="atLeast"/>
          <w:jc w:val="center"/>
        </w:trPr>
        <w:tc>
          <w:tcPr>
            <w:tcW w:w="700"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1560"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2.项目实施内容及过程概述</w:t>
            </w:r>
          </w:p>
        </w:tc>
        <w:tc>
          <w:tcPr>
            <w:tcW w:w="7680" w:type="dxa"/>
            <w:gridSpan w:val="9"/>
            <w:tcBorders>
              <w:top w:val="single" w:color="000000" w:sz="4" w:space="0"/>
              <w:left w:val="nil"/>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　</w:t>
            </w:r>
          </w:p>
        </w:tc>
      </w:tr>
      <w:tr>
        <w:tblPrEx>
          <w:tblCellMar>
            <w:top w:w="0" w:type="dxa"/>
            <w:left w:w="108" w:type="dxa"/>
            <w:bottom w:w="0" w:type="dxa"/>
            <w:right w:w="108" w:type="dxa"/>
          </w:tblCellMar>
        </w:tblPrEx>
        <w:trPr>
          <w:trHeight w:val="360" w:hRule="atLeast"/>
          <w:jc w:val="center"/>
        </w:trPr>
        <w:tc>
          <w:tcPr>
            <w:tcW w:w="700" w:type="dxa"/>
            <w:vMerge w:val="restart"/>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预算执行情况（10分）</w:t>
            </w:r>
          </w:p>
        </w:tc>
        <w:tc>
          <w:tcPr>
            <w:tcW w:w="156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年度预算数（万元）</w:t>
            </w:r>
          </w:p>
        </w:tc>
        <w:tc>
          <w:tcPr>
            <w:tcW w:w="78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年初预算</w:t>
            </w:r>
          </w:p>
        </w:tc>
        <w:tc>
          <w:tcPr>
            <w:tcW w:w="78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调整后预算数</w:t>
            </w:r>
          </w:p>
        </w:tc>
        <w:tc>
          <w:tcPr>
            <w:tcW w:w="2340" w:type="dxa"/>
            <w:gridSpan w:val="3"/>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预算执行数</w:t>
            </w:r>
          </w:p>
        </w:tc>
        <w:tc>
          <w:tcPr>
            <w:tcW w:w="78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预算执行率</w:t>
            </w:r>
          </w:p>
        </w:tc>
        <w:tc>
          <w:tcPr>
            <w:tcW w:w="52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权重</w:t>
            </w:r>
          </w:p>
        </w:tc>
        <w:tc>
          <w:tcPr>
            <w:tcW w:w="46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得分</w:t>
            </w:r>
          </w:p>
        </w:tc>
        <w:tc>
          <w:tcPr>
            <w:tcW w:w="202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原因</w:t>
            </w:r>
          </w:p>
        </w:tc>
      </w:tr>
      <w:tr>
        <w:tblPrEx>
          <w:tblCellMar>
            <w:top w:w="0" w:type="dxa"/>
            <w:left w:w="108" w:type="dxa"/>
            <w:bottom w:w="0" w:type="dxa"/>
            <w:right w:w="108" w:type="dxa"/>
          </w:tblCellMar>
        </w:tblPrEx>
        <w:trPr>
          <w:trHeight w:val="387" w:hRule="atLeast"/>
          <w:jc w:val="center"/>
        </w:trPr>
        <w:tc>
          <w:tcPr>
            <w:tcW w:w="700"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156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总额</w:t>
            </w:r>
          </w:p>
        </w:tc>
        <w:tc>
          <w:tcPr>
            <w:tcW w:w="78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6.40</w:t>
            </w:r>
          </w:p>
        </w:tc>
        <w:tc>
          <w:tcPr>
            <w:tcW w:w="78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5.83</w:t>
            </w:r>
          </w:p>
        </w:tc>
        <w:tc>
          <w:tcPr>
            <w:tcW w:w="2340" w:type="dxa"/>
            <w:gridSpan w:val="3"/>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5.83</w:t>
            </w:r>
          </w:p>
        </w:tc>
        <w:tc>
          <w:tcPr>
            <w:tcW w:w="78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100.00%</w:t>
            </w:r>
          </w:p>
        </w:tc>
        <w:tc>
          <w:tcPr>
            <w:tcW w:w="52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10</w:t>
            </w:r>
          </w:p>
        </w:tc>
        <w:tc>
          <w:tcPr>
            <w:tcW w:w="46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2020" w:type="dxa"/>
            <w:vMerge w:val="restart"/>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Courier New" w:hAnsi="Courier New" w:eastAsia="等线" w:cs="Courier New"/>
                <w:i/>
                <w:iCs/>
                <w:color w:val="000000"/>
                <w:kern w:val="0"/>
                <w:sz w:val="18"/>
                <w:szCs w:val="18"/>
              </w:rPr>
            </w:pPr>
            <w:r>
              <w:rPr>
                <w:rFonts w:ascii="Courier New" w:hAnsi="Courier New" w:eastAsia="等线" w:cs="Courier New"/>
                <w:i/>
                <w:iCs/>
                <w:color w:val="000000"/>
                <w:kern w:val="0"/>
                <w:sz w:val="18"/>
                <w:szCs w:val="18"/>
              </w:rPr>
              <w:t>1.预算执行率=预算执行数/调整后预算数，预算执行率未达到90%的需说明原因（100字以内）</w:t>
            </w:r>
            <w:r>
              <w:rPr>
                <w:rFonts w:hint="eastAsia" w:ascii="Courier New" w:hAnsi="Courier New" w:eastAsia="等线" w:cs="Courier New"/>
                <w:i/>
                <w:iCs/>
                <w:color w:val="000000"/>
                <w:kern w:val="0"/>
                <w:sz w:val="18"/>
                <w:szCs w:val="18"/>
                <w:lang w:eastAsia="zh-CN"/>
              </w:rPr>
              <w:t>；</w:t>
            </w:r>
            <w:r>
              <w:rPr>
                <w:rFonts w:ascii="Courier New" w:hAnsi="Courier New" w:eastAsia="等线" w:cs="Courier New"/>
                <w:i/>
                <w:iCs/>
                <w:color w:val="000000"/>
                <w:kern w:val="0"/>
                <w:sz w:val="18"/>
                <w:szCs w:val="18"/>
              </w:rPr>
              <w:t>2.年中发生预算调整的（追加或调减）</w:t>
            </w:r>
            <w:r>
              <w:rPr>
                <w:rFonts w:hint="eastAsia" w:ascii="Courier New" w:hAnsi="Courier New" w:eastAsia="等线" w:cs="Courier New"/>
                <w:i/>
                <w:iCs/>
                <w:color w:val="000000"/>
                <w:kern w:val="0"/>
                <w:sz w:val="18"/>
                <w:szCs w:val="18"/>
                <w:lang w:eastAsia="zh-CN"/>
              </w:rPr>
              <w:t>，</w:t>
            </w:r>
            <w:r>
              <w:rPr>
                <w:rFonts w:ascii="Courier New" w:hAnsi="Courier New" w:eastAsia="等线" w:cs="Courier New"/>
                <w:i/>
                <w:iCs/>
                <w:color w:val="000000"/>
                <w:kern w:val="0"/>
                <w:sz w:val="18"/>
                <w:szCs w:val="18"/>
              </w:rPr>
              <w:t>应单独说明理由；3.其他资金包括：社会投入资金、银行贷款.</w:t>
            </w:r>
          </w:p>
        </w:tc>
      </w:tr>
      <w:tr>
        <w:tblPrEx>
          <w:tblCellMar>
            <w:top w:w="0" w:type="dxa"/>
            <w:left w:w="108" w:type="dxa"/>
            <w:bottom w:w="0" w:type="dxa"/>
            <w:right w:w="108" w:type="dxa"/>
          </w:tblCellMar>
        </w:tblPrEx>
        <w:trPr>
          <w:trHeight w:val="432" w:hRule="atLeast"/>
          <w:jc w:val="center"/>
        </w:trPr>
        <w:tc>
          <w:tcPr>
            <w:tcW w:w="700"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156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其中：财政资金</w:t>
            </w:r>
          </w:p>
        </w:tc>
        <w:tc>
          <w:tcPr>
            <w:tcW w:w="78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6.40</w:t>
            </w:r>
          </w:p>
        </w:tc>
        <w:tc>
          <w:tcPr>
            <w:tcW w:w="78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5.83</w:t>
            </w:r>
          </w:p>
        </w:tc>
        <w:tc>
          <w:tcPr>
            <w:tcW w:w="2340" w:type="dxa"/>
            <w:gridSpan w:val="3"/>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5.83</w:t>
            </w:r>
          </w:p>
        </w:tc>
        <w:tc>
          <w:tcPr>
            <w:tcW w:w="78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100.00%</w:t>
            </w:r>
          </w:p>
        </w:tc>
        <w:tc>
          <w:tcPr>
            <w:tcW w:w="52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46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2020" w:type="dxa"/>
            <w:vMerge w:val="continue"/>
            <w:tcBorders>
              <w:top w:val="nil"/>
              <w:left w:val="single" w:color="000000" w:sz="4" w:space="0"/>
              <w:bottom w:val="single" w:color="000000" w:sz="4" w:space="0"/>
              <w:right w:val="single" w:color="000000" w:sz="4" w:space="0"/>
            </w:tcBorders>
            <w:vAlign w:val="center"/>
          </w:tcPr>
          <w:p>
            <w:pPr>
              <w:widowControl/>
              <w:jc w:val="left"/>
              <w:rPr>
                <w:rFonts w:ascii="Courier New" w:hAnsi="Courier New" w:eastAsia="等线" w:cs="Courier New"/>
                <w:i/>
                <w:iCs/>
                <w:color w:val="000000"/>
                <w:kern w:val="0"/>
                <w:sz w:val="18"/>
                <w:szCs w:val="18"/>
              </w:rPr>
            </w:pPr>
          </w:p>
        </w:tc>
      </w:tr>
      <w:tr>
        <w:tblPrEx>
          <w:tblCellMar>
            <w:top w:w="0" w:type="dxa"/>
            <w:left w:w="108" w:type="dxa"/>
            <w:bottom w:w="0" w:type="dxa"/>
            <w:right w:w="108" w:type="dxa"/>
          </w:tblCellMar>
        </w:tblPrEx>
        <w:trPr>
          <w:trHeight w:val="447" w:hRule="atLeast"/>
          <w:jc w:val="center"/>
        </w:trPr>
        <w:tc>
          <w:tcPr>
            <w:tcW w:w="700"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156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财政专户管理资金</w:t>
            </w:r>
          </w:p>
        </w:tc>
        <w:tc>
          <w:tcPr>
            <w:tcW w:w="78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78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2340" w:type="dxa"/>
            <w:gridSpan w:val="3"/>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78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52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46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2020" w:type="dxa"/>
            <w:vMerge w:val="continue"/>
            <w:tcBorders>
              <w:top w:val="nil"/>
              <w:left w:val="single" w:color="000000" w:sz="4" w:space="0"/>
              <w:bottom w:val="single" w:color="000000" w:sz="4" w:space="0"/>
              <w:right w:val="single" w:color="000000" w:sz="4" w:space="0"/>
            </w:tcBorders>
            <w:vAlign w:val="center"/>
          </w:tcPr>
          <w:p>
            <w:pPr>
              <w:widowControl/>
              <w:jc w:val="left"/>
              <w:rPr>
                <w:rFonts w:ascii="Courier New" w:hAnsi="Courier New" w:eastAsia="等线" w:cs="Courier New"/>
                <w:i/>
                <w:iCs/>
                <w:color w:val="000000"/>
                <w:kern w:val="0"/>
                <w:sz w:val="18"/>
                <w:szCs w:val="18"/>
              </w:rPr>
            </w:pPr>
          </w:p>
        </w:tc>
      </w:tr>
      <w:tr>
        <w:tblPrEx>
          <w:tblCellMar>
            <w:top w:w="0" w:type="dxa"/>
            <w:left w:w="108" w:type="dxa"/>
            <w:bottom w:w="0" w:type="dxa"/>
            <w:right w:w="108" w:type="dxa"/>
          </w:tblCellMar>
        </w:tblPrEx>
        <w:trPr>
          <w:trHeight w:val="402" w:hRule="atLeast"/>
          <w:jc w:val="center"/>
        </w:trPr>
        <w:tc>
          <w:tcPr>
            <w:tcW w:w="700"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156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单位资金</w:t>
            </w:r>
          </w:p>
        </w:tc>
        <w:tc>
          <w:tcPr>
            <w:tcW w:w="78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78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2340" w:type="dxa"/>
            <w:gridSpan w:val="3"/>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78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52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46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2020" w:type="dxa"/>
            <w:vMerge w:val="continue"/>
            <w:tcBorders>
              <w:top w:val="nil"/>
              <w:left w:val="single" w:color="000000" w:sz="4" w:space="0"/>
              <w:bottom w:val="single" w:color="000000" w:sz="4" w:space="0"/>
              <w:right w:val="single" w:color="000000" w:sz="4" w:space="0"/>
            </w:tcBorders>
            <w:vAlign w:val="center"/>
          </w:tcPr>
          <w:p>
            <w:pPr>
              <w:widowControl/>
              <w:jc w:val="left"/>
              <w:rPr>
                <w:rFonts w:ascii="Courier New" w:hAnsi="Courier New" w:eastAsia="等线" w:cs="Courier New"/>
                <w:i/>
                <w:iCs/>
                <w:color w:val="000000"/>
                <w:kern w:val="0"/>
                <w:sz w:val="18"/>
                <w:szCs w:val="18"/>
              </w:rPr>
            </w:pPr>
          </w:p>
        </w:tc>
      </w:tr>
      <w:tr>
        <w:tblPrEx>
          <w:tblCellMar>
            <w:top w:w="0" w:type="dxa"/>
            <w:left w:w="108" w:type="dxa"/>
            <w:bottom w:w="0" w:type="dxa"/>
            <w:right w:w="108" w:type="dxa"/>
          </w:tblCellMar>
        </w:tblPrEx>
        <w:trPr>
          <w:trHeight w:val="379" w:hRule="atLeast"/>
          <w:jc w:val="center"/>
        </w:trPr>
        <w:tc>
          <w:tcPr>
            <w:tcW w:w="700"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156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其他资金</w:t>
            </w:r>
          </w:p>
        </w:tc>
        <w:tc>
          <w:tcPr>
            <w:tcW w:w="780" w:type="dxa"/>
            <w:tcBorders>
              <w:top w:val="nil"/>
              <w:left w:val="nil"/>
              <w:bottom w:val="single" w:color="000000" w:sz="4" w:space="0"/>
              <w:right w:val="single" w:color="000000" w:sz="4" w:space="0"/>
            </w:tcBorders>
            <w:shd w:val="clear" w:color="auto" w:fill="auto"/>
            <w:vAlign w:val="center"/>
          </w:tcPr>
          <w:p>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c>
          <w:tcPr>
            <w:tcW w:w="780" w:type="dxa"/>
            <w:tcBorders>
              <w:top w:val="nil"/>
              <w:left w:val="nil"/>
              <w:bottom w:val="single" w:color="000000" w:sz="4" w:space="0"/>
              <w:right w:val="single" w:color="000000" w:sz="4" w:space="0"/>
            </w:tcBorders>
            <w:shd w:val="clear" w:color="auto" w:fill="auto"/>
            <w:vAlign w:val="center"/>
          </w:tcPr>
          <w:p>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c>
          <w:tcPr>
            <w:tcW w:w="2340" w:type="dxa"/>
            <w:gridSpan w:val="3"/>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c>
          <w:tcPr>
            <w:tcW w:w="780" w:type="dxa"/>
            <w:tcBorders>
              <w:top w:val="nil"/>
              <w:left w:val="nil"/>
              <w:bottom w:val="single" w:color="000000" w:sz="4" w:space="0"/>
              <w:right w:val="single" w:color="000000" w:sz="4" w:space="0"/>
            </w:tcBorders>
            <w:shd w:val="clear" w:color="auto" w:fill="auto"/>
            <w:vAlign w:val="center"/>
          </w:tcPr>
          <w:p>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c>
          <w:tcPr>
            <w:tcW w:w="52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46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2020" w:type="dxa"/>
            <w:vMerge w:val="continue"/>
            <w:tcBorders>
              <w:top w:val="nil"/>
              <w:left w:val="single" w:color="000000" w:sz="4" w:space="0"/>
              <w:bottom w:val="single" w:color="000000" w:sz="4" w:space="0"/>
              <w:right w:val="single" w:color="000000" w:sz="4" w:space="0"/>
            </w:tcBorders>
            <w:vAlign w:val="center"/>
          </w:tcPr>
          <w:p>
            <w:pPr>
              <w:widowControl/>
              <w:jc w:val="left"/>
              <w:rPr>
                <w:rFonts w:ascii="Courier New" w:hAnsi="Courier New" w:eastAsia="等线" w:cs="Courier New"/>
                <w:i/>
                <w:iCs/>
                <w:color w:val="000000"/>
                <w:kern w:val="0"/>
                <w:sz w:val="18"/>
                <w:szCs w:val="18"/>
              </w:rPr>
            </w:pPr>
          </w:p>
        </w:tc>
      </w:tr>
      <w:tr>
        <w:tblPrEx>
          <w:tblCellMar>
            <w:top w:w="0" w:type="dxa"/>
            <w:left w:w="108" w:type="dxa"/>
            <w:bottom w:w="0" w:type="dxa"/>
            <w:right w:w="108" w:type="dxa"/>
          </w:tblCellMar>
        </w:tblPrEx>
        <w:trPr>
          <w:trHeight w:val="454" w:hRule="atLeast"/>
          <w:jc w:val="center"/>
        </w:trPr>
        <w:tc>
          <w:tcPr>
            <w:tcW w:w="700" w:type="dxa"/>
            <w:vMerge w:val="restart"/>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绩效指标（90分）</w:t>
            </w:r>
          </w:p>
        </w:tc>
        <w:tc>
          <w:tcPr>
            <w:tcW w:w="156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一级指标</w:t>
            </w:r>
          </w:p>
        </w:tc>
        <w:tc>
          <w:tcPr>
            <w:tcW w:w="78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二级指标</w:t>
            </w:r>
          </w:p>
        </w:tc>
        <w:tc>
          <w:tcPr>
            <w:tcW w:w="78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三级指标</w:t>
            </w:r>
          </w:p>
        </w:tc>
        <w:tc>
          <w:tcPr>
            <w:tcW w:w="78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指标性质</w:t>
            </w:r>
          </w:p>
        </w:tc>
        <w:tc>
          <w:tcPr>
            <w:tcW w:w="78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指标值</w:t>
            </w:r>
          </w:p>
        </w:tc>
        <w:tc>
          <w:tcPr>
            <w:tcW w:w="78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度量单位</w:t>
            </w:r>
          </w:p>
        </w:tc>
        <w:tc>
          <w:tcPr>
            <w:tcW w:w="78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完成值</w:t>
            </w:r>
          </w:p>
        </w:tc>
        <w:tc>
          <w:tcPr>
            <w:tcW w:w="52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权重</w:t>
            </w:r>
          </w:p>
        </w:tc>
        <w:tc>
          <w:tcPr>
            <w:tcW w:w="46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得分</w:t>
            </w:r>
          </w:p>
        </w:tc>
        <w:tc>
          <w:tcPr>
            <w:tcW w:w="202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未完成原因分析</w:t>
            </w:r>
          </w:p>
        </w:tc>
      </w:tr>
      <w:tr>
        <w:tblPrEx>
          <w:tblCellMar>
            <w:top w:w="0" w:type="dxa"/>
            <w:left w:w="108" w:type="dxa"/>
            <w:bottom w:w="0" w:type="dxa"/>
            <w:right w:w="108" w:type="dxa"/>
          </w:tblCellMar>
        </w:tblPrEx>
        <w:trPr>
          <w:trHeight w:val="338" w:hRule="atLeast"/>
          <w:jc w:val="center"/>
        </w:trPr>
        <w:tc>
          <w:tcPr>
            <w:tcW w:w="700"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1560" w:type="dxa"/>
            <w:vMerge w:val="restart"/>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产出指标</w:t>
            </w:r>
          </w:p>
        </w:tc>
        <w:tc>
          <w:tcPr>
            <w:tcW w:w="78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数量指标</w:t>
            </w:r>
          </w:p>
        </w:tc>
        <w:tc>
          <w:tcPr>
            <w:tcW w:w="78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科目调整次数</w:t>
            </w:r>
          </w:p>
        </w:tc>
        <w:tc>
          <w:tcPr>
            <w:tcW w:w="78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78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5</w:t>
            </w:r>
          </w:p>
        </w:tc>
        <w:tc>
          <w:tcPr>
            <w:tcW w:w="78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次</w:t>
            </w:r>
          </w:p>
        </w:tc>
        <w:tc>
          <w:tcPr>
            <w:tcW w:w="780" w:type="dxa"/>
            <w:tcBorders>
              <w:top w:val="nil"/>
              <w:left w:val="nil"/>
              <w:bottom w:val="single" w:color="000000" w:sz="4" w:space="0"/>
              <w:right w:val="single" w:color="000000" w:sz="4" w:space="0"/>
            </w:tcBorders>
            <w:shd w:val="clear" w:color="auto" w:fill="auto"/>
            <w:vAlign w:val="center"/>
          </w:tcPr>
          <w:p>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c>
          <w:tcPr>
            <w:tcW w:w="52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20</w:t>
            </w:r>
          </w:p>
        </w:tc>
        <w:tc>
          <w:tcPr>
            <w:tcW w:w="46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2020" w:type="dxa"/>
            <w:tcBorders>
              <w:top w:val="nil"/>
              <w:left w:val="nil"/>
              <w:bottom w:val="single" w:color="000000" w:sz="4" w:space="0"/>
              <w:right w:val="single" w:color="000000" w:sz="4" w:space="0"/>
            </w:tcBorders>
            <w:shd w:val="clear" w:color="auto" w:fill="auto"/>
            <w:vAlign w:val="center"/>
          </w:tcPr>
          <w:p>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r>
      <w:tr>
        <w:tblPrEx>
          <w:tblCellMar>
            <w:top w:w="0" w:type="dxa"/>
            <w:left w:w="108" w:type="dxa"/>
            <w:bottom w:w="0" w:type="dxa"/>
            <w:right w:w="108" w:type="dxa"/>
          </w:tblCellMar>
        </w:tblPrEx>
        <w:trPr>
          <w:trHeight w:val="679" w:hRule="atLeast"/>
          <w:jc w:val="center"/>
        </w:trPr>
        <w:tc>
          <w:tcPr>
            <w:tcW w:w="700"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1560"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78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质量指标</w:t>
            </w:r>
          </w:p>
        </w:tc>
        <w:tc>
          <w:tcPr>
            <w:tcW w:w="78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预算编制准确率（计算方法为：∣（执行数</w:t>
            </w:r>
            <w:r>
              <w:rPr>
                <w:rFonts w:hint="eastAsia" w:ascii="宋体" w:hAnsi="宋体" w:cs="宋体"/>
                <w:color w:val="000000"/>
                <w:kern w:val="0"/>
                <w:sz w:val="18"/>
                <w:szCs w:val="18"/>
                <w:lang w:eastAsia="zh-CN"/>
              </w:rPr>
              <w:t>－</w:t>
            </w:r>
            <w:r>
              <w:rPr>
                <w:rFonts w:hint="eastAsia" w:ascii="宋体" w:hAnsi="宋体" w:cs="宋体"/>
                <w:color w:val="000000"/>
                <w:kern w:val="0"/>
                <w:sz w:val="18"/>
                <w:szCs w:val="18"/>
              </w:rPr>
              <w:t>预算数）/预算数∣）</w:t>
            </w:r>
          </w:p>
        </w:tc>
        <w:tc>
          <w:tcPr>
            <w:tcW w:w="78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78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5</w:t>
            </w:r>
          </w:p>
        </w:tc>
        <w:tc>
          <w:tcPr>
            <w:tcW w:w="78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780" w:type="dxa"/>
            <w:tcBorders>
              <w:top w:val="nil"/>
              <w:left w:val="nil"/>
              <w:bottom w:val="single" w:color="000000" w:sz="4" w:space="0"/>
              <w:right w:val="single" w:color="000000" w:sz="4" w:space="0"/>
            </w:tcBorders>
            <w:shd w:val="clear" w:color="auto" w:fill="auto"/>
            <w:vAlign w:val="center"/>
          </w:tcPr>
          <w:p>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c>
          <w:tcPr>
            <w:tcW w:w="52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30</w:t>
            </w:r>
          </w:p>
        </w:tc>
        <w:tc>
          <w:tcPr>
            <w:tcW w:w="46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2020" w:type="dxa"/>
            <w:tcBorders>
              <w:top w:val="nil"/>
              <w:left w:val="nil"/>
              <w:bottom w:val="single" w:color="000000" w:sz="4" w:space="0"/>
              <w:right w:val="single" w:color="000000" w:sz="4" w:space="0"/>
            </w:tcBorders>
            <w:shd w:val="clear" w:color="auto" w:fill="auto"/>
            <w:vAlign w:val="center"/>
          </w:tcPr>
          <w:p>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r>
      <w:tr>
        <w:tblPrEx>
          <w:tblCellMar>
            <w:top w:w="0" w:type="dxa"/>
            <w:left w:w="108" w:type="dxa"/>
            <w:bottom w:w="0" w:type="dxa"/>
            <w:right w:w="108" w:type="dxa"/>
          </w:tblCellMar>
        </w:tblPrEx>
        <w:trPr>
          <w:trHeight w:val="904" w:hRule="atLeast"/>
          <w:jc w:val="center"/>
        </w:trPr>
        <w:tc>
          <w:tcPr>
            <w:tcW w:w="700"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1560" w:type="dxa"/>
            <w:vMerge w:val="restart"/>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效益指标</w:t>
            </w:r>
          </w:p>
        </w:tc>
        <w:tc>
          <w:tcPr>
            <w:tcW w:w="78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经济效益指标</w:t>
            </w:r>
          </w:p>
        </w:tc>
        <w:tc>
          <w:tcPr>
            <w:tcW w:w="78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“三公经费”控制率[计算方法为：（三公经费实际支出数/预算安排数]×100%）</w:t>
            </w:r>
          </w:p>
        </w:tc>
        <w:tc>
          <w:tcPr>
            <w:tcW w:w="78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78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100</w:t>
            </w:r>
          </w:p>
        </w:tc>
        <w:tc>
          <w:tcPr>
            <w:tcW w:w="78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780" w:type="dxa"/>
            <w:tcBorders>
              <w:top w:val="nil"/>
              <w:left w:val="nil"/>
              <w:bottom w:val="single" w:color="000000" w:sz="4" w:space="0"/>
              <w:right w:val="single" w:color="000000" w:sz="4" w:space="0"/>
            </w:tcBorders>
            <w:shd w:val="clear" w:color="auto" w:fill="auto"/>
            <w:vAlign w:val="center"/>
          </w:tcPr>
          <w:p>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c>
          <w:tcPr>
            <w:tcW w:w="52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20</w:t>
            </w:r>
          </w:p>
        </w:tc>
        <w:tc>
          <w:tcPr>
            <w:tcW w:w="46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2020" w:type="dxa"/>
            <w:tcBorders>
              <w:top w:val="nil"/>
              <w:left w:val="nil"/>
              <w:bottom w:val="single" w:color="000000" w:sz="4" w:space="0"/>
              <w:right w:val="single" w:color="000000" w:sz="4" w:space="0"/>
            </w:tcBorders>
            <w:shd w:val="clear" w:color="auto" w:fill="auto"/>
            <w:vAlign w:val="center"/>
          </w:tcPr>
          <w:p>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r>
      <w:tr>
        <w:tblPrEx>
          <w:tblCellMar>
            <w:top w:w="0" w:type="dxa"/>
            <w:left w:w="108" w:type="dxa"/>
            <w:bottom w:w="0" w:type="dxa"/>
            <w:right w:w="108" w:type="dxa"/>
          </w:tblCellMar>
        </w:tblPrEx>
        <w:trPr>
          <w:trHeight w:val="338" w:hRule="atLeast"/>
          <w:jc w:val="center"/>
        </w:trPr>
        <w:tc>
          <w:tcPr>
            <w:tcW w:w="700"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1560"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78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社会效益指标</w:t>
            </w:r>
          </w:p>
        </w:tc>
        <w:tc>
          <w:tcPr>
            <w:tcW w:w="78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运转保障率</w:t>
            </w:r>
          </w:p>
        </w:tc>
        <w:tc>
          <w:tcPr>
            <w:tcW w:w="78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78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100</w:t>
            </w:r>
          </w:p>
        </w:tc>
        <w:tc>
          <w:tcPr>
            <w:tcW w:w="78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780" w:type="dxa"/>
            <w:tcBorders>
              <w:top w:val="nil"/>
              <w:left w:val="nil"/>
              <w:bottom w:val="single" w:color="000000" w:sz="4" w:space="0"/>
              <w:right w:val="single" w:color="000000" w:sz="4" w:space="0"/>
            </w:tcBorders>
            <w:shd w:val="clear" w:color="auto" w:fill="auto"/>
            <w:vAlign w:val="center"/>
          </w:tcPr>
          <w:p>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c>
          <w:tcPr>
            <w:tcW w:w="52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20</w:t>
            </w:r>
          </w:p>
        </w:tc>
        <w:tc>
          <w:tcPr>
            <w:tcW w:w="46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2020" w:type="dxa"/>
            <w:tcBorders>
              <w:top w:val="nil"/>
              <w:left w:val="nil"/>
              <w:bottom w:val="single" w:color="000000" w:sz="4" w:space="0"/>
              <w:right w:val="single" w:color="000000" w:sz="4" w:space="0"/>
            </w:tcBorders>
            <w:shd w:val="clear" w:color="auto" w:fill="auto"/>
            <w:vAlign w:val="center"/>
          </w:tcPr>
          <w:p>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r>
      <w:tr>
        <w:tblPrEx>
          <w:tblCellMar>
            <w:top w:w="0" w:type="dxa"/>
            <w:left w:w="108" w:type="dxa"/>
            <w:bottom w:w="0" w:type="dxa"/>
            <w:right w:w="108" w:type="dxa"/>
          </w:tblCellMar>
        </w:tblPrEx>
        <w:trPr>
          <w:trHeight w:val="285" w:hRule="atLeast"/>
          <w:jc w:val="center"/>
        </w:trPr>
        <w:tc>
          <w:tcPr>
            <w:tcW w:w="6940"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合计</w:t>
            </w:r>
          </w:p>
        </w:tc>
        <w:tc>
          <w:tcPr>
            <w:tcW w:w="52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100</w:t>
            </w:r>
          </w:p>
        </w:tc>
        <w:tc>
          <w:tcPr>
            <w:tcW w:w="460"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　</w:t>
            </w:r>
          </w:p>
        </w:tc>
        <w:tc>
          <w:tcPr>
            <w:tcW w:w="2020"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　</w:t>
            </w:r>
          </w:p>
        </w:tc>
      </w:tr>
      <w:tr>
        <w:tblPrEx>
          <w:tblCellMar>
            <w:top w:w="0" w:type="dxa"/>
            <w:left w:w="108" w:type="dxa"/>
            <w:bottom w:w="0" w:type="dxa"/>
            <w:right w:w="108" w:type="dxa"/>
          </w:tblCellMar>
        </w:tblPrEx>
        <w:trPr>
          <w:trHeight w:val="604" w:hRule="atLeast"/>
          <w:jc w:val="center"/>
        </w:trPr>
        <w:tc>
          <w:tcPr>
            <w:tcW w:w="700" w:type="dxa"/>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评价结论</w:t>
            </w:r>
          </w:p>
        </w:tc>
        <w:tc>
          <w:tcPr>
            <w:tcW w:w="9240" w:type="dxa"/>
            <w:gridSpan w:val="10"/>
            <w:tcBorders>
              <w:top w:val="single" w:color="000000" w:sz="4" w:space="0"/>
              <w:left w:val="nil"/>
              <w:bottom w:val="single" w:color="000000" w:sz="4" w:space="0"/>
              <w:right w:val="single" w:color="000000" w:sz="4" w:space="0"/>
            </w:tcBorders>
            <w:shd w:val="clear" w:color="auto" w:fill="auto"/>
            <w:vAlign w:val="center"/>
          </w:tcPr>
          <w:p>
            <w:pPr>
              <w:widowControl/>
              <w:jc w:val="left"/>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r>
      <w:tr>
        <w:tblPrEx>
          <w:tblCellMar>
            <w:top w:w="0" w:type="dxa"/>
            <w:left w:w="108" w:type="dxa"/>
            <w:bottom w:w="0" w:type="dxa"/>
            <w:right w:w="108" w:type="dxa"/>
          </w:tblCellMar>
        </w:tblPrEx>
        <w:trPr>
          <w:trHeight w:val="574" w:hRule="atLeast"/>
          <w:jc w:val="center"/>
        </w:trPr>
        <w:tc>
          <w:tcPr>
            <w:tcW w:w="700" w:type="dxa"/>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存在问题</w:t>
            </w:r>
          </w:p>
        </w:tc>
        <w:tc>
          <w:tcPr>
            <w:tcW w:w="9240" w:type="dxa"/>
            <w:gridSpan w:val="10"/>
            <w:tcBorders>
              <w:top w:val="single" w:color="000000" w:sz="4" w:space="0"/>
              <w:left w:val="nil"/>
              <w:bottom w:val="single" w:color="000000" w:sz="4" w:space="0"/>
              <w:right w:val="single" w:color="000000" w:sz="4" w:space="0"/>
            </w:tcBorders>
            <w:shd w:val="clear" w:color="auto" w:fill="auto"/>
            <w:vAlign w:val="center"/>
          </w:tcPr>
          <w:p>
            <w:pPr>
              <w:widowControl/>
              <w:jc w:val="left"/>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r>
      <w:tr>
        <w:tblPrEx>
          <w:tblCellMar>
            <w:top w:w="0" w:type="dxa"/>
            <w:left w:w="108" w:type="dxa"/>
            <w:bottom w:w="0" w:type="dxa"/>
            <w:right w:w="108" w:type="dxa"/>
          </w:tblCellMar>
        </w:tblPrEx>
        <w:trPr>
          <w:trHeight w:val="634" w:hRule="atLeast"/>
          <w:jc w:val="center"/>
        </w:trPr>
        <w:tc>
          <w:tcPr>
            <w:tcW w:w="700" w:type="dxa"/>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改进措施</w:t>
            </w:r>
          </w:p>
        </w:tc>
        <w:tc>
          <w:tcPr>
            <w:tcW w:w="9240" w:type="dxa"/>
            <w:gridSpan w:val="10"/>
            <w:tcBorders>
              <w:top w:val="single" w:color="000000" w:sz="4" w:space="0"/>
              <w:left w:val="nil"/>
              <w:bottom w:val="single" w:color="000000" w:sz="4" w:space="0"/>
              <w:right w:val="single" w:color="000000" w:sz="4" w:space="0"/>
            </w:tcBorders>
            <w:shd w:val="clear" w:color="auto" w:fill="auto"/>
            <w:vAlign w:val="center"/>
          </w:tcPr>
          <w:p>
            <w:pPr>
              <w:widowControl/>
              <w:jc w:val="left"/>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r>
      <w:tr>
        <w:tblPrEx>
          <w:tblCellMar>
            <w:top w:w="0" w:type="dxa"/>
            <w:left w:w="108" w:type="dxa"/>
            <w:bottom w:w="0" w:type="dxa"/>
            <w:right w:w="108" w:type="dxa"/>
          </w:tblCellMar>
        </w:tblPrEx>
        <w:trPr>
          <w:trHeight w:val="285" w:hRule="atLeast"/>
          <w:jc w:val="center"/>
        </w:trPr>
        <w:tc>
          <w:tcPr>
            <w:tcW w:w="460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Courier New" w:hAnsi="Courier New" w:eastAsia="等线" w:cs="Courier New"/>
                <w:color w:val="000000"/>
                <w:kern w:val="0"/>
                <w:sz w:val="18"/>
                <w:szCs w:val="18"/>
              </w:rPr>
            </w:pPr>
            <w:r>
              <w:rPr>
                <w:rFonts w:ascii="Courier New" w:hAnsi="Courier New" w:eastAsia="等线" w:cs="Courier New"/>
                <w:color w:val="000000"/>
                <w:kern w:val="0"/>
                <w:sz w:val="18"/>
                <w:szCs w:val="18"/>
              </w:rPr>
              <w:t>项目负责人：</w:t>
            </w:r>
          </w:p>
        </w:tc>
        <w:tc>
          <w:tcPr>
            <w:tcW w:w="5340" w:type="dxa"/>
            <w:gridSpan w:val="6"/>
            <w:tcBorders>
              <w:top w:val="single" w:color="000000" w:sz="4" w:space="0"/>
              <w:left w:val="nil"/>
              <w:bottom w:val="single" w:color="000000" w:sz="4" w:space="0"/>
              <w:right w:val="single" w:color="000000" w:sz="4" w:space="0"/>
            </w:tcBorders>
            <w:shd w:val="clear" w:color="auto" w:fill="auto"/>
            <w:vAlign w:val="center"/>
          </w:tcPr>
          <w:p>
            <w:pPr>
              <w:widowControl/>
              <w:jc w:val="left"/>
              <w:rPr>
                <w:rFonts w:ascii="Courier New" w:hAnsi="Courier New" w:eastAsia="等线" w:cs="Courier New"/>
                <w:color w:val="000000"/>
                <w:kern w:val="0"/>
                <w:sz w:val="18"/>
                <w:szCs w:val="18"/>
              </w:rPr>
            </w:pPr>
            <w:r>
              <w:rPr>
                <w:rFonts w:ascii="Courier New" w:hAnsi="Courier New" w:eastAsia="等线" w:cs="Courier New"/>
                <w:color w:val="000000"/>
                <w:kern w:val="0"/>
                <w:sz w:val="18"/>
                <w:szCs w:val="18"/>
              </w:rPr>
              <w:t>财务负责人：</w:t>
            </w:r>
          </w:p>
        </w:tc>
      </w:tr>
      <w:tr>
        <w:tblPrEx>
          <w:tblCellMar>
            <w:top w:w="0" w:type="dxa"/>
            <w:left w:w="108" w:type="dxa"/>
            <w:bottom w:w="0" w:type="dxa"/>
            <w:right w:w="108" w:type="dxa"/>
          </w:tblCellMar>
        </w:tblPrEx>
        <w:trPr>
          <w:trHeight w:val="285" w:hRule="atLeast"/>
          <w:jc w:val="center"/>
        </w:trPr>
        <w:tc>
          <w:tcPr>
            <w:tcW w:w="700" w:type="dxa"/>
            <w:tcBorders>
              <w:top w:val="nil"/>
              <w:left w:val="nil"/>
              <w:bottom w:val="nil"/>
              <w:right w:val="nil"/>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　</w:t>
            </w:r>
          </w:p>
        </w:tc>
        <w:tc>
          <w:tcPr>
            <w:tcW w:w="1560" w:type="dxa"/>
            <w:tcBorders>
              <w:top w:val="nil"/>
              <w:left w:val="nil"/>
              <w:bottom w:val="nil"/>
              <w:right w:val="nil"/>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　</w:t>
            </w:r>
          </w:p>
        </w:tc>
        <w:tc>
          <w:tcPr>
            <w:tcW w:w="780" w:type="dxa"/>
            <w:tcBorders>
              <w:top w:val="nil"/>
              <w:left w:val="nil"/>
              <w:bottom w:val="nil"/>
              <w:right w:val="nil"/>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　</w:t>
            </w:r>
          </w:p>
        </w:tc>
        <w:tc>
          <w:tcPr>
            <w:tcW w:w="780" w:type="dxa"/>
            <w:tcBorders>
              <w:top w:val="nil"/>
              <w:left w:val="nil"/>
              <w:bottom w:val="nil"/>
              <w:right w:val="nil"/>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　</w:t>
            </w:r>
          </w:p>
        </w:tc>
        <w:tc>
          <w:tcPr>
            <w:tcW w:w="780" w:type="dxa"/>
            <w:tcBorders>
              <w:top w:val="nil"/>
              <w:left w:val="nil"/>
              <w:bottom w:val="nil"/>
              <w:right w:val="nil"/>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　</w:t>
            </w:r>
          </w:p>
        </w:tc>
        <w:tc>
          <w:tcPr>
            <w:tcW w:w="780" w:type="dxa"/>
            <w:tcBorders>
              <w:top w:val="nil"/>
              <w:left w:val="nil"/>
              <w:bottom w:val="nil"/>
              <w:right w:val="nil"/>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　</w:t>
            </w:r>
          </w:p>
        </w:tc>
        <w:tc>
          <w:tcPr>
            <w:tcW w:w="780" w:type="dxa"/>
            <w:tcBorders>
              <w:top w:val="nil"/>
              <w:left w:val="nil"/>
              <w:bottom w:val="nil"/>
              <w:right w:val="nil"/>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　</w:t>
            </w:r>
          </w:p>
        </w:tc>
        <w:tc>
          <w:tcPr>
            <w:tcW w:w="780" w:type="dxa"/>
            <w:tcBorders>
              <w:top w:val="nil"/>
              <w:left w:val="nil"/>
              <w:bottom w:val="nil"/>
              <w:right w:val="nil"/>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　</w:t>
            </w:r>
          </w:p>
        </w:tc>
        <w:tc>
          <w:tcPr>
            <w:tcW w:w="520" w:type="dxa"/>
            <w:tcBorders>
              <w:top w:val="nil"/>
              <w:left w:val="nil"/>
              <w:bottom w:val="nil"/>
              <w:right w:val="nil"/>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　</w:t>
            </w:r>
          </w:p>
        </w:tc>
        <w:tc>
          <w:tcPr>
            <w:tcW w:w="460" w:type="dxa"/>
            <w:tcBorders>
              <w:top w:val="nil"/>
              <w:left w:val="nil"/>
              <w:bottom w:val="nil"/>
              <w:right w:val="nil"/>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　</w:t>
            </w:r>
          </w:p>
        </w:tc>
        <w:tc>
          <w:tcPr>
            <w:tcW w:w="2020" w:type="dxa"/>
            <w:tcBorders>
              <w:top w:val="nil"/>
              <w:left w:val="nil"/>
              <w:bottom w:val="nil"/>
              <w:right w:val="nil"/>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　</w:t>
            </w:r>
          </w:p>
        </w:tc>
      </w:tr>
      <w:tr>
        <w:tblPrEx>
          <w:tblCellMar>
            <w:top w:w="0" w:type="dxa"/>
            <w:left w:w="108" w:type="dxa"/>
            <w:bottom w:w="0" w:type="dxa"/>
            <w:right w:w="108" w:type="dxa"/>
          </w:tblCellMar>
        </w:tblPrEx>
        <w:trPr>
          <w:trHeight w:val="904" w:hRule="atLeast"/>
          <w:jc w:val="center"/>
        </w:trPr>
        <w:tc>
          <w:tcPr>
            <w:tcW w:w="9940"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黑体" w:hAnsi="黑体" w:eastAsia="黑体" w:cs="宋体"/>
                <w:b/>
                <w:bCs/>
                <w:color w:val="000000"/>
                <w:kern w:val="0"/>
                <w:sz w:val="30"/>
                <w:szCs w:val="30"/>
              </w:rPr>
            </w:pPr>
            <w:r>
              <w:rPr>
                <w:rFonts w:hint="eastAsia" w:ascii="黑体" w:hAnsi="黑体" w:eastAsia="黑体" w:cs="宋体"/>
                <w:b/>
                <w:bCs/>
                <w:color w:val="000000"/>
                <w:kern w:val="0"/>
                <w:sz w:val="30"/>
                <w:szCs w:val="30"/>
              </w:rPr>
              <w:t>部门预算项目支出绩效自评表（2022年度）</w:t>
            </w:r>
          </w:p>
        </w:tc>
      </w:tr>
      <w:tr>
        <w:tblPrEx>
          <w:tblCellMar>
            <w:top w:w="0" w:type="dxa"/>
            <w:left w:w="108" w:type="dxa"/>
            <w:bottom w:w="0" w:type="dxa"/>
            <w:right w:w="108" w:type="dxa"/>
          </w:tblCellMar>
        </w:tblPrEx>
        <w:trPr>
          <w:trHeight w:val="285" w:hRule="atLeast"/>
          <w:jc w:val="center"/>
        </w:trPr>
        <w:tc>
          <w:tcPr>
            <w:tcW w:w="22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项目名称</w:t>
            </w:r>
          </w:p>
        </w:tc>
        <w:tc>
          <w:tcPr>
            <w:tcW w:w="7680" w:type="dxa"/>
            <w:gridSpan w:val="9"/>
            <w:tcBorders>
              <w:top w:val="single" w:color="000000" w:sz="4" w:space="0"/>
              <w:left w:val="nil"/>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51082322R000000309793</w:t>
            </w:r>
            <w:r>
              <w:rPr>
                <w:rFonts w:hint="eastAsia" w:ascii="宋体" w:hAnsi="宋体" w:cs="宋体"/>
                <w:color w:val="000000"/>
                <w:kern w:val="0"/>
                <w:sz w:val="18"/>
                <w:szCs w:val="18"/>
                <w:lang w:eastAsia="zh-CN"/>
              </w:rPr>
              <w:t>－</w:t>
            </w:r>
            <w:r>
              <w:rPr>
                <w:rFonts w:hint="eastAsia" w:ascii="宋体" w:hAnsi="宋体" w:cs="宋体"/>
                <w:color w:val="000000"/>
                <w:kern w:val="0"/>
                <w:sz w:val="18"/>
                <w:szCs w:val="18"/>
              </w:rPr>
              <w:t>在职工资福利支出（行政）</w:t>
            </w:r>
          </w:p>
        </w:tc>
      </w:tr>
      <w:tr>
        <w:tblPrEx>
          <w:tblCellMar>
            <w:top w:w="0" w:type="dxa"/>
            <w:left w:w="108" w:type="dxa"/>
            <w:bottom w:w="0" w:type="dxa"/>
            <w:right w:w="108" w:type="dxa"/>
          </w:tblCellMar>
        </w:tblPrEx>
        <w:trPr>
          <w:trHeight w:val="514" w:hRule="atLeast"/>
          <w:jc w:val="center"/>
        </w:trPr>
        <w:tc>
          <w:tcPr>
            <w:tcW w:w="22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主管部门</w:t>
            </w:r>
          </w:p>
        </w:tc>
        <w:tc>
          <w:tcPr>
            <w:tcW w:w="3900" w:type="dxa"/>
            <w:gridSpan w:val="5"/>
            <w:tcBorders>
              <w:top w:val="single" w:color="000000" w:sz="4" w:space="0"/>
              <w:left w:val="nil"/>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剑阁县科学技术协会本级</w:t>
            </w:r>
          </w:p>
        </w:tc>
        <w:tc>
          <w:tcPr>
            <w:tcW w:w="780" w:type="dxa"/>
            <w:tcBorders>
              <w:top w:val="nil"/>
              <w:left w:val="nil"/>
              <w:bottom w:val="nil"/>
              <w:right w:val="nil"/>
            </w:tcBorders>
            <w:shd w:val="clear" w:color="auto" w:fill="auto"/>
            <w:vAlign w:val="center"/>
          </w:tcPr>
          <w:p>
            <w:pPr>
              <w:widowControl/>
              <w:jc w:val="left"/>
              <w:rPr>
                <w:rFonts w:ascii="Courier New" w:hAnsi="Courier New" w:eastAsia="等线" w:cs="Courier New"/>
                <w:color w:val="000000"/>
                <w:kern w:val="0"/>
                <w:sz w:val="18"/>
                <w:szCs w:val="18"/>
              </w:rPr>
            </w:pPr>
            <w:r>
              <w:rPr>
                <w:rFonts w:ascii="Courier New" w:hAnsi="Courier New" w:eastAsia="等线" w:cs="Courier New"/>
                <w:color w:val="000000"/>
                <w:kern w:val="0"/>
                <w:sz w:val="18"/>
                <w:szCs w:val="18"/>
              </w:rPr>
              <w:t>实施单位 （盖章）</w:t>
            </w:r>
          </w:p>
        </w:tc>
        <w:tc>
          <w:tcPr>
            <w:tcW w:w="300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剑阁县科学技术协会</w:t>
            </w:r>
          </w:p>
        </w:tc>
      </w:tr>
      <w:tr>
        <w:tblPrEx>
          <w:tblCellMar>
            <w:top w:w="0" w:type="dxa"/>
            <w:left w:w="108" w:type="dxa"/>
            <w:bottom w:w="0" w:type="dxa"/>
            <w:right w:w="108" w:type="dxa"/>
          </w:tblCellMar>
        </w:tblPrEx>
        <w:trPr>
          <w:trHeight w:val="285" w:hRule="atLeast"/>
          <w:jc w:val="center"/>
        </w:trPr>
        <w:tc>
          <w:tcPr>
            <w:tcW w:w="700" w:type="dxa"/>
            <w:vMerge w:val="restart"/>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项目基本情况</w:t>
            </w:r>
          </w:p>
        </w:tc>
        <w:tc>
          <w:tcPr>
            <w:tcW w:w="1560" w:type="dxa"/>
            <w:vMerge w:val="restart"/>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1.项目年度目标完成情况</w:t>
            </w:r>
          </w:p>
        </w:tc>
        <w:tc>
          <w:tcPr>
            <w:tcW w:w="3900" w:type="dxa"/>
            <w:gridSpan w:val="5"/>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项目年度目标</w:t>
            </w:r>
          </w:p>
        </w:tc>
        <w:tc>
          <w:tcPr>
            <w:tcW w:w="3780" w:type="dxa"/>
            <w:gridSpan w:val="4"/>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Courier New" w:hAnsi="Courier New" w:eastAsia="等线" w:cs="Courier New"/>
                <w:color w:val="000000"/>
                <w:kern w:val="0"/>
                <w:sz w:val="18"/>
                <w:szCs w:val="18"/>
              </w:rPr>
            </w:pPr>
            <w:r>
              <w:rPr>
                <w:rFonts w:ascii="Courier New" w:hAnsi="Courier New" w:eastAsia="等线" w:cs="Courier New"/>
                <w:color w:val="000000"/>
                <w:kern w:val="0"/>
                <w:sz w:val="18"/>
                <w:szCs w:val="18"/>
              </w:rPr>
              <w:t>年度目标完成情况</w:t>
            </w:r>
          </w:p>
        </w:tc>
      </w:tr>
      <w:tr>
        <w:tblPrEx>
          <w:tblCellMar>
            <w:top w:w="0" w:type="dxa"/>
            <w:left w:w="108" w:type="dxa"/>
            <w:bottom w:w="0" w:type="dxa"/>
            <w:right w:w="108" w:type="dxa"/>
          </w:tblCellMar>
        </w:tblPrEx>
        <w:trPr>
          <w:trHeight w:val="709" w:hRule="atLeast"/>
          <w:jc w:val="center"/>
        </w:trPr>
        <w:tc>
          <w:tcPr>
            <w:tcW w:w="700"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1560"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3900" w:type="dxa"/>
            <w:gridSpan w:val="5"/>
            <w:tcBorders>
              <w:top w:val="single" w:color="000000" w:sz="4" w:space="0"/>
              <w:left w:val="nil"/>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严格执行相关政策，保障工资及时、足额发放或社保及时、足额缴纳，预算编制科学合理，减少结余资金。</w:t>
            </w:r>
          </w:p>
        </w:tc>
        <w:tc>
          <w:tcPr>
            <w:tcW w:w="3780" w:type="dxa"/>
            <w:gridSpan w:val="4"/>
            <w:tcBorders>
              <w:top w:val="single" w:color="000000" w:sz="4" w:space="0"/>
              <w:left w:val="nil"/>
              <w:bottom w:val="single" w:color="000000" w:sz="4" w:space="0"/>
              <w:right w:val="single" w:color="000000" w:sz="4" w:space="0"/>
            </w:tcBorders>
            <w:shd w:val="clear" w:color="auto" w:fill="auto"/>
            <w:vAlign w:val="center"/>
          </w:tcPr>
          <w:p>
            <w:pPr>
              <w:widowControl/>
              <w:jc w:val="left"/>
              <w:rPr>
                <w:rFonts w:ascii="Courier New" w:hAnsi="Courier New" w:eastAsia="等线" w:cs="Courier New"/>
                <w:color w:val="000000"/>
                <w:kern w:val="0"/>
                <w:sz w:val="18"/>
                <w:szCs w:val="18"/>
              </w:rPr>
            </w:pPr>
            <w:r>
              <w:rPr>
                <w:rFonts w:ascii="Courier New" w:hAnsi="Courier New" w:eastAsia="等线" w:cs="Courier New"/>
                <w:color w:val="000000"/>
                <w:kern w:val="0"/>
                <w:sz w:val="18"/>
                <w:szCs w:val="18"/>
              </w:rPr>
              <w:t>对照年度目标，说明相关任务目标的完成情况（100字以内）</w:t>
            </w:r>
          </w:p>
        </w:tc>
      </w:tr>
      <w:tr>
        <w:tblPrEx>
          <w:tblCellMar>
            <w:top w:w="0" w:type="dxa"/>
            <w:left w:w="108" w:type="dxa"/>
            <w:bottom w:w="0" w:type="dxa"/>
            <w:right w:w="108" w:type="dxa"/>
          </w:tblCellMar>
        </w:tblPrEx>
        <w:trPr>
          <w:trHeight w:val="694" w:hRule="atLeast"/>
          <w:jc w:val="center"/>
        </w:trPr>
        <w:tc>
          <w:tcPr>
            <w:tcW w:w="700"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1560"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2.项目实施内容及过程概述</w:t>
            </w:r>
          </w:p>
        </w:tc>
        <w:tc>
          <w:tcPr>
            <w:tcW w:w="7680" w:type="dxa"/>
            <w:gridSpan w:val="9"/>
            <w:tcBorders>
              <w:top w:val="single" w:color="000000" w:sz="4" w:space="0"/>
              <w:left w:val="nil"/>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　</w:t>
            </w:r>
          </w:p>
        </w:tc>
      </w:tr>
      <w:tr>
        <w:tblPrEx>
          <w:tblCellMar>
            <w:top w:w="0" w:type="dxa"/>
            <w:left w:w="108" w:type="dxa"/>
            <w:bottom w:w="0" w:type="dxa"/>
            <w:right w:w="108" w:type="dxa"/>
          </w:tblCellMar>
        </w:tblPrEx>
        <w:trPr>
          <w:trHeight w:val="360" w:hRule="atLeast"/>
          <w:jc w:val="center"/>
        </w:trPr>
        <w:tc>
          <w:tcPr>
            <w:tcW w:w="700" w:type="dxa"/>
            <w:vMerge w:val="restart"/>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预算执行情况（10分）</w:t>
            </w:r>
          </w:p>
        </w:tc>
        <w:tc>
          <w:tcPr>
            <w:tcW w:w="156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年度预算数（万元）</w:t>
            </w:r>
          </w:p>
        </w:tc>
        <w:tc>
          <w:tcPr>
            <w:tcW w:w="78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年初预算</w:t>
            </w:r>
          </w:p>
        </w:tc>
        <w:tc>
          <w:tcPr>
            <w:tcW w:w="78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调整后预算数</w:t>
            </w:r>
          </w:p>
        </w:tc>
        <w:tc>
          <w:tcPr>
            <w:tcW w:w="2340" w:type="dxa"/>
            <w:gridSpan w:val="3"/>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预算执行数</w:t>
            </w:r>
          </w:p>
        </w:tc>
        <w:tc>
          <w:tcPr>
            <w:tcW w:w="78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预算执行率</w:t>
            </w:r>
          </w:p>
        </w:tc>
        <w:tc>
          <w:tcPr>
            <w:tcW w:w="52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权重</w:t>
            </w:r>
          </w:p>
        </w:tc>
        <w:tc>
          <w:tcPr>
            <w:tcW w:w="46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得分</w:t>
            </w:r>
          </w:p>
        </w:tc>
        <w:tc>
          <w:tcPr>
            <w:tcW w:w="202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原因</w:t>
            </w:r>
          </w:p>
        </w:tc>
      </w:tr>
      <w:tr>
        <w:tblPrEx>
          <w:tblCellMar>
            <w:top w:w="0" w:type="dxa"/>
            <w:left w:w="108" w:type="dxa"/>
            <w:bottom w:w="0" w:type="dxa"/>
            <w:right w:w="108" w:type="dxa"/>
          </w:tblCellMar>
        </w:tblPrEx>
        <w:trPr>
          <w:trHeight w:val="387" w:hRule="atLeast"/>
          <w:jc w:val="center"/>
        </w:trPr>
        <w:tc>
          <w:tcPr>
            <w:tcW w:w="700"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156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总额</w:t>
            </w:r>
          </w:p>
        </w:tc>
        <w:tc>
          <w:tcPr>
            <w:tcW w:w="78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90.23</w:t>
            </w:r>
          </w:p>
        </w:tc>
        <w:tc>
          <w:tcPr>
            <w:tcW w:w="78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101.71</w:t>
            </w:r>
          </w:p>
        </w:tc>
        <w:tc>
          <w:tcPr>
            <w:tcW w:w="2340" w:type="dxa"/>
            <w:gridSpan w:val="3"/>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98.39</w:t>
            </w:r>
          </w:p>
        </w:tc>
        <w:tc>
          <w:tcPr>
            <w:tcW w:w="78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96.73%</w:t>
            </w:r>
          </w:p>
        </w:tc>
        <w:tc>
          <w:tcPr>
            <w:tcW w:w="52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10</w:t>
            </w:r>
          </w:p>
        </w:tc>
        <w:tc>
          <w:tcPr>
            <w:tcW w:w="46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2020" w:type="dxa"/>
            <w:vMerge w:val="restart"/>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Courier New" w:hAnsi="Courier New" w:eastAsia="等线" w:cs="Courier New"/>
                <w:i/>
                <w:iCs/>
                <w:color w:val="000000"/>
                <w:kern w:val="0"/>
                <w:sz w:val="18"/>
                <w:szCs w:val="18"/>
              </w:rPr>
            </w:pPr>
            <w:r>
              <w:rPr>
                <w:rFonts w:ascii="Courier New" w:hAnsi="Courier New" w:eastAsia="等线" w:cs="Courier New"/>
                <w:i/>
                <w:iCs/>
                <w:color w:val="000000"/>
                <w:kern w:val="0"/>
                <w:sz w:val="18"/>
                <w:szCs w:val="18"/>
              </w:rPr>
              <w:t>1.预算执行率=预算执行数/调整后预算数，预算执行率未达到90%的需说明原因（100字以内）</w:t>
            </w:r>
            <w:r>
              <w:rPr>
                <w:rFonts w:hint="eastAsia" w:ascii="Courier New" w:hAnsi="Courier New" w:eastAsia="等线" w:cs="Courier New"/>
                <w:i/>
                <w:iCs/>
                <w:color w:val="000000"/>
                <w:kern w:val="0"/>
                <w:sz w:val="18"/>
                <w:szCs w:val="18"/>
                <w:lang w:eastAsia="zh-CN"/>
              </w:rPr>
              <w:t>；</w:t>
            </w:r>
            <w:r>
              <w:rPr>
                <w:rFonts w:ascii="Courier New" w:hAnsi="Courier New" w:eastAsia="等线" w:cs="Courier New"/>
                <w:i/>
                <w:iCs/>
                <w:color w:val="000000"/>
                <w:kern w:val="0"/>
                <w:sz w:val="18"/>
                <w:szCs w:val="18"/>
              </w:rPr>
              <w:t>2.年中发生预算调整的（追加或调减）</w:t>
            </w:r>
            <w:r>
              <w:rPr>
                <w:rFonts w:hint="eastAsia" w:ascii="Courier New" w:hAnsi="Courier New" w:eastAsia="等线" w:cs="Courier New"/>
                <w:i/>
                <w:iCs/>
                <w:color w:val="000000"/>
                <w:kern w:val="0"/>
                <w:sz w:val="18"/>
                <w:szCs w:val="18"/>
                <w:lang w:eastAsia="zh-CN"/>
              </w:rPr>
              <w:t>，</w:t>
            </w:r>
            <w:r>
              <w:rPr>
                <w:rFonts w:ascii="Courier New" w:hAnsi="Courier New" w:eastAsia="等线" w:cs="Courier New"/>
                <w:i/>
                <w:iCs/>
                <w:color w:val="000000"/>
                <w:kern w:val="0"/>
                <w:sz w:val="18"/>
                <w:szCs w:val="18"/>
              </w:rPr>
              <w:t>应单独说明理由；3.其他资金包括：社会投入资金、银行贷款.</w:t>
            </w:r>
          </w:p>
        </w:tc>
      </w:tr>
      <w:tr>
        <w:tblPrEx>
          <w:tblCellMar>
            <w:top w:w="0" w:type="dxa"/>
            <w:left w:w="108" w:type="dxa"/>
            <w:bottom w:w="0" w:type="dxa"/>
            <w:right w:w="108" w:type="dxa"/>
          </w:tblCellMar>
        </w:tblPrEx>
        <w:trPr>
          <w:trHeight w:val="432" w:hRule="atLeast"/>
          <w:jc w:val="center"/>
        </w:trPr>
        <w:tc>
          <w:tcPr>
            <w:tcW w:w="700"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156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其中：财政资金</w:t>
            </w:r>
          </w:p>
        </w:tc>
        <w:tc>
          <w:tcPr>
            <w:tcW w:w="78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90.23</w:t>
            </w:r>
          </w:p>
        </w:tc>
        <w:tc>
          <w:tcPr>
            <w:tcW w:w="78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101.71</w:t>
            </w:r>
          </w:p>
        </w:tc>
        <w:tc>
          <w:tcPr>
            <w:tcW w:w="2340" w:type="dxa"/>
            <w:gridSpan w:val="3"/>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98.39</w:t>
            </w:r>
          </w:p>
        </w:tc>
        <w:tc>
          <w:tcPr>
            <w:tcW w:w="78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96.73%</w:t>
            </w:r>
          </w:p>
        </w:tc>
        <w:tc>
          <w:tcPr>
            <w:tcW w:w="52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46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2020" w:type="dxa"/>
            <w:vMerge w:val="continue"/>
            <w:tcBorders>
              <w:top w:val="nil"/>
              <w:left w:val="single" w:color="000000" w:sz="4" w:space="0"/>
              <w:bottom w:val="single" w:color="000000" w:sz="4" w:space="0"/>
              <w:right w:val="single" w:color="000000" w:sz="4" w:space="0"/>
            </w:tcBorders>
            <w:vAlign w:val="center"/>
          </w:tcPr>
          <w:p>
            <w:pPr>
              <w:widowControl/>
              <w:jc w:val="left"/>
              <w:rPr>
                <w:rFonts w:ascii="Courier New" w:hAnsi="Courier New" w:eastAsia="等线" w:cs="Courier New"/>
                <w:i/>
                <w:iCs/>
                <w:color w:val="000000"/>
                <w:kern w:val="0"/>
                <w:sz w:val="18"/>
                <w:szCs w:val="18"/>
              </w:rPr>
            </w:pPr>
          </w:p>
        </w:tc>
      </w:tr>
      <w:tr>
        <w:tblPrEx>
          <w:tblCellMar>
            <w:top w:w="0" w:type="dxa"/>
            <w:left w:w="108" w:type="dxa"/>
            <w:bottom w:w="0" w:type="dxa"/>
            <w:right w:w="108" w:type="dxa"/>
          </w:tblCellMar>
        </w:tblPrEx>
        <w:trPr>
          <w:trHeight w:val="447" w:hRule="atLeast"/>
          <w:jc w:val="center"/>
        </w:trPr>
        <w:tc>
          <w:tcPr>
            <w:tcW w:w="700"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156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财政专户管理资金</w:t>
            </w:r>
          </w:p>
        </w:tc>
        <w:tc>
          <w:tcPr>
            <w:tcW w:w="78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78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2340" w:type="dxa"/>
            <w:gridSpan w:val="3"/>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78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52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46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2020" w:type="dxa"/>
            <w:vMerge w:val="continue"/>
            <w:tcBorders>
              <w:top w:val="nil"/>
              <w:left w:val="single" w:color="000000" w:sz="4" w:space="0"/>
              <w:bottom w:val="single" w:color="000000" w:sz="4" w:space="0"/>
              <w:right w:val="single" w:color="000000" w:sz="4" w:space="0"/>
            </w:tcBorders>
            <w:vAlign w:val="center"/>
          </w:tcPr>
          <w:p>
            <w:pPr>
              <w:widowControl/>
              <w:jc w:val="left"/>
              <w:rPr>
                <w:rFonts w:ascii="Courier New" w:hAnsi="Courier New" w:eastAsia="等线" w:cs="Courier New"/>
                <w:i/>
                <w:iCs/>
                <w:color w:val="000000"/>
                <w:kern w:val="0"/>
                <w:sz w:val="18"/>
                <w:szCs w:val="18"/>
              </w:rPr>
            </w:pPr>
          </w:p>
        </w:tc>
      </w:tr>
      <w:tr>
        <w:tblPrEx>
          <w:tblCellMar>
            <w:top w:w="0" w:type="dxa"/>
            <w:left w:w="108" w:type="dxa"/>
            <w:bottom w:w="0" w:type="dxa"/>
            <w:right w:w="108" w:type="dxa"/>
          </w:tblCellMar>
        </w:tblPrEx>
        <w:trPr>
          <w:trHeight w:val="402" w:hRule="atLeast"/>
          <w:jc w:val="center"/>
        </w:trPr>
        <w:tc>
          <w:tcPr>
            <w:tcW w:w="700"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156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单位资金</w:t>
            </w:r>
          </w:p>
        </w:tc>
        <w:tc>
          <w:tcPr>
            <w:tcW w:w="78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78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2340" w:type="dxa"/>
            <w:gridSpan w:val="3"/>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78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52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46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2020" w:type="dxa"/>
            <w:vMerge w:val="continue"/>
            <w:tcBorders>
              <w:top w:val="nil"/>
              <w:left w:val="single" w:color="000000" w:sz="4" w:space="0"/>
              <w:bottom w:val="single" w:color="000000" w:sz="4" w:space="0"/>
              <w:right w:val="single" w:color="000000" w:sz="4" w:space="0"/>
            </w:tcBorders>
            <w:vAlign w:val="center"/>
          </w:tcPr>
          <w:p>
            <w:pPr>
              <w:widowControl/>
              <w:jc w:val="left"/>
              <w:rPr>
                <w:rFonts w:ascii="Courier New" w:hAnsi="Courier New" w:eastAsia="等线" w:cs="Courier New"/>
                <w:i/>
                <w:iCs/>
                <w:color w:val="000000"/>
                <w:kern w:val="0"/>
                <w:sz w:val="18"/>
                <w:szCs w:val="18"/>
              </w:rPr>
            </w:pPr>
          </w:p>
        </w:tc>
      </w:tr>
      <w:tr>
        <w:tblPrEx>
          <w:tblCellMar>
            <w:top w:w="0" w:type="dxa"/>
            <w:left w:w="108" w:type="dxa"/>
            <w:bottom w:w="0" w:type="dxa"/>
            <w:right w:w="108" w:type="dxa"/>
          </w:tblCellMar>
        </w:tblPrEx>
        <w:trPr>
          <w:trHeight w:val="379" w:hRule="atLeast"/>
          <w:jc w:val="center"/>
        </w:trPr>
        <w:tc>
          <w:tcPr>
            <w:tcW w:w="700"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156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其他资金</w:t>
            </w:r>
          </w:p>
        </w:tc>
        <w:tc>
          <w:tcPr>
            <w:tcW w:w="780" w:type="dxa"/>
            <w:tcBorders>
              <w:top w:val="nil"/>
              <w:left w:val="nil"/>
              <w:bottom w:val="single" w:color="000000" w:sz="4" w:space="0"/>
              <w:right w:val="single" w:color="000000" w:sz="4" w:space="0"/>
            </w:tcBorders>
            <w:shd w:val="clear" w:color="auto" w:fill="auto"/>
            <w:vAlign w:val="center"/>
          </w:tcPr>
          <w:p>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c>
          <w:tcPr>
            <w:tcW w:w="780" w:type="dxa"/>
            <w:tcBorders>
              <w:top w:val="nil"/>
              <w:left w:val="nil"/>
              <w:bottom w:val="single" w:color="000000" w:sz="4" w:space="0"/>
              <w:right w:val="single" w:color="000000" w:sz="4" w:space="0"/>
            </w:tcBorders>
            <w:shd w:val="clear" w:color="auto" w:fill="auto"/>
            <w:vAlign w:val="center"/>
          </w:tcPr>
          <w:p>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c>
          <w:tcPr>
            <w:tcW w:w="2340" w:type="dxa"/>
            <w:gridSpan w:val="3"/>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c>
          <w:tcPr>
            <w:tcW w:w="780" w:type="dxa"/>
            <w:tcBorders>
              <w:top w:val="nil"/>
              <w:left w:val="nil"/>
              <w:bottom w:val="single" w:color="000000" w:sz="4" w:space="0"/>
              <w:right w:val="single" w:color="000000" w:sz="4" w:space="0"/>
            </w:tcBorders>
            <w:shd w:val="clear" w:color="auto" w:fill="auto"/>
            <w:vAlign w:val="center"/>
          </w:tcPr>
          <w:p>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c>
          <w:tcPr>
            <w:tcW w:w="52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46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2020" w:type="dxa"/>
            <w:vMerge w:val="continue"/>
            <w:tcBorders>
              <w:top w:val="nil"/>
              <w:left w:val="single" w:color="000000" w:sz="4" w:space="0"/>
              <w:bottom w:val="single" w:color="000000" w:sz="4" w:space="0"/>
              <w:right w:val="single" w:color="000000" w:sz="4" w:space="0"/>
            </w:tcBorders>
            <w:vAlign w:val="center"/>
          </w:tcPr>
          <w:p>
            <w:pPr>
              <w:widowControl/>
              <w:jc w:val="left"/>
              <w:rPr>
                <w:rFonts w:ascii="Courier New" w:hAnsi="Courier New" w:eastAsia="等线" w:cs="Courier New"/>
                <w:i/>
                <w:iCs/>
                <w:color w:val="000000"/>
                <w:kern w:val="0"/>
                <w:sz w:val="18"/>
                <w:szCs w:val="18"/>
              </w:rPr>
            </w:pPr>
          </w:p>
        </w:tc>
      </w:tr>
      <w:tr>
        <w:tblPrEx>
          <w:tblCellMar>
            <w:top w:w="0" w:type="dxa"/>
            <w:left w:w="108" w:type="dxa"/>
            <w:bottom w:w="0" w:type="dxa"/>
            <w:right w:w="108" w:type="dxa"/>
          </w:tblCellMar>
        </w:tblPrEx>
        <w:trPr>
          <w:trHeight w:val="454" w:hRule="atLeast"/>
          <w:jc w:val="center"/>
        </w:trPr>
        <w:tc>
          <w:tcPr>
            <w:tcW w:w="700" w:type="dxa"/>
            <w:vMerge w:val="restart"/>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绩效指标（90分）</w:t>
            </w:r>
          </w:p>
        </w:tc>
        <w:tc>
          <w:tcPr>
            <w:tcW w:w="156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一级指标</w:t>
            </w:r>
          </w:p>
        </w:tc>
        <w:tc>
          <w:tcPr>
            <w:tcW w:w="78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二级指标</w:t>
            </w:r>
          </w:p>
        </w:tc>
        <w:tc>
          <w:tcPr>
            <w:tcW w:w="78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三级指标</w:t>
            </w:r>
          </w:p>
        </w:tc>
        <w:tc>
          <w:tcPr>
            <w:tcW w:w="78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指标性质</w:t>
            </w:r>
          </w:p>
        </w:tc>
        <w:tc>
          <w:tcPr>
            <w:tcW w:w="78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指标值</w:t>
            </w:r>
          </w:p>
        </w:tc>
        <w:tc>
          <w:tcPr>
            <w:tcW w:w="78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度量单位</w:t>
            </w:r>
          </w:p>
        </w:tc>
        <w:tc>
          <w:tcPr>
            <w:tcW w:w="78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完成值</w:t>
            </w:r>
          </w:p>
        </w:tc>
        <w:tc>
          <w:tcPr>
            <w:tcW w:w="52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权重</w:t>
            </w:r>
          </w:p>
        </w:tc>
        <w:tc>
          <w:tcPr>
            <w:tcW w:w="46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得分</w:t>
            </w:r>
          </w:p>
        </w:tc>
        <w:tc>
          <w:tcPr>
            <w:tcW w:w="202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未完成原因分析</w:t>
            </w:r>
          </w:p>
        </w:tc>
      </w:tr>
      <w:tr>
        <w:tblPrEx>
          <w:tblCellMar>
            <w:top w:w="0" w:type="dxa"/>
            <w:left w:w="108" w:type="dxa"/>
            <w:bottom w:w="0" w:type="dxa"/>
            <w:right w:w="108" w:type="dxa"/>
          </w:tblCellMar>
        </w:tblPrEx>
        <w:trPr>
          <w:trHeight w:val="338" w:hRule="atLeast"/>
          <w:jc w:val="center"/>
        </w:trPr>
        <w:tc>
          <w:tcPr>
            <w:tcW w:w="700"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156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产出指标</w:t>
            </w:r>
          </w:p>
        </w:tc>
        <w:tc>
          <w:tcPr>
            <w:tcW w:w="78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数量指标</w:t>
            </w:r>
          </w:p>
        </w:tc>
        <w:tc>
          <w:tcPr>
            <w:tcW w:w="78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发放（缴纳）覆盖率</w:t>
            </w:r>
          </w:p>
        </w:tc>
        <w:tc>
          <w:tcPr>
            <w:tcW w:w="78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78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100</w:t>
            </w:r>
          </w:p>
        </w:tc>
        <w:tc>
          <w:tcPr>
            <w:tcW w:w="78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780" w:type="dxa"/>
            <w:tcBorders>
              <w:top w:val="nil"/>
              <w:left w:val="nil"/>
              <w:bottom w:val="single" w:color="000000" w:sz="4" w:space="0"/>
              <w:right w:val="single" w:color="000000" w:sz="4" w:space="0"/>
            </w:tcBorders>
            <w:shd w:val="clear" w:color="auto" w:fill="auto"/>
            <w:vAlign w:val="center"/>
          </w:tcPr>
          <w:p>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c>
          <w:tcPr>
            <w:tcW w:w="52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60</w:t>
            </w:r>
          </w:p>
        </w:tc>
        <w:tc>
          <w:tcPr>
            <w:tcW w:w="46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2020" w:type="dxa"/>
            <w:tcBorders>
              <w:top w:val="nil"/>
              <w:left w:val="nil"/>
              <w:bottom w:val="single" w:color="000000" w:sz="4" w:space="0"/>
              <w:right w:val="single" w:color="000000" w:sz="4" w:space="0"/>
            </w:tcBorders>
            <w:shd w:val="clear" w:color="auto" w:fill="auto"/>
            <w:vAlign w:val="center"/>
          </w:tcPr>
          <w:p>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r>
      <w:tr>
        <w:tblPrEx>
          <w:tblCellMar>
            <w:top w:w="0" w:type="dxa"/>
            <w:left w:w="108" w:type="dxa"/>
            <w:bottom w:w="0" w:type="dxa"/>
            <w:right w:w="108" w:type="dxa"/>
          </w:tblCellMar>
        </w:tblPrEx>
        <w:trPr>
          <w:trHeight w:val="338" w:hRule="atLeast"/>
          <w:jc w:val="center"/>
        </w:trPr>
        <w:tc>
          <w:tcPr>
            <w:tcW w:w="700"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156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效益指标</w:t>
            </w:r>
          </w:p>
        </w:tc>
        <w:tc>
          <w:tcPr>
            <w:tcW w:w="78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社会效益指标</w:t>
            </w:r>
          </w:p>
        </w:tc>
        <w:tc>
          <w:tcPr>
            <w:tcW w:w="78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足额保障率（参保率）</w:t>
            </w:r>
          </w:p>
        </w:tc>
        <w:tc>
          <w:tcPr>
            <w:tcW w:w="78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78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100</w:t>
            </w:r>
          </w:p>
        </w:tc>
        <w:tc>
          <w:tcPr>
            <w:tcW w:w="78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780" w:type="dxa"/>
            <w:tcBorders>
              <w:top w:val="nil"/>
              <w:left w:val="nil"/>
              <w:bottom w:val="single" w:color="000000" w:sz="4" w:space="0"/>
              <w:right w:val="single" w:color="000000" w:sz="4" w:space="0"/>
            </w:tcBorders>
            <w:shd w:val="clear" w:color="auto" w:fill="auto"/>
            <w:vAlign w:val="center"/>
          </w:tcPr>
          <w:p>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c>
          <w:tcPr>
            <w:tcW w:w="52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30</w:t>
            </w:r>
          </w:p>
        </w:tc>
        <w:tc>
          <w:tcPr>
            <w:tcW w:w="46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2020" w:type="dxa"/>
            <w:tcBorders>
              <w:top w:val="nil"/>
              <w:left w:val="nil"/>
              <w:bottom w:val="single" w:color="000000" w:sz="4" w:space="0"/>
              <w:right w:val="single" w:color="000000" w:sz="4" w:space="0"/>
            </w:tcBorders>
            <w:shd w:val="clear" w:color="auto" w:fill="auto"/>
            <w:vAlign w:val="center"/>
          </w:tcPr>
          <w:p>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r>
      <w:tr>
        <w:tblPrEx>
          <w:tblCellMar>
            <w:top w:w="0" w:type="dxa"/>
            <w:left w:w="108" w:type="dxa"/>
            <w:bottom w:w="0" w:type="dxa"/>
            <w:right w:w="108" w:type="dxa"/>
          </w:tblCellMar>
        </w:tblPrEx>
        <w:trPr>
          <w:trHeight w:val="285" w:hRule="atLeast"/>
          <w:jc w:val="center"/>
        </w:trPr>
        <w:tc>
          <w:tcPr>
            <w:tcW w:w="6940"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合计</w:t>
            </w:r>
          </w:p>
        </w:tc>
        <w:tc>
          <w:tcPr>
            <w:tcW w:w="52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100</w:t>
            </w:r>
          </w:p>
        </w:tc>
        <w:tc>
          <w:tcPr>
            <w:tcW w:w="460"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　</w:t>
            </w:r>
          </w:p>
        </w:tc>
        <w:tc>
          <w:tcPr>
            <w:tcW w:w="2020"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　</w:t>
            </w:r>
          </w:p>
        </w:tc>
      </w:tr>
      <w:tr>
        <w:tblPrEx>
          <w:tblCellMar>
            <w:top w:w="0" w:type="dxa"/>
            <w:left w:w="108" w:type="dxa"/>
            <w:bottom w:w="0" w:type="dxa"/>
            <w:right w:w="108" w:type="dxa"/>
          </w:tblCellMar>
        </w:tblPrEx>
        <w:trPr>
          <w:trHeight w:val="604" w:hRule="atLeast"/>
          <w:jc w:val="center"/>
        </w:trPr>
        <w:tc>
          <w:tcPr>
            <w:tcW w:w="700" w:type="dxa"/>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评价结论</w:t>
            </w:r>
          </w:p>
        </w:tc>
        <w:tc>
          <w:tcPr>
            <w:tcW w:w="9240" w:type="dxa"/>
            <w:gridSpan w:val="10"/>
            <w:tcBorders>
              <w:top w:val="single" w:color="000000" w:sz="4" w:space="0"/>
              <w:left w:val="nil"/>
              <w:bottom w:val="single" w:color="000000" w:sz="4" w:space="0"/>
              <w:right w:val="single" w:color="000000" w:sz="4" w:space="0"/>
            </w:tcBorders>
            <w:shd w:val="clear" w:color="auto" w:fill="auto"/>
            <w:vAlign w:val="center"/>
          </w:tcPr>
          <w:p>
            <w:pPr>
              <w:widowControl/>
              <w:jc w:val="left"/>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r>
      <w:tr>
        <w:tblPrEx>
          <w:tblCellMar>
            <w:top w:w="0" w:type="dxa"/>
            <w:left w:w="108" w:type="dxa"/>
            <w:bottom w:w="0" w:type="dxa"/>
            <w:right w:w="108" w:type="dxa"/>
          </w:tblCellMar>
        </w:tblPrEx>
        <w:trPr>
          <w:trHeight w:val="574" w:hRule="atLeast"/>
          <w:jc w:val="center"/>
        </w:trPr>
        <w:tc>
          <w:tcPr>
            <w:tcW w:w="700" w:type="dxa"/>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存在问题</w:t>
            </w:r>
          </w:p>
        </w:tc>
        <w:tc>
          <w:tcPr>
            <w:tcW w:w="9240" w:type="dxa"/>
            <w:gridSpan w:val="10"/>
            <w:tcBorders>
              <w:top w:val="single" w:color="000000" w:sz="4" w:space="0"/>
              <w:left w:val="nil"/>
              <w:bottom w:val="single" w:color="000000" w:sz="4" w:space="0"/>
              <w:right w:val="single" w:color="000000" w:sz="4" w:space="0"/>
            </w:tcBorders>
            <w:shd w:val="clear" w:color="auto" w:fill="auto"/>
            <w:vAlign w:val="center"/>
          </w:tcPr>
          <w:p>
            <w:pPr>
              <w:widowControl/>
              <w:jc w:val="left"/>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r>
      <w:tr>
        <w:tblPrEx>
          <w:tblCellMar>
            <w:top w:w="0" w:type="dxa"/>
            <w:left w:w="108" w:type="dxa"/>
            <w:bottom w:w="0" w:type="dxa"/>
            <w:right w:w="108" w:type="dxa"/>
          </w:tblCellMar>
        </w:tblPrEx>
        <w:trPr>
          <w:trHeight w:val="634" w:hRule="atLeast"/>
          <w:jc w:val="center"/>
        </w:trPr>
        <w:tc>
          <w:tcPr>
            <w:tcW w:w="700" w:type="dxa"/>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改进措施</w:t>
            </w:r>
          </w:p>
        </w:tc>
        <w:tc>
          <w:tcPr>
            <w:tcW w:w="9240" w:type="dxa"/>
            <w:gridSpan w:val="10"/>
            <w:tcBorders>
              <w:top w:val="single" w:color="000000" w:sz="4" w:space="0"/>
              <w:left w:val="nil"/>
              <w:bottom w:val="single" w:color="000000" w:sz="4" w:space="0"/>
              <w:right w:val="single" w:color="000000" w:sz="4" w:space="0"/>
            </w:tcBorders>
            <w:shd w:val="clear" w:color="auto" w:fill="auto"/>
            <w:vAlign w:val="center"/>
          </w:tcPr>
          <w:p>
            <w:pPr>
              <w:widowControl/>
              <w:jc w:val="left"/>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r>
      <w:tr>
        <w:tblPrEx>
          <w:tblCellMar>
            <w:top w:w="0" w:type="dxa"/>
            <w:left w:w="108" w:type="dxa"/>
            <w:bottom w:w="0" w:type="dxa"/>
            <w:right w:w="108" w:type="dxa"/>
          </w:tblCellMar>
        </w:tblPrEx>
        <w:trPr>
          <w:trHeight w:val="285" w:hRule="atLeast"/>
          <w:jc w:val="center"/>
        </w:trPr>
        <w:tc>
          <w:tcPr>
            <w:tcW w:w="460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Courier New" w:hAnsi="Courier New" w:eastAsia="等线" w:cs="Courier New"/>
                <w:color w:val="000000"/>
                <w:kern w:val="0"/>
                <w:sz w:val="18"/>
                <w:szCs w:val="18"/>
              </w:rPr>
            </w:pPr>
            <w:r>
              <w:rPr>
                <w:rFonts w:ascii="Courier New" w:hAnsi="Courier New" w:eastAsia="等线" w:cs="Courier New"/>
                <w:color w:val="000000"/>
                <w:kern w:val="0"/>
                <w:sz w:val="18"/>
                <w:szCs w:val="18"/>
              </w:rPr>
              <w:t>项目负责人：</w:t>
            </w:r>
          </w:p>
        </w:tc>
        <w:tc>
          <w:tcPr>
            <w:tcW w:w="5340" w:type="dxa"/>
            <w:gridSpan w:val="6"/>
            <w:tcBorders>
              <w:top w:val="single" w:color="000000" w:sz="4" w:space="0"/>
              <w:left w:val="nil"/>
              <w:bottom w:val="single" w:color="000000" w:sz="4" w:space="0"/>
              <w:right w:val="single" w:color="000000" w:sz="4" w:space="0"/>
            </w:tcBorders>
            <w:shd w:val="clear" w:color="auto" w:fill="auto"/>
            <w:vAlign w:val="center"/>
          </w:tcPr>
          <w:p>
            <w:pPr>
              <w:widowControl/>
              <w:jc w:val="left"/>
              <w:rPr>
                <w:rFonts w:ascii="Courier New" w:hAnsi="Courier New" w:eastAsia="等线" w:cs="Courier New"/>
                <w:color w:val="000000"/>
                <w:kern w:val="0"/>
                <w:sz w:val="18"/>
                <w:szCs w:val="18"/>
              </w:rPr>
            </w:pPr>
            <w:r>
              <w:rPr>
                <w:rFonts w:ascii="Courier New" w:hAnsi="Courier New" w:eastAsia="等线" w:cs="Courier New"/>
                <w:color w:val="000000"/>
                <w:kern w:val="0"/>
                <w:sz w:val="18"/>
                <w:szCs w:val="18"/>
              </w:rPr>
              <w:t>财务负责人：</w:t>
            </w:r>
          </w:p>
        </w:tc>
      </w:tr>
      <w:tr>
        <w:tblPrEx>
          <w:tblCellMar>
            <w:top w:w="0" w:type="dxa"/>
            <w:left w:w="108" w:type="dxa"/>
            <w:bottom w:w="0" w:type="dxa"/>
            <w:right w:w="108" w:type="dxa"/>
          </w:tblCellMar>
        </w:tblPrEx>
        <w:trPr>
          <w:trHeight w:val="285" w:hRule="atLeast"/>
          <w:jc w:val="center"/>
        </w:trPr>
        <w:tc>
          <w:tcPr>
            <w:tcW w:w="700" w:type="dxa"/>
            <w:tcBorders>
              <w:top w:val="nil"/>
              <w:left w:val="nil"/>
              <w:bottom w:val="nil"/>
              <w:right w:val="nil"/>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　</w:t>
            </w:r>
          </w:p>
        </w:tc>
        <w:tc>
          <w:tcPr>
            <w:tcW w:w="1560" w:type="dxa"/>
            <w:tcBorders>
              <w:top w:val="nil"/>
              <w:left w:val="nil"/>
              <w:bottom w:val="nil"/>
              <w:right w:val="nil"/>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　</w:t>
            </w:r>
          </w:p>
        </w:tc>
        <w:tc>
          <w:tcPr>
            <w:tcW w:w="780" w:type="dxa"/>
            <w:tcBorders>
              <w:top w:val="nil"/>
              <w:left w:val="nil"/>
              <w:bottom w:val="nil"/>
              <w:right w:val="nil"/>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　</w:t>
            </w:r>
          </w:p>
        </w:tc>
        <w:tc>
          <w:tcPr>
            <w:tcW w:w="780" w:type="dxa"/>
            <w:tcBorders>
              <w:top w:val="nil"/>
              <w:left w:val="nil"/>
              <w:bottom w:val="nil"/>
              <w:right w:val="nil"/>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　</w:t>
            </w:r>
          </w:p>
        </w:tc>
        <w:tc>
          <w:tcPr>
            <w:tcW w:w="780" w:type="dxa"/>
            <w:tcBorders>
              <w:top w:val="nil"/>
              <w:left w:val="nil"/>
              <w:bottom w:val="nil"/>
              <w:right w:val="nil"/>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　</w:t>
            </w:r>
          </w:p>
        </w:tc>
        <w:tc>
          <w:tcPr>
            <w:tcW w:w="780" w:type="dxa"/>
            <w:tcBorders>
              <w:top w:val="nil"/>
              <w:left w:val="nil"/>
              <w:bottom w:val="nil"/>
              <w:right w:val="nil"/>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　</w:t>
            </w:r>
          </w:p>
        </w:tc>
        <w:tc>
          <w:tcPr>
            <w:tcW w:w="780" w:type="dxa"/>
            <w:tcBorders>
              <w:top w:val="nil"/>
              <w:left w:val="nil"/>
              <w:bottom w:val="nil"/>
              <w:right w:val="nil"/>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　</w:t>
            </w:r>
          </w:p>
        </w:tc>
        <w:tc>
          <w:tcPr>
            <w:tcW w:w="780" w:type="dxa"/>
            <w:tcBorders>
              <w:top w:val="nil"/>
              <w:left w:val="nil"/>
              <w:bottom w:val="nil"/>
              <w:right w:val="nil"/>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　</w:t>
            </w:r>
          </w:p>
        </w:tc>
        <w:tc>
          <w:tcPr>
            <w:tcW w:w="520" w:type="dxa"/>
            <w:tcBorders>
              <w:top w:val="nil"/>
              <w:left w:val="nil"/>
              <w:bottom w:val="nil"/>
              <w:right w:val="nil"/>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　</w:t>
            </w:r>
          </w:p>
        </w:tc>
        <w:tc>
          <w:tcPr>
            <w:tcW w:w="460" w:type="dxa"/>
            <w:tcBorders>
              <w:top w:val="nil"/>
              <w:left w:val="nil"/>
              <w:bottom w:val="nil"/>
              <w:right w:val="nil"/>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　</w:t>
            </w:r>
          </w:p>
        </w:tc>
        <w:tc>
          <w:tcPr>
            <w:tcW w:w="2020" w:type="dxa"/>
            <w:tcBorders>
              <w:top w:val="nil"/>
              <w:left w:val="nil"/>
              <w:bottom w:val="nil"/>
              <w:right w:val="nil"/>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　</w:t>
            </w:r>
          </w:p>
        </w:tc>
      </w:tr>
      <w:tr>
        <w:tblPrEx>
          <w:tblCellMar>
            <w:top w:w="0" w:type="dxa"/>
            <w:left w:w="108" w:type="dxa"/>
            <w:bottom w:w="0" w:type="dxa"/>
            <w:right w:w="108" w:type="dxa"/>
          </w:tblCellMar>
        </w:tblPrEx>
        <w:trPr>
          <w:trHeight w:val="904" w:hRule="atLeast"/>
          <w:jc w:val="center"/>
        </w:trPr>
        <w:tc>
          <w:tcPr>
            <w:tcW w:w="9940"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黑体" w:hAnsi="黑体" w:eastAsia="黑体" w:cs="宋体"/>
                <w:b/>
                <w:bCs/>
                <w:color w:val="000000"/>
                <w:kern w:val="0"/>
                <w:sz w:val="30"/>
                <w:szCs w:val="30"/>
              </w:rPr>
            </w:pPr>
            <w:r>
              <w:rPr>
                <w:rFonts w:hint="eastAsia" w:ascii="黑体" w:hAnsi="黑体" w:eastAsia="黑体" w:cs="宋体"/>
                <w:b/>
                <w:bCs/>
                <w:color w:val="000000"/>
                <w:kern w:val="0"/>
                <w:sz w:val="30"/>
                <w:szCs w:val="30"/>
              </w:rPr>
              <w:t>部门预算项目支出绩效自评表（2022年度）</w:t>
            </w:r>
          </w:p>
        </w:tc>
      </w:tr>
      <w:tr>
        <w:tblPrEx>
          <w:tblCellMar>
            <w:top w:w="0" w:type="dxa"/>
            <w:left w:w="108" w:type="dxa"/>
            <w:bottom w:w="0" w:type="dxa"/>
            <w:right w:w="108" w:type="dxa"/>
          </w:tblCellMar>
        </w:tblPrEx>
        <w:trPr>
          <w:trHeight w:val="285" w:hRule="atLeast"/>
          <w:jc w:val="center"/>
        </w:trPr>
        <w:tc>
          <w:tcPr>
            <w:tcW w:w="22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项目名称</w:t>
            </w:r>
          </w:p>
        </w:tc>
        <w:tc>
          <w:tcPr>
            <w:tcW w:w="7680" w:type="dxa"/>
            <w:gridSpan w:val="9"/>
            <w:tcBorders>
              <w:top w:val="single" w:color="000000" w:sz="4" w:space="0"/>
              <w:left w:val="nil"/>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51082322T000005311044</w:t>
            </w:r>
            <w:r>
              <w:rPr>
                <w:rFonts w:hint="eastAsia" w:ascii="宋体" w:hAnsi="宋体" w:cs="宋体"/>
                <w:color w:val="000000"/>
                <w:kern w:val="0"/>
                <w:sz w:val="18"/>
                <w:szCs w:val="18"/>
                <w:lang w:eastAsia="zh-CN"/>
              </w:rPr>
              <w:t>－</w:t>
            </w:r>
            <w:r>
              <w:rPr>
                <w:rFonts w:hint="eastAsia" w:ascii="宋体" w:hAnsi="宋体" w:cs="宋体"/>
                <w:color w:val="000000"/>
                <w:kern w:val="0"/>
                <w:sz w:val="18"/>
                <w:szCs w:val="18"/>
              </w:rPr>
              <w:t>天府科技云平台</w:t>
            </w:r>
          </w:p>
        </w:tc>
      </w:tr>
      <w:tr>
        <w:tblPrEx>
          <w:tblCellMar>
            <w:top w:w="0" w:type="dxa"/>
            <w:left w:w="108" w:type="dxa"/>
            <w:bottom w:w="0" w:type="dxa"/>
            <w:right w:w="108" w:type="dxa"/>
          </w:tblCellMar>
        </w:tblPrEx>
        <w:trPr>
          <w:trHeight w:val="514" w:hRule="atLeast"/>
          <w:jc w:val="center"/>
        </w:trPr>
        <w:tc>
          <w:tcPr>
            <w:tcW w:w="22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主管部门</w:t>
            </w:r>
          </w:p>
        </w:tc>
        <w:tc>
          <w:tcPr>
            <w:tcW w:w="3900" w:type="dxa"/>
            <w:gridSpan w:val="5"/>
            <w:tcBorders>
              <w:top w:val="single" w:color="000000" w:sz="4" w:space="0"/>
              <w:left w:val="nil"/>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剑阁县科学技术协会本级</w:t>
            </w:r>
          </w:p>
        </w:tc>
        <w:tc>
          <w:tcPr>
            <w:tcW w:w="780" w:type="dxa"/>
            <w:tcBorders>
              <w:top w:val="nil"/>
              <w:left w:val="nil"/>
              <w:bottom w:val="nil"/>
              <w:right w:val="nil"/>
            </w:tcBorders>
            <w:shd w:val="clear" w:color="auto" w:fill="auto"/>
            <w:vAlign w:val="center"/>
          </w:tcPr>
          <w:p>
            <w:pPr>
              <w:widowControl/>
              <w:jc w:val="left"/>
              <w:rPr>
                <w:rFonts w:ascii="Courier New" w:hAnsi="Courier New" w:eastAsia="等线" w:cs="Courier New"/>
                <w:color w:val="000000"/>
                <w:kern w:val="0"/>
                <w:sz w:val="18"/>
                <w:szCs w:val="18"/>
              </w:rPr>
            </w:pPr>
            <w:r>
              <w:rPr>
                <w:rFonts w:ascii="Courier New" w:hAnsi="Courier New" w:eastAsia="等线" w:cs="Courier New"/>
                <w:color w:val="000000"/>
                <w:kern w:val="0"/>
                <w:sz w:val="18"/>
                <w:szCs w:val="18"/>
              </w:rPr>
              <w:t>实施单位 （盖章）</w:t>
            </w:r>
          </w:p>
        </w:tc>
        <w:tc>
          <w:tcPr>
            <w:tcW w:w="300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剑阁县科学技术协会</w:t>
            </w:r>
          </w:p>
        </w:tc>
      </w:tr>
      <w:tr>
        <w:tblPrEx>
          <w:tblCellMar>
            <w:top w:w="0" w:type="dxa"/>
            <w:left w:w="108" w:type="dxa"/>
            <w:bottom w:w="0" w:type="dxa"/>
            <w:right w:w="108" w:type="dxa"/>
          </w:tblCellMar>
        </w:tblPrEx>
        <w:trPr>
          <w:trHeight w:val="285" w:hRule="atLeast"/>
          <w:jc w:val="center"/>
        </w:trPr>
        <w:tc>
          <w:tcPr>
            <w:tcW w:w="700" w:type="dxa"/>
            <w:vMerge w:val="restart"/>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项目基本情况</w:t>
            </w:r>
          </w:p>
        </w:tc>
        <w:tc>
          <w:tcPr>
            <w:tcW w:w="1560" w:type="dxa"/>
            <w:vMerge w:val="restart"/>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1.项目年度目标完成情况</w:t>
            </w:r>
          </w:p>
        </w:tc>
        <w:tc>
          <w:tcPr>
            <w:tcW w:w="3900" w:type="dxa"/>
            <w:gridSpan w:val="5"/>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项目年度目标</w:t>
            </w:r>
          </w:p>
        </w:tc>
        <w:tc>
          <w:tcPr>
            <w:tcW w:w="3780" w:type="dxa"/>
            <w:gridSpan w:val="4"/>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Courier New" w:hAnsi="Courier New" w:eastAsia="等线" w:cs="Courier New"/>
                <w:color w:val="000000"/>
                <w:kern w:val="0"/>
                <w:sz w:val="18"/>
                <w:szCs w:val="18"/>
              </w:rPr>
            </w:pPr>
            <w:r>
              <w:rPr>
                <w:rFonts w:ascii="Courier New" w:hAnsi="Courier New" w:eastAsia="等线" w:cs="Courier New"/>
                <w:color w:val="000000"/>
                <w:kern w:val="0"/>
                <w:sz w:val="18"/>
                <w:szCs w:val="18"/>
              </w:rPr>
              <w:t>年度目标完成情况</w:t>
            </w:r>
          </w:p>
        </w:tc>
      </w:tr>
      <w:tr>
        <w:tblPrEx>
          <w:tblCellMar>
            <w:top w:w="0" w:type="dxa"/>
            <w:left w:w="108" w:type="dxa"/>
            <w:bottom w:w="0" w:type="dxa"/>
            <w:right w:w="108" w:type="dxa"/>
          </w:tblCellMar>
        </w:tblPrEx>
        <w:trPr>
          <w:trHeight w:val="709" w:hRule="atLeast"/>
          <w:jc w:val="center"/>
        </w:trPr>
        <w:tc>
          <w:tcPr>
            <w:tcW w:w="700"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1560"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3900" w:type="dxa"/>
            <w:gridSpan w:val="5"/>
            <w:tcBorders>
              <w:top w:val="single" w:color="000000" w:sz="4" w:space="0"/>
              <w:left w:val="nil"/>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　</w:t>
            </w:r>
          </w:p>
        </w:tc>
        <w:tc>
          <w:tcPr>
            <w:tcW w:w="3780" w:type="dxa"/>
            <w:gridSpan w:val="4"/>
            <w:tcBorders>
              <w:top w:val="single" w:color="000000" w:sz="4" w:space="0"/>
              <w:left w:val="nil"/>
              <w:bottom w:val="single" w:color="000000" w:sz="4" w:space="0"/>
              <w:right w:val="single" w:color="000000" w:sz="4" w:space="0"/>
            </w:tcBorders>
            <w:shd w:val="clear" w:color="auto" w:fill="auto"/>
            <w:vAlign w:val="center"/>
          </w:tcPr>
          <w:p>
            <w:pPr>
              <w:widowControl/>
              <w:jc w:val="left"/>
              <w:rPr>
                <w:rFonts w:ascii="Courier New" w:hAnsi="Courier New" w:eastAsia="等线" w:cs="Courier New"/>
                <w:color w:val="000000"/>
                <w:kern w:val="0"/>
                <w:sz w:val="18"/>
                <w:szCs w:val="18"/>
              </w:rPr>
            </w:pPr>
            <w:r>
              <w:rPr>
                <w:rFonts w:ascii="Courier New" w:hAnsi="Courier New" w:eastAsia="等线" w:cs="Courier New"/>
                <w:color w:val="000000"/>
                <w:kern w:val="0"/>
                <w:sz w:val="18"/>
                <w:szCs w:val="18"/>
              </w:rPr>
              <w:t>对照年度目标，说明相关任务目标的完成情况（100字以内）</w:t>
            </w:r>
          </w:p>
        </w:tc>
      </w:tr>
      <w:tr>
        <w:tblPrEx>
          <w:tblCellMar>
            <w:top w:w="0" w:type="dxa"/>
            <w:left w:w="108" w:type="dxa"/>
            <w:bottom w:w="0" w:type="dxa"/>
            <w:right w:w="108" w:type="dxa"/>
          </w:tblCellMar>
        </w:tblPrEx>
        <w:trPr>
          <w:trHeight w:val="694" w:hRule="atLeast"/>
          <w:jc w:val="center"/>
        </w:trPr>
        <w:tc>
          <w:tcPr>
            <w:tcW w:w="700"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1560"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2.项目实施内容及过程概述</w:t>
            </w:r>
          </w:p>
        </w:tc>
        <w:tc>
          <w:tcPr>
            <w:tcW w:w="7680" w:type="dxa"/>
            <w:gridSpan w:val="9"/>
            <w:tcBorders>
              <w:top w:val="single" w:color="000000" w:sz="4" w:space="0"/>
              <w:left w:val="nil"/>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　</w:t>
            </w:r>
          </w:p>
        </w:tc>
      </w:tr>
      <w:tr>
        <w:tblPrEx>
          <w:tblCellMar>
            <w:top w:w="0" w:type="dxa"/>
            <w:left w:w="108" w:type="dxa"/>
            <w:bottom w:w="0" w:type="dxa"/>
            <w:right w:w="108" w:type="dxa"/>
          </w:tblCellMar>
        </w:tblPrEx>
        <w:trPr>
          <w:trHeight w:val="360" w:hRule="atLeast"/>
          <w:jc w:val="center"/>
        </w:trPr>
        <w:tc>
          <w:tcPr>
            <w:tcW w:w="700" w:type="dxa"/>
            <w:vMerge w:val="restart"/>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预算执行情况（10分）</w:t>
            </w:r>
          </w:p>
        </w:tc>
        <w:tc>
          <w:tcPr>
            <w:tcW w:w="156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年度预算数（万元）</w:t>
            </w:r>
          </w:p>
        </w:tc>
        <w:tc>
          <w:tcPr>
            <w:tcW w:w="78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年初预算</w:t>
            </w:r>
          </w:p>
        </w:tc>
        <w:tc>
          <w:tcPr>
            <w:tcW w:w="78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调整后预算数</w:t>
            </w:r>
          </w:p>
        </w:tc>
        <w:tc>
          <w:tcPr>
            <w:tcW w:w="2340" w:type="dxa"/>
            <w:gridSpan w:val="3"/>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预算执行数</w:t>
            </w:r>
          </w:p>
        </w:tc>
        <w:tc>
          <w:tcPr>
            <w:tcW w:w="78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预算执行率</w:t>
            </w:r>
          </w:p>
        </w:tc>
        <w:tc>
          <w:tcPr>
            <w:tcW w:w="52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权重</w:t>
            </w:r>
          </w:p>
        </w:tc>
        <w:tc>
          <w:tcPr>
            <w:tcW w:w="46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得分</w:t>
            </w:r>
          </w:p>
        </w:tc>
        <w:tc>
          <w:tcPr>
            <w:tcW w:w="202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原因</w:t>
            </w:r>
          </w:p>
        </w:tc>
      </w:tr>
      <w:tr>
        <w:tblPrEx>
          <w:tblCellMar>
            <w:top w:w="0" w:type="dxa"/>
            <w:left w:w="108" w:type="dxa"/>
            <w:bottom w:w="0" w:type="dxa"/>
            <w:right w:w="108" w:type="dxa"/>
          </w:tblCellMar>
        </w:tblPrEx>
        <w:trPr>
          <w:trHeight w:val="387" w:hRule="atLeast"/>
          <w:jc w:val="center"/>
        </w:trPr>
        <w:tc>
          <w:tcPr>
            <w:tcW w:w="700"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156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总额</w:t>
            </w:r>
          </w:p>
        </w:tc>
        <w:tc>
          <w:tcPr>
            <w:tcW w:w="78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21.49</w:t>
            </w:r>
          </w:p>
        </w:tc>
        <w:tc>
          <w:tcPr>
            <w:tcW w:w="78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69.49</w:t>
            </w:r>
          </w:p>
        </w:tc>
        <w:tc>
          <w:tcPr>
            <w:tcW w:w="2340" w:type="dxa"/>
            <w:gridSpan w:val="3"/>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21.49</w:t>
            </w:r>
          </w:p>
        </w:tc>
        <w:tc>
          <w:tcPr>
            <w:tcW w:w="78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30.92%</w:t>
            </w:r>
          </w:p>
        </w:tc>
        <w:tc>
          <w:tcPr>
            <w:tcW w:w="52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10</w:t>
            </w:r>
          </w:p>
        </w:tc>
        <w:tc>
          <w:tcPr>
            <w:tcW w:w="46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2020" w:type="dxa"/>
            <w:vMerge w:val="restart"/>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Courier New" w:hAnsi="Courier New" w:eastAsia="等线" w:cs="Courier New"/>
                <w:i/>
                <w:iCs/>
                <w:color w:val="000000"/>
                <w:kern w:val="0"/>
                <w:sz w:val="18"/>
                <w:szCs w:val="18"/>
              </w:rPr>
            </w:pPr>
            <w:r>
              <w:rPr>
                <w:rFonts w:ascii="Courier New" w:hAnsi="Courier New" w:eastAsia="等线" w:cs="Courier New"/>
                <w:i/>
                <w:iCs/>
                <w:color w:val="000000"/>
                <w:kern w:val="0"/>
                <w:sz w:val="18"/>
                <w:szCs w:val="18"/>
              </w:rPr>
              <w:t>1.预算执行率=预算执行数/调整后预算数，预算执行率未达到90%的需说明原因（100字以内）</w:t>
            </w:r>
            <w:r>
              <w:rPr>
                <w:rFonts w:hint="eastAsia" w:ascii="Courier New" w:hAnsi="Courier New" w:eastAsia="等线" w:cs="Courier New"/>
                <w:i/>
                <w:iCs/>
                <w:color w:val="000000"/>
                <w:kern w:val="0"/>
                <w:sz w:val="18"/>
                <w:szCs w:val="18"/>
                <w:lang w:eastAsia="zh-CN"/>
              </w:rPr>
              <w:t>；</w:t>
            </w:r>
            <w:r>
              <w:rPr>
                <w:rFonts w:ascii="Courier New" w:hAnsi="Courier New" w:eastAsia="等线" w:cs="Courier New"/>
                <w:i/>
                <w:iCs/>
                <w:color w:val="000000"/>
                <w:kern w:val="0"/>
                <w:sz w:val="18"/>
                <w:szCs w:val="18"/>
              </w:rPr>
              <w:t>2.年中发生预算调整的（追加或调减）</w:t>
            </w:r>
            <w:r>
              <w:rPr>
                <w:rFonts w:hint="eastAsia" w:ascii="Courier New" w:hAnsi="Courier New" w:eastAsia="等线" w:cs="Courier New"/>
                <w:i/>
                <w:iCs/>
                <w:color w:val="000000"/>
                <w:kern w:val="0"/>
                <w:sz w:val="18"/>
                <w:szCs w:val="18"/>
                <w:lang w:eastAsia="zh-CN"/>
              </w:rPr>
              <w:t>，</w:t>
            </w:r>
            <w:r>
              <w:rPr>
                <w:rFonts w:ascii="Courier New" w:hAnsi="Courier New" w:eastAsia="等线" w:cs="Courier New"/>
                <w:i/>
                <w:iCs/>
                <w:color w:val="000000"/>
                <w:kern w:val="0"/>
                <w:sz w:val="18"/>
                <w:szCs w:val="18"/>
              </w:rPr>
              <w:t>应单独说明理由；3.其他资金包括：社会投入资金、银行贷款.</w:t>
            </w:r>
          </w:p>
        </w:tc>
      </w:tr>
      <w:tr>
        <w:tblPrEx>
          <w:tblCellMar>
            <w:top w:w="0" w:type="dxa"/>
            <w:left w:w="108" w:type="dxa"/>
            <w:bottom w:w="0" w:type="dxa"/>
            <w:right w:w="108" w:type="dxa"/>
          </w:tblCellMar>
        </w:tblPrEx>
        <w:trPr>
          <w:trHeight w:val="432" w:hRule="atLeast"/>
          <w:jc w:val="center"/>
        </w:trPr>
        <w:tc>
          <w:tcPr>
            <w:tcW w:w="700"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156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其中：财政资金</w:t>
            </w:r>
          </w:p>
        </w:tc>
        <w:tc>
          <w:tcPr>
            <w:tcW w:w="78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21.49</w:t>
            </w:r>
          </w:p>
        </w:tc>
        <w:tc>
          <w:tcPr>
            <w:tcW w:w="78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69.49</w:t>
            </w:r>
          </w:p>
        </w:tc>
        <w:tc>
          <w:tcPr>
            <w:tcW w:w="2340" w:type="dxa"/>
            <w:gridSpan w:val="3"/>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21.49</w:t>
            </w:r>
          </w:p>
        </w:tc>
        <w:tc>
          <w:tcPr>
            <w:tcW w:w="78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30.92%</w:t>
            </w:r>
          </w:p>
        </w:tc>
        <w:tc>
          <w:tcPr>
            <w:tcW w:w="52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46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2020" w:type="dxa"/>
            <w:vMerge w:val="continue"/>
            <w:tcBorders>
              <w:top w:val="nil"/>
              <w:left w:val="single" w:color="000000" w:sz="4" w:space="0"/>
              <w:bottom w:val="single" w:color="000000" w:sz="4" w:space="0"/>
              <w:right w:val="single" w:color="000000" w:sz="4" w:space="0"/>
            </w:tcBorders>
            <w:vAlign w:val="center"/>
          </w:tcPr>
          <w:p>
            <w:pPr>
              <w:widowControl/>
              <w:jc w:val="left"/>
              <w:rPr>
                <w:rFonts w:ascii="Courier New" w:hAnsi="Courier New" w:eastAsia="等线" w:cs="Courier New"/>
                <w:i/>
                <w:iCs/>
                <w:color w:val="000000"/>
                <w:kern w:val="0"/>
                <w:sz w:val="18"/>
                <w:szCs w:val="18"/>
              </w:rPr>
            </w:pPr>
          </w:p>
        </w:tc>
      </w:tr>
      <w:tr>
        <w:tblPrEx>
          <w:tblCellMar>
            <w:top w:w="0" w:type="dxa"/>
            <w:left w:w="108" w:type="dxa"/>
            <w:bottom w:w="0" w:type="dxa"/>
            <w:right w:w="108" w:type="dxa"/>
          </w:tblCellMar>
        </w:tblPrEx>
        <w:trPr>
          <w:trHeight w:val="447" w:hRule="atLeast"/>
          <w:jc w:val="center"/>
        </w:trPr>
        <w:tc>
          <w:tcPr>
            <w:tcW w:w="700"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156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财政专户管理资金</w:t>
            </w:r>
          </w:p>
        </w:tc>
        <w:tc>
          <w:tcPr>
            <w:tcW w:w="78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78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2340" w:type="dxa"/>
            <w:gridSpan w:val="3"/>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78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52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46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2020" w:type="dxa"/>
            <w:vMerge w:val="continue"/>
            <w:tcBorders>
              <w:top w:val="nil"/>
              <w:left w:val="single" w:color="000000" w:sz="4" w:space="0"/>
              <w:bottom w:val="single" w:color="000000" w:sz="4" w:space="0"/>
              <w:right w:val="single" w:color="000000" w:sz="4" w:space="0"/>
            </w:tcBorders>
            <w:vAlign w:val="center"/>
          </w:tcPr>
          <w:p>
            <w:pPr>
              <w:widowControl/>
              <w:jc w:val="left"/>
              <w:rPr>
                <w:rFonts w:ascii="Courier New" w:hAnsi="Courier New" w:eastAsia="等线" w:cs="Courier New"/>
                <w:i/>
                <w:iCs/>
                <w:color w:val="000000"/>
                <w:kern w:val="0"/>
                <w:sz w:val="18"/>
                <w:szCs w:val="18"/>
              </w:rPr>
            </w:pPr>
          </w:p>
        </w:tc>
      </w:tr>
      <w:tr>
        <w:tblPrEx>
          <w:tblCellMar>
            <w:top w:w="0" w:type="dxa"/>
            <w:left w:w="108" w:type="dxa"/>
            <w:bottom w:w="0" w:type="dxa"/>
            <w:right w:w="108" w:type="dxa"/>
          </w:tblCellMar>
        </w:tblPrEx>
        <w:trPr>
          <w:trHeight w:val="402" w:hRule="atLeast"/>
          <w:jc w:val="center"/>
        </w:trPr>
        <w:tc>
          <w:tcPr>
            <w:tcW w:w="700"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156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单位资金</w:t>
            </w:r>
          </w:p>
        </w:tc>
        <w:tc>
          <w:tcPr>
            <w:tcW w:w="78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78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2340" w:type="dxa"/>
            <w:gridSpan w:val="3"/>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78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52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46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2020" w:type="dxa"/>
            <w:vMerge w:val="continue"/>
            <w:tcBorders>
              <w:top w:val="nil"/>
              <w:left w:val="single" w:color="000000" w:sz="4" w:space="0"/>
              <w:bottom w:val="single" w:color="000000" w:sz="4" w:space="0"/>
              <w:right w:val="single" w:color="000000" w:sz="4" w:space="0"/>
            </w:tcBorders>
            <w:vAlign w:val="center"/>
          </w:tcPr>
          <w:p>
            <w:pPr>
              <w:widowControl/>
              <w:jc w:val="left"/>
              <w:rPr>
                <w:rFonts w:ascii="Courier New" w:hAnsi="Courier New" w:eastAsia="等线" w:cs="Courier New"/>
                <w:i/>
                <w:iCs/>
                <w:color w:val="000000"/>
                <w:kern w:val="0"/>
                <w:sz w:val="18"/>
                <w:szCs w:val="18"/>
              </w:rPr>
            </w:pPr>
          </w:p>
        </w:tc>
      </w:tr>
      <w:tr>
        <w:tblPrEx>
          <w:tblCellMar>
            <w:top w:w="0" w:type="dxa"/>
            <w:left w:w="108" w:type="dxa"/>
            <w:bottom w:w="0" w:type="dxa"/>
            <w:right w:w="108" w:type="dxa"/>
          </w:tblCellMar>
        </w:tblPrEx>
        <w:trPr>
          <w:trHeight w:val="379" w:hRule="atLeast"/>
          <w:jc w:val="center"/>
        </w:trPr>
        <w:tc>
          <w:tcPr>
            <w:tcW w:w="700"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156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其他资金</w:t>
            </w:r>
          </w:p>
        </w:tc>
        <w:tc>
          <w:tcPr>
            <w:tcW w:w="780" w:type="dxa"/>
            <w:tcBorders>
              <w:top w:val="nil"/>
              <w:left w:val="nil"/>
              <w:bottom w:val="single" w:color="000000" w:sz="4" w:space="0"/>
              <w:right w:val="single" w:color="000000" w:sz="4" w:space="0"/>
            </w:tcBorders>
            <w:shd w:val="clear" w:color="auto" w:fill="auto"/>
            <w:vAlign w:val="center"/>
          </w:tcPr>
          <w:p>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c>
          <w:tcPr>
            <w:tcW w:w="780" w:type="dxa"/>
            <w:tcBorders>
              <w:top w:val="nil"/>
              <w:left w:val="nil"/>
              <w:bottom w:val="single" w:color="000000" w:sz="4" w:space="0"/>
              <w:right w:val="single" w:color="000000" w:sz="4" w:space="0"/>
            </w:tcBorders>
            <w:shd w:val="clear" w:color="auto" w:fill="auto"/>
            <w:vAlign w:val="center"/>
          </w:tcPr>
          <w:p>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c>
          <w:tcPr>
            <w:tcW w:w="2340" w:type="dxa"/>
            <w:gridSpan w:val="3"/>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c>
          <w:tcPr>
            <w:tcW w:w="780" w:type="dxa"/>
            <w:tcBorders>
              <w:top w:val="nil"/>
              <w:left w:val="nil"/>
              <w:bottom w:val="single" w:color="000000" w:sz="4" w:space="0"/>
              <w:right w:val="single" w:color="000000" w:sz="4" w:space="0"/>
            </w:tcBorders>
            <w:shd w:val="clear" w:color="auto" w:fill="auto"/>
            <w:vAlign w:val="center"/>
          </w:tcPr>
          <w:p>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c>
          <w:tcPr>
            <w:tcW w:w="52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46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2020" w:type="dxa"/>
            <w:vMerge w:val="continue"/>
            <w:tcBorders>
              <w:top w:val="nil"/>
              <w:left w:val="single" w:color="000000" w:sz="4" w:space="0"/>
              <w:bottom w:val="single" w:color="000000" w:sz="4" w:space="0"/>
              <w:right w:val="single" w:color="000000" w:sz="4" w:space="0"/>
            </w:tcBorders>
            <w:vAlign w:val="center"/>
          </w:tcPr>
          <w:p>
            <w:pPr>
              <w:widowControl/>
              <w:jc w:val="left"/>
              <w:rPr>
                <w:rFonts w:ascii="Courier New" w:hAnsi="Courier New" w:eastAsia="等线" w:cs="Courier New"/>
                <w:i/>
                <w:iCs/>
                <w:color w:val="000000"/>
                <w:kern w:val="0"/>
                <w:sz w:val="18"/>
                <w:szCs w:val="18"/>
              </w:rPr>
            </w:pPr>
          </w:p>
        </w:tc>
      </w:tr>
      <w:tr>
        <w:tblPrEx>
          <w:tblCellMar>
            <w:top w:w="0" w:type="dxa"/>
            <w:left w:w="108" w:type="dxa"/>
            <w:bottom w:w="0" w:type="dxa"/>
            <w:right w:w="108" w:type="dxa"/>
          </w:tblCellMar>
        </w:tblPrEx>
        <w:trPr>
          <w:trHeight w:val="454" w:hRule="atLeast"/>
          <w:jc w:val="center"/>
        </w:trPr>
        <w:tc>
          <w:tcPr>
            <w:tcW w:w="700" w:type="dxa"/>
            <w:vMerge w:val="restart"/>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绩效指标（90分）</w:t>
            </w:r>
          </w:p>
        </w:tc>
        <w:tc>
          <w:tcPr>
            <w:tcW w:w="156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一级指标</w:t>
            </w:r>
          </w:p>
        </w:tc>
        <w:tc>
          <w:tcPr>
            <w:tcW w:w="78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二级指标</w:t>
            </w:r>
          </w:p>
        </w:tc>
        <w:tc>
          <w:tcPr>
            <w:tcW w:w="78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三级指标</w:t>
            </w:r>
          </w:p>
        </w:tc>
        <w:tc>
          <w:tcPr>
            <w:tcW w:w="78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指标性质</w:t>
            </w:r>
          </w:p>
        </w:tc>
        <w:tc>
          <w:tcPr>
            <w:tcW w:w="78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指标值</w:t>
            </w:r>
          </w:p>
        </w:tc>
        <w:tc>
          <w:tcPr>
            <w:tcW w:w="78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度量单位</w:t>
            </w:r>
          </w:p>
        </w:tc>
        <w:tc>
          <w:tcPr>
            <w:tcW w:w="78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完成值</w:t>
            </w:r>
          </w:p>
        </w:tc>
        <w:tc>
          <w:tcPr>
            <w:tcW w:w="52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权重</w:t>
            </w:r>
          </w:p>
        </w:tc>
        <w:tc>
          <w:tcPr>
            <w:tcW w:w="46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得分</w:t>
            </w:r>
          </w:p>
        </w:tc>
        <w:tc>
          <w:tcPr>
            <w:tcW w:w="202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未完成原因分析</w:t>
            </w:r>
          </w:p>
        </w:tc>
      </w:tr>
      <w:tr>
        <w:tblPrEx>
          <w:tblCellMar>
            <w:top w:w="0" w:type="dxa"/>
            <w:left w:w="108" w:type="dxa"/>
            <w:bottom w:w="0" w:type="dxa"/>
            <w:right w:w="108" w:type="dxa"/>
          </w:tblCellMar>
        </w:tblPrEx>
        <w:trPr>
          <w:trHeight w:val="338" w:hRule="atLeast"/>
          <w:jc w:val="center"/>
        </w:trPr>
        <w:tc>
          <w:tcPr>
            <w:tcW w:w="700"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156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78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78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78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78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78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780" w:type="dxa"/>
            <w:tcBorders>
              <w:top w:val="nil"/>
              <w:left w:val="nil"/>
              <w:bottom w:val="single" w:color="000000" w:sz="4" w:space="0"/>
              <w:right w:val="single" w:color="000000" w:sz="4" w:space="0"/>
            </w:tcBorders>
            <w:shd w:val="clear" w:color="auto" w:fill="auto"/>
            <w:vAlign w:val="center"/>
          </w:tcPr>
          <w:p>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c>
          <w:tcPr>
            <w:tcW w:w="52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46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2020" w:type="dxa"/>
            <w:tcBorders>
              <w:top w:val="nil"/>
              <w:left w:val="nil"/>
              <w:bottom w:val="single" w:color="000000" w:sz="4" w:space="0"/>
              <w:right w:val="single" w:color="000000" w:sz="4" w:space="0"/>
            </w:tcBorders>
            <w:shd w:val="clear" w:color="auto" w:fill="auto"/>
            <w:vAlign w:val="center"/>
          </w:tcPr>
          <w:p>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r>
      <w:tr>
        <w:tblPrEx>
          <w:tblCellMar>
            <w:top w:w="0" w:type="dxa"/>
            <w:left w:w="108" w:type="dxa"/>
            <w:bottom w:w="0" w:type="dxa"/>
            <w:right w:w="108" w:type="dxa"/>
          </w:tblCellMar>
        </w:tblPrEx>
        <w:trPr>
          <w:trHeight w:val="285" w:hRule="atLeast"/>
          <w:jc w:val="center"/>
        </w:trPr>
        <w:tc>
          <w:tcPr>
            <w:tcW w:w="6940"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合计</w:t>
            </w:r>
          </w:p>
        </w:tc>
        <w:tc>
          <w:tcPr>
            <w:tcW w:w="52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100</w:t>
            </w:r>
          </w:p>
        </w:tc>
        <w:tc>
          <w:tcPr>
            <w:tcW w:w="460"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　</w:t>
            </w:r>
          </w:p>
        </w:tc>
        <w:tc>
          <w:tcPr>
            <w:tcW w:w="2020"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　</w:t>
            </w:r>
          </w:p>
        </w:tc>
      </w:tr>
      <w:tr>
        <w:tblPrEx>
          <w:tblCellMar>
            <w:top w:w="0" w:type="dxa"/>
            <w:left w:w="108" w:type="dxa"/>
            <w:bottom w:w="0" w:type="dxa"/>
            <w:right w:w="108" w:type="dxa"/>
          </w:tblCellMar>
        </w:tblPrEx>
        <w:trPr>
          <w:trHeight w:val="604" w:hRule="atLeast"/>
          <w:jc w:val="center"/>
        </w:trPr>
        <w:tc>
          <w:tcPr>
            <w:tcW w:w="700" w:type="dxa"/>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评价结论</w:t>
            </w:r>
          </w:p>
        </w:tc>
        <w:tc>
          <w:tcPr>
            <w:tcW w:w="9240" w:type="dxa"/>
            <w:gridSpan w:val="10"/>
            <w:tcBorders>
              <w:top w:val="single" w:color="000000" w:sz="4" w:space="0"/>
              <w:left w:val="nil"/>
              <w:bottom w:val="single" w:color="000000" w:sz="4" w:space="0"/>
              <w:right w:val="single" w:color="000000" w:sz="4" w:space="0"/>
            </w:tcBorders>
            <w:shd w:val="clear" w:color="auto" w:fill="auto"/>
            <w:vAlign w:val="center"/>
          </w:tcPr>
          <w:p>
            <w:pPr>
              <w:widowControl/>
              <w:jc w:val="left"/>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r>
      <w:tr>
        <w:tblPrEx>
          <w:tblCellMar>
            <w:top w:w="0" w:type="dxa"/>
            <w:left w:w="108" w:type="dxa"/>
            <w:bottom w:w="0" w:type="dxa"/>
            <w:right w:w="108" w:type="dxa"/>
          </w:tblCellMar>
        </w:tblPrEx>
        <w:trPr>
          <w:trHeight w:val="574" w:hRule="atLeast"/>
          <w:jc w:val="center"/>
        </w:trPr>
        <w:tc>
          <w:tcPr>
            <w:tcW w:w="700" w:type="dxa"/>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存在问题</w:t>
            </w:r>
          </w:p>
        </w:tc>
        <w:tc>
          <w:tcPr>
            <w:tcW w:w="9240" w:type="dxa"/>
            <w:gridSpan w:val="10"/>
            <w:tcBorders>
              <w:top w:val="single" w:color="000000" w:sz="4" w:space="0"/>
              <w:left w:val="nil"/>
              <w:bottom w:val="single" w:color="000000" w:sz="4" w:space="0"/>
              <w:right w:val="single" w:color="000000" w:sz="4" w:space="0"/>
            </w:tcBorders>
            <w:shd w:val="clear" w:color="auto" w:fill="auto"/>
            <w:vAlign w:val="center"/>
          </w:tcPr>
          <w:p>
            <w:pPr>
              <w:widowControl/>
              <w:jc w:val="left"/>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r>
      <w:tr>
        <w:tblPrEx>
          <w:tblCellMar>
            <w:top w:w="0" w:type="dxa"/>
            <w:left w:w="108" w:type="dxa"/>
            <w:bottom w:w="0" w:type="dxa"/>
            <w:right w:w="108" w:type="dxa"/>
          </w:tblCellMar>
        </w:tblPrEx>
        <w:trPr>
          <w:trHeight w:val="634" w:hRule="atLeast"/>
          <w:jc w:val="center"/>
        </w:trPr>
        <w:tc>
          <w:tcPr>
            <w:tcW w:w="700" w:type="dxa"/>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改进措施</w:t>
            </w:r>
          </w:p>
        </w:tc>
        <w:tc>
          <w:tcPr>
            <w:tcW w:w="9240" w:type="dxa"/>
            <w:gridSpan w:val="10"/>
            <w:tcBorders>
              <w:top w:val="single" w:color="000000" w:sz="4" w:space="0"/>
              <w:left w:val="nil"/>
              <w:bottom w:val="single" w:color="000000" w:sz="4" w:space="0"/>
              <w:right w:val="single" w:color="000000" w:sz="4" w:space="0"/>
            </w:tcBorders>
            <w:shd w:val="clear" w:color="auto" w:fill="auto"/>
            <w:vAlign w:val="center"/>
          </w:tcPr>
          <w:p>
            <w:pPr>
              <w:widowControl/>
              <w:jc w:val="left"/>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r>
      <w:tr>
        <w:tblPrEx>
          <w:tblCellMar>
            <w:top w:w="0" w:type="dxa"/>
            <w:left w:w="108" w:type="dxa"/>
            <w:bottom w:w="0" w:type="dxa"/>
            <w:right w:w="108" w:type="dxa"/>
          </w:tblCellMar>
        </w:tblPrEx>
        <w:trPr>
          <w:trHeight w:val="285" w:hRule="atLeast"/>
          <w:jc w:val="center"/>
        </w:trPr>
        <w:tc>
          <w:tcPr>
            <w:tcW w:w="460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Courier New" w:hAnsi="Courier New" w:eastAsia="等线" w:cs="Courier New"/>
                <w:color w:val="000000"/>
                <w:kern w:val="0"/>
                <w:sz w:val="18"/>
                <w:szCs w:val="18"/>
              </w:rPr>
            </w:pPr>
            <w:r>
              <w:rPr>
                <w:rFonts w:ascii="Courier New" w:hAnsi="Courier New" w:eastAsia="等线" w:cs="Courier New"/>
                <w:color w:val="000000"/>
                <w:kern w:val="0"/>
                <w:sz w:val="18"/>
                <w:szCs w:val="18"/>
              </w:rPr>
              <w:t>项目负责人：</w:t>
            </w:r>
          </w:p>
        </w:tc>
        <w:tc>
          <w:tcPr>
            <w:tcW w:w="5340" w:type="dxa"/>
            <w:gridSpan w:val="6"/>
            <w:tcBorders>
              <w:top w:val="single" w:color="000000" w:sz="4" w:space="0"/>
              <w:left w:val="nil"/>
              <w:bottom w:val="single" w:color="000000" w:sz="4" w:space="0"/>
              <w:right w:val="single" w:color="000000" w:sz="4" w:space="0"/>
            </w:tcBorders>
            <w:shd w:val="clear" w:color="auto" w:fill="auto"/>
            <w:vAlign w:val="center"/>
          </w:tcPr>
          <w:p>
            <w:pPr>
              <w:widowControl/>
              <w:jc w:val="left"/>
              <w:rPr>
                <w:rFonts w:ascii="Courier New" w:hAnsi="Courier New" w:eastAsia="等线" w:cs="Courier New"/>
                <w:color w:val="000000"/>
                <w:kern w:val="0"/>
                <w:sz w:val="18"/>
                <w:szCs w:val="18"/>
              </w:rPr>
            </w:pPr>
            <w:r>
              <w:rPr>
                <w:rFonts w:ascii="Courier New" w:hAnsi="Courier New" w:eastAsia="等线" w:cs="Courier New"/>
                <w:color w:val="000000"/>
                <w:kern w:val="0"/>
                <w:sz w:val="18"/>
                <w:szCs w:val="18"/>
              </w:rPr>
              <w:t>财务负责人：</w:t>
            </w:r>
          </w:p>
        </w:tc>
      </w:tr>
    </w:tbl>
    <w:p>
      <w:pPr>
        <w:pStyle w:val="15"/>
        <w:spacing w:line="560" w:lineRule="exact"/>
        <w:ind w:left="0" w:leftChars="0" w:firstLine="0" w:firstLineChars="0"/>
        <w:rPr>
          <w:sz w:val="32"/>
          <w:lang w:val="zh-CN"/>
        </w:rPr>
      </w:pPr>
    </w:p>
    <w:p>
      <w:pPr>
        <w:pStyle w:val="2"/>
        <w:spacing w:before="93"/>
        <w:rPr>
          <w:rFonts w:hAnsi="宋体" w:cs="宋体"/>
          <w:sz w:val="32"/>
          <w:szCs w:val="32"/>
          <w:shd w:val="clear" w:color="auto" w:fill="FFFFFF"/>
          <w:lang w:val="zh-CN"/>
        </w:rPr>
      </w:pPr>
    </w:p>
    <w:p>
      <w:pPr>
        <w:pStyle w:val="2"/>
        <w:spacing w:before="93"/>
        <w:rPr>
          <w:rFonts w:hAnsi="宋体" w:cs="宋体"/>
          <w:sz w:val="32"/>
          <w:szCs w:val="32"/>
          <w:shd w:val="clear" w:color="auto" w:fill="FFFFFF"/>
          <w:lang w:val="zh-CN"/>
        </w:rPr>
      </w:pPr>
    </w:p>
    <w:p>
      <w:pPr>
        <w:pStyle w:val="2"/>
        <w:spacing w:before="93"/>
        <w:rPr>
          <w:rFonts w:hAnsi="宋体" w:cs="宋体"/>
          <w:sz w:val="32"/>
          <w:szCs w:val="32"/>
          <w:shd w:val="clear" w:color="auto" w:fill="FFFFFF"/>
          <w:lang w:val="zh-CN"/>
        </w:rPr>
      </w:pPr>
    </w:p>
    <w:p>
      <w:pPr>
        <w:pStyle w:val="2"/>
        <w:spacing w:before="93"/>
        <w:rPr>
          <w:rFonts w:hAnsi="宋体" w:cs="宋体"/>
          <w:sz w:val="32"/>
          <w:szCs w:val="32"/>
          <w:shd w:val="clear" w:color="auto" w:fill="FFFFFF"/>
          <w:lang w:val="zh-CN"/>
        </w:rPr>
      </w:pPr>
    </w:p>
    <w:p>
      <w:pPr>
        <w:pStyle w:val="2"/>
        <w:spacing w:before="93"/>
        <w:rPr>
          <w:rFonts w:hAnsi="宋体" w:cs="宋体"/>
          <w:sz w:val="32"/>
          <w:szCs w:val="32"/>
          <w:shd w:val="clear" w:color="auto" w:fill="FFFFFF"/>
          <w:lang w:val="zh-CN"/>
        </w:rPr>
      </w:pPr>
    </w:p>
    <w:p>
      <w:pPr>
        <w:pStyle w:val="2"/>
        <w:spacing w:before="93"/>
        <w:rPr>
          <w:rFonts w:hAnsi="宋体" w:cs="宋体"/>
          <w:sz w:val="32"/>
          <w:szCs w:val="32"/>
          <w:shd w:val="clear" w:color="auto" w:fill="FFFFFF"/>
          <w:lang w:val="zh-CN"/>
        </w:rPr>
      </w:pPr>
    </w:p>
    <w:p>
      <w:pPr>
        <w:pStyle w:val="2"/>
        <w:spacing w:before="93"/>
        <w:rPr>
          <w:rFonts w:hAnsi="宋体" w:cs="宋体"/>
          <w:sz w:val="32"/>
          <w:szCs w:val="32"/>
          <w:shd w:val="clear" w:color="auto" w:fill="FFFFFF"/>
          <w:lang w:val="zh-CN"/>
        </w:rPr>
      </w:pPr>
    </w:p>
    <w:p>
      <w:pPr>
        <w:pStyle w:val="2"/>
        <w:spacing w:before="93"/>
        <w:rPr>
          <w:rFonts w:hAnsi="宋体" w:cs="宋体"/>
          <w:sz w:val="32"/>
          <w:szCs w:val="32"/>
          <w:shd w:val="clear" w:color="auto" w:fill="FFFFFF"/>
          <w:lang w:val="zh-CN"/>
        </w:rPr>
      </w:pPr>
    </w:p>
    <w:p>
      <w:pPr>
        <w:pStyle w:val="2"/>
        <w:spacing w:before="93"/>
        <w:rPr>
          <w:rFonts w:hAnsi="宋体" w:cs="宋体"/>
          <w:sz w:val="32"/>
          <w:szCs w:val="32"/>
          <w:shd w:val="clear" w:color="auto" w:fill="FFFFFF"/>
          <w:lang w:val="zh-CN"/>
        </w:rPr>
      </w:pPr>
    </w:p>
    <w:p>
      <w:pPr>
        <w:pStyle w:val="2"/>
        <w:spacing w:before="93"/>
        <w:rPr>
          <w:rFonts w:hAnsi="宋体" w:cs="宋体"/>
          <w:sz w:val="32"/>
          <w:szCs w:val="32"/>
          <w:shd w:val="clear" w:color="auto" w:fill="FFFFFF"/>
          <w:lang w:val="zh-CN"/>
        </w:rPr>
      </w:pPr>
    </w:p>
    <w:p>
      <w:pPr>
        <w:spacing w:line="600" w:lineRule="exact"/>
        <w:jc w:val="center"/>
        <w:outlineLvl w:val="0"/>
        <w:rPr>
          <w:rFonts w:ascii="仿宋" w:hAnsi="仿宋" w:eastAsia="仿宋"/>
        </w:rPr>
      </w:pPr>
      <w:bookmarkStart w:id="53" w:name="_Toc15396618"/>
      <w:r>
        <w:rPr>
          <w:rFonts w:hint="eastAsia" w:ascii="黑体" w:hAnsi="黑体" w:eastAsia="黑体"/>
          <w:sz w:val="44"/>
          <w:szCs w:val="44"/>
        </w:rPr>
        <w:t>第</w:t>
      </w:r>
      <w:r>
        <w:rPr>
          <w:rStyle w:val="30"/>
          <w:rFonts w:hint="eastAsia" w:ascii="黑体" w:hAnsi="黑体" w:eastAsia="黑体"/>
          <w:b w:val="0"/>
        </w:rPr>
        <w:t>五部分 附表</w:t>
      </w:r>
      <w:bookmarkEnd w:id="52"/>
      <w:bookmarkEnd w:id="53"/>
      <w:bookmarkStart w:id="54" w:name="_Toc15396619"/>
    </w:p>
    <w:p>
      <w:pPr>
        <w:pStyle w:val="4"/>
        <w:rPr>
          <w:rFonts w:ascii="仿宋" w:hAnsi="仿宋" w:eastAsia="仿宋"/>
        </w:rPr>
      </w:pPr>
      <w:r>
        <w:rPr>
          <w:rFonts w:hint="eastAsia" w:ascii="仿宋" w:hAnsi="仿宋" w:eastAsia="仿宋"/>
          <w:b w:val="0"/>
        </w:rPr>
        <w:t>一、收</w:t>
      </w:r>
      <w:r>
        <w:rPr>
          <w:rStyle w:val="31"/>
          <w:rFonts w:hint="eastAsia" w:ascii="仿宋" w:hAnsi="仿宋" w:eastAsia="仿宋"/>
          <w:b w:val="0"/>
          <w:bCs w:val="0"/>
        </w:rPr>
        <w:t>入支出决算总表</w:t>
      </w:r>
      <w:bookmarkEnd w:id="54"/>
    </w:p>
    <w:p>
      <w:pPr>
        <w:pStyle w:val="4"/>
        <w:rPr>
          <w:rFonts w:ascii="仿宋" w:hAnsi="仿宋" w:eastAsia="仿宋"/>
        </w:rPr>
      </w:pPr>
      <w:bookmarkStart w:id="55" w:name="_Toc15396620"/>
      <w:r>
        <w:rPr>
          <w:rFonts w:hint="eastAsia" w:ascii="仿宋" w:hAnsi="仿宋" w:eastAsia="仿宋"/>
          <w:b w:val="0"/>
        </w:rPr>
        <w:t>二、收</w:t>
      </w:r>
      <w:r>
        <w:rPr>
          <w:rStyle w:val="31"/>
          <w:rFonts w:hint="eastAsia" w:ascii="仿宋" w:hAnsi="仿宋" w:eastAsia="仿宋"/>
          <w:b w:val="0"/>
          <w:bCs w:val="0"/>
        </w:rPr>
        <w:t>入决算表</w:t>
      </w:r>
      <w:bookmarkEnd w:id="55"/>
    </w:p>
    <w:p>
      <w:pPr>
        <w:pStyle w:val="4"/>
        <w:rPr>
          <w:rFonts w:ascii="仿宋" w:hAnsi="仿宋" w:eastAsia="仿宋"/>
        </w:rPr>
      </w:pPr>
      <w:bookmarkStart w:id="56" w:name="_Toc15396621"/>
      <w:r>
        <w:rPr>
          <w:rStyle w:val="31"/>
          <w:rFonts w:hint="eastAsia" w:ascii="仿宋" w:hAnsi="仿宋" w:eastAsia="仿宋"/>
          <w:b w:val="0"/>
          <w:bCs w:val="0"/>
        </w:rPr>
        <w:t>三、</w:t>
      </w:r>
      <w:r>
        <w:rPr>
          <w:rFonts w:hint="eastAsia" w:ascii="仿宋" w:hAnsi="仿宋" w:eastAsia="仿宋"/>
          <w:b w:val="0"/>
        </w:rPr>
        <w:t>支</w:t>
      </w:r>
      <w:r>
        <w:rPr>
          <w:rStyle w:val="31"/>
          <w:rFonts w:hint="eastAsia" w:ascii="仿宋" w:hAnsi="仿宋" w:eastAsia="仿宋"/>
          <w:b w:val="0"/>
          <w:bCs w:val="0"/>
        </w:rPr>
        <w:t>出决算表</w:t>
      </w:r>
      <w:bookmarkEnd w:id="56"/>
    </w:p>
    <w:p>
      <w:pPr>
        <w:pStyle w:val="4"/>
        <w:rPr>
          <w:rFonts w:ascii="仿宋" w:hAnsi="仿宋" w:eastAsia="仿宋"/>
          <w:b w:val="0"/>
        </w:rPr>
      </w:pPr>
      <w:bookmarkStart w:id="57" w:name="_Toc15396622"/>
      <w:r>
        <w:rPr>
          <w:rStyle w:val="31"/>
          <w:rFonts w:hint="eastAsia" w:ascii="仿宋" w:hAnsi="仿宋" w:eastAsia="仿宋"/>
          <w:b w:val="0"/>
          <w:bCs w:val="0"/>
        </w:rPr>
        <w:t>四、</w:t>
      </w:r>
      <w:r>
        <w:rPr>
          <w:rFonts w:hint="eastAsia" w:ascii="仿宋" w:hAnsi="仿宋" w:eastAsia="仿宋"/>
          <w:b w:val="0"/>
        </w:rPr>
        <w:t>财</w:t>
      </w:r>
      <w:r>
        <w:rPr>
          <w:rStyle w:val="31"/>
          <w:rFonts w:hint="eastAsia" w:ascii="仿宋" w:hAnsi="仿宋" w:eastAsia="仿宋"/>
          <w:b w:val="0"/>
          <w:bCs w:val="0"/>
        </w:rPr>
        <w:t>政拨款收入支出决算总表</w:t>
      </w:r>
      <w:bookmarkEnd w:id="57"/>
    </w:p>
    <w:p>
      <w:pPr>
        <w:pStyle w:val="4"/>
        <w:rPr>
          <w:rStyle w:val="31"/>
          <w:rFonts w:ascii="仿宋" w:hAnsi="仿宋" w:eastAsia="仿宋"/>
          <w:b w:val="0"/>
          <w:bCs w:val="0"/>
        </w:rPr>
      </w:pPr>
      <w:bookmarkStart w:id="58" w:name="_Toc15396623"/>
      <w:r>
        <w:rPr>
          <w:rStyle w:val="31"/>
          <w:rFonts w:hint="eastAsia" w:ascii="仿宋" w:hAnsi="仿宋" w:eastAsia="仿宋"/>
          <w:b w:val="0"/>
          <w:bCs w:val="0"/>
        </w:rPr>
        <w:t>五、</w:t>
      </w:r>
      <w:r>
        <w:rPr>
          <w:rFonts w:hint="eastAsia" w:ascii="仿宋" w:hAnsi="仿宋" w:eastAsia="仿宋"/>
          <w:b w:val="0"/>
        </w:rPr>
        <w:t>财</w:t>
      </w:r>
      <w:r>
        <w:rPr>
          <w:rStyle w:val="31"/>
          <w:rFonts w:hint="eastAsia" w:ascii="仿宋" w:hAnsi="仿宋" w:eastAsia="仿宋"/>
          <w:b w:val="0"/>
          <w:bCs w:val="0"/>
        </w:rPr>
        <w:t>政拨款支出决算明细表</w:t>
      </w:r>
      <w:bookmarkEnd w:id="58"/>
      <w:bookmarkStart w:id="59" w:name="_Toc15396624"/>
    </w:p>
    <w:p>
      <w:pPr>
        <w:pStyle w:val="4"/>
        <w:rPr>
          <w:rFonts w:ascii="仿宋" w:hAnsi="仿宋" w:eastAsia="仿宋"/>
        </w:rPr>
      </w:pPr>
      <w:r>
        <w:rPr>
          <w:rStyle w:val="31"/>
          <w:rFonts w:hint="eastAsia" w:ascii="仿宋" w:hAnsi="仿宋" w:eastAsia="仿宋"/>
          <w:b w:val="0"/>
          <w:bCs w:val="0"/>
        </w:rPr>
        <w:t>六、</w:t>
      </w:r>
      <w:r>
        <w:rPr>
          <w:rFonts w:hint="eastAsia" w:ascii="仿宋" w:hAnsi="仿宋" w:eastAsia="仿宋"/>
          <w:b w:val="0"/>
        </w:rPr>
        <w:t>一</w:t>
      </w:r>
      <w:r>
        <w:rPr>
          <w:rStyle w:val="31"/>
          <w:rFonts w:hint="eastAsia" w:ascii="仿宋" w:hAnsi="仿宋" w:eastAsia="仿宋"/>
          <w:b w:val="0"/>
          <w:bCs w:val="0"/>
        </w:rPr>
        <w:t>般公共预算财政拨款支出决算表</w:t>
      </w:r>
      <w:bookmarkEnd w:id="59"/>
    </w:p>
    <w:p>
      <w:pPr>
        <w:pStyle w:val="4"/>
        <w:rPr>
          <w:rFonts w:ascii="仿宋" w:hAnsi="仿宋" w:eastAsia="仿宋"/>
        </w:rPr>
      </w:pPr>
      <w:bookmarkStart w:id="60" w:name="_Toc15396625"/>
      <w:r>
        <w:rPr>
          <w:rStyle w:val="31"/>
          <w:rFonts w:hint="eastAsia" w:ascii="仿宋" w:hAnsi="仿宋" w:eastAsia="仿宋"/>
          <w:b w:val="0"/>
          <w:bCs w:val="0"/>
        </w:rPr>
        <w:t>七、</w:t>
      </w:r>
      <w:r>
        <w:rPr>
          <w:rFonts w:hint="eastAsia" w:ascii="仿宋" w:hAnsi="仿宋" w:eastAsia="仿宋"/>
          <w:b w:val="0"/>
        </w:rPr>
        <w:t>一</w:t>
      </w:r>
      <w:r>
        <w:rPr>
          <w:rStyle w:val="31"/>
          <w:rFonts w:hint="eastAsia" w:ascii="仿宋" w:hAnsi="仿宋" w:eastAsia="仿宋"/>
          <w:b w:val="0"/>
          <w:bCs w:val="0"/>
        </w:rPr>
        <w:t>般公共预算财政拨款支出决算明细表</w:t>
      </w:r>
      <w:bookmarkEnd w:id="60"/>
    </w:p>
    <w:p>
      <w:pPr>
        <w:pStyle w:val="4"/>
        <w:rPr>
          <w:rFonts w:ascii="仿宋" w:hAnsi="仿宋" w:eastAsia="仿宋"/>
        </w:rPr>
      </w:pPr>
      <w:bookmarkStart w:id="61" w:name="_Toc15396626"/>
      <w:r>
        <w:rPr>
          <w:rStyle w:val="31"/>
          <w:rFonts w:hint="eastAsia" w:ascii="仿宋" w:hAnsi="仿宋" w:eastAsia="仿宋"/>
          <w:b w:val="0"/>
          <w:bCs w:val="0"/>
        </w:rPr>
        <w:t>八、</w:t>
      </w:r>
      <w:r>
        <w:rPr>
          <w:rFonts w:hint="eastAsia" w:ascii="仿宋" w:hAnsi="仿宋" w:eastAsia="仿宋"/>
          <w:b w:val="0"/>
        </w:rPr>
        <w:t>一</w:t>
      </w:r>
      <w:r>
        <w:rPr>
          <w:rStyle w:val="31"/>
          <w:rFonts w:hint="eastAsia" w:ascii="仿宋" w:hAnsi="仿宋" w:eastAsia="仿宋"/>
          <w:b w:val="0"/>
          <w:bCs w:val="0"/>
        </w:rPr>
        <w:t>般公共预算财政拨款基本支出决算表</w:t>
      </w:r>
      <w:bookmarkEnd w:id="61"/>
    </w:p>
    <w:p>
      <w:pPr>
        <w:pStyle w:val="4"/>
        <w:rPr>
          <w:rFonts w:ascii="仿宋" w:hAnsi="仿宋" w:eastAsia="仿宋"/>
        </w:rPr>
      </w:pPr>
      <w:bookmarkStart w:id="62" w:name="_Toc15396627"/>
      <w:r>
        <w:rPr>
          <w:rStyle w:val="31"/>
          <w:rFonts w:hint="eastAsia" w:ascii="仿宋" w:hAnsi="仿宋" w:eastAsia="仿宋"/>
          <w:b w:val="0"/>
          <w:bCs w:val="0"/>
        </w:rPr>
        <w:t>九、</w:t>
      </w:r>
      <w:r>
        <w:rPr>
          <w:rFonts w:hint="eastAsia" w:ascii="仿宋" w:hAnsi="仿宋" w:eastAsia="仿宋"/>
          <w:b w:val="0"/>
        </w:rPr>
        <w:t>一</w:t>
      </w:r>
      <w:r>
        <w:rPr>
          <w:rStyle w:val="31"/>
          <w:rFonts w:hint="eastAsia" w:ascii="仿宋" w:hAnsi="仿宋" w:eastAsia="仿宋"/>
          <w:b w:val="0"/>
          <w:bCs w:val="0"/>
        </w:rPr>
        <w:t>般公共预算财政拨款项目支出决算表</w:t>
      </w:r>
      <w:bookmarkEnd w:id="62"/>
    </w:p>
    <w:p>
      <w:pPr>
        <w:pStyle w:val="4"/>
        <w:rPr>
          <w:rFonts w:ascii="仿宋" w:hAnsi="仿宋" w:eastAsia="仿宋"/>
        </w:rPr>
      </w:pPr>
      <w:bookmarkStart w:id="63" w:name="_Toc15396628"/>
      <w:r>
        <w:rPr>
          <w:rStyle w:val="31"/>
          <w:rFonts w:hint="eastAsia" w:ascii="仿宋" w:hAnsi="仿宋" w:eastAsia="仿宋"/>
          <w:b w:val="0"/>
          <w:bCs w:val="0"/>
        </w:rPr>
        <w:t>十、</w:t>
      </w:r>
      <w:bookmarkEnd w:id="63"/>
      <w:r>
        <w:rPr>
          <w:rFonts w:hint="eastAsia" w:ascii="仿宋" w:hAnsi="仿宋" w:eastAsia="仿宋"/>
          <w:b w:val="0"/>
        </w:rPr>
        <w:t>政</w:t>
      </w:r>
      <w:r>
        <w:rPr>
          <w:rStyle w:val="31"/>
          <w:rFonts w:hint="eastAsia" w:ascii="仿宋" w:hAnsi="仿宋" w:eastAsia="仿宋"/>
          <w:b w:val="0"/>
          <w:bCs w:val="0"/>
        </w:rPr>
        <w:t>府性基金预算财政拨款收入支出决算表</w:t>
      </w:r>
    </w:p>
    <w:p>
      <w:pPr>
        <w:pStyle w:val="4"/>
        <w:rPr>
          <w:rFonts w:ascii="仿宋" w:hAnsi="仿宋" w:eastAsia="仿宋"/>
        </w:rPr>
      </w:pPr>
      <w:bookmarkStart w:id="64" w:name="_Toc15396629"/>
      <w:r>
        <w:rPr>
          <w:rStyle w:val="31"/>
          <w:rFonts w:hint="eastAsia" w:ascii="仿宋" w:hAnsi="仿宋" w:eastAsia="仿宋"/>
          <w:b w:val="0"/>
          <w:bCs w:val="0"/>
        </w:rPr>
        <w:t>十一、</w:t>
      </w:r>
      <w:bookmarkEnd w:id="64"/>
      <w:r>
        <w:rPr>
          <w:rFonts w:hint="eastAsia" w:ascii="仿宋" w:hAnsi="仿宋" w:eastAsia="仿宋"/>
          <w:b w:val="0"/>
        </w:rPr>
        <w:t>国</w:t>
      </w:r>
      <w:r>
        <w:rPr>
          <w:rStyle w:val="31"/>
          <w:rFonts w:hint="eastAsia" w:ascii="仿宋" w:hAnsi="仿宋" w:eastAsia="仿宋"/>
          <w:b w:val="0"/>
          <w:bCs w:val="0"/>
        </w:rPr>
        <w:t>有资本经营预算财政拨款收入支出决算表</w:t>
      </w:r>
    </w:p>
    <w:p>
      <w:pPr>
        <w:pStyle w:val="4"/>
        <w:rPr>
          <w:rFonts w:ascii="仿宋" w:hAnsi="仿宋" w:eastAsia="仿宋"/>
        </w:rPr>
      </w:pPr>
      <w:bookmarkStart w:id="65" w:name="_Toc15396630"/>
      <w:r>
        <w:rPr>
          <w:rStyle w:val="31"/>
          <w:rFonts w:hint="eastAsia" w:ascii="仿宋" w:hAnsi="仿宋" w:eastAsia="仿宋"/>
          <w:b w:val="0"/>
          <w:bCs w:val="0"/>
        </w:rPr>
        <w:t>十二、</w:t>
      </w:r>
      <w:bookmarkEnd w:id="65"/>
      <w:r>
        <w:rPr>
          <w:rStyle w:val="31"/>
          <w:rFonts w:hint="eastAsia" w:ascii="仿宋" w:hAnsi="仿宋" w:eastAsia="仿宋"/>
          <w:b w:val="0"/>
          <w:bCs w:val="0"/>
        </w:rPr>
        <w:t>国有资本经营预算财政拨款支出决算表</w:t>
      </w:r>
    </w:p>
    <w:p>
      <w:pPr>
        <w:pStyle w:val="4"/>
        <w:rPr>
          <w:rFonts w:eastAsia="仿宋"/>
        </w:rPr>
      </w:pPr>
      <w:bookmarkStart w:id="66" w:name="_Toc15396631"/>
      <w:r>
        <w:rPr>
          <w:rStyle w:val="31"/>
          <w:rFonts w:hint="eastAsia" w:ascii="仿宋" w:hAnsi="仿宋" w:eastAsia="仿宋"/>
          <w:b w:val="0"/>
          <w:bCs w:val="0"/>
        </w:rPr>
        <w:t>十三、</w:t>
      </w:r>
      <w:bookmarkEnd w:id="66"/>
      <w:r>
        <w:rPr>
          <w:rStyle w:val="31"/>
          <w:rFonts w:hint="eastAsia" w:ascii="仿宋" w:hAnsi="仿宋" w:eastAsia="仿宋"/>
          <w:b w:val="0"/>
          <w:bCs w:val="0"/>
        </w:rPr>
        <w:t>财政拨款“三公”经费支出决算表</w:t>
      </w:r>
    </w:p>
    <w:sectPr>
      <w:headerReference r:id="rId3" w:type="default"/>
      <w:footerReference r:id="rId4" w:type="default"/>
      <w:pgSz w:w="11906" w:h="16838"/>
      <w:pgMar w:top="1440" w:right="1800" w:bottom="1440" w:left="1800" w:header="851" w:footer="992" w:gutter="0"/>
      <w:pgNumType w:start="1"/>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F85734DF-869E-43FA-9257-E824D3234C88}"/>
  </w:font>
  <w:font w:name="Courier New">
    <w:panose1 w:val="02070309020205020404"/>
    <w:charset w:val="01"/>
    <w:family w:val="modern"/>
    <w:pitch w:val="default"/>
    <w:sig w:usb0="E0002EFF" w:usb1="C0007843" w:usb2="00000009" w:usb3="00000000" w:csb0="400001FF" w:csb1="FFFF0000"/>
    <w:embedRegular r:id="rId2" w:fontKey="{B5CE37C0-B038-451F-973E-C694640AC619}"/>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3" w:fontKey="{068A9A3E-F060-47BF-8864-68E01D3F4E0F}"/>
  </w:font>
  <w:font w:name="Cambria">
    <w:panose1 w:val="02040503050406030204"/>
    <w:charset w:val="00"/>
    <w:family w:val="roman"/>
    <w:pitch w:val="default"/>
    <w:sig w:usb0="E00006FF" w:usb1="420024FF" w:usb2="02000000" w:usb3="00000000" w:csb0="2000019F" w:csb1="00000000"/>
    <w:embedRegular r:id="rId4" w:fontKey="{5783766F-05A6-4EC0-8E3F-DDDF4F94261B}"/>
  </w:font>
  <w:font w:name="仿宋_GB2312">
    <w:altName w:val="仿宋"/>
    <w:panose1 w:val="00000000000000000000"/>
    <w:charset w:val="86"/>
    <w:family w:val="modern"/>
    <w:pitch w:val="default"/>
    <w:sig w:usb0="00000000" w:usb1="00000000" w:usb2="00000000" w:usb3="00000000" w:csb0="00040000" w:csb1="00000000"/>
    <w:embedRegular r:id="rId5" w:fontKey="{4F6C81A1-A02E-4A0C-A57B-139BF655EA5B}"/>
  </w:font>
  <w:font w:name="仿宋">
    <w:panose1 w:val="02010609060101010101"/>
    <w:charset w:val="86"/>
    <w:family w:val="modern"/>
    <w:pitch w:val="default"/>
    <w:sig w:usb0="800002BF" w:usb1="38CF7CFA" w:usb2="00000016" w:usb3="00000000" w:csb0="00040001" w:csb1="00000000"/>
    <w:embedRegular r:id="rId6" w:fontKey="{21EB57C5-B84B-43EA-B29C-80499B2F32A6}"/>
  </w:font>
  <w:font w:name="??">
    <w:altName w:val="Times New Roman"/>
    <w:panose1 w:val="00000000000000000000"/>
    <w:charset w:val="00"/>
    <w:family w:val="roman"/>
    <w:pitch w:val="default"/>
    <w:sig w:usb0="00000000" w:usb1="00000000" w:usb2="00000000" w:usb3="00000000" w:csb0="00000000" w:csb1="00000000"/>
  </w:font>
  <w:font w:name="等线">
    <w:panose1 w:val="02010600030101010101"/>
    <w:charset w:val="86"/>
    <w:family w:val="auto"/>
    <w:pitch w:val="default"/>
    <w:sig w:usb0="A00002BF" w:usb1="38CF7CFA" w:usb2="00000016" w:usb3="00000000" w:csb0="0004000F" w:csb1="00000000"/>
    <w:embedRegular r:id="rId7" w:fontKey="{A4308011-C55D-480F-9487-E45378A0AABB}"/>
  </w:font>
  <w:font w:name="微软雅黑">
    <w:panose1 w:val="020B0503020204020204"/>
    <w:charset w:val="86"/>
    <w:family w:val="swiss"/>
    <w:pitch w:val="default"/>
    <w:sig w:usb0="80000287" w:usb1="2ACF3C50" w:usb2="00000016" w:usb3="00000000" w:csb0="0004001F" w:csb1="00000000"/>
    <w:embedRegular r:id="rId8" w:fontKey="{62DDAECC-0E10-42ED-83E4-6CE9BB2B856D}"/>
  </w:font>
  <w:font w:name="方正小标宋简体">
    <w:panose1 w:val="02000000000000000000"/>
    <w:charset w:val="86"/>
    <w:family w:val="script"/>
    <w:pitch w:val="default"/>
    <w:sig w:usb0="00000001" w:usb1="08000000" w:usb2="00000000" w:usb3="00000000" w:csb0="00040000" w:csb1="00000000"/>
    <w:embedRegular r:id="rId9" w:fontKey="{1E2BAFC3-B6BC-4412-8596-030FBA1AD487}"/>
  </w:font>
  <w:font w:name="楷体_GB2312">
    <w:altName w:val="楷体"/>
    <w:panose1 w:val="00000000000000000000"/>
    <w:charset w:val="86"/>
    <w:family w:val="auto"/>
    <w:pitch w:val="default"/>
    <w:sig w:usb0="00000000" w:usb1="00000000" w:usb2="00000000" w:usb3="00000000" w:csb0="00040000" w:csb1="00000000"/>
    <w:embedRegular r:id="rId10" w:fontKey="{E675A56C-C8FD-40D4-A355-024F4586292D}"/>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994781956"/>
    </w:sdtPr>
    <w:sdtContent>
      <w:p>
        <w:pPr>
          <w:pStyle w:val="10"/>
          <w:jc w:val="center"/>
        </w:pPr>
        <w:r>
          <w:fldChar w:fldCharType="begin"/>
        </w:r>
        <w:r>
          <w:instrText xml:space="preserve">PAGE   \* MERGEFORMAT</w:instrText>
        </w:r>
        <w:r>
          <w:fldChar w:fldCharType="separate"/>
        </w:r>
        <w:r>
          <w:rPr>
            <w:lang w:val="zh-CN"/>
          </w:rPr>
          <w:t>21</w:t>
        </w:r>
        <w:r>
          <w:fldChar w:fldCharType="end"/>
        </w:r>
      </w:p>
    </w:sdtContent>
  </w:sdt>
  <w:p>
    <w:pPr>
      <w:pStyle w:val="1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F652CEC"/>
    <w:multiLevelType w:val="singleLevel"/>
    <w:tmpl w:val="CF652CEC"/>
    <w:lvl w:ilvl="0" w:tentative="0">
      <w:start w:val="9"/>
      <w:numFmt w:val="chineseCounting"/>
      <w:suff w:val="nothing"/>
      <w:lvlText w:val="%1、"/>
      <w:lvlJc w:val="left"/>
      <w:rPr>
        <w:rFonts w:hint="eastAsia"/>
      </w:rPr>
    </w:lvl>
  </w:abstractNum>
  <w:abstractNum w:abstractNumId="1">
    <w:nsid w:val="DEBEF323"/>
    <w:multiLevelType w:val="singleLevel"/>
    <w:tmpl w:val="DEBEF323"/>
    <w:lvl w:ilvl="0" w:tentative="0">
      <w:start w:val="4"/>
      <w:numFmt w:val="chineseCounting"/>
      <w:suff w:val="nothing"/>
      <w:lvlText w:val="（%1）"/>
      <w:lvlJc w:val="left"/>
      <w:rPr>
        <w:rFonts w:hint="eastAsia"/>
      </w:rPr>
    </w:lvl>
  </w:abstractNum>
  <w:abstractNum w:abstractNumId="2">
    <w:nsid w:val="FFF674BC"/>
    <w:multiLevelType w:val="singleLevel"/>
    <w:tmpl w:val="FFF674BC"/>
    <w:lvl w:ilvl="0" w:tentative="0">
      <w:start w:val="1"/>
      <w:numFmt w:val="chineseCounting"/>
      <w:suff w:val="nothing"/>
      <w:lvlText w:val="%1、"/>
      <w:lvlJc w:val="left"/>
      <w:rPr>
        <w:rFonts w:hint="eastAsia"/>
      </w:rPr>
    </w:lvl>
  </w:abstractNum>
  <w:abstractNum w:abstractNumId="3">
    <w:nsid w:val="1272550B"/>
    <w:multiLevelType w:val="multilevel"/>
    <w:tmpl w:val="1272550B"/>
    <w:lvl w:ilvl="0" w:tentative="0">
      <w:start w:val="1"/>
      <w:numFmt w:val="japaneseCounting"/>
      <w:lvlText w:val="%1、"/>
      <w:lvlJc w:val="left"/>
      <w:pPr>
        <w:ind w:left="1360" w:hanging="720"/>
      </w:pPr>
      <w:rPr>
        <w:rFonts w:hint="default"/>
        <w:b w:val="0"/>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abstractNum w:abstractNumId="4">
    <w:nsid w:val="13D20799"/>
    <w:multiLevelType w:val="multilevel"/>
    <w:tmpl w:val="13D20799"/>
    <w:lvl w:ilvl="0" w:tentative="0">
      <w:start w:val="1"/>
      <w:numFmt w:val="japaneseCounting"/>
      <w:lvlText w:val="（%1）"/>
      <w:lvlJc w:val="left"/>
      <w:pPr>
        <w:ind w:left="1633" w:hanging="990"/>
      </w:pPr>
      <w:rPr>
        <w:rFonts w:hint="default"/>
      </w:rPr>
    </w:lvl>
    <w:lvl w:ilvl="1" w:tentative="0">
      <w:start w:val="1"/>
      <w:numFmt w:val="lowerLetter"/>
      <w:lvlText w:val="%2)"/>
      <w:lvlJc w:val="left"/>
      <w:pPr>
        <w:ind w:left="1483" w:hanging="420"/>
      </w:pPr>
    </w:lvl>
    <w:lvl w:ilvl="2" w:tentative="0">
      <w:start w:val="1"/>
      <w:numFmt w:val="lowerRoman"/>
      <w:lvlText w:val="%3."/>
      <w:lvlJc w:val="right"/>
      <w:pPr>
        <w:ind w:left="1903" w:hanging="420"/>
      </w:pPr>
    </w:lvl>
    <w:lvl w:ilvl="3" w:tentative="0">
      <w:start w:val="1"/>
      <w:numFmt w:val="decimal"/>
      <w:lvlText w:val="%4."/>
      <w:lvlJc w:val="left"/>
      <w:pPr>
        <w:ind w:left="2323" w:hanging="420"/>
      </w:pPr>
    </w:lvl>
    <w:lvl w:ilvl="4" w:tentative="0">
      <w:start w:val="1"/>
      <w:numFmt w:val="lowerLetter"/>
      <w:lvlText w:val="%5)"/>
      <w:lvlJc w:val="left"/>
      <w:pPr>
        <w:ind w:left="2743" w:hanging="420"/>
      </w:pPr>
    </w:lvl>
    <w:lvl w:ilvl="5" w:tentative="0">
      <w:start w:val="1"/>
      <w:numFmt w:val="lowerRoman"/>
      <w:lvlText w:val="%6."/>
      <w:lvlJc w:val="right"/>
      <w:pPr>
        <w:ind w:left="3163" w:hanging="420"/>
      </w:pPr>
    </w:lvl>
    <w:lvl w:ilvl="6" w:tentative="0">
      <w:start w:val="1"/>
      <w:numFmt w:val="decimal"/>
      <w:lvlText w:val="%7."/>
      <w:lvlJc w:val="left"/>
      <w:pPr>
        <w:ind w:left="3583" w:hanging="420"/>
      </w:pPr>
    </w:lvl>
    <w:lvl w:ilvl="7" w:tentative="0">
      <w:start w:val="1"/>
      <w:numFmt w:val="lowerLetter"/>
      <w:lvlText w:val="%8)"/>
      <w:lvlJc w:val="left"/>
      <w:pPr>
        <w:ind w:left="4003" w:hanging="420"/>
      </w:pPr>
    </w:lvl>
    <w:lvl w:ilvl="8" w:tentative="0">
      <w:start w:val="1"/>
      <w:numFmt w:val="lowerRoman"/>
      <w:lvlText w:val="%9."/>
      <w:lvlJc w:val="right"/>
      <w:pPr>
        <w:ind w:left="4423" w:hanging="420"/>
      </w:pPr>
    </w:lvl>
  </w:abstractNum>
  <w:abstractNum w:abstractNumId="5">
    <w:nsid w:val="1DD52A5D"/>
    <w:multiLevelType w:val="multilevel"/>
    <w:tmpl w:val="1DD52A5D"/>
    <w:lvl w:ilvl="0" w:tentative="0">
      <w:start w:val="1"/>
      <w:numFmt w:val="japaneseCounting"/>
      <w:lvlText w:val="%1、"/>
      <w:lvlJc w:val="left"/>
      <w:pPr>
        <w:ind w:left="630" w:hanging="63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5"/>
  </w:num>
  <w:num w:numId="2">
    <w:abstractNumId w:val="3"/>
  </w:num>
  <w:num w:numId="3">
    <w:abstractNumId w:val="0"/>
  </w:num>
  <w:num w:numId="4">
    <w:abstractNumId w:val="2"/>
  </w:num>
  <w:num w:numId="5">
    <w:abstractNumId w:val="4"/>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GE1M2VjZDNkNmI4OWZkMThmMzE1MjhjOWI3MzQzN2EifQ=="/>
  </w:docVars>
  <w:rsids>
    <w:rsidRoot w:val="00F1361C"/>
    <w:rsid w:val="000011E6"/>
    <w:rsid w:val="00005DE4"/>
    <w:rsid w:val="000222C6"/>
    <w:rsid w:val="0002549F"/>
    <w:rsid w:val="000468DB"/>
    <w:rsid w:val="0006487A"/>
    <w:rsid w:val="00065F8F"/>
    <w:rsid w:val="00070A43"/>
    <w:rsid w:val="000768F2"/>
    <w:rsid w:val="000831B8"/>
    <w:rsid w:val="00086658"/>
    <w:rsid w:val="0009184B"/>
    <w:rsid w:val="00094236"/>
    <w:rsid w:val="0009593C"/>
    <w:rsid w:val="00097322"/>
    <w:rsid w:val="000A6A92"/>
    <w:rsid w:val="000A6F1C"/>
    <w:rsid w:val="000B047F"/>
    <w:rsid w:val="000B5923"/>
    <w:rsid w:val="000B5A48"/>
    <w:rsid w:val="000B6FF3"/>
    <w:rsid w:val="000C3467"/>
    <w:rsid w:val="000C3CA6"/>
    <w:rsid w:val="000D1267"/>
    <w:rsid w:val="000D1D50"/>
    <w:rsid w:val="000D5782"/>
    <w:rsid w:val="000E30C4"/>
    <w:rsid w:val="000E6613"/>
    <w:rsid w:val="000E7119"/>
    <w:rsid w:val="001070BD"/>
    <w:rsid w:val="00114E9B"/>
    <w:rsid w:val="001369D2"/>
    <w:rsid w:val="00136D3F"/>
    <w:rsid w:val="00142216"/>
    <w:rsid w:val="00144D6A"/>
    <w:rsid w:val="0014729F"/>
    <w:rsid w:val="00157BAB"/>
    <w:rsid w:val="001654D1"/>
    <w:rsid w:val="001707F1"/>
    <w:rsid w:val="00174518"/>
    <w:rsid w:val="0018106D"/>
    <w:rsid w:val="00181D73"/>
    <w:rsid w:val="00183D6F"/>
    <w:rsid w:val="001877A7"/>
    <w:rsid w:val="00191536"/>
    <w:rsid w:val="00196687"/>
    <w:rsid w:val="001A23C3"/>
    <w:rsid w:val="001B2B7D"/>
    <w:rsid w:val="001C03F1"/>
    <w:rsid w:val="001C0962"/>
    <w:rsid w:val="001D5840"/>
    <w:rsid w:val="001D7531"/>
    <w:rsid w:val="001E737D"/>
    <w:rsid w:val="001F0592"/>
    <w:rsid w:val="001F7506"/>
    <w:rsid w:val="002006CD"/>
    <w:rsid w:val="00202B36"/>
    <w:rsid w:val="00204B7A"/>
    <w:rsid w:val="00204CDE"/>
    <w:rsid w:val="0021101A"/>
    <w:rsid w:val="00216CF1"/>
    <w:rsid w:val="00220536"/>
    <w:rsid w:val="00221609"/>
    <w:rsid w:val="002268B4"/>
    <w:rsid w:val="00235629"/>
    <w:rsid w:val="00253CE0"/>
    <w:rsid w:val="00260C38"/>
    <w:rsid w:val="002616C0"/>
    <w:rsid w:val="00265372"/>
    <w:rsid w:val="002662AA"/>
    <w:rsid w:val="00274087"/>
    <w:rsid w:val="00280496"/>
    <w:rsid w:val="00294DC9"/>
    <w:rsid w:val="00295495"/>
    <w:rsid w:val="002A31DE"/>
    <w:rsid w:val="002B0D4E"/>
    <w:rsid w:val="002B2613"/>
    <w:rsid w:val="002B51BA"/>
    <w:rsid w:val="002D6D05"/>
    <w:rsid w:val="002F1818"/>
    <w:rsid w:val="002F38AD"/>
    <w:rsid w:val="002F567B"/>
    <w:rsid w:val="002F66B4"/>
    <w:rsid w:val="003120FF"/>
    <w:rsid w:val="00320439"/>
    <w:rsid w:val="003216A9"/>
    <w:rsid w:val="00335A74"/>
    <w:rsid w:val="00342F6E"/>
    <w:rsid w:val="00357D1A"/>
    <w:rsid w:val="0036561B"/>
    <w:rsid w:val="0037013F"/>
    <w:rsid w:val="00373404"/>
    <w:rsid w:val="00380C92"/>
    <w:rsid w:val="003A484F"/>
    <w:rsid w:val="003A4883"/>
    <w:rsid w:val="003A5173"/>
    <w:rsid w:val="003B0BE0"/>
    <w:rsid w:val="003B0C1B"/>
    <w:rsid w:val="003B688C"/>
    <w:rsid w:val="003C0291"/>
    <w:rsid w:val="003C39AE"/>
    <w:rsid w:val="003C3DAC"/>
    <w:rsid w:val="003C7B60"/>
    <w:rsid w:val="003D0C0F"/>
    <w:rsid w:val="003D1FB2"/>
    <w:rsid w:val="003D66DA"/>
    <w:rsid w:val="003E1310"/>
    <w:rsid w:val="003E6F55"/>
    <w:rsid w:val="00406254"/>
    <w:rsid w:val="004223DE"/>
    <w:rsid w:val="00434489"/>
    <w:rsid w:val="00437085"/>
    <w:rsid w:val="00443880"/>
    <w:rsid w:val="004464F4"/>
    <w:rsid w:val="00460F06"/>
    <w:rsid w:val="00470B60"/>
    <w:rsid w:val="00471401"/>
    <w:rsid w:val="00473F31"/>
    <w:rsid w:val="0048263A"/>
    <w:rsid w:val="00487E5D"/>
    <w:rsid w:val="004A711F"/>
    <w:rsid w:val="004B199D"/>
    <w:rsid w:val="004B4690"/>
    <w:rsid w:val="004D4188"/>
    <w:rsid w:val="004E0A2D"/>
    <w:rsid w:val="004E0A6D"/>
    <w:rsid w:val="004E1077"/>
    <w:rsid w:val="004E206B"/>
    <w:rsid w:val="004E6DF7"/>
    <w:rsid w:val="004E6FD0"/>
    <w:rsid w:val="004F0FBD"/>
    <w:rsid w:val="00505A47"/>
    <w:rsid w:val="00512FDA"/>
    <w:rsid w:val="00515307"/>
    <w:rsid w:val="00520DA0"/>
    <w:rsid w:val="00541723"/>
    <w:rsid w:val="00565973"/>
    <w:rsid w:val="005664BB"/>
    <w:rsid w:val="00566FFA"/>
    <w:rsid w:val="0057481D"/>
    <w:rsid w:val="0058486E"/>
    <w:rsid w:val="00585B33"/>
    <w:rsid w:val="0059014D"/>
    <w:rsid w:val="005A4F2F"/>
    <w:rsid w:val="005B43F2"/>
    <w:rsid w:val="005B5C64"/>
    <w:rsid w:val="005C1A7D"/>
    <w:rsid w:val="005C5337"/>
    <w:rsid w:val="005C6BD0"/>
    <w:rsid w:val="005C717D"/>
    <w:rsid w:val="005D1C8B"/>
    <w:rsid w:val="005D2A80"/>
    <w:rsid w:val="005D468D"/>
    <w:rsid w:val="005D5CED"/>
    <w:rsid w:val="005E35EC"/>
    <w:rsid w:val="005F1A4C"/>
    <w:rsid w:val="005F1D0C"/>
    <w:rsid w:val="00605688"/>
    <w:rsid w:val="006070AF"/>
    <w:rsid w:val="00607E6C"/>
    <w:rsid w:val="006101B1"/>
    <w:rsid w:val="00614E44"/>
    <w:rsid w:val="0062270A"/>
    <w:rsid w:val="00622830"/>
    <w:rsid w:val="00623DA0"/>
    <w:rsid w:val="00630AEF"/>
    <w:rsid w:val="006325F8"/>
    <w:rsid w:val="00633463"/>
    <w:rsid w:val="00634C9A"/>
    <w:rsid w:val="006440E4"/>
    <w:rsid w:val="00662DB5"/>
    <w:rsid w:val="0066343B"/>
    <w:rsid w:val="00664777"/>
    <w:rsid w:val="006748A4"/>
    <w:rsid w:val="00681A31"/>
    <w:rsid w:val="00683E73"/>
    <w:rsid w:val="00697F6B"/>
    <w:rsid w:val="006A3141"/>
    <w:rsid w:val="006A5E34"/>
    <w:rsid w:val="006B2422"/>
    <w:rsid w:val="006B2B9A"/>
    <w:rsid w:val="006B54B2"/>
    <w:rsid w:val="006C1937"/>
    <w:rsid w:val="006E27FD"/>
    <w:rsid w:val="006F020C"/>
    <w:rsid w:val="0070104E"/>
    <w:rsid w:val="007031E7"/>
    <w:rsid w:val="00703439"/>
    <w:rsid w:val="007127B7"/>
    <w:rsid w:val="0071656E"/>
    <w:rsid w:val="0071798E"/>
    <w:rsid w:val="00736DEE"/>
    <w:rsid w:val="007416B6"/>
    <w:rsid w:val="00746F48"/>
    <w:rsid w:val="0075404D"/>
    <w:rsid w:val="00756EA6"/>
    <w:rsid w:val="0076182A"/>
    <w:rsid w:val="00767B7E"/>
    <w:rsid w:val="00770978"/>
    <w:rsid w:val="007770C3"/>
    <w:rsid w:val="00784D24"/>
    <w:rsid w:val="00785FBA"/>
    <w:rsid w:val="00786E4A"/>
    <w:rsid w:val="007875EB"/>
    <w:rsid w:val="0079239F"/>
    <w:rsid w:val="0079426B"/>
    <w:rsid w:val="00794377"/>
    <w:rsid w:val="007B3B4C"/>
    <w:rsid w:val="007D1682"/>
    <w:rsid w:val="007D312A"/>
    <w:rsid w:val="007D3F19"/>
    <w:rsid w:val="007E23B0"/>
    <w:rsid w:val="007E23E5"/>
    <w:rsid w:val="007F1991"/>
    <w:rsid w:val="007F2C2F"/>
    <w:rsid w:val="007F55FC"/>
    <w:rsid w:val="007F5665"/>
    <w:rsid w:val="00800112"/>
    <w:rsid w:val="00805A4D"/>
    <w:rsid w:val="00810A53"/>
    <w:rsid w:val="00813348"/>
    <w:rsid w:val="00814356"/>
    <w:rsid w:val="008253BB"/>
    <w:rsid w:val="0083667C"/>
    <w:rsid w:val="0083706E"/>
    <w:rsid w:val="008408F6"/>
    <w:rsid w:val="008423A5"/>
    <w:rsid w:val="008439B3"/>
    <w:rsid w:val="00844C4E"/>
    <w:rsid w:val="00850625"/>
    <w:rsid w:val="00853718"/>
    <w:rsid w:val="00855221"/>
    <w:rsid w:val="00860645"/>
    <w:rsid w:val="0086493E"/>
    <w:rsid w:val="00871D8D"/>
    <w:rsid w:val="00871F71"/>
    <w:rsid w:val="00872FD8"/>
    <w:rsid w:val="00885AF4"/>
    <w:rsid w:val="0089300F"/>
    <w:rsid w:val="008939CD"/>
    <w:rsid w:val="0089666D"/>
    <w:rsid w:val="008B0651"/>
    <w:rsid w:val="008B768C"/>
    <w:rsid w:val="008C20C5"/>
    <w:rsid w:val="008C4DB1"/>
    <w:rsid w:val="008C4EAF"/>
    <w:rsid w:val="008C5176"/>
    <w:rsid w:val="008C7FD0"/>
    <w:rsid w:val="008E1DE7"/>
    <w:rsid w:val="008E707C"/>
    <w:rsid w:val="008E786B"/>
    <w:rsid w:val="00900B08"/>
    <w:rsid w:val="0090162F"/>
    <w:rsid w:val="00902155"/>
    <w:rsid w:val="00902FA3"/>
    <w:rsid w:val="00923564"/>
    <w:rsid w:val="0092392E"/>
    <w:rsid w:val="00926C48"/>
    <w:rsid w:val="009315F9"/>
    <w:rsid w:val="00933499"/>
    <w:rsid w:val="00935C98"/>
    <w:rsid w:val="00946945"/>
    <w:rsid w:val="00951248"/>
    <w:rsid w:val="0095152F"/>
    <w:rsid w:val="00954C49"/>
    <w:rsid w:val="00955E37"/>
    <w:rsid w:val="0097099F"/>
    <w:rsid w:val="00971997"/>
    <w:rsid w:val="00971FFC"/>
    <w:rsid w:val="009805EA"/>
    <w:rsid w:val="0098660A"/>
    <w:rsid w:val="009931C3"/>
    <w:rsid w:val="009979AD"/>
    <w:rsid w:val="009B2C43"/>
    <w:rsid w:val="009B4EAE"/>
    <w:rsid w:val="009B7573"/>
    <w:rsid w:val="009C1F34"/>
    <w:rsid w:val="009C22F4"/>
    <w:rsid w:val="009C2A4B"/>
    <w:rsid w:val="009C2E98"/>
    <w:rsid w:val="009D3447"/>
    <w:rsid w:val="009D4711"/>
    <w:rsid w:val="009E7A9C"/>
    <w:rsid w:val="009E7FD8"/>
    <w:rsid w:val="009F1185"/>
    <w:rsid w:val="009F18CD"/>
    <w:rsid w:val="009F2A13"/>
    <w:rsid w:val="009F7527"/>
    <w:rsid w:val="00A02EFE"/>
    <w:rsid w:val="00A04EB0"/>
    <w:rsid w:val="00A13CC1"/>
    <w:rsid w:val="00A16183"/>
    <w:rsid w:val="00A16847"/>
    <w:rsid w:val="00A237D8"/>
    <w:rsid w:val="00A268C4"/>
    <w:rsid w:val="00A307CD"/>
    <w:rsid w:val="00A331C8"/>
    <w:rsid w:val="00A40A00"/>
    <w:rsid w:val="00A4142F"/>
    <w:rsid w:val="00A422EB"/>
    <w:rsid w:val="00A45BB7"/>
    <w:rsid w:val="00A469B6"/>
    <w:rsid w:val="00A51312"/>
    <w:rsid w:val="00A56DF2"/>
    <w:rsid w:val="00A56E6E"/>
    <w:rsid w:val="00A67AB5"/>
    <w:rsid w:val="00A733B2"/>
    <w:rsid w:val="00A741C2"/>
    <w:rsid w:val="00A91760"/>
    <w:rsid w:val="00A93B00"/>
    <w:rsid w:val="00A93C21"/>
    <w:rsid w:val="00AB64C9"/>
    <w:rsid w:val="00AC0689"/>
    <w:rsid w:val="00AC3C6A"/>
    <w:rsid w:val="00AD5620"/>
    <w:rsid w:val="00AD656B"/>
    <w:rsid w:val="00AD76AF"/>
    <w:rsid w:val="00AD7C1B"/>
    <w:rsid w:val="00AE16BA"/>
    <w:rsid w:val="00AE1EBE"/>
    <w:rsid w:val="00AE5076"/>
    <w:rsid w:val="00B033E8"/>
    <w:rsid w:val="00B03C9D"/>
    <w:rsid w:val="00B060AE"/>
    <w:rsid w:val="00B10517"/>
    <w:rsid w:val="00B14E76"/>
    <w:rsid w:val="00B161B8"/>
    <w:rsid w:val="00B2048C"/>
    <w:rsid w:val="00B2647E"/>
    <w:rsid w:val="00B310B9"/>
    <w:rsid w:val="00B35F3F"/>
    <w:rsid w:val="00B36CBB"/>
    <w:rsid w:val="00B425E0"/>
    <w:rsid w:val="00B440AA"/>
    <w:rsid w:val="00B44B70"/>
    <w:rsid w:val="00B53C56"/>
    <w:rsid w:val="00B54725"/>
    <w:rsid w:val="00B57DAF"/>
    <w:rsid w:val="00B616A7"/>
    <w:rsid w:val="00B77EA6"/>
    <w:rsid w:val="00B81598"/>
    <w:rsid w:val="00B841F1"/>
    <w:rsid w:val="00B944D6"/>
    <w:rsid w:val="00BB4DF0"/>
    <w:rsid w:val="00BB6656"/>
    <w:rsid w:val="00BC289F"/>
    <w:rsid w:val="00BC2D50"/>
    <w:rsid w:val="00BC5361"/>
    <w:rsid w:val="00BC5460"/>
    <w:rsid w:val="00BC6B50"/>
    <w:rsid w:val="00BD0E25"/>
    <w:rsid w:val="00BF3D60"/>
    <w:rsid w:val="00BF5BD6"/>
    <w:rsid w:val="00C03E31"/>
    <w:rsid w:val="00C21F16"/>
    <w:rsid w:val="00C33E72"/>
    <w:rsid w:val="00C354B2"/>
    <w:rsid w:val="00C35554"/>
    <w:rsid w:val="00C42709"/>
    <w:rsid w:val="00C533CC"/>
    <w:rsid w:val="00C54738"/>
    <w:rsid w:val="00C5751C"/>
    <w:rsid w:val="00C61223"/>
    <w:rsid w:val="00C61BFC"/>
    <w:rsid w:val="00C62B85"/>
    <w:rsid w:val="00C65438"/>
    <w:rsid w:val="00C87FD8"/>
    <w:rsid w:val="00C91381"/>
    <w:rsid w:val="00C91CBB"/>
    <w:rsid w:val="00CB4E70"/>
    <w:rsid w:val="00CC09B6"/>
    <w:rsid w:val="00CC17CD"/>
    <w:rsid w:val="00CC666F"/>
    <w:rsid w:val="00CD1E3F"/>
    <w:rsid w:val="00CD3BEA"/>
    <w:rsid w:val="00CD54BB"/>
    <w:rsid w:val="00CE44F6"/>
    <w:rsid w:val="00CE49DA"/>
    <w:rsid w:val="00CE7B61"/>
    <w:rsid w:val="00D00095"/>
    <w:rsid w:val="00D114F0"/>
    <w:rsid w:val="00D13793"/>
    <w:rsid w:val="00D20620"/>
    <w:rsid w:val="00D24DEF"/>
    <w:rsid w:val="00D254F7"/>
    <w:rsid w:val="00D26091"/>
    <w:rsid w:val="00D2685C"/>
    <w:rsid w:val="00D34E7C"/>
    <w:rsid w:val="00D35489"/>
    <w:rsid w:val="00D3597B"/>
    <w:rsid w:val="00D36AFE"/>
    <w:rsid w:val="00D51276"/>
    <w:rsid w:val="00D7035F"/>
    <w:rsid w:val="00D77831"/>
    <w:rsid w:val="00D92113"/>
    <w:rsid w:val="00D95CAC"/>
    <w:rsid w:val="00DA634F"/>
    <w:rsid w:val="00DA65AC"/>
    <w:rsid w:val="00DB1913"/>
    <w:rsid w:val="00DC410D"/>
    <w:rsid w:val="00DC5A81"/>
    <w:rsid w:val="00DC68CA"/>
    <w:rsid w:val="00DC7CBA"/>
    <w:rsid w:val="00DD73B7"/>
    <w:rsid w:val="00DE1FBE"/>
    <w:rsid w:val="00DE7E81"/>
    <w:rsid w:val="00DF28BC"/>
    <w:rsid w:val="00DF34B9"/>
    <w:rsid w:val="00E01053"/>
    <w:rsid w:val="00E07ACF"/>
    <w:rsid w:val="00E25B7B"/>
    <w:rsid w:val="00E331A1"/>
    <w:rsid w:val="00E33202"/>
    <w:rsid w:val="00E336A9"/>
    <w:rsid w:val="00E35D63"/>
    <w:rsid w:val="00E35EF4"/>
    <w:rsid w:val="00E472B1"/>
    <w:rsid w:val="00E50624"/>
    <w:rsid w:val="00E568DF"/>
    <w:rsid w:val="00E64269"/>
    <w:rsid w:val="00E82267"/>
    <w:rsid w:val="00E853CE"/>
    <w:rsid w:val="00E867B6"/>
    <w:rsid w:val="00E9614C"/>
    <w:rsid w:val="00EA010F"/>
    <w:rsid w:val="00EC75C6"/>
    <w:rsid w:val="00ED1B63"/>
    <w:rsid w:val="00ED3C1F"/>
    <w:rsid w:val="00ED4085"/>
    <w:rsid w:val="00ED420E"/>
    <w:rsid w:val="00ED6FBE"/>
    <w:rsid w:val="00EE2F57"/>
    <w:rsid w:val="00EE3261"/>
    <w:rsid w:val="00EE49DE"/>
    <w:rsid w:val="00EF3D67"/>
    <w:rsid w:val="00EF4C34"/>
    <w:rsid w:val="00EF77C6"/>
    <w:rsid w:val="00F05438"/>
    <w:rsid w:val="00F1361C"/>
    <w:rsid w:val="00F156F0"/>
    <w:rsid w:val="00F160C7"/>
    <w:rsid w:val="00F2408F"/>
    <w:rsid w:val="00F240E9"/>
    <w:rsid w:val="00F36D8F"/>
    <w:rsid w:val="00F417B1"/>
    <w:rsid w:val="00F45853"/>
    <w:rsid w:val="00F51080"/>
    <w:rsid w:val="00F602DF"/>
    <w:rsid w:val="00F7171E"/>
    <w:rsid w:val="00F754A1"/>
    <w:rsid w:val="00F77482"/>
    <w:rsid w:val="00F80D0F"/>
    <w:rsid w:val="00F81969"/>
    <w:rsid w:val="00F81FD9"/>
    <w:rsid w:val="00F83D7A"/>
    <w:rsid w:val="00F841AA"/>
    <w:rsid w:val="00F84A94"/>
    <w:rsid w:val="00F87E96"/>
    <w:rsid w:val="00F97485"/>
    <w:rsid w:val="00FA23E8"/>
    <w:rsid w:val="00FA3F4C"/>
    <w:rsid w:val="00FD3CC1"/>
    <w:rsid w:val="00FD5FAE"/>
    <w:rsid w:val="00FE2213"/>
    <w:rsid w:val="00FF1E02"/>
    <w:rsid w:val="00FF30B4"/>
    <w:rsid w:val="015975B8"/>
    <w:rsid w:val="02143E91"/>
    <w:rsid w:val="066E0107"/>
    <w:rsid w:val="07996F6E"/>
    <w:rsid w:val="0A2032A3"/>
    <w:rsid w:val="0F98263C"/>
    <w:rsid w:val="101860EC"/>
    <w:rsid w:val="10C055FF"/>
    <w:rsid w:val="118107EC"/>
    <w:rsid w:val="13D50BC4"/>
    <w:rsid w:val="16BB723D"/>
    <w:rsid w:val="1BE8440E"/>
    <w:rsid w:val="1D155CEE"/>
    <w:rsid w:val="1FF35744"/>
    <w:rsid w:val="23860B96"/>
    <w:rsid w:val="240371BF"/>
    <w:rsid w:val="29FD04D3"/>
    <w:rsid w:val="2C8A61B5"/>
    <w:rsid w:val="2DF04E50"/>
    <w:rsid w:val="2F040D46"/>
    <w:rsid w:val="319F7F4E"/>
    <w:rsid w:val="3304709D"/>
    <w:rsid w:val="36AA5135"/>
    <w:rsid w:val="376D39B2"/>
    <w:rsid w:val="37E16F03"/>
    <w:rsid w:val="38D469F0"/>
    <w:rsid w:val="3D98207C"/>
    <w:rsid w:val="3E78745D"/>
    <w:rsid w:val="44E268DA"/>
    <w:rsid w:val="4A627F82"/>
    <w:rsid w:val="4AB03760"/>
    <w:rsid w:val="4B0E749A"/>
    <w:rsid w:val="4B4F25DA"/>
    <w:rsid w:val="4BE068DB"/>
    <w:rsid w:val="4CDE0934"/>
    <w:rsid w:val="4D577224"/>
    <w:rsid w:val="4EAB630A"/>
    <w:rsid w:val="4ECE2238"/>
    <w:rsid w:val="537E6D0A"/>
    <w:rsid w:val="5AF92295"/>
    <w:rsid w:val="5CD71FC4"/>
    <w:rsid w:val="6C4A05C8"/>
    <w:rsid w:val="6E7E3605"/>
    <w:rsid w:val="6FF5CC65"/>
    <w:rsid w:val="715C0E4B"/>
    <w:rsid w:val="72734D90"/>
    <w:rsid w:val="73AD73D5"/>
    <w:rsid w:val="73B6EB34"/>
    <w:rsid w:val="744731E5"/>
    <w:rsid w:val="76E3355F"/>
    <w:rsid w:val="778769C8"/>
    <w:rsid w:val="79EE5BA4"/>
    <w:rsid w:val="7A894339"/>
    <w:rsid w:val="7EEF11D3"/>
    <w:rsid w:val="7FA30C79"/>
    <w:rsid w:val="7FB7269E"/>
    <w:rsid w:val="7FC96657"/>
    <w:rsid w:val="D8D6DB89"/>
    <w:rsid w:val="DB6F4CAB"/>
    <w:rsid w:val="DF6F9789"/>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99"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99" w:semiHidden="0" w:name="Strong"/>
    <w:lsdException w:qFormat="1" w:unhideWhenUsed="0" w:uiPriority="20" w:semiHidden="0" w:name="Emphasis"/>
    <w:lsdException w:qFormat="1" w:unhideWhenUsed="0" w:uiPriority="0" w:semiHidden="0"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30"/>
    <w:qFormat/>
    <w:uiPriority w:val="9"/>
    <w:pPr>
      <w:keepNext/>
      <w:keepLines/>
      <w:spacing w:before="340" w:after="330" w:line="578" w:lineRule="auto"/>
      <w:outlineLvl w:val="0"/>
    </w:pPr>
    <w:rPr>
      <w:b/>
      <w:bCs/>
      <w:kern w:val="44"/>
      <w:sz w:val="44"/>
      <w:szCs w:val="44"/>
    </w:rPr>
  </w:style>
  <w:style w:type="paragraph" w:styleId="4">
    <w:name w:val="heading 2"/>
    <w:basedOn w:val="1"/>
    <w:next w:val="1"/>
    <w:link w:val="31"/>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5">
    <w:name w:val="heading 3"/>
    <w:basedOn w:val="1"/>
    <w:next w:val="1"/>
    <w:link w:val="34"/>
    <w:unhideWhenUsed/>
    <w:qFormat/>
    <w:uiPriority w:val="9"/>
    <w:pPr>
      <w:keepNext/>
      <w:keepLines/>
      <w:spacing w:before="260" w:after="260" w:line="416" w:lineRule="auto"/>
      <w:outlineLvl w:val="2"/>
    </w:pPr>
    <w:rPr>
      <w:b/>
      <w:bCs/>
      <w:sz w:val="32"/>
      <w:szCs w:val="32"/>
    </w:rPr>
  </w:style>
  <w:style w:type="character" w:default="1" w:styleId="17">
    <w:name w:val="Default Paragraph Font"/>
    <w:semiHidden/>
    <w:unhideWhenUsed/>
    <w:uiPriority w:val="1"/>
  </w:style>
  <w:style w:type="table" w:default="1" w:styleId="16">
    <w:name w:val="Normal Table"/>
    <w:semiHidden/>
    <w:unhideWhenUsed/>
    <w:qFormat/>
    <w:uiPriority w:val="99"/>
    <w:tblPr>
      <w:tblCellMar>
        <w:top w:w="0" w:type="dxa"/>
        <w:left w:w="108" w:type="dxa"/>
        <w:bottom w:w="0" w:type="dxa"/>
        <w:right w:w="108" w:type="dxa"/>
      </w:tblCellMar>
    </w:tblPr>
  </w:style>
  <w:style w:type="paragraph" w:styleId="2">
    <w:name w:val="Body Text"/>
    <w:basedOn w:val="1"/>
    <w:link w:val="27"/>
    <w:qFormat/>
    <w:uiPriority w:val="99"/>
    <w:pPr>
      <w:spacing w:beforeLines="30"/>
    </w:pPr>
    <w:rPr>
      <w:rFonts w:ascii="仿宋_GB2312" w:eastAsia="仿宋_GB2312"/>
      <w:kern w:val="0"/>
      <w:sz w:val="30"/>
    </w:rPr>
  </w:style>
  <w:style w:type="paragraph" w:styleId="6">
    <w:name w:val="Document Map"/>
    <w:basedOn w:val="1"/>
    <w:link w:val="37"/>
    <w:qFormat/>
    <w:uiPriority w:val="0"/>
    <w:pPr>
      <w:shd w:val="clear" w:color="auto" w:fill="000080"/>
    </w:pPr>
  </w:style>
  <w:style w:type="paragraph" w:styleId="7">
    <w:name w:val="Body Text Indent"/>
    <w:basedOn w:val="1"/>
    <w:qFormat/>
    <w:uiPriority w:val="0"/>
    <w:pPr>
      <w:spacing w:after="120"/>
      <w:ind w:left="200" w:leftChars="200"/>
    </w:pPr>
    <w:rPr>
      <w:rFonts w:ascii="仿宋_GB2312"/>
      <w:szCs w:val="32"/>
    </w:rPr>
  </w:style>
  <w:style w:type="paragraph" w:styleId="8">
    <w:name w:val="toc 3"/>
    <w:basedOn w:val="1"/>
    <w:next w:val="1"/>
    <w:unhideWhenUsed/>
    <w:qFormat/>
    <w:uiPriority w:val="39"/>
    <w:pPr>
      <w:tabs>
        <w:tab w:val="right" w:leader="dot" w:pos="8296"/>
      </w:tabs>
      <w:ind w:left="840" w:leftChars="400"/>
    </w:pPr>
  </w:style>
  <w:style w:type="paragraph" w:styleId="9">
    <w:name w:val="Balloon Text"/>
    <w:basedOn w:val="1"/>
    <w:link w:val="33"/>
    <w:semiHidden/>
    <w:unhideWhenUsed/>
    <w:qFormat/>
    <w:uiPriority w:val="99"/>
    <w:rPr>
      <w:sz w:val="18"/>
      <w:szCs w:val="18"/>
    </w:rPr>
  </w:style>
  <w:style w:type="paragraph" w:styleId="10">
    <w:name w:val="footer"/>
    <w:basedOn w:val="1"/>
    <w:link w:val="25"/>
    <w:qFormat/>
    <w:uiPriority w:val="99"/>
    <w:pPr>
      <w:tabs>
        <w:tab w:val="center" w:pos="4153"/>
        <w:tab w:val="right" w:pos="8306"/>
      </w:tabs>
      <w:snapToGrid w:val="0"/>
      <w:jc w:val="left"/>
    </w:pPr>
    <w:rPr>
      <w:rFonts w:ascii="Calibri" w:hAnsi="Calibri"/>
      <w:kern w:val="0"/>
      <w:sz w:val="18"/>
      <w:szCs w:val="18"/>
    </w:rPr>
  </w:style>
  <w:style w:type="paragraph" w:styleId="11">
    <w:name w:val="header"/>
    <w:basedOn w:val="1"/>
    <w:link w:val="23"/>
    <w:semiHidden/>
    <w:qFormat/>
    <w:uiPriority w:val="99"/>
    <w:pPr>
      <w:pBdr>
        <w:bottom w:val="single" w:color="auto" w:sz="6" w:space="1"/>
      </w:pBdr>
      <w:tabs>
        <w:tab w:val="center" w:pos="4153"/>
        <w:tab w:val="right" w:pos="8306"/>
      </w:tabs>
      <w:snapToGrid w:val="0"/>
      <w:jc w:val="center"/>
    </w:pPr>
    <w:rPr>
      <w:rFonts w:ascii="Calibri" w:hAnsi="Calibri"/>
      <w:kern w:val="0"/>
      <w:sz w:val="18"/>
      <w:szCs w:val="18"/>
    </w:rPr>
  </w:style>
  <w:style w:type="paragraph" w:styleId="12">
    <w:name w:val="toc 1"/>
    <w:basedOn w:val="1"/>
    <w:next w:val="1"/>
    <w:unhideWhenUsed/>
    <w:qFormat/>
    <w:uiPriority w:val="39"/>
    <w:pPr>
      <w:tabs>
        <w:tab w:val="right" w:leader="dot" w:pos="8296"/>
      </w:tabs>
      <w:spacing w:before="93"/>
      <w:jc w:val="center"/>
    </w:pPr>
    <w:rPr>
      <w:rFonts w:ascii="仿宋" w:hAnsi="仿宋" w:eastAsia="仿宋"/>
      <w:sz w:val="28"/>
      <w:szCs w:val="28"/>
    </w:rPr>
  </w:style>
  <w:style w:type="paragraph" w:styleId="13">
    <w:name w:val="toc 2"/>
    <w:basedOn w:val="1"/>
    <w:next w:val="1"/>
    <w:unhideWhenUsed/>
    <w:qFormat/>
    <w:uiPriority w:val="39"/>
    <w:pPr>
      <w:tabs>
        <w:tab w:val="right" w:leader="dot" w:pos="8296"/>
      </w:tabs>
      <w:ind w:left="420" w:leftChars="200"/>
    </w:pPr>
  </w:style>
  <w:style w:type="paragraph" w:styleId="14">
    <w:name w:val="Normal (Web)"/>
    <w:basedOn w:val="1"/>
    <w:qFormat/>
    <w:uiPriority w:val="0"/>
    <w:pPr>
      <w:widowControl/>
      <w:spacing w:before="100" w:beforeAutospacing="1" w:after="100" w:afterAutospacing="1"/>
      <w:jc w:val="left"/>
    </w:pPr>
    <w:rPr>
      <w:rFonts w:ascii="Calibri" w:hAnsi="Calibri"/>
      <w:kern w:val="0"/>
      <w:sz w:val="24"/>
    </w:rPr>
  </w:style>
  <w:style w:type="paragraph" w:styleId="15">
    <w:name w:val="Body Text First Indent 2"/>
    <w:basedOn w:val="7"/>
    <w:unhideWhenUsed/>
    <w:qFormat/>
    <w:uiPriority w:val="99"/>
    <w:pPr>
      <w:ind w:firstLine="420" w:firstLineChars="200"/>
    </w:pPr>
  </w:style>
  <w:style w:type="character" w:styleId="18">
    <w:name w:val="Strong"/>
    <w:basedOn w:val="17"/>
    <w:qFormat/>
    <w:uiPriority w:val="99"/>
    <w:rPr>
      <w:b/>
    </w:rPr>
  </w:style>
  <w:style w:type="character" w:styleId="19">
    <w:name w:val="FollowedHyperlink"/>
    <w:basedOn w:val="17"/>
    <w:semiHidden/>
    <w:unhideWhenUsed/>
    <w:qFormat/>
    <w:uiPriority w:val="99"/>
    <w:rPr>
      <w:color w:val="954F72"/>
      <w:u w:val="single"/>
    </w:rPr>
  </w:style>
  <w:style w:type="character" w:styleId="20">
    <w:name w:val="Hyperlink"/>
    <w:basedOn w:val="17"/>
    <w:unhideWhenUsed/>
    <w:qFormat/>
    <w:uiPriority w:val="99"/>
    <w:rPr>
      <w:color w:val="0000FF" w:themeColor="hyperlink"/>
      <w:u w:val="single"/>
      <w14:textFill>
        <w14:solidFill>
          <w14:schemeClr w14:val="hlink"/>
        </w14:solidFill>
      </w14:textFill>
    </w:rPr>
  </w:style>
  <w:style w:type="paragraph" w:customStyle="1" w:styleId="21">
    <w:name w:val="标题 5（有编号）（绿盟科技）"/>
    <w:next w:val="1"/>
    <w:qFormat/>
    <w:uiPriority w:val="99"/>
    <w:pPr>
      <w:keepNext/>
      <w:keepLines/>
      <w:widowControl w:val="0"/>
      <w:spacing w:before="280" w:after="156" w:line="377" w:lineRule="auto"/>
      <w:outlineLvl w:val="4"/>
    </w:pPr>
    <w:rPr>
      <w:rFonts w:ascii="Arial" w:hAnsi="Arial" w:eastAsia="黑体" w:cs="Times New Roman"/>
      <w:b/>
      <w:kern w:val="2"/>
      <w:sz w:val="24"/>
      <w:szCs w:val="28"/>
      <w:lang w:val="en-US" w:eastAsia="zh-CN" w:bidi="ar-SA"/>
    </w:rPr>
  </w:style>
  <w:style w:type="character" w:customStyle="1" w:styleId="22">
    <w:name w:val="Header Char"/>
    <w:basedOn w:val="17"/>
    <w:semiHidden/>
    <w:qFormat/>
    <w:uiPriority w:val="99"/>
    <w:rPr>
      <w:rFonts w:ascii="Times New Roman" w:hAnsi="Times New Roman"/>
      <w:sz w:val="18"/>
      <w:szCs w:val="18"/>
    </w:rPr>
  </w:style>
  <w:style w:type="character" w:customStyle="1" w:styleId="23">
    <w:name w:val="页眉 字符"/>
    <w:link w:val="11"/>
    <w:semiHidden/>
    <w:qFormat/>
    <w:locked/>
    <w:uiPriority w:val="99"/>
    <w:rPr>
      <w:sz w:val="18"/>
    </w:rPr>
  </w:style>
  <w:style w:type="character" w:customStyle="1" w:styleId="24">
    <w:name w:val="Footer Char"/>
    <w:basedOn w:val="17"/>
    <w:semiHidden/>
    <w:qFormat/>
    <w:uiPriority w:val="99"/>
    <w:rPr>
      <w:rFonts w:ascii="Times New Roman" w:hAnsi="Times New Roman"/>
      <w:sz w:val="18"/>
      <w:szCs w:val="18"/>
    </w:rPr>
  </w:style>
  <w:style w:type="character" w:customStyle="1" w:styleId="25">
    <w:name w:val="页脚 字符"/>
    <w:link w:val="10"/>
    <w:qFormat/>
    <w:locked/>
    <w:uiPriority w:val="99"/>
    <w:rPr>
      <w:sz w:val="18"/>
    </w:rPr>
  </w:style>
  <w:style w:type="character" w:customStyle="1" w:styleId="26">
    <w:name w:val="Body Text Char"/>
    <w:basedOn w:val="17"/>
    <w:semiHidden/>
    <w:qFormat/>
    <w:uiPriority w:val="99"/>
    <w:rPr>
      <w:rFonts w:ascii="Times New Roman" w:hAnsi="Times New Roman"/>
      <w:szCs w:val="24"/>
    </w:rPr>
  </w:style>
  <w:style w:type="character" w:customStyle="1" w:styleId="27">
    <w:name w:val="正文文本 字符"/>
    <w:link w:val="2"/>
    <w:qFormat/>
    <w:locked/>
    <w:uiPriority w:val="99"/>
    <w:rPr>
      <w:rFonts w:ascii="仿宋_GB2312" w:hAnsi="Times New Roman" w:eastAsia="仿宋_GB2312"/>
      <w:sz w:val="24"/>
    </w:rPr>
  </w:style>
  <w:style w:type="paragraph" w:customStyle="1" w:styleId="28">
    <w:name w:val="Default"/>
    <w:qFormat/>
    <w:uiPriority w:val="99"/>
    <w:pPr>
      <w:widowControl w:val="0"/>
      <w:autoSpaceDE w:val="0"/>
      <w:autoSpaceDN w:val="0"/>
      <w:adjustRightInd w:val="0"/>
    </w:pPr>
    <w:rPr>
      <w:rFonts w:ascii="仿宋" w:hAnsi="Calibri" w:eastAsia="仿宋" w:cs="仿宋"/>
      <w:color w:val="000000"/>
      <w:sz w:val="24"/>
      <w:szCs w:val="24"/>
      <w:lang w:val="en-US" w:eastAsia="zh-CN" w:bidi="ar-SA"/>
    </w:rPr>
  </w:style>
  <w:style w:type="paragraph" w:styleId="29">
    <w:name w:val="List Paragraph"/>
    <w:basedOn w:val="1"/>
    <w:qFormat/>
    <w:uiPriority w:val="34"/>
    <w:pPr>
      <w:ind w:firstLine="420" w:firstLineChars="200"/>
    </w:pPr>
  </w:style>
  <w:style w:type="character" w:customStyle="1" w:styleId="30">
    <w:name w:val="标题 1 字符"/>
    <w:basedOn w:val="17"/>
    <w:link w:val="3"/>
    <w:qFormat/>
    <w:uiPriority w:val="9"/>
    <w:rPr>
      <w:rFonts w:ascii="Times New Roman" w:hAnsi="Times New Roman"/>
      <w:b/>
      <w:bCs/>
      <w:kern w:val="44"/>
      <w:sz w:val="44"/>
      <w:szCs w:val="44"/>
    </w:rPr>
  </w:style>
  <w:style w:type="character" w:customStyle="1" w:styleId="31">
    <w:name w:val="标题 2 字符"/>
    <w:basedOn w:val="17"/>
    <w:link w:val="4"/>
    <w:qFormat/>
    <w:uiPriority w:val="9"/>
    <w:rPr>
      <w:rFonts w:asciiTheme="majorHAnsi" w:hAnsiTheme="majorHAnsi" w:eastAsiaTheme="majorEastAsia" w:cstheme="majorBidi"/>
      <w:b/>
      <w:bCs/>
      <w:kern w:val="2"/>
      <w:sz w:val="32"/>
      <w:szCs w:val="32"/>
    </w:rPr>
  </w:style>
  <w:style w:type="paragraph" w:customStyle="1" w:styleId="32">
    <w:name w:val="TOC 标题1"/>
    <w:basedOn w:val="3"/>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33">
    <w:name w:val="批注框文本 字符"/>
    <w:basedOn w:val="17"/>
    <w:link w:val="9"/>
    <w:semiHidden/>
    <w:qFormat/>
    <w:uiPriority w:val="99"/>
    <w:rPr>
      <w:rFonts w:ascii="Times New Roman" w:hAnsi="Times New Roman"/>
      <w:kern w:val="2"/>
      <w:sz w:val="18"/>
      <w:szCs w:val="18"/>
    </w:rPr>
  </w:style>
  <w:style w:type="character" w:customStyle="1" w:styleId="34">
    <w:name w:val="标题 3 字符"/>
    <w:basedOn w:val="17"/>
    <w:link w:val="5"/>
    <w:qFormat/>
    <w:uiPriority w:val="9"/>
    <w:rPr>
      <w:rFonts w:ascii="Times New Roman" w:hAnsi="Times New Roman"/>
      <w:b/>
      <w:bCs/>
      <w:kern w:val="2"/>
      <w:sz w:val="32"/>
      <w:szCs w:val="32"/>
    </w:rPr>
  </w:style>
  <w:style w:type="paragraph" w:customStyle="1" w:styleId="35">
    <w:name w:val="TOC 标题2"/>
    <w:basedOn w:val="3"/>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paragraph" w:customStyle="1" w:styleId="36">
    <w:name w:val="四号正文"/>
    <w:basedOn w:val="1"/>
    <w:qFormat/>
    <w:uiPriority w:val="0"/>
    <w:pPr>
      <w:spacing w:line="360" w:lineRule="auto"/>
    </w:pPr>
    <w:rPr>
      <w:rFonts w:ascii="??" w:hAnsi="??"/>
      <w:color w:val="000000"/>
      <w:kern w:val="0"/>
      <w:sz w:val="28"/>
      <w:szCs w:val="21"/>
      <w:lang w:val="zh-CN"/>
    </w:rPr>
  </w:style>
  <w:style w:type="character" w:customStyle="1" w:styleId="37">
    <w:name w:val="文档结构图 字符"/>
    <w:basedOn w:val="17"/>
    <w:link w:val="6"/>
    <w:qFormat/>
    <w:uiPriority w:val="0"/>
    <w:rPr>
      <w:rFonts w:ascii="Times New Roman" w:hAnsi="Times New Roman" w:eastAsia="宋体" w:cs="Times New Roman"/>
      <w:kern w:val="2"/>
      <w:sz w:val="21"/>
      <w:szCs w:val="24"/>
      <w:shd w:val="clear" w:color="auto" w:fill="000080"/>
    </w:rPr>
  </w:style>
  <w:style w:type="paragraph" w:customStyle="1" w:styleId="38">
    <w:name w:val="msonormal"/>
    <w:basedOn w:val="1"/>
    <w:qFormat/>
    <w:uiPriority w:val="0"/>
    <w:pPr>
      <w:widowControl/>
      <w:spacing w:before="100" w:beforeAutospacing="1" w:after="100" w:afterAutospacing="1"/>
      <w:jc w:val="left"/>
    </w:pPr>
    <w:rPr>
      <w:rFonts w:ascii="宋体" w:hAnsi="宋体" w:cs="宋体"/>
      <w:kern w:val="0"/>
      <w:sz w:val="24"/>
    </w:rPr>
  </w:style>
  <w:style w:type="paragraph" w:customStyle="1" w:styleId="39">
    <w:name w:val="font5"/>
    <w:basedOn w:val="1"/>
    <w:qFormat/>
    <w:uiPriority w:val="0"/>
    <w:pPr>
      <w:widowControl/>
      <w:spacing w:before="100" w:beforeAutospacing="1" w:after="100" w:afterAutospacing="1"/>
      <w:jc w:val="left"/>
    </w:pPr>
    <w:rPr>
      <w:rFonts w:ascii="等线" w:hAnsi="等线" w:eastAsia="等线" w:cs="宋体"/>
      <w:kern w:val="0"/>
      <w:sz w:val="18"/>
      <w:szCs w:val="18"/>
    </w:rPr>
  </w:style>
  <w:style w:type="paragraph" w:customStyle="1" w:styleId="40">
    <w:name w:val="xl65"/>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left"/>
    </w:pPr>
    <w:rPr>
      <w:rFonts w:ascii="宋体" w:hAnsi="宋体" w:cs="宋体"/>
      <w:color w:val="000000"/>
      <w:kern w:val="0"/>
      <w:sz w:val="18"/>
      <w:szCs w:val="18"/>
    </w:rPr>
  </w:style>
  <w:style w:type="paragraph" w:customStyle="1" w:styleId="41">
    <w:name w:val="xl66"/>
    <w:basedOn w:val="1"/>
    <w:qFormat/>
    <w:uiPriority w:val="0"/>
    <w:pPr>
      <w:widowControl/>
      <w:spacing w:before="100" w:beforeAutospacing="1" w:after="100" w:afterAutospacing="1"/>
      <w:jc w:val="left"/>
    </w:pPr>
    <w:rPr>
      <w:rFonts w:ascii="Courier New" w:hAnsi="Courier New" w:cs="Courier New"/>
      <w:color w:val="000000"/>
      <w:kern w:val="0"/>
      <w:sz w:val="18"/>
      <w:szCs w:val="18"/>
    </w:rPr>
  </w:style>
  <w:style w:type="paragraph" w:customStyle="1" w:styleId="42">
    <w:name w:val="xl67"/>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宋体" w:hAnsi="宋体" w:cs="宋体"/>
      <w:color w:val="000000"/>
      <w:kern w:val="0"/>
      <w:sz w:val="18"/>
      <w:szCs w:val="18"/>
    </w:rPr>
  </w:style>
  <w:style w:type="paragraph" w:customStyle="1" w:styleId="43">
    <w:name w:val="xl68"/>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宋体" w:hAnsi="宋体" w:cs="宋体"/>
      <w:color w:val="000000"/>
      <w:kern w:val="0"/>
      <w:sz w:val="18"/>
      <w:szCs w:val="18"/>
    </w:rPr>
  </w:style>
  <w:style w:type="paragraph" w:customStyle="1" w:styleId="44">
    <w:name w:val="xl69"/>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宋体" w:hAnsi="宋体" w:cs="宋体"/>
      <w:color w:val="000000"/>
      <w:kern w:val="0"/>
      <w:sz w:val="18"/>
      <w:szCs w:val="18"/>
    </w:rPr>
  </w:style>
  <w:style w:type="paragraph" w:customStyle="1" w:styleId="45">
    <w:name w:val="xl70"/>
    <w:basedOn w:val="1"/>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微软雅黑" w:hAnsi="微软雅黑" w:eastAsia="微软雅黑" w:cs="宋体"/>
      <w:i/>
      <w:iCs/>
      <w:color w:val="000000"/>
      <w:kern w:val="0"/>
      <w:sz w:val="16"/>
      <w:szCs w:val="16"/>
    </w:rPr>
  </w:style>
  <w:style w:type="paragraph" w:customStyle="1" w:styleId="46">
    <w:name w:val="xl71"/>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47">
    <w:name w:val="xl72"/>
    <w:basedOn w:val="1"/>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黑体" w:hAnsi="黑体" w:eastAsia="黑体" w:cs="宋体"/>
      <w:b/>
      <w:bCs/>
      <w:color w:val="000000"/>
      <w:kern w:val="0"/>
      <w:sz w:val="30"/>
      <w:szCs w:val="30"/>
    </w:rPr>
  </w:style>
  <w:style w:type="paragraph" w:customStyle="1" w:styleId="48">
    <w:name w:val="xl73"/>
    <w:basedOn w:val="1"/>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Courier New" w:hAnsi="Courier New" w:cs="Courier New"/>
      <w:color w:val="000000"/>
      <w:kern w:val="0"/>
      <w:sz w:val="18"/>
      <w:szCs w:val="18"/>
    </w:rPr>
  </w:style>
  <w:style w:type="paragraph" w:customStyle="1" w:styleId="49">
    <w:name w:val="xl74"/>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left"/>
    </w:pPr>
    <w:rPr>
      <w:rFonts w:ascii="Courier New" w:hAnsi="Courier New" w:cs="Courier New"/>
      <w:color w:val="000000"/>
      <w:kern w:val="0"/>
      <w:sz w:val="18"/>
      <w:szCs w:val="18"/>
    </w:rPr>
  </w:style>
  <w:style w:type="paragraph" w:customStyle="1" w:styleId="50">
    <w:name w:val="xl75"/>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left"/>
    </w:pPr>
    <w:rPr>
      <w:rFonts w:ascii="Courier New" w:hAnsi="Courier New" w:cs="Courier New"/>
      <w:i/>
      <w:iCs/>
      <w:color w:val="000000"/>
      <w:kern w:val="0"/>
      <w:sz w:val="18"/>
      <w:szCs w:val="18"/>
    </w:rPr>
  </w:style>
  <w:style w:type="paragraph" w:customStyle="1" w:styleId="51">
    <w:name w:val="xl76"/>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left"/>
    </w:pPr>
    <w:rPr>
      <w:rFonts w:ascii="微软雅黑" w:hAnsi="微软雅黑" w:eastAsia="微软雅黑" w:cs="宋体"/>
      <w:i/>
      <w:iCs/>
      <w:color w:val="000000"/>
      <w:kern w:val="0"/>
      <w:sz w:val="16"/>
      <w:szCs w:val="16"/>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9" Type="http://schemas.openxmlformats.org/officeDocument/2006/relationships/font" Target="fonts/font9.odttf"/><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0" Type="http://schemas.openxmlformats.org/officeDocument/2006/relationships/font" Target="fonts/font10.odttf"/><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四川省财政厅</Company>
  <Pages>28</Pages>
  <Words>1866</Words>
  <Characters>10642</Characters>
  <Lines>88</Lines>
  <Paragraphs>24</Paragraphs>
  <TotalTime>2</TotalTime>
  <ScaleCrop>false</ScaleCrop>
  <LinksUpToDate>false</LinksUpToDate>
  <CharactersWithSpaces>12484</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2023-10-09T09:29:00Z</dcterms:created>
  <dc:creator>曹颖</dc:creator>
  <cp:lastModifiedBy>罗汉</cp:lastModifiedBy>
  <cp:lastPrinted>2023-07-31T02:35:00Z</cp:lastPrinted>
  <dcterms:modified xsi:type="dcterms:W3CDTF">2023-11-28T02:08:44Z</dcterms:modified>
  <dc:title>四川省***</dc:title>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8D292972AFEA4E0885A9BFE59506ED0F_12</vt:lpwstr>
  </property>
</Properties>
</file>