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469EB416">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羊岭镇履行职责事项清单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474" w:gutter="0"/>
          <w:pgBorders>
            <w:top w:val="none" w:sz="0" w:space="0"/>
            <w:left w:val="none" w:sz="0" w:space="0"/>
            <w:bottom w:val="none" w:sz="0" w:space="0"/>
            <w:right w:val="none" w:sz="0" w:space="0"/>
          </w:pgBorders>
          <w:cols w:space="0" w:num="1"/>
          <w:rtlGutter w:val="0"/>
          <w:docGrid w:type="lines" w:linePitch="314" w:charSpace="0"/>
        </w:sectPr>
      </w:pPr>
    </w:p>
    <w:p w14:paraId="52285FB3">
      <w:pPr>
        <w:ind w:firstLine="5280" w:firstLineChars="1200"/>
        <w:jc w:val="both"/>
        <w:rPr>
          <w:rFonts w:hint="eastAsia" w:ascii="方正小标宋简体" w:hAnsi="方正小标宋简体" w:eastAsia="方正小标宋简体" w:cs="方正小标宋简体"/>
          <w:sz w:val="44"/>
          <w:szCs w:val="44"/>
          <w:lang w:eastAsia="zh-CN"/>
        </w:rPr>
      </w:pPr>
    </w:p>
    <w:p w14:paraId="691EC8D6">
      <w:pPr>
        <w:ind w:firstLine="5280" w:firstLineChars="12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1468385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2.配合履职事项清单…………………………………………………………………………………………………………7</w:t>
      </w:r>
    </w:p>
    <w:p w14:paraId="7074A694">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3.上级部门收回事项清单…………………………………………………………………………………………………38</w:t>
      </w:r>
    </w:p>
    <w:p w14:paraId="197CC93D">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247" w:gutter="0"/>
          <w:pgNumType w:fmt="decimal"/>
          <w:cols w:space="0" w:num="1"/>
          <w:rtlGutter w:val="0"/>
          <w:docGrid w:type="lines" w:linePitch="313" w:charSpace="0"/>
        </w:sectPr>
      </w:pPr>
    </w:p>
    <w:p w14:paraId="6F4A463C">
      <w:pPr>
        <w:keepNext w:val="0"/>
        <w:keepLines w:val="0"/>
        <w:pageBreakBefore w:val="0"/>
        <w:widowControl w:val="0"/>
        <w:kinsoku/>
        <w:wordWrap/>
        <w:overflowPunct/>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13765"/>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59" w:type="pct"/>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4840" w:type="pct"/>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u w:val="none"/>
              </w:rPr>
              <w:t>加强人才队伍建设，</w:t>
            </w:r>
            <w:r>
              <w:rPr>
                <w:rFonts w:hint="eastAsia" w:ascii="FZSSK--GBK1-0" w:hAnsi="FZSSK--GBK1-0" w:eastAsia="FZSSK--GBK1-0" w:cs="FZSSK--GBK1-0"/>
                <w:b w:val="0"/>
                <w:bCs w:val="0"/>
                <w:color w:val="auto"/>
                <w:sz w:val="18"/>
                <w:szCs w:val="18"/>
                <w:highlight w:val="none"/>
                <w:u w:val="none"/>
              </w:rPr>
              <w:t>落实人才</w:t>
            </w:r>
            <w:r>
              <w:rPr>
                <w:rFonts w:hint="eastAsia" w:ascii="FZSSK--GBK1-0" w:hAnsi="FZSSK--GBK1-0" w:eastAsia="宋体" w:cs="FZSSK--GBK1-0"/>
                <w:b w:val="0"/>
                <w:bCs w:val="0"/>
                <w:color w:val="auto"/>
                <w:sz w:val="18"/>
                <w:szCs w:val="18"/>
                <w:highlight w:val="none"/>
                <w:u w:val="none"/>
                <w:lang w:eastAsia="zh-CN"/>
              </w:rPr>
              <w:t>引进</w:t>
            </w:r>
            <w:r>
              <w:rPr>
                <w:rFonts w:hint="eastAsia" w:ascii="FZSSK--GBK1-0" w:hAnsi="FZSSK--GBK1-0" w:eastAsia="FZSSK--GBK1-0" w:cs="FZSSK--GBK1-0"/>
                <w:b w:val="0"/>
                <w:bCs w:val="0"/>
                <w:color w:val="auto"/>
                <w:sz w:val="18"/>
                <w:szCs w:val="18"/>
                <w:highlight w:val="none"/>
                <w:u w:val="none"/>
              </w:rPr>
              <w:t>激励政策</w:t>
            </w:r>
            <w:r>
              <w:rPr>
                <w:rFonts w:ascii="FZSSK--GBK1-0" w:hAnsi="FZSSK--GBK1-0" w:eastAsia="FZSSK--GBK1-0" w:cs="FZSSK--GBK1-0"/>
                <w:b w:val="0"/>
                <w:bCs w:val="0"/>
                <w:color w:val="auto"/>
                <w:sz w:val="18"/>
                <w:szCs w:val="18"/>
                <w:highlight w:val="none"/>
                <w:u w:val="none"/>
              </w:rPr>
              <w:t>，</w:t>
            </w:r>
            <w:r>
              <w:rPr>
                <w:rFonts w:hint="eastAsia" w:ascii="FZSSK--GBK1-0" w:hAnsi="FZSSK--GBK1-0" w:eastAsia="宋体" w:cs="FZSSK--GBK1-0"/>
                <w:b w:val="0"/>
                <w:bCs w:val="0"/>
                <w:color w:val="auto"/>
                <w:sz w:val="18"/>
                <w:szCs w:val="18"/>
                <w:highlight w:val="none"/>
                <w:u w:val="none"/>
                <w:lang w:eastAsia="zh-CN"/>
              </w:rPr>
              <w:t>做好人才</w:t>
            </w:r>
            <w:r>
              <w:rPr>
                <w:rFonts w:ascii="FZSSK--GBK1-0" w:hAnsi="FZSSK--GBK1-0" w:eastAsia="FZSSK--GBK1-0" w:cs="FZSSK--GBK1-0"/>
                <w:b w:val="0"/>
                <w:bCs w:val="0"/>
                <w:color w:val="auto"/>
                <w:sz w:val="18"/>
                <w:szCs w:val="18"/>
                <w:highlight w:val="none"/>
                <w:u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u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21</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29</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30</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31</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6A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32</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0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33</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6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34</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B3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36</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1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37</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D9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38</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5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FD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40</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02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41</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3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42</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bottom"/>
          </w:tcPr>
          <w:p w14:paraId="62FB3B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43</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bottom"/>
          </w:tcPr>
          <w:p w14:paraId="1E2A3F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44</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bottom"/>
          </w:tcPr>
          <w:p w14:paraId="6C246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45</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bottom"/>
          </w:tcPr>
          <w:p w14:paraId="501DE7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46</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50</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51</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w:t>
            </w:r>
            <w:r>
              <w:rPr>
                <w:rFonts w:hint="eastAsia" w:ascii="宋体" w:hAnsi="宋体" w:eastAsia="宋体" w:cs="宋体"/>
                <w:i w:val="0"/>
                <w:iCs w:val="0"/>
                <w:color w:val="auto"/>
                <w:kern w:val="0"/>
                <w:sz w:val="18"/>
                <w:szCs w:val="18"/>
                <w:highlight w:val="none"/>
                <w:u w:val="none"/>
                <w:lang w:val="en-US" w:eastAsia="zh-CN"/>
              </w:rPr>
              <w:t>生猪、剑门关土鸡</w:t>
            </w:r>
            <w:r>
              <w:rPr>
                <w:rFonts w:hint="eastAsia" w:ascii="宋体" w:hAnsi="宋体" w:eastAsia="宋体" w:cs="宋体"/>
                <w:i w:val="0"/>
                <w:iCs w:val="0"/>
                <w:color w:val="auto"/>
                <w:kern w:val="0"/>
                <w:sz w:val="18"/>
                <w:szCs w:val="18"/>
                <w:highlight w:val="none"/>
                <w:u w:val="none"/>
                <w:lang w:val="en-US" w:eastAsia="zh-CN" w:bidi="ar"/>
              </w:rPr>
              <w:t>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巩固提升马鞍山村白花桃、石城村蜂糖李产业园，推动小水果产业发展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壮大金丝皇菊种植园，推广林下循环经济，发展农业特色产业</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8D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60</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3C74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D8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61</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3E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50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1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BD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E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5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68</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69</w:t>
            </w:r>
          </w:p>
        </w:tc>
        <w:tc>
          <w:tcPr>
            <w:tcW w:w="4840" w:type="pct"/>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70</w:t>
            </w:r>
          </w:p>
        </w:tc>
        <w:tc>
          <w:tcPr>
            <w:tcW w:w="4840" w:type="pct"/>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71</w:t>
            </w:r>
          </w:p>
        </w:tc>
        <w:tc>
          <w:tcPr>
            <w:tcW w:w="4840" w:type="pct"/>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A83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01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6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868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78</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79</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80</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81</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82</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70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83</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D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84</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85</w:t>
            </w:r>
          </w:p>
        </w:tc>
        <w:tc>
          <w:tcPr>
            <w:tcW w:w="4840"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8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86</w:t>
            </w:r>
          </w:p>
        </w:tc>
        <w:tc>
          <w:tcPr>
            <w:tcW w:w="4840" w:type="pct"/>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89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90</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D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91</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E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挖掘、保护、传承“羊岭花灯”“羊岭布艺童帽”等非遗文化，开展特色精品民俗文化活动，弘扬优秀传统文化</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E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A2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保护开发利用</w:t>
            </w:r>
            <w:r>
              <w:rPr>
                <w:rFonts w:hint="eastAsia" w:ascii="宋体" w:hAnsi="宋体" w:eastAsia="宋体" w:cs="宋体"/>
                <w:i w:val="0"/>
                <w:iCs w:val="0"/>
                <w:strike w:val="0"/>
                <w:dstrike w:val="0"/>
                <w:color w:val="auto"/>
                <w:kern w:val="0"/>
                <w:sz w:val="18"/>
                <w:szCs w:val="18"/>
                <w:highlight w:val="none"/>
                <w:u w:val="none"/>
                <w:lang w:val="en-US" w:eastAsia="zh-CN"/>
              </w:rPr>
              <w:t>“马鞍山红军战斗遗址”“川陕省赤化县石城区苏维埃政府旧址”红色</w:t>
            </w:r>
            <w:r>
              <w:rPr>
                <w:rFonts w:hint="eastAsia" w:ascii="宋体" w:hAnsi="宋体" w:eastAsia="宋体" w:cs="宋体"/>
                <w:i w:val="0"/>
                <w:iCs w:val="0"/>
                <w:strike w:val="0"/>
                <w:dstrike w:val="0"/>
                <w:color w:val="auto"/>
                <w:kern w:val="0"/>
                <w:sz w:val="18"/>
                <w:szCs w:val="18"/>
                <w:highlight w:val="none"/>
                <w:u w:val="none"/>
                <w:lang w:val="en-US" w:eastAsia="zh-CN" w:bidi="ar"/>
              </w:rPr>
              <w:t>资源，</w:t>
            </w:r>
            <w:r>
              <w:rPr>
                <w:rFonts w:hint="eastAsia" w:ascii="宋体" w:hAnsi="宋体" w:eastAsia="宋体" w:cs="宋体"/>
                <w:i w:val="0"/>
                <w:iCs w:val="0"/>
                <w:color w:val="auto"/>
                <w:kern w:val="0"/>
                <w:sz w:val="18"/>
                <w:szCs w:val="18"/>
                <w:highlight w:val="none"/>
                <w:u w:val="none"/>
                <w:lang w:val="en-US" w:eastAsia="zh-CN"/>
              </w:rPr>
              <w:t>改造提升“马鞍山•石城爱国主义教育基地”，开设“马鞍山红色课堂”，传承弘扬红色文化</w:t>
            </w:r>
          </w:p>
        </w:tc>
      </w:tr>
      <w:tr w14:paraId="2448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D7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38C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95</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96</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97</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98</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07E2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7E068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99</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00C7AC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100</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101</w:t>
            </w:r>
          </w:p>
        </w:tc>
        <w:tc>
          <w:tcPr>
            <w:tcW w:w="4840" w:type="pct"/>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102</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103</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104</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105</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106</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107</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108</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109</w:t>
            </w:r>
          </w:p>
        </w:tc>
        <w:tc>
          <w:tcPr>
            <w:tcW w:w="48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597630C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247" w:gutter="0"/>
          <w:pgNumType w:fmt="decimal" w:start="1"/>
          <w:cols w:space="0" w:num="1"/>
          <w:rtlGutter w:val="0"/>
          <w:docGrid w:type="lines" w:linePitch="313" w:charSpace="0"/>
        </w:sectPr>
      </w:pPr>
    </w:p>
    <w:p w14:paraId="546BDAD5">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952"/>
        <w:gridCol w:w="1910"/>
        <w:gridCol w:w="5320"/>
        <w:gridCol w:w="5544"/>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3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乡镇领导</w:t>
            </w:r>
          </w:p>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班子建设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26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D6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“三支一扶”“西</w:t>
            </w:r>
          </w:p>
          <w:p w14:paraId="557A5A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部计划志愿者”队伍</w:t>
            </w:r>
          </w:p>
          <w:p w14:paraId="16E564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建设管理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B9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359C9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FD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33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B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行政区</w:t>
            </w:r>
          </w:p>
          <w:p w14:paraId="4D6904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划和地</w:t>
            </w:r>
          </w:p>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名管理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移民后扶人口管理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B87F">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1.负责全县移民后扶人口动态管理工作；</w:t>
            </w:r>
          </w:p>
          <w:p w14:paraId="58D1BBBD">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2.负责全县移民后扶人口补贴发放。</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183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1.上报移民后扶人口核减情况；</w:t>
            </w:r>
          </w:p>
          <w:p w14:paraId="0EC5A76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2.核对移民后扶人口姓名、身份证号、社保卡号等基本信息并上报县水利局。</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04"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after="48" w:afterLines="15" w:line="204"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4EC9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E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9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26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501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5ED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D078F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0043F8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231314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3026996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1162B6E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5D46FA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2EF6D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1BF0CB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919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6195C1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4970DF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3.协助监督矿山企业落实环保措施，上报环境污染问题；</w:t>
            </w:r>
          </w:p>
          <w:p w14:paraId="53E52D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4.协助督促矿山闭坑后生态修复工作，反馈修复进度与问题；</w:t>
            </w:r>
          </w:p>
          <w:p w14:paraId="329ACC7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96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91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D085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0039B5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07DBA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34A371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464D6C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16526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0ED6E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7C9613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55964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36750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0771A8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5570F1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32F31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1F3E1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12FC67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w:t>
            </w:r>
            <w:bookmarkStart w:id="0" w:name="_GoBack"/>
            <w:bookmarkEnd w:id="0"/>
            <w:r>
              <w:rPr>
                <w:rFonts w:hint="eastAsia" w:ascii="宋体" w:hAnsi="宋体" w:eastAsia="宋体" w:cs="宋体"/>
                <w:b w:val="0"/>
                <w:bCs w:val="0"/>
                <w:i w:val="0"/>
                <w:iCs w:val="0"/>
                <w:color w:val="auto"/>
                <w:spacing w:val="0"/>
                <w:kern w:val="0"/>
                <w:sz w:val="18"/>
                <w:szCs w:val="18"/>
                <w:highlight w:val="none"/>
                <w:u w:val="none"/>
                <w:lang w:val="en-US" w:eastAsia="zh-CN" w:bidi="ar"/>
              </w:rPr>
              <w:t>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4</w:t>
            </w:r>
            <w:r>
              <w:rPr>
                <w:rFonts w:hint="default" w:ascii="宋体" w:hAnsi="宋体" w:eastAsia="宋体" w:cs="宋体"/>
                <w:i w:val="0"/>
                <w:iCs w:val="0"/>
                <w:color w:val="auto"/>
                <w:spacing w:val="0"/>
                <w:kern w:val="2"/>
                <w:sz w:val="18"/>
                <w:szCs w:val="18"/>
                <w:lang w:val="en-US" w:eastAsia="zh-CN" w:bidi="ar-SA"/>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9"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8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水污染</w:t>
            </w:r>
          </w:p>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51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17AF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按照“谁主管谁负责、谁审批谁负责”的原则，履行行业安全责任，督促房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组织人员参加乡村建</w:t>
            </w:r>
            <w:r>
              <w:rPr>
                <w:rFonts w:hint="eastAsia" w:ascii="宋体" w:hAnsi="宋体" w:eastAsia="宋体" w:cs="宋体"/>
                <w:i w:val="0"/>
                <w:iCs w:val="0"/>
                <w:color w:val="auto"/>
                <w:spacing w:val="-6"/>
                <w:kern w:val="0"/>
                <w:sz w:val="18"/>
                <w:szCs w:val="18"/>
                <w:highlight w:val="none"/>
                <w:u w:val="none"/>
                <w:lang w:val="en-US" w:eastAsia="zh-CN" w:bidi="ar"/>
              </w:rPr>
              <w:t>设工匠职业技能等级认定。</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5</w:t>
            </w:r>
            <w:r>
              <w:rPr>
                <w:rFonts w:hint="default" w:ascii="宋体" w:hAnsi="宋体" w:eastAsia="宋体" w:cs="宋体"/>
                <w:i w:val="0"/>
                <w:iCs w:val="0"/>
                <w:color w:val="000000"/>
                <w:spacing w:val="0"/>
                <w:kern w:val="0"/>
                <w:sz w:val="18"/>
                <w:szCs w:val="18"/>
                <w:highlight w:val="none"/>
                <w:u w:val="none"/>
                <w:lang w:val="en-US" w:eastAsia="zh-CN" w:bidi="ar"/>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E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69ED16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3C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1B5244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007953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2E26C1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3AF29B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33D5AB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06023C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473420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DD485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8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335FE1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637CFC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6E3C2C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1CCED8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9"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5C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77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7694B0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559C6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40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职业</w:t>
            </w:r>
          </w:p>
          <w:p w14:paraId="2C5F6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病防治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加强灾害发生地气象监测预报，为灾害救援处置提供气象信息保障。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B1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w:t>
            </w:r>
          </w:p>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救援</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5"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43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w:t>
            </w:r>
          </w:p>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72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5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E04C1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9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480AF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9CF86A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31DA04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4441BB5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28E128C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63119B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8C9C6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E6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7D29CCC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55CF43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637EDA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73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w:t>
            </w:r>
            <w:r>
              <w:rPr>
                <w:rFonts w:hint="eastAsia" w:ascii="宋体" w:hAnsi="宋体" w:eastAsia="宋体" w:cs="宋体"/>
                <w:b w:val="0"/>
                <w:bCs w:val="0"/>
                <w:i w:val="0"/>
                <w:iCs w:val="0"/>
                <w:color w:val="auto"/>
                <w:spacing w:val="-6"/>
                <w:kern w:val="0"/>
                <w:sz w:val="18"/>
                <w:szCs w:val="18"/>
                <w:highlight w:val="none"/>
                <w:u w:val="none"/>
                <w:lang w:val="en-US" w:eastAsia="zh-CN" w:bidi="ar"/>
              </w:rPr>
              <w:t>故应急处置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9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37214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35015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1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E275D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0E98B7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0581C2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4DAF4C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2F8A74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94B84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76B1616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1E2A00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F83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701A2A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2AF74A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2B9A498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电动自行车、电动汽车集中充电设施建设管理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C83C8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 xml:space="preserve"> </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9"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0B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森林</w:t>
            </w:r>
          </w:p>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防灭火</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0"/>
                <w:sz w:val="18"/>
                <w:szCs w:val="18"/>
                <w:highlight w:val="none"/>
                <w:u w:val="none"/>
                <w:lang w:val="en-US" w:eastAsia="zh-CN" w:bidi="ar"/>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191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9B43FC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0C09851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2DFCA4C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9FE4D1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14DCF4A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3923C10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3DA1A06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4DD1804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97D2CD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6A6AF2D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03BA6A4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56FF43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48A8807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FE89C8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5D10D18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16E9782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0188B7C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6326340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2E2B971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AA3694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80D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67710BD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7FCD07F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0189E9E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109B108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86F590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2862C3E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68FECF3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77D52C1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A7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92936F9">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654D1E2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27DC03CC">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19F5DA7F">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0D342126">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5B56A706">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4F228709">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48495598">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2D9361B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69F4EFE4">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AE4277E">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3EA4E47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C745A0A">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1B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1A6ABA0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0F8439D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5FD3B61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38DDBE7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3FFD249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F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after="79" w:afterLines="25"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未成年人</w:t>
            </w:r>
            <w:r>
              <w:rPr>
                <w:rFonts w:hint="eastAsia" w:ascii="宋体" w:hAnsi="宋体" w:eastAsia="宋体" w:cs="宋体"/>
                <w:b w:val="0"/>
                <w:bCs w:val="0"/>
                <w:i w:val="0"/>
                <w:iCs w:val="0"/>
                <w:color w:val="auto"/>
                <w:spacing w:val="-6"/>
                <w:kern w:val="0"/>
                <w:sz w:val="18"/>
                <w:szCs w:val="18"/>
                <w:highlight w:val="none"/>
                <w:u w:val="none"/>
                <w:lang w:val="en-US" w:eastAsia="zh-CN" w:bidi="ar"/>
              </w:rPr>
              <w:t>防溺水工作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highlight w:val="none"/>
                <w:u w:val="none"/>
                <w:lang w:val="en-US" w:eastAsia="zh-CN" w:bidi="ar"/>
              </w:rPr>
              <w:t>83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3D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B789F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DB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ED558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2E817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28DB0D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6A537D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433FED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2A465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20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3CEFD5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4868A2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162ECE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32B378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7A0A1A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84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42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02408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74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A2F2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3B153A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1BFFC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10F09A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E7E10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16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0665AD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7E10FB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1DFE10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17252D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6FE18A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12063968">
      <w:pPr>
        <w:sectPr>
          <w:pgSz w:w="16838" w:h="11906" w:orient="landscape"/>
          <w:pgMar w:top="1587" w:right="1417" w:bottom="1417" w:left="1417" w:header="851" w:footer="1247"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6"/>
        <w:gridCol w:w="9307"/>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896A999"/>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DAEAEF-1069-4F50-AA84-566AB1C491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11C492BB-F332-47DC-B93E-44623EA93249}"/>
  </w:font>
  <w:font w:name="仿宋_GB2312">
    <w:panose1 w:val="02010609030101010101"/>
    <w:charset w:val="86"/>
    <w:family w:val="auto"/>
    <w:pitch w:val="default"/>
    <w:sig w:usb0="00000001" w:usb1="080E0000" w:usb2="00000000" w:usb3="00000000" w:csb0="00040000" w:csb1="00000000"/>
    <w:embedRegular r:id="rId3" w:fontKey="{A2A4DD1E-FD68-4C98-B51E-AA989114DA8C}"/>
  </w:font>
  <w:font w:name="FZSSK--GBK1-0">
    <w:altName w:val="Segoe Print"/>
    <w:panose1 w:val="00000000000000000000"/>
    <w:charset w:val="00"/>
    <w:family w:val="auto"/>
    <w:pitch w:val="default"/>
    <w:sig w:usb0="00000000" w:usb1="00000000" w:usb2="00000000" w:usb3="00000000" w:csb0="00000000" w:csb1="00000000"/>
    <w:embedRegular r:id="rId4" w:fontKey="{AFD68D2F-BE03-4AF7-ABED-FE593D821290}"/>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auto"/>
    <w:pitch w:val="default"/>
    <w:sig w:usb0="00000000" w:usb1="00000000" w:usb2="00000000" w:usb3="00000000" w:csb0="00000000" w:csb1="00000000"/>
    <w:embedRegular r:id="rId5" w:fontKey="{252488A5-6F29-479E-951A-C8DDAE5395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A85579"/>
    <w:rsid w:val="00B35F68"/>
    <w:rsid w:val="01C210D6"/>
    <w:rsid w:val="04615766"/>
    <w:rsid w:val="04BB2E8F"/>
    <w:rsid w:val="054B711F"/>
    <w:rsid w:val="05ED30EE"/>
    <w:rsid w:val="072322C2"/>
    <w:rsid w:val="07457FA9"/>
    <w:rsid w:val="07C56B5B"/>
    <w:rsid w:val="08716E9D"/>
    <w:rsid w:val="09472DD3"/>
    <w:rsid w:val="09E53282"/>
    <w:rsid w:val="0A3D6C83"/>
    <w:rsid w:val="0A854E82"/>
    <w:rsid w:val="0B7B28C5"/>
    <w:rsid w:val="0BFE2951"/>
    <w:rsid w:val="0C1C5DCC"/>
    <w:rsid w:val="0CEC568C"/>
    <w:rsid w:val="0E28666D"/>
    <w:rsid w:val="0EFB1BB6"/>
    <w:rsid w:val="0F0F2125"/>
    <w:rsid w:val="0F6D2957"/>
    <w:rsid w:val="0FE4430D"/>
    <w:rsid w:val="0FE7326B"/>
    <w:rsid w:val="10341906"/>
    <w:rsid w:val="111568E5"/>
    <w:rsid w:val="11A0226F"/>
    <w:rsid w:val="11BA3436"/>
    <w:rsid w:val="11BF04E8"/>
    <w:rsid w:val="121650FE"/>
    <w:rsid w:val="13082291"/>
    <w:rsid w:val="13B662F1"/>
    <w:rsid w:val="13F31A31"/>
    <w:rsid w:val="142C75F7"/>
    <w:rsid w:val="14331D53"/>
    <w:rsid w:val="14DE0B4E"/>
    <w:rsid w:val="15040CCC"/>
    <w:rsid w:val="15864558"/>
    <w:rsid w:val="16E02C58"/>
    <w:rsid w:val="170722C6"/>
    <w:rsid w:val="1787650E"/>
    <w:rsid w:val="17E7226A"/>
    <w:rsid w:val="18A96136"/>
    <w:rsid w:val="18F22D5E"/>
    <w:rsid w:val="19483C4A"/>
    <w:rsid w:val="19541A9C"/>
    <w:rsid w:val="1A2D4753"/>
    <w:rsid w:val="1A867C87"/>
    <w:rsid w:val="1AB8700C"/>
    <w:rsid w:val="1B05662C"/>
    <w:rsid w:val="1B132782"/>
    <w:rsid w:val="1BE45464"/>
    <w:rsid w:val="1C1F3F30"/>
    <w:rsid w:val="1C454A56"/>
    <w:rsid w:val="1D807C8E"/>
    <w:rsid w:val="1D945504"/>
    <w:rsid w:val="205312B9"/>
    <w:rsid w:val="20657090"/>
    <w:rsid w:val="206A37DB"/>
    <w:rsid w:val="207D68B6"/>
    <w:rsid w:val="20FA7F20"/>
    <w:rsid w:val="217A23C3"/>
    <w:rsid w:val="21956CD9"/>
    <w:rsid w:val="21B10C1A"/>
    <w:rsid w:val="22711301"/>
    <w:rsid w:val="239A270D"/>
    <w:rsid w:val="240A35F4"/>
    <w:rsid w:val="24225BB4"/>
    <w:rsid w:val="25CA23CD"/>
    <w:rsid w:val="26384FC0"/>
    <w:rsid w:val="26800832"/>
    <w:rsid w:val="26F82949"/>
    <w:rsid w:val="28246AC1"/>
    <w:rsid w:val="28345921"/>
    <w:rsid w:val="28626FEA"/>
    <w:rsid w:val="28C8702A"/>
    <w:rsid w:val="28DE1EE6"/>
    <w:rsid w:val="28FA48BC"/>
    <w:rsid w:val="29EF0A81"/>
    <w:rsid w:val="2A007932"/>
    <w:rsid w:val="2ABD3381"/>
    <w:rsid w:val="2C1677CF"/>
    <w:rsid w:val="2D7D6C5D"/>
    <w:rsid w:val="2E5500C4"/>
    <w:rsid w:val="2F30614E"/>
    <w:rsid w:val="2F836711"/>
    <w:rsid w:val="2F9D533D"/>
    <w:rsid w:val="303A4452"/>
    <w:rsid w:val="312D129A"/>
    <w:rsid w:val="31DB09D6"/>
    <w:rsid w:val="31ED4F37"/>
    <w:rsid w:val="32127889"/>
    <w:rsid w:val="32810F57"/>
    <w:rsid w:val="32DA194C"/>
    <w:rsid w:val="342034AB"/>
    <w:rsid w:val="34815F00"/>
    <w:rsid w:val="34FF14F6"/>
    <w:rsid w:val="352B17E5"/>
    <w:rsid w:val="355718E2"/>
    <w:rsid w:val="35A532A4"/>
    <w:rsid w:val="35BC71FC"/>
    <w:rsid w:val="35C9659F"/>
    <w:rsid w:val="365761B8"/>
    <w:rsid w:val="379F72CB"/>
    <w:rsid w:val="37F417DB"/>
    <w:rsid w:val="38244048"/>
    <w:rsid w:val="38697929"/>
    <w:rsid w:val="38C04A62"/>
    <w:rsid w:val="39450BBD"/>
    <w:rsid w:val="39E4743C"/>
    <w:rsid w:val="3A112435"/>
    <w:rsid w:val="3B400A69"/>
    <w:rsid w:val="3B610ADD"/>
    <w:rsid w:val="3C244D9A"/>
    <w:rsid w:val="3C61324B"/>
    <w:rsid w:val="3DC706B9"/>
    <w:rsid w:val="3DC94AAA"/>
    <w:rsid w:val="3E1D0952"/>
    <w:rsid w:val="3E463A8C"/>
    <w:rsid w:val="3EB454F6"/>
    <w:rsid w:val="3F0045BC"/>
    <w:rsid w:val="405C7D05"/>
    <w:rsid w:val="4088077A"/>
    <w:rsid w:val="4092348C"/>
    <w:rsid w:val="40A664C5"/>
    <w:rsid w:val="40EB2B5B"/>
    <w:rsid w:val="41A36925"/>
    <w:rsid w:val="42B60D1B"/>
    <w:rsid w:val="42DA6547"/>
    <w:rsid w:val="42E63A08"/>
    <w:rsid w:val="43886592"/>
    <w:rsid w:val="43AB5814"/>
    <w:rsid w:val="44035E38"/>
    <w:rsid w:val="44410C2F"/>
    <w:rsid w:val="44BD1290"/>
    <w:rsid w:val="466A7EA9"/>
    <w:rsid w:val="47960CF4"/>
    <w:rsid w:val="47B22EF3"/>
    <w:rsid w:val="47C335F7"/>
    <w:rsid w:val="48804442"/>
    <w:rsid w:val="48C97DAC"/>
    <w:rsid w:val="48FC176E"/>
    <w:rsid w:val="49351E5E"/>
    <w:rsid w:val="4A786951"/>
    <w:rsid w:val="4A9F2306"/>
    <w:rsid w:val="4AB32CF3"/>
    <w:rsid w:val="4AC74178"/>
    <w:rsid w:val="4B217E09"/>
    <w:rsid w:val="4BEB5919"/>
    <w:rsid w:val="4BF41C8B"/>
    <w:rsid w:val="4C3D15D2"/>
    <w:rsid w:val="4C78271C"/>
    <w:rsid w:val="4C7C04B3"/>
    <w:rsid w:val="4C961B54"/>
    <w:rsid w:val="4CAD5597"/>
    <w:rsid w:val="4E674CB7"/>
    <w:rsid w:val="4EA40C60"/>
    <w:rsid w:val="4F7D74A2"/>
    <w:rsid w:val="4F7F0D1C"/>
    <w:rsid w:val="50823E7C"/>
    <w:rsid w:val="50BB4EA3"/>
    <w:rsid w:val="50D3783F"/>
    <w:rsid w:val="50EC15FC"/>
    <w:rsid w:val="51242A64"/>
    <w:rsid w:val="513A71A2"/>
    <w:rsid w:val="51477C56"/>
    <w:rsid w:val="521065F0"/>
    <w:rsid w:val="529832BE"/>
    <w:rsid w:val="53BA0CC5"/>
    <w:rsid w:val="53BE085E"/>
    <w:rsid w:val="542F19FF"/>
    <w:rsid w:val="5523289A"/>
    <w:rsid w:val="55F7284A"/>
    <w:rsid w:val="56306D67"/>
    <w:rsid w:val="567C46EC"/>
    <w:rsid w:val="56F049FE"/>
    <w:rsid w:val="571F576F"/>
    <w:rsid w:val="574D46DD"/>
    <w:rsid w:val="574E07C7"/>
    <w:rsid w:val="59122449"/>
    <w:rsid w:val="59370471"/>
    <w:rsid w:val="5AA1498D"/>
    <w:rsid w:val="5AC71F19"/>
    <w:rsid w:val="5B0D2022"/>
    <w:rsid w:val="5B844200"/>
    <w:rsid w:val="5C011C6C"/>
    <w:rsid w:val="5C404E42"/>
    <w:rsid w:val="5CA3041D"/>
    <w:rsid w:val="5DEC1AEA"/>
    <w:rsid w:val="5E21449E"/>
    <w:rsid w:val="5E551136"/>
    <w:rsid w:val="5F6B7317"/>
    <w:rsid w:val="5FC353A5"/>
    <w:rsid w:val="60655AED"/>
    <w:rsid w:val="60790730"/>
    <w:rsid w:val="627045C4"/>
    <w:rsid w:val="63275C4B"/>
    <w:rsid w:val="64156881"/>
    <w:rsid w:val="64E33D29"/>
    <w:rsid w:val="656420D7"/>
    <w:rsid w:val="658C123F"/>
    <w:rsid w:val="65B2302E"/>
    <w:rsid w:val="663A7A43"/>
    <w:rsid w:val="66C94B94"/>
    <w:rsid w:val="679452A0"/>
    <w:rsid w:val="6850115A"/>
    <w:rsid w:val="69065C83"/>
    <w:rsid w:val="691873F2"/>
    <w:rsid w:val="6A513FE2"/>
    <w:rsid w:val="6A5169BD"/>
    <w:rsid w:val="6B271C2B"/>
    <w:rsid w:val="6B7D7572"/>
    <w:rsid w:val="6B971C31"/>
    <w:rsid w:val="6BB77CFE"/>
    <w:rsid w:val="6C414357"/>
    <w:rsid w:val="6C786DD4"/>
    <w:rsid w:val="6D8303D4"/>
    <w:rsid w:val="6DD07D32"/>
    <w:rsid w:val="6F5D6E5C"/>
    <w:rsid w:val="6F6618A9"/>
    <w:rsid w:val="6FC032EA"/>
    <w:rsid w:val="6FD149B1"/>
    <w:rsid w:val="6FDA7D00"/>
    <w:rsid w:val="70457C61"/>
    <w:rsid w:val="706A3D1D"/>
    <w:rsid w:val="70CD2ABD"/>
    <w:rsid w:val="70FA499F"/>
    <w:rsid w:val="71121AF3"/>
    <w:rsid w:val="71391133"/>
    <w:rsid w:val="72456BC6"/>
    <w:rsid w:val="7311691D"/>
    <w:rsid w:val="738B7B30"/>
    <w:rsid w:val="7440091B"/>
    <w:rsid w:val="74C052F8"/>
    <w:rsid w:val="75AC3A76"/>
    <w:rsid w:val="75E975D9"/>
    <w:rsid w:val="75F87DB5"/>
    <w:rsid w:val="765B6433"/>
    <w:rsid w:val="767753EB"/>
    <w:rsid w:val="768C0E6E"/>
    <w:rsid w:val="76CC5A6C"/>
    <w:rsid w:val="77CD319F"/>
    <w:rsid w:val="787D6CA9"/>
    <w:rsid w:val="7AC96011"/>
    <w:rsid w:val="7B314A80"/>
    <w:rsid w:val="7B5959F4"/>
    <w:rsid w:val="7B8056C5"/>
    <w:rsid w:val="7BD901FD"/>
    <w:rsid w:val="7BDB06D8"/>
    <w:rsid w:val="7F663654"/>
    <w:rsid w:val="7F761695"/>
    <w:rsid w:val="7F791E0A"/>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6561</Words>
  <Characters>6731</Characters>
  <Lines>0</Lines>
  <Paragraphs>0</Paragraphs>
  <TotalTime>42</TotalTime>
  <ScaleCrop>false</ScaleCrop>
  <LinksUpToDate>false</LinksUpToDate>
  <CharactersWithSpaces>6734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2025-05-14T03:19:00Z</cp:lastPrinted>
  <dcterms:modified xsi:type="dcterms:W3CDTF">2025-08-07T07:21:07Z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92A70ACECC43498E9FA1314415B0F355_13</vt:lpwstr>
  </property>
  <property fmtid="{D5CDD505-2E9C-101B-9397-08002B2CF9AE}" pid="4" name="KSOTemplateDocerSaveRecord">
    <vt:lpwstr>eyJoZGlkIjoiMDIxZDJlOTEyOTY0OTRmYTcwOWRlZDY5MzIyM2ZmODYiLCJ1c2VySWQiOiI1NjI2MDkyNzYifQ==</vt:lpwstr>
  </property>
</Properties>
</file>