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A03FFE">
      <w:pPr>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highlight w:val="none"/>
        </w:rPr>
        <w:t xml:space="preserve">                </w:t>
      </w:r>
      <w:r>
        <w:rPr>
          <w:rFonts w:hint="default" w:ascii="Times New Roman" w:hAnsi="Times New Roman" w:eastAsia="仿宋_GB2312" w:cs="Times New Roman"/>
          <w:color w:val="auto"/>
          <w:sz w:val="28"/>
          <w:szCs w:val="28"/>
          <w:highlight w:val="none"/>
          <w:lang w:val="en-US" w:eastAsia="zh-CN"/>
        </w:rPr>
        <w:t xml:space="preserve">               </w:t>
      </w:r>
    </w:p>
    <w:p w14:paraId="7DE80116">
      <w:pPr>
        <w:jc w:val="center"/>
        <w:rPr>
          <w:rFonts w:hint="default" w:ascii="Times New Roman" w:hAnsi="Times New Roman" w:cs="Times New Roman" w:eastAsiaTheme="majorEastAsia"/>
          <w:b/>
          <w:color w:val="auto"/>
          <w:kern w:val="0"/>
          <w:sz w:val="36"/>
          <w:szCs w:val="36"/>
          <w:lang w:eastAsia="zh-CN"/>
        </w:rPr>
      </w:pPr>
    </w:p>
    <w:p w14:paraId="7ED94E1F">
      <w:pPr>
        <w:jc w:val="center"/>
        <w:rPr>
          <w:rFonts w:hint="default" w:ascii="Times New Roman" w:hAnsi="Times New Roman" w:cs="Times New Roman" w:eastAsiaTheme="majorEastAsia"/>
          <w:b/>
          <w:color w:val="auto"/>
          <w:kern w:val="0"/>
          <w:sz w:val="36"/>
          <w:szCs w:val="36"/>
          <w:lang w:eastAsia="zh-CN"/>
        </w:rPr>
      </w:pPr>
      <w:r>
        <w:rPr>
          <w:rFonts w:hint="default" w:ascii="Times New Roman" w:hAnsi="Times New Roman" w:cs="Times New Roman" w:eastAsiaTheme="majorEastAsia"/>
          <w:b/>
          <w:color w:val="auto"/>
          <w:kern w:val="0"/>
          <w:sz w:val="36"/>
          <w:szCs w:val="36"/>
          <w:lang w:eastAsia="zh-CN"/>
        </w:rPr>
        <w:t>剑阁县王河镇干部周转房建设项目</w:t>
      </w:r>
    </w:p>
    <w:p w14:paraId="5209F61B">
      <w:pPr>
        <w:spacing w:before="480" w:beforeLines="200" w:line="360" w:lineRule="auto"/>
        <w:jc w:val="center"/>
        <w:rPr>
          <w:rFonts w:hint="default" w:ascii="Times New Roman" w:hAnsi="Times New Roman" w:eastAsia="黑体" w:cs="Times New Roman"/>
          <w:color w:val="auto"/>
          <w:sz w:val="72"/>
          <w:szCs w:val="72"/>
        </w:rPr>
      </w:pPr>
      <w:r>
        <w:rPr>
          <w:rFonts w:hint="default" w:ascii="Times New Roman" w:hAnsi="Times New Roman" w:eastAsia="黑体" w:cs="Times New Roman"/>
          <w:color w:val="auto"/>
          <w:sz w:val="72"/>
          <w:szCs w:val="72"/>
        </w:rPr>
        <w:t>水土保持方案报告表</w:t>
      </w:r>
    </w:p>
    <w:p w14:paraId="38381CFA">
      <w:pPr>
        <w:tabs>
          <w:tab w:val="left" w:pos="2539"/>
        </w:tabs>
        <w:jc w:val="center"/>
        <w:rPr>
          <w:rFonts w:hint="default" w:ascii="Times New Roman" w:hAnsi="Times New Roman" w:eastAsia="仿宋_GB2312" w:cs="Times New Roman"/>
          <w:color w:val="auto"/>
          <w:sz w:val="52"/>
          <w:szCs w:val="52"/>
        </w:rPr>
      </w:pPr>
    </w:p>
    <w:p w14:paraId="2574B11A">
      <w:pPr>
        <w:jc w:val="center"/>
        <w:rPr>
          <w:rFonts w:hint="default" w:ascii="Times New Roman" w:hAnsi="Times New Roman" w:eastAsia="仿宋_GB2312" w:cs="Times New Roman"/>
          <w:color w:val="auto"/>
          <w:sz w:val="52"/>
          <w:szCs w:val="52"/>
        </w:rPr>
      </w:pPr>
    </w:p>
    <w:p w14:paraId="5C88C4F5">
      <w:pPr>
        <w:tabs>
          <w:tab w:val="left" w:pos="8100"/>
        </w:tabs>
        <w:rPr>
          <w:rFonts w:hint="default" w:ascii="Times New Roman" w:hAnsi="Times New Roman" w:eastAsia="仿宋_GB2312" w:cs="Times New Roman"/>
          <w:color w:val="auto"/>
          <w:sz w:val="52"/>
          <w:szCs w:val="52"/>
        </w:rPr>
      </w:pPr>
    </w:p>
    <w:p w14:paraId="350FA6B4">
      <w:pPr>
        <w:jc w:val="center"/>
        <w:rPr>
          <w:rFonts w:hint="default" w:ascii="Times New Roman" w:hAnsi="Times New Roman" w:eastAsia="仿宋_GB2312" w:cs="Times New Roman"/>
          <w:color w:val="auto"/>
          <w:sz w:val="52"/>
          <w:szCs w:val="52"/>
        </w:rPr>
      </w:pPr>
    </w:p>
    <w:p w14:paraId="73CE2C9C">
      <w:pPr>
        <w:jc w:val="center"/>
        <w:rPr>
          <w:rFonts w:hint="default" w:ascii="Times New Roman" w:hAnsi="Times New Roman" w:eastAsia="仿宋_GB2312" w:cs="Times New Roman"/>
          <w:color w:val="auto"/>
          <w:sz w:val="52"/>
          <w:szCs w:val="52"/>
        </w:rPr>
      </w:pPr>
    </w:p>
    <w:p w14:paraId="1A7950DD">
      <w:pPr>
        <w:jc w:val="center"/>
        <w:rPr>
          <w:rFonts w:hint="default" w:ascii="Times New Roman" w:hAnsi="Times New Roman" w:eastAsia="仿宋_GB2312" w:cs="Times New Roman"/>
          <w:color w:val="auto"/>
          <w:sz w:val="52"/>
          <w:szCs w:val="52"/>
        </w:rPr>
      </w:pPr>
    </w:p>
    <w:p w14:paraId="19C74F4E">
      <w:pPr>
        <w:jc w:val="center"/>
        <w:rPr>
          <w:rFonts w:hint="default" w:ascii="Times New Roman" w:hAnsi="Times New Roman" w:eastAsia="仿宋_GB2312" w:cs="Times New Roman"/>
          <w:color w:val="auto"/>
          <w:sz w:val="52"/>
          <w:szCs w:val="52"/>
        </w:rPr>
      </w:pPr>
    </w:p>
    <w:p w14:paraId="7F5446C4">
      <w:pPr>
        <w:spacing w:line="360" w:lineRule="auto"/>
        <w:rPr>
          <w:rFonts w:hint="default" w:ascii="Times New Roman" w:hAnsi="Times New Roman" w:eastAsia="仿宋_GB2312" w:cs="Times New Roman"/>
          <w:b/>
          <w:bCs/>
          <w:color w:val="auto"/>
          <w:sz w:val="36"/>
          <w:szCs w:val="36"/>
        </w:rPr>
      </w:pPr>
    </w:p>
    <w:p w14:paraId="736AED3C">
      <w:pPr>
        <w:spacing w:after="240" w:afterLines="100" w:line="480" w:lineRule="auto"/>
        <w:jc w:val="center"/>
        <w:rPr>
          <w:rFonts w:hint="default" w:ascii="Times New Roman" w:hAnsi="Times New Roman" w:cs="Times New Roman" w:eastAsiaTheme="majorEastAsia"/>
          <w:b w:val="0"/>
          <w:bCs/>
          <w:color w:val="auto"/>
          <w:sz w:val="32"/>
          <w:szCs w:val="32"/>
        </w:rPr>
      </w:pPr>
    </w:p>
    <w:p w14:paraId="39EC96C0">
      <w:pPr>
        <w:spacing w:after="240" w:afterLines="100" w:line="480" w:lineRule="auto"/>
        <w:jc w:val="center"/>
        <w:rPr>
          <w:rFonts w:hint="default" w:ascii="Times New Roman" w:hAnsi="Times New Roman" w:cs="Times New Roman" w:eastAsiaTheme="majorEastAsia"/>
          <w:b w:val="0"/>
          <w:bCs/>
          <w:color w:val="auto"/>
          <w:sz w:val="32"/>
          <w:szCs w:val="32"/>
        </w:rPr>
      </w:pPr>
    </w:p>
    <w:p w14:paraId="08E11532">
      <w:pPr>
        <w:spacing w:after="240" w:afterLines="100" w:line="480" w:lineRule="auto"/>
        <w:jc w:val="center"/>
        <w:rPr>
          <w:rFonts w:hint="default" w:ascii="Times New Roman" w:hAnsi="Times New Roman" w:cs="Times New Roman" w:eastAsiaTheme="majorEastAsia"/>
          <w:b w:val="0"/>
          <w:bCs/>
          <w:color w:val="auto"/>
          <w:sz w:val="32"/>
          <w:szCs w:val="32"/>
        </w:rPr>
      </w:pPr>
    </w:p>
    <w:p w14:paraId="314B56C1">
      <w:pPr>
        <w:spacing w:after="240" w:afterLines="100" w:line="480" w:lineRule="auto"/>
        <w:jc w:val="center"/>
        <w:rPr>
          <w:rFonts w:hint="default" w:ascii="Times New Roman" w:hAnsi="Times New Roman" w:cs="Times New Roman" w:eastAsiaTheme="majorEastAsia"/>
          <w:b w:val="0"/>
          <w:bCs/>
          <w:color w:val="auto"/>
          <w:spacing w:val="-20"/>
          <w:sz w:val="32"/>
          <w:szCs w:val="32"/>
        </w:rPr>
      </w:pPr>
      <w:r>
        <w:rPr>
          <w:rFonts w:hint="default" w:ascii="Times New Roman" w:hAnsi="Times New Roman" w:cs="Times New Roman" w:eastAsiaTheme="majorEastAsia"/>
          <w:b w:val="0"/>
          <w:bCs/>
          <w:color w:val="auto"/>
          <w:sz w:val="32"/>
          <w:szCs w:val="32"/>
        </w:rPr>
        <w:t>建设单位：</w:t>
      </w:r>
      <w:r>
        <w:rPr>
          <w:rFonts w:hint="default" w:ascii="Times New Roman" w:hAnsi="Times New Roman" w:cs="Times New Roman" w:eastAsiaTheme="majorEastAsia"/>
          <w:b w:val="0"/>
          <w:bCs/>
          <w:color w:val="auto"/>
          <w:sz w:val="32"/>
          <w:szCs w:val="32"/>
          <w:lang w:eastAsia="zh-CN"/>
        </w:rPr>
        <w:t>剑阁县王河镇人民政府</w:t>
      </w:r>
    </w:p>
    <w:p w14:paraId="02E3C30D">
      <w:pPr>
        <w:spacing w:after="240" w:afterLines="100" w:line="480" w:lineRule="auto"/>
        <w:jc w:val="center"/>
        <w:rPr>
          <w:rFonts w:hint="default" w:ascii="Times New Roman" w:hAnsi="Times New Roman" w:cs="Times New Roman" w:eastAsiaTheme="majorEastAsia"/>
          <w:b w:val="0"/>
          <w:bCs/>
          <w:color w:val="auto"/>
          <w:spacing w:val="-20"/>
          <w:sz w:val="32"/>
          <w:szCs w:val="32"/>
        </w:rPr>
      </w:pPr>
      <w:r>
        <w:rPr>
          <w:rFonts w:hint="default" w:ascii="Times New Roman" w:hAnsi="Times New Roman" w:cs="Times New Roman" w:eastAsiaTheme="majorEastAsia"/>
          <w:b w:val="0"/>
          <w:bCs/>
          <w:color w:val="auto"/>
          <w:sz w:val="32"/>
          <w:szCs w:val="32"/>
        </w:rPr>
        <w:t>编制单位：</w:t>
      </w:r>
      <w:r>
        <w:rPr>
          <w:rFonts w:hint="default" w:ascii="Times New Roman" w:hAnsi="Times New Roman" w:cs="Times New Roman" w:eastAsiaTheme="majorEastAsia"/>
          <w:b w:val="0"/>
          <w:bCs/>
          <w:color w:val="auto"/>
          <w:sz w:val="32"/>
          <w:szCs w:val="32"/>
          <w:lang w:eastAsia="zh-CN"/>
        </w:rPr>
        <w:t>四川一砚工程设计有限公司</w:t>
      </w:r>
    </w:p>
    <w:p w14:paraId="6F74DAEC">
      <w:pPr>
        <w:spacing w:before="240" w:beforeLines="100" w:line="360" w:lineRule="auto"/>
        <w:jc w:val="center"/>
        <w:rPr>
          <w:rFonts w:hint="default" w:ascii="Times New Roman" w:hAnsi="Times New Roman" w:cs="Times New Roman" w:eastAsiaTheme="majorEastAsia"/>
          <w:b w:val="0"/>
          <w:bCs/>
          <w:color w:val="auto"/>
        </w:rPr>
        <w:sectPr>
          <w:headerReference r:id="rId4" w:type="first"/>
          <w:headerReference r:id="rId3" w:type="default"/>
          <w:footerReference r:id="rId5" w:type="default"/>
          <w:pgSz w:w="11906" w:h="16838"/>
          <w:pgMar w:top="1327" w:right="1514" w:bottom="1327" w:left="1514" w:header="851" w:footer="992" w:gutter="0"/>
          <w:pgBorders>
            <w:top w:val="none" w:sz="0" w:space="0"/>
            <w:left w:val="none" w:sz="0" w:space="0"/>
            <w:bottom w:val="none" w:sz="0" w:space="0"/>
            <w:right w:val="none" w:sz="0" w:space="0"/>
          </w:pgBorders>
          <w:pgNumType w:fmt="numberInDash" w:start="1"/>
          <w:cols w:space="720" w:num="1"/>
          <w:docGrid w:linePitch="312" w:charSpace="0"/>
        </w:sectPr>
      </w:pPr>
      <w:r>
        <w:rPr>
          <w:rFonts w:hint="default" w:ascii="Times New Roman" w:hAnsi="Times New Roman" w:cs="Times New Roman" w:eastAsiaTheme="majorEastAsia"/>
          <w:b w:val="0"/>
          <w:bCs/>
          <w:color w:val="auto"/>
          <w:sz w:val="32"/>
          <w:szCs w:val="32"/>
        </w:rPr>
        <w:t>20</w:t>
      </w:r>
      <w:r>
        <w:rPr>
          <w:rFonts w:hint="default" w:ascii="Times New Roman" w:hAnsi="Times New Roman" w:cs="Times New Roman" w:eastAsiaTheme="majorEastAsia"/>
          <w:b w:val="0"/>
          <w:bCs/>
          <w:color w:val="auto"/>
          <w:sz w:val="32"/>
          <w:szCs w:val="32"/>
          <w:lang w:val="en-US" w:eastAsia="zh-CN"/>
        </w:rPr>
        <w:t>25</w:t>
      </w:r>
      <w:r>
        <w:rPr>
          <w:rFonts w:hint="default" w:ascii="Times New Roman" w:hAnsi="Times New Roman" w:cs="Times New Roman" w:eastAsiaTheme="majorEastAsia"/>
          <w:b w:val="0"/>
          <w:bCs/>
          <w:color w:val="auto"/>
          <w:sz w:val="32"/>
          <w:szCs w:val="32"/>
        </w:rPr>
        <w:t>年</w:t>
      </w:r>
      <w:r>
        <w:rPr>
          <w:rFonts w:hint="default" w:ascii="Times New Roman" w:hAnsi="Times New Roman" w:cs="Times New Roman" w:eastAsiaTheme="majorEastAsia"/>
          <w:b w:val="0"/>
          <w:bCs/>
          <w:color w:val="auto"/>
          <w:sz w:val="32"/>
          <w:szCs w:val="32"/>
          <w:lang w:val="en-US" w:eastAsia="zh-CN"/>
        </w:rPr>
        <w:t>10</w:t>
      </w:r>
      <w:r>
        <w:rPr>
          <w:rFonts w:hint="default" w:ascii="Times New Roman" w:hAnsi="Times New Roman" w:cs="Times New Roman" w:eastAsiaTheme="majorEastAsia"/>
          <w:b w:val="0"/>
          <w:bCs/>
          <w:color w:val="auto"/>
          <w:sz w:val="32"/>
          <w:szCs w:val="32"/>
        </w:rPr>
        <w:t xml:space="preserve">月 </w:t>
      </w:r>
    </w:p>
    <w:p w14:paraId="1D7847B4">
      <w:pPr>
        <w:pStyle w:val="17"/>
        <w:ind w:left="0" w:leftChars="0" w:firstLine="0" w:firstLineChars="0"/>
        <w:rPr>
          <w:rFonts w:hint="default" w:ascii="Times New Roman" w:hAnsi="Times New Roman" w:eastAsia="仿宋_GB2312" w:cs="Times New Roman"/>
          <w:b/>
          <w:bCs/>
          <w:color w:val="auto"/>
          <w:sz w:val="32"/>
          <w:szCs w:val="32"/>
        </w:rPr>
        <w:sectPr>
          <w:pgSz w:w="11906" w:h="16838"/>
          <w:pgMar w:top="1327" w:right="1514" w:bottom="1327" w:left="1514" w:header="851" w:footer="992" w:gutter="0"/>
          <w:pgBorders>
            <w:top w:val="none" w:sz="0" w:space="0"/>
            <w:left w:val="none" w:sz="0" w:space="0"/>
            <w:bottom w:val="none" w:sz="0" w:space="0"/>
            <w:right w:val="none" w:sz="0" w:space="0"/>
          </w:pgBorders>
          <w:pgNumType w:fmt="numberInDash" w:start="1"/>
          <w:cols w:space="720" w:num="1"/>
          <w:docGrid w:linePitch="312" w:charSpace="0"/>
        </w:sectPr>
      </w:pPr>
      <w:r>
        <w:rPr>
          <w:rFonts w:hint="default" w:ascii="Times New Roman" w:hAnsi="Times New Roman" w:cs="Times New Roman"/>
        </w:rPr>
        <w:drawing>
          <wp:inline distT="0" distB="0" distL="114300" distR="114300">
            <wp:extent cx="8413115" cy="6071235"/>
            <wp:effectExtent l="0" t="0" r="9525" b="1460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pic:cNvPicPr>
                  </pic:nvPicPr>
                  <pic:blipFill>
                    <a:blip r:embed="rId36"/>
                    <a:srcRect l="4214" t="4802" r="3601" b="1147"/>
                    <a:stretch>
                      <a:fillRect/>
                    </a:stretch>
                  </pic:blipFill>
                  <pic:spPr>
                    <a:xfrm rot="-5400000">
                      <a:off x="0" y="0"/>
                      <a:ext cx="8413115" cy="6071235"/>
                    </a:xfrm>
                    <a:prstGeom prst="rect">
                      <a:avLst/>
                    </a:prstGeom>
                    <a:noFill/>
                    <a:ln>
                      <a:noFill/>
                    </a:ln>
                  </pic:spPr>
                </pic:pic>
              </a:graphicData>
            </a:graphic>
          </wp:inline>
        </w:drawing>
      </w:r>
    </w:p>
    <w:p w14:paraId="1FAB510A">
      <w:pPr>
        <w:pStyle w:val="17"/>
        <w:ind w:left="0" w:leftChars="0" w:firstLine="0" w:firstLineChars="0"/>
        <w:jc w:val="center"/>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现场照片</w:t>
      </w:r>
      <w:r>
        <w:rPr>
          <w:rFonts w:hint="default" w:ascii="Times New Roman" w:hAnsi="Times New Roman" w:eastAsia="仿宋_GB2312" w:cs="Times New Roman"/>
          <w:b/>
          <w:bCs/>
          <w:color w:val="auto"/>
          <w:sz w:val="32"/>
          <w:szCs w:val="32"/>
          <w:lang w:eastAsia="zh-CN"/>
        </w:rPr>
        <w:drawing>
          <wp:inline distT="0" distB="0" distL="114300" distR="114300">
            <wp:extent cx="5633085" cy="7513955"/>
            <wp:effectExtent l="0" t="0" r="5715" b="14605"/>
            <wp:docPr id="29" name="图片 29" descr="a4fed50c1edec088a3a57541d17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4fed50c1edec088a3a57541d175453"/>
                    <pic:cNvPicPr>
                      <a:picLocks noChangeAspect="1"/>
                    </pic:cNvPicPr>
                  </pic:nvPicPr>
                  <pic:blipFill>
                    <a:blip r:embed="rId37"/>
                    <a:stretch>
                      <a:fillRect/>
                    </a:stretch>
                  </pic:blipFill>
                  <pic:spPr>
                    <a:xfrm>
                      <a:off x="0" y="0"/>
                      <a:ext cx="5633085" cy="7513955"/>
                    </a:xfrm>
                    <a:prstGeom prst="rect">
                      <a:avLst/>
                    </a:prstGeom>
                  </pic:spPr>
                </pic:pic>
              </a:graphicData>
            </a:graphic>
          </wp:inline>
        </w:drawing>
      </w:r>
      <w:r>
        <w:rPr>
          <w:rFonts w:hint="default" w:ascii="Times New Roman" w:hAnsi="Times New Roman" w:eastAsia="仿宋_GB2312" w:cs="Times New Roman"/>
          <w:b w:val="0"/>
          <w:bCs w:val="0"/>
          <w:color w:val="auto"/>
          <w:sz w:val="30"/>
          <w:szCs w:val="30"/>
          <w:lang w:val="en-US" w:eastAsia="zh-CN"/>
        </w:rPr>
        <w:t>建构筑物及城内硬化</w:t>
      </w:r>
    </w:p>
    <w:p w14:paraId="668DF501">
      <w:pPr>
        <w:pStyle w:val="17"/>
        <w:ind w:left="0" w:leftChars="0" w:firstLine="0" w:firstLineChars="0"/>
        <w:jc w:val="center"/>
        <w:rPr>
          <w:rFonts w:hint="default" w:ascii="Times New Roman" w:hAnsi="Times New Roman" w:eastAsia="仿宋_GB2312" w:cs="Times New Roman"/>
          <w:b/>
          <w:bCs/>
          <w:color w:val="auto"/>
          <w:sz w:val="32"/>
          <w:szCs w:val="32"/>
          <w:lang w:eastAsia="zh-CN"/>
        </w:rPr>
      </w:pPr>
      <w:r>
        <w:rPr>
          <w:rFonts w:hint="default" w:ascii="Times New Roman" w:hAnsi="Times New Roman" w:eastAsia="仿宋_GB2312" w:cs="Times New Roman"/>
          <w:b/>
          <w:bCs/>
          <w:color w:val="auto"/>
          <w:sz w:val="32"/>
          <w:szCs w:val="32"/>
          <w:lang w:eastAsia="zh-CN"/>
        </w:rPr>
        <w:drawing>
          <wp:inline distT="0" distB="0" distL="114300" distR="114300">
            <wp:extent cx="5633085" cy="7513955"/>
            <wp:effectExtent l="0" t="0" r="5715" b="14605"/>
            <wp:docPr id="30" name="图片 30" descr="59ae825d6fc1483e51caf76918073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9ae825d6fc1483e51caf76918073ae"/>
                    <pic:cNvPicPr>
                      <a:picLocks noChangeAspect="1"/>
                    </pic:cNvPicPr>
                  </pic:nvPicPr>
                  <pic:blipFill>
                    <a:blip r:embed="rId38"/>
                    <a:stretch>
                      <a:fillRect/>
                    </a:stretch>
                  </pic:blipFill>
                  <pic:spPr>
                    <a:xfrm>
                      <a:off x="0" y="0"/>
                      <a:ext cx="5633085" cy="7513955"/>
                    </a:xfrm>
                    <a:prstGeom prst="rect">
                      <a:avLst/>
                    </a:prstGeom>
                  </pic:spPr>
                </pic:pic>
              </a:graphicData>
            </a:graphic>
          </wp:inline>
        </w:drawing>
      </w:r>
    </w:p>
    <w:p w14:paraId="1F4D5362">
      <w:pPr>
        <w:pStyle w:val="17"/>
        <w:ind w:left="0" w:leftChars="0" w:firstLine="0" w:firstLineChars="0"/>
        <w:jc w:val="center"/>
        <w:rPr>
          <w:rFonts w:hint="default" w:ascii="Times New Roman" w:hAnsi="Times New Roman" w:eastAsia="仿宋_GB2312" w:cs="Times New Roman"/>
          <w:b w:val="0"/>
          <w:bCs w:val="0"/>
          <w:color w:val="auto"/>
          <w:sz w:val="30"/>
          <w:szCs w:val="30"/>
          <w:lang w:val="en-US" w:eastAsia="zh-CN"/>
        </w:rPr>
      </w:pPr>
      <w:r>
        <w:rPr>
          <w:rFonts w:hint="default" w:ascii="Times New Roman" w:hAnsi="Times New Roman" w:eastAsia="仿宋_GB2312" w:cs="Times New Roman"/>
          <w:b w:val="0"/>
          <w:bCs w:val="0"/>
          <w:color w:val="auto"/>
          <w:sz w:val="30"/>
          <w:szCs w:val="30"/>
          <w:lang w:val="en-US" w:eastAsia="zh-CN"/>
        </w:rPr>
        <w:t>硬化场地及绿化</w:t>
      </w:r>
      <w:r>
        <w:rPr>
          <w:rFonts w:hint="default" w:ascii="Times New Roman" w:hAnsi="Times New Roman" w:eastAsia="仿宋_GB2312" w:cs="Times New Roman"/>
          <w:b w:val="0"/>
          <w:bCs w:val="0"/>
          <w:color w:val="auto"/>
          <w:sz w:val="30"/>
          <w:szCs w:val="30"/>
          <w:lang w:val="en-US" w:eastAsia="zh-CN"/>
        </w:rPr>
        <w:drawing>
          <wp:inline distT="0" distB="0" distL="114300" distR="114300">
            <wp:extent cx="5633085" cy="7513955"/>
            <wp:effectExtent l="0" t="0" r="5715" b="14605"/>
            <wp:docPr id="33" name="图片 33" descr="c9f6c9b202a6c84710851023b88ff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9f6c9b202a6c84710851023b88ff2c"/>
                    <pic:cNvPicPr>
                      <a:picLocks noChangeAspect="1"/>
                    </pic:cNvPicPr>
                  </pic:nvPicPr>
                  <pic:blipFill>
                    <a:blip r:embed="rId39"/>
                    <a:stretch>
                      <a:fillRect/>
                    </a:stretch>
                  </pic:blipFill>
                  <pic:spPr>
                    <a:xfrm>
                      <a:off x="0" y="0"/>
                      <a:ext cx="5633085" cy="7513955"/>
                    </a:xfrm>
                    <a:prstGeom prst="rect">
                      <a:avLst/>
                    </a:prstGeom>
                  </pic:spPr>
                </pic:pic>
              </a:graphicData>
            </a:graphic>
          </wp:inline>
        </w:drawing>
      </w:r>
    </w:p>
    <w:p w14:paraId="6B88FA9B">
      <w:pPr>
        <w:pStyle w:val="17"/>
        <w:ind w:left="0" w:leftChars="0" w:firstLine="0" w:firstLineChars="0"/>
        <w:jc w:val="center"/>
        <w:rPr>
          <w:rFonts w:hint="default" w:ascii="Times New Roman" w:hAnsi="Times New Roman" w:eastAsia="仿宋_GB2312" w:cs="Times New Roman"/>
          <w:b w:val="0"/>
          <w:bCs w:val="0"/>
          <w:color w:val="auto"/>
          <w:sz w:val="30"/>
          <w:szCs w:val="30"/>
          <w:lang w:val="en-US" w:eastAsia="zh-CN"/>
        </w:rPr>
        <w:sectPr>
          <w:pgSz w:w="11906" w:h="16838"/>
          <w:pgMar w:top="1327" w:right="1514" w:bottom="1327" w:left="1514" w:header="851" w:footer="992" w:gutter="0"/>
          <w:pgBorders>
            <w:top w:val="none" w:sz="0" w:space="0"/>
            <w:left w:val="none" w:sz="0" w:space="0"/>
            <w:bottom w:val="none" w:sz="0" w:space="0"/>
            <w:right w:val="none" w:sz="0" w:space="0"/>
          </w:pgBorders>
          <w:pgNumType w:fmt="numberInDash" w:start="1"/>
          <w:cols w:space="720" w:num="1"/>
          <w:docGrid w:linePitch="312" w:charSpace="0"/>
        </w:sectPr>
      </w:pPr>
      <w:r>
        <w:rPr>
          <w:rFonts w:hint="default" w:ascii="Times New Roman" w:hAnsi="Times New Roman" w:eastAsia="仿宋_GB2312" w:cs="Times New Roman"/>
          <w:b w:val="0"/>
          <w:bCs w:val="0"/>
          <w:color w:val="auto"/>
          <w:sz w:val="30"/>
          <w:szCs w:val="30"/>
          <w:lang w:val="en-US" w:eastAsia="zh-CN"/>
        </w:rPr>
        <w:t>建构筑物及硬化场地</w:t>
      </w:r>
      <w:r>
        <w:rPr>
          <w:rFonts w:hint="default" w:ascii="Times New Roman" w:hAnsi="Times New Roman" w:eastAsia="仿宋_GB2312" w:cs="Times New Roman"/>
          <w:b w:val="0"/>
          <w:bCs w:val="0"/>
          <w:color w:val="auto"/>
          <w:sz w:val="30"/>
          <w:szCs w:val="30"/>
          <w:lang w:val="en-US" w:eastAsia="zh-CN"/>
        </w:rPr>
        <w:drawing>
          <wp:inline distT="0" distB="0" distL="114300" distR="114300">
            <wp:extent cx="5628640" cy="4220210"/>
            <wp:effectExtent l="0" t="0" r="10160" b="1270"/>
            <wp:docPr id="34" name="图片 34" descr="eca541175fb2c6668078e8645f49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ca541175fb2c6668078e8645f49674"/>
                    <pic:cNvPicPr>
                      <a:picLocks noChangeAspect="1"/>
                    </pic:cNvPicPr>
                  </pic:nvPicPr>
                  <pic:blipFill>
                    <a:blip r:embed="rId40"/>
                    <a:stretch>
                      <a:fillRect/>
                    </a:stretch>
                  </pic:blipFill>
                  <pic:spPr>
                    <a:xfrm>
                      <a:off x="0" y="0"/>
                      <a:ext cx="5628640" cy="4220210"/>
                    </a:xfrm>
                    <a:prstGeom prst="rect">
                      <a:avLst/>
                    </a:prstGeom>
                  </pic:spPr>
                </pic:pic>
              </a:graphicData>
            </a:graphic>
          </wp:inline>
        </w:drawing>
      </w:r>
      <w:r>
        <w:rPr>
          <w:rFonts w:hint="default" w:ascii="Times New Roman" w:hAnsi="Times New Roman" w:eastAsia="仿宋_GB2312" w:cs="Times New Roman"/>
          <w:b w:val="0"/>
          <w:bCs w:val="0"/>
          <w:color w:val="auto"/>
          <w:sz w:val="30"/>
          <w:szCs w:val="30"/>
          <w:lang w:val="en-US" w:eastAsia="zh-CN"/>
        </w:rPr>
        <w:t>停车位及硬化场地</w:t>
      </w:r>
    </w:p>
    <w:p w14:paraId="5C28B3BD">
      <w:pPr>
        <w:rPr>
          <w:rFonts w:hint="default" w:ascii="Times New Roman" w:hAnsi="Times New Roman" w:eastAsia="宋体" w:cs="Times New Roman"/>
          <w:b/>
          <w:color w:val="auto"/>
          <w:szCs w:val="32"/>
          <w:lang w:eastAsia="zh-CN"/>
        </w:rPr>
      </w:pPr>
    </w:p>
    <w:p w14:paraId="11614DC4">
      <w:pPr>
        <w:pStyle w:val="10"/>
        <w:jc w:val="both"/>
        <w:rPr>
          <w:rFonts w:hint="default" w:ascii="Times New Roman" w:hAnsi="Times New Roman" w:cs="Times New Roman"/>
          <w:lang w:eastAsia="zh-CN"/>
        </w:rPr>
      </w:pPr>
    </w:p>
    <w:p w14:paraId="480346E3">
      <w:pPr>
        <w:rPr>
          <w:rFonts w:hint="default" w:ascii="Times New Roman" w:hAnsi="Times New Roman" w:cs="Times New Roman"/>
          <w:lang w:eastAsia="zh-CN"/>
        </w:rPr>
      </w:pPr>
    </w:p>
    <w:p w14:paraId="251E4A38">
      <w:pPr>
        <w:rPr>
          <w:rFonts w:hint="default" w:ascii="Times New Roman" w:hAnsi="Times New Roman" w:cs="Times New Roman"/>
          <w:lang w:eastAsia="zh-CN"/>
        </w:rPr>
      </w:pPr>
    </w:p>
    <w:p w14:paraId="288356B8">
      <w:pPr>
        <w:rPr>
          <w:rFonts w:hint="default" w:ascii="Times New Roman" w:hAnsi="Times New Roman" w:cs="Times New Roman"/>
          <w:lang w:eastAsia="zh-CN"/>
        </w:rPr>
      </w:pPr>
    </w:p>
    <w:p w14:paraId="6C3E18E8">
      <w:pPr>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5396865" cy="7632065"/>
            <wp:effectExtent l="0" t="0" r="13335" b="3175"/>
            <wp:docPr id="23" name="图片 23" descr="剑阁县王河镇干部周转房建设项目(2)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剑阁县王河镇干部周转房建设项目(2)_07"/>
                    <pic:cNvPicPr>
                      <a:picLocks noChangeAspect="1"/>
                    </pic:cNvPicPr>
                  </pic:nvPicPr>
                  <pic:blipFill>
                    <a:blip r:embed="rId41"/>
                    <a:stretch>
                      <a:fillRect/>
                    </a:stretch>
                  </pic:blipFill>
                  <pic:spPr>
                    <a:xfrm>
                      <a:off x="0" y="0"/>
                      <a:ext cx="5396865" cy="7632065"/>
                    </a:xfrm>
                    <a:prstGeom prst="rect">
                      <a:avLst/>
                    </a:prstGeom>
                  </pic:spPr>
                </pic:pic>
              </a:graphicData>
            </a:graphic>
          </wp:inline>
        </w:drawing>
      </w:r>
    </w:p>
    <w:p w14:paraId="70E169C5">
      <w:pPr>
        <w:rPr>
          <w:rFonts w:hint="default" w:ascii="Times New Roman" w:hAnsi="Times New Roman" w:cs="Times New Roman"/>
          <w:lang w:eastAsia="zh-CN"/>
        </w:rPr>
        <w:sectPr>
          <w:headerReference r:id="rId8" w:type="first"/>
          <w:headerReference r:id="rId6" w:type="default"/>
          <w:footerReference r:id="rId9" w:type="default"/>
          <w:headerReference r:id="rId7" w:type="even"/>
          <w:footerReference r:id="rId10" w:type="even"/>
          <w:pgSz w:w="11907" w:h="16840"/>
          <w:pgMar w:top="1701" w:right="1701" w:bottom="1701" w:left="1701" w:header="992" w:footer="992" w:gutter="0"/>
          <w:paperSrc w:first="7" w:other="7"/>
          <w:pgBorders>
            <w:top w:val="none" w:sz="0" w:space="0"/>
            <w:left w:val="none" w:sz="0" w:space="0"/>
            <w:bottom w:val="none" w:sz="0" w:space="0"/>
            <w:right w:val="none" w:sz="0" w:space="0"/>
          </w:pgBorders>
          <w:pgNumType w:fmt="upperRoman" w:start="1"/>
          <w:cols w:space="720" w:num="1"/>
          <w:titlePg/>
        </w:sectPr>
      </w:pPr>
    </w:p>
    <w:tbl>
      <w:tblPr>
        <w:tblStyle w:val="18"/>
        <w:tblpPr w:leftFromText="180" w:rightFromText="180" w:vertAnchor="text" w:horzAnchor="page" w:tblpX="1783" w:tblpY="146"/>
        <w:tblOverlap w:val="never"/>
        <w:tblW w:w="858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80"/>
      </w:tblGrid>
      <w:tr w14:paraId="72FB9E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23" w:hRule="atLeast"/>
        </w:trPr>
        <w:tc>
          <w:tcPr>
            <w:tcW w:w="8580" w:type="dxa"/>
            <w:tcBorders>
              <w:tl2br w:val="nil"/>
              <w:tr2bl w:val="nil"/>
            </w:tcBorders>
            <w:noWrap w:val="0"/>
            <w:vAlign w:val="top"/>
          </w:tcPr>
          <w:p w14:paraId="53FBDFA6">
            <w:pPr>
              <w:pStyle w:val="17"/>
              <w:spacing w:line="360" w:lineRule="auto"/>
              <w:ind w:left="0" w:leftChars="0" w:firstLine="0" w:firstLineChars="0"/>
              <w:rPr>
                <w:rFonts w:hint="default" w:ascii="Times New Roman" w:hAnsi="Times New Roman" w:eastAsia="仿宋_GB2312" w:cs="Times New Roman"/>
                <w:color w:val="auto"/>
              </w:rPr>
            </w:pPr>
          </w:p>
          <w:p w14:paraId="39B652BA">
            <w:pPr>
              <w:spacing w:line="360" w:lineRule="auto"/>
              <w:jc w:val="center"/>
              <w:rPr>
                <w:rFonts w:hint="default" w:ascii="Times New Roman" w:hAnsi="Times New Roman" w:eastAsia="仿宋_GB2312" w:cs="Times New Roman"/>
                <w:b/>
                <w:color w:val="auto"/>
                <w:sz w:val="32"/>
                <w:szCs w:val="32"/>
                <w:lang w:eastAsia="zh-CN"/>
              </w:rPr>
            </w:pPr>
            <w:r>
              <w:rPr>
                <w:rFonts w:hint="default" w:ascii="Times New Roman" w:hAnsi="Times New Roman" w:eastAsia="仿宋_GB2312" w:cs="Times New Roman"/>
                <w:b/>
                <w:color w:val="auto"/>
                <w:sz w:val="32"/>
                <w:szCs w:val="32"/>
                <w:lang w:val="en-US" w:eastAsia="zh-CN"/>
              </w:rPr>
              <w:t xml:space="preserve">  </w:t>
            </w:r>
            <w:r>
              <w:rPr>
                <w:rFonts w:hint="default" w:ascii="Times New Roman" w:hAnsi="Times New Roman" w:eastAsia="仿宋_GB2312" w:cs="Times New Roman"/>
                <w:b/>
                <w:color w:val="auto"/>
                <w:sz w:val="32"/>
                <w:szCs w:val="32"/>
                <w:lang w:eastAsia="zh-CN"/>
              </w:rPr>
              <w:t>剑阁县王河镇干部周转房建设项目</w:t>
            </w:r>
          </w:p>
          <w:p w14:paraId="2C8C5204">
            <w:pPr>
              <w:spacing w:line="360" w:lineRule="auto"/>
              <w:jc w:val="center"/>
              <w:rPr>
                <w:rFonts w:hint="default" w:ascii="Times New Roman" w:hAnsi="Times New Roman" w:eastAsia="仿宋_GB2312" w:cs="Times New Roman"/>
                <w:b/>
                <w:color w:val="auto"/>
                <w:sz w:val="32"/>
                <w:szCs w:val="32"/>
              </w:rPr>
            </w:pPr>
            <w:r>
              <w:rPr>
                <w:rFonts w:hint="default" w:ascii="Times New Roman" w:hAnsi="Times New Roman" w:eastAsia="仿宋_GB2312" w:cs="Times New Roman"/>
                <w:b/>
                <w:color w:val="auto"/>
                <w:sz w:val="32"/>
                <w:szCs w:val="32"/>
              </w:rPr>
              <w:t>水土保持方案报告表</w:t>
            </w:r>
          </w:p>
          <w:p w14:paraId="5E95CE48">
            <w:pPr>
              <w:ind w:firstLine="281" w:firstLineChars="100"/>
              <w:rPr>
                <w:rFonts w:hint="default" w:ascii="Times New Roman" w:hAnsi="Times New Roman" w:eastAsia="仿宋_GB2312" w:cs="Times New Roman"/>
                <w:b/>
                <w:color w:val="auto"/>
                <w:sz w:val="28"/>
                <w:szCs w:val="28"/>
              </w:rPr>
            </w:pPr>
          </w:p>
          <w:p w14:paraId="5AC4B7C5">
            <w:pPr>
              <w:ind w:firstLine="281" w:firstLineChars="100"/>
              <w:rPr>
                <w:rFonts w:hint="default" w:ascii="Times New Roman" w:hAnsi="Times New Roman" w:eastAsia="仿宋_GB2312" w:cs="Times New Roman"/>
                <w:b/>
                <w:color w:val="auto"/>
                <w:sz w:val="28"/>
                <w:szCs w:val="28"/>
              </w:rPr>
            </w:pPr>
          </w:p>
          <w:p w14:paraId="4CD71393">
            <w:pPr>
              <w:ind w:firstLine="281" w:firstLineChars="100"/>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b/>
                <w:color w:val="auto"/>
                <w:sz w:val="28"/>
                <w:szCs w:val="28"/>
              </w:rPr>
              <w:t>项</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 xml:space="preserve"> 目</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 xml:space="preserve"> 名</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称：</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 xml:space="preserve">剑阁县王河镇干部周转房建设项目 </w:t>
            </w:r>
          </w:p>
          <w:p w14:paraId="4EACF676">
            <w:pPr>
              <w:rPr>
                <w:rFonts w:hint="default" w:ascii="Times New Roman" w:hAnsi="Times New Roman" w:eastAsia="仿宋_GB2312" w:cs="Times New Roman"/>
                <w:b/>
                <w:color w:val="auto"/>
                <w:sz w:val="32"/>
                <w:szCs w:val="32"/>
              </w:rPr>
            </w:pPr>
            <w:r>
              <w:rPr>
                <w:rFonts w:hint="default" w:ascii="Times New Roman" w:hAnsi="Times New Roman" w:eastAsia="仿宋_GB2312" w:cs="Times New Roman"/>
                <w:b/>
                <w:color w:val="auto"/>
                <w:sz w:val="32"/>
                <w:szCs w:val="32"/>
              </w:rPr>
              <mc:AlternateContent>
                <mc:Choice Requires="wps">
                  <w:drawing>
                    <wp:anchor distT="0" distB="0" distL="114300" distR="114300" simplePos="0" relativeHeight="251708416" behindDoc="0" locked="0" layoutInCell="1" allowOverlap="1">
                      <wp:simplePos x="0" y="0"/>
                      <wp:positionH relativeFrom="column">
                        <wp:posOffset>1719580</wp:posOffset>
                      </wp:positionH>
                      <wp:positionV relativeFrom="paragraph">
                        <wp:posOffset>41910</wp:posOffset>
                      </wp:positionV>
                      <wp:extent cx="3395980" cy="15240"/>
                      <wp:effectExtent l="0" t="4445" r="13970" b="8890"/>
                      <wp:wrapNone/>
                      <wp:docPr id="1" name="直接连接符 1"/>
                      <wp:cNvGraphicFramePr/>
                      <a:graphic xmlns:a="http://schemas.openxmlformats.org/drawingml/2006/main">
                        <a:graphicData uri="http://schemas.microsoft.com/office/word/2010/wordprocessingShape">
                          <wps:wsp>
                            <wps:cNvCnPr/>
                            <wps:spPr>
                              <a:xfrm flipV="1">
                                <a:off x="0" y="0"/>
                                <a:ext cx="3395980" cy="15240"/>
                              </a:xfrm>
                              <a:prstGeom prst="line">
                                <a:avLst/>
                              </a:prstGeom>
                              <a:noFill/>
                              <a:ln w="6350" cap="flat" cmpd="sng" algn="ctr">
                                <a:solidFill>
                                  <a:sysClr val="windowText" lastClr="00000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upright="1"/>
                          </wps:wsp>
                        </a:graphicData>
                      </a:graphic>
                    </wp:anchor>
                  </w:drawing>
                </mc:Choice>
                <mc:Fallback>
                  <w:pict>
                    <v:line id="_x0000_s1026" o:spid="_x0000_s1026" o:spt="20" style="position:absolute;left:0pt;flip:y;margin-left:135.4pt;margin-top:3.3pt;height:1.2pt;width:267.4pt;z-index:251708416;mso-width-relative:page;mso-height-relative:page;" filled="f" stroked="t" coordsize="21600,21600" o:gfxdata="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uJp7+1gAAAAcBAAAPAAAAAAAAAAEAIAAAACIAAABkcnMvZG93bnJldi54bWxQSwECFAAUAAAA&#10;CACHTuJAzgM1XykCAABBBAAADgAAAAAAAAABACAAAAAlAQAAZHJzL2Uyb0RvYy54bWxQSwUGAAAA&#10;AAYABgBZAQAAwAUAAAAA&#10;">
                      <v:fill on="f" focussize="0,0"/>
                      <v:stroke weight="0.5pt" color="#000000 [3200]" miterlimit="8" joinstyle="miter"/>
                      <v:imagedata o:title=""/>
                      <o:lock v:ext="edit" aspectratio="f"/>
                    </v:line>
                  </w:pict>
                </mc:Fallback>
              </mc:AlternateContent>
            </w:r>
          </w:p>
          <w:p w14:paraId="1536760E">
            <w:pPr>
              <w:spacing w:line="480" w:lineRule="auto"/>
              <w:ind w:firstLine="281" w:firstLineChars="100"/>
              <w:rPr>
                <w:rFonts w:hint="default" w:ascii="Times New Roman" w:hAnsi="Times New Roman" w:eastAsia="仿宋_GB2312" w:cs="Times New Roman"/>
                <w:b/>
                <w:color w:val="auto"/>
                <w:sz w:val="28"/>
                <w:szCs w:val="28"/>
              </w:rPr>
            </w:pPr>
          </w:p>
          <w:p w14:paraId="47CF5A80">
            <w:pPr>
              <w:spacing w:line="480" w:lineRule="auto"/>
              <w:ind w:firstLine="321" w:firstLineChars="100"/>
              <w:rPr>
                <w:rFonts w:hint="default" w:ascii="Times New Roman" w:hAnsi="Times New Roman" w:eastAsia="仿宋_GB2312" w:cs="Times New Roman"/>
                <w:color w:val="auto"/>
                <w:spacing w:val="-30"/>
                <w:sz w:val="28"/>
                <w:szCs w:val="28"/>
                <w:u w:val="none"/>
                <w:lang w:eastAsia="zh-CN" w:bidi="ar"/>
              </w:rPr>
            </w:pPr>
            <w:r>
              <w:rPr>
                <w:rFonts w:hint="default" w:ascii="Times New Roman" w:hAnsi="Times New Roman" w:eastAsia="仿宋_GB2312" w:cs="Times New Roman"/>
                <w:b/>
                <w:color w:val="auto"/>
                <w:sz w:val="32"/>
                <w:szCs w:val="32"/>
              </w:rPr>
              <mc:AlternateContent>
                <mc:Choice Requires="wps">
                  <w:drawing>
                    <wp:anchor distT="0" distB="0" distL="114300" distR="114300" simplePos="0" relativeHeight="251707392" behindDoc="0" locked="0" layoutInCell="1" allowOverlap="1">
                      <wp:simplePos x="0" y="0"/>
                      <wp:positionH relativeFrom="column">
                        <wp:posOffset>1727835</wp:posOffset>
                      </wp:positionH>
                      <wp:positionV relativeFrom="paragraph">
                        <wp:posOffset>283845</wp:posOffset>
                      </wp:positionV>
                      <wp:extent cx="3313430" cy="1905"/>
                      <wp:effectExtent l="0" t="0" r="0" b="0"/>
                      <wp:wrapNone/>
                      <wp:docPr id="2" name="直接连接符 2"/>
                      <wp:cNvGraphicFramePr/>
                      <a:graphic xmlns:a="http://schemas.openxmlformats.org/drawingml/2006/main">
                        <a:graphicData uri="http://schemas.microsoft.com/office/word/2010/wordprocessingShape">
                          <wps:wsp>
                            <wps:cNvCnPr/>
                            <wps:spPr>
                              <a:xfrm>
                                <a:off x="0" y="0"/>
                                <a:ext cx="3313430" cy="19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6.05pt;margin-top:22.35pt;height:0.15pt;width:260.9pt;z-index:251707392;mso-width-relative:page;mso-height-relative:page;" filled="f" stroked="t" coordsize="21600,21600" o:gfxdata="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EJrAzYAAAACQEAAA8AAAAAAAAAAQAgAAAAIgAAAGRycy9kb3ducmV2LnhtbFBL&#10;AQIUABQAAAAIAIdO4kB+p+dX9gEAAOcDAAAOAAAAAAAAAAEAIAAAACcBAABkcnMvZTJvRG9jLnht&#10;bFBLBQYAAAAABgAGAFkBAACPBQAAAAA=&#10;">
                      <v:fill on="f" focussize="0,0"/>
                      <v:stroke color="#000000" joinstyle="round"/>
                      <v:imagedata o:title=""/>
                      <o:lock v:ext="edit" aspectratio="f"/>
                    </v:line>
                  </w:pict>
                </mc:Fallback>
              </mc:AlternateContent>
            </w:r>
            <w:r>
              <w:rPr>
                <w:rFonts w:hint="default" w:ascii="Times New Roman" w:hAnsi="Times New Roman" w:eastAsia="仿宋_GB2312" w:cs="Times New Roman"/>
                <w:b/>
                <w:color w:val="auto"/>
                <w:sz w:val="28"/>
                <w:szCs w:val="28"/>
              </w:rPr>
              <w:t xml:space="preserve">建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 xml:space="preserve">设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 xml:space="preserve">单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位：</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剑阁县王河镇人民政府</w:t>
            </w:r>
          </w:p>
          <w:p w14:paraId="6744E923">
            <w:pPr>
              <w:ind w:firstLine="281" w:firstLineChars="100"/>
              <w:rPr>
                <w:rFonts w:hint="default" w:ascii="Times New Roman" w:hAnsi="Times New Roman" w:eastAsia="仿宋_GB2312" w:cs="Times New Roman"/>
                <w:b/>
                <w:color w:val="auto"/>
                <w:sz w:val="28"/>
                <w:szCs w:val="28"/>
              </w:rPr>
            </w:pPr>
          </w:p>
          <w:p w14:paraId="611A01B8">
            <w:pPr>
              <w:ind w:firstLine="281" w:firstLineChars="100"/>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b/>
                <w:color w:val="auto"/>
                <w:sz w:val="28"/>
                <w:szCs w:val="28"/>
              </w:rPr>
              <w:t xml:space="preserve">联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 xml:space="preserve">系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人：</w:t>
            </w: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FF0000"/>
                <w:sz w:val="28"/>
                <w:szCs w:val="28"/>
                <w:lang w:val="en-US" w:eastAsia="zh-CN"/>
              </w:rPr>
              <w:t xml:space="preserve"> </w:t>
            </w:r>
            <w:r>
              <w:rPr>
                <w:rFonts w:hint="default" w:ascii="Times New Roman" w:hAnsi="Times New Roman" w:eastAsia="仿宋_GB2312" w:cs="Times New Roman"/>
                <w:color w:val="auto"/>
                <w:sz w:val="28"/>
                <w:szCs w:val="28"/>
                <w:lang w:val="en-US" w:eastAsia="zh-CN"/>
              </w:rPr>
              <w:t>岳超飞</w:t>
            </w:r>
            <w:r>
              <w:rPr>
                <w:rFonts w:hint="default" w:ascii="Times New Roman" w:hAnsi="Times New Roman" w:eastAsia="仿宋_GB2312" w:cs="Times New Roman"/>
                <w:color w:val="FF0000"/>
                <w:sz w:val="28"/>
                <w:szCs w:val="28"/>
                <w:lang w:eastAsia="zh-CN"/>
              </w:rPr>
              <w:t xml:space="preserve"> </w:t>
            </w:r>
            <w:r>
              <w:rPr>
                <w:rFonts w:hint="default" w:ascii="Times New Roman" w:hAnsi="Times New Roman" w:eastAsia="仿宋_GB2312" w:cs="Times New Roman"/>
                <w:color w:val="auto"/>
                <w:sz w:val="28"/>
                <w:szCs w:val="28"/>
                <w:lang w:eastAsia="zh-CN"/>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 xml:space="preserve">     </w:t>
            </w:r>
          </w:p>
          <w:p w14:paraId="39B623D2">
            <w:pPr>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color w:val="auto"/>
                <w:sz w:val="28"/>
                <w:szCs w:val="28"/>
              </w:rPr>
              <mc:AlternateContent>
                <mc:Choice Requires="wps">
                  <w:drawing>
                    <wp:anchor distT="0" distB="0" distL="114300" distR="114300" simplePos="0" relativeHeight="251705344" behindDoc="0" locked="0" layoutInCell="1" allowOverlap="1">
                      <wp:simplePos x="0" y="0"/>
                      <wp:positionH relativeFrom="column">
                        <wp:posOffset>1722755</wp:posOffset>
                      </wp:positionH>
                      <wp:positionV relativeFrom="paragraph">
                        <wp:posOffset>1905</wp:posOffset>
                      </wp:positionV>
                      <wp:extent cx="3265170" cy="25400"/>
                      <wp:effectExtent l="0" t="4445" r="11430" b="8255"/>
                      <wp:wrapNone/>
                      <wp:docPr id="3" name="直接连接符 3"/>
                      <wp:cNvGraphicFramePr/>
                      <a:graphic xmlns:a="http://schemas.openxmlformats.org/drawingml/2006/main">
                        <a:graphicData uri="http://schemas.microsoft.com/office/word/2010/wordprocessingShape">
                          <wps:wsp>
                            <wps:cNvCnPr/>
                            <wps:spPr>
                              <a:xfrm flipV="1">
                                <a:off x="0" y="0"/>
                                <a:ext cx="3265170" cy="25400"/>
                              </a:xfrm>
                              <a:prstGeom prst="line">
                                <a:avLst/>
                              </a:prstGeom>
                              <a:noFill/>
                              <a:ln w="6350" cap="flat" cmpd="sng" algn="ctr">
                                <a:solidFill>
                                  <a:sysClr val="windowText" lastClr="00000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upright="1"/>
                          </wps:wsp>
                        </a:graphicData>
                      </a:graphic>
                    </wp:anchor>
                  </w:drawing>
                </mc:Choice>
                <mc:Fallback>
                  <w:pict>
                    <v:line id="_x0000_s1026" o:spid="_x0000_s1026" o:spt="20" style="position:absolute;left:0pt;flip:y;margin-left:135.65pt;margin-top:0.15pt;height:2pt;width:257.1pt;z-index:251705344;mso-width-relative:page;mso-height-relative:page;" filled="f" stroked="t" coordsize="21600,21600" o:gfxdata="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FhjCPWAAAABgEAAA8AAAAAAAAAAQAgAAAAIgAAAGRycy9kb3ducmV2LnhtbFBLAQIUABQAAAAI&#10;AIdO4kDpzsAJKAIAAEEEAAAOAAAAAAAAAAEAIAAAACUBAABkcnMvZTJvRG9jLnhtbFBLBQYAAAAA&#10;BgAGAFkBAAC/BQAAAAA=&#10;">
                      <v:fill on="f" focussize="0,0"/>
                      <v:stroke weight="0.5pt" color="#000000 [3200]" miterlimit="8" joinstyle="miter"/>
                      <v:imagedata o:title=""/>
                      <o:lock v:ext="edit" aspectratio="f"/>
                    </v:line>
                  </w:pict>
                </mc:Fallback>
              </mc:AlternateContent>
            </w:r>
            <w:r>
              <w:rPr>
                <w:rFonts w:hint="default" w:ascii="Times New Roman" w:hAnsi="Times New Roman" w:eastAsia="仿宋_GB2312" w:cs="Times New Roman"/>
                <w:b/>
                <w:color w:val="auto"/>
                <w:sz w:val="28"/>
                <w:szCs w:val="28"/>
                <w:lang w:val="en-US" w:eastAsia="zh-CN"/>
              </w:rPr>
              <w:t xml:space="preserve"> </w:t>
            </w:r>
          </w:p>
          <w:p w14:paraId="7FE4E698">
            <w:pPr>
              <w:ind w:firstLine="281" w:firstLineChars="100"/>
              <w:rPr>
                <w:rFonts w:hint="default" w:ascii="Times New Roman" w:hAnsi="Times New Roman" w:eastAsia="仿宋_GB2312" w:cs="Times New Roman"/>
                <w:b/>
                <w:color w:val="auto"/>
                <w:sz w:val="28"/>
                <w:szCs w:val="28"/>
                <w:lang w:eastAsia="zh-CN"/>
              </w:rPr>
            </w:pPr>
          </w:p>
          <w:p w14:paraId="1F6F0008">
            <w:pPr>
              <w:ind w:firstLine="281" w:firstLineChars="100"/>
              <w:rPr>
                <w:rFonts w:hint="default" w:ascii="Times New Roman" w:hAnsi="Times New Roman" w:eastAsia="仿宋_GB2312" w:cs="Times New Roman"/>
                <w:bCs/>
                <w:color w:val="auto"/>
                <w:sz w:val="28"/>
                <w:szCs w:val="28"/>
                <w:u w:val="single"/>
                <w:lang w:val="en-US" w:eastAsia="zh-CN"/>
              </w:rPr>
            </w:pPr>
            <w:r>
              <w:rPr>
                <w:rFonts w:hint="default" w:ascii="Times New Roman" w:hAnsi="Times New Roman" w:eastAsia="仿宋_GB2312" w:cs="Times New Roman"/>
                <w:b/>
                <w:color w:val="auto"/>
                <w:sz w:val="28"/>
                <w:szCs w:val="28"/>
                <w:lang w:eastAsia="zh-CN"/>
              </w:rPr>
              <w:t>项</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lang w:eastAsia="zh-CN"/>
              </w:rPr>
              <w:t>目</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地</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址：</w:t>
            </w:r>
            <w:r>
              <w:rPr>
                <w:rFonts w:hint="default" w:ascii="Times New Roman" w:hAnsi="Times New Roman" w:eastAsia="仿宋_GB2312" w:cs="Times New Roman"/>
                <w:color w:val="auto"/>
                <w:spacing w:val="-20"/>
                <w:sz w:val="28"/>
                <w:szCs w:val="28"/>
              </w:rPr>
              <w:t xml:space="preserve"> </w:t>
            </w:r>
            <w:r>
              <w:rPr>
                <w:rFonts w:hint="default" w:ascii="Times New Roman" w:hAnsi="Times New Roman" w:eastAsia="仿宋_GB2312" w:cs="Times New Roman"/>
                <w:color w:val="auto"/>
                <w:spacing w:val="-20"/>
                <w:sz w:val="28"/>
                <w:szCs w:val="28"/>
                <w:lang w:val="en-US" w:eastAsia="zh-CN"/>
              </w:rPr>
              <w:t xml:space="preserve">      </w:t>
            </w:r>
            <w:r>
              <w:rPr>
                <w:rFonts w:hint="default" w:ascii="Times New Roman" w:hAnsi="Times New Roman" w:eastAsia="仿宋_GB2312" w:cs="Times New Roman"/>
                <w:color w:val="auto"/>
                <w:sz w:val="28"/>
                <w:szCs w:val="28"/>
                <w:lang w:val="en-US" w:eastAsia="zh-CN"/>
              </w:rPr>
              <w:t>四川省广元市剑阁县王河镇原粮站</w:t>
            </w:r>
          </w:p>
          <w:p w14:paraId="5D1BEB48">
            <w:pPr>
              <w:ind w:firstLine="275" w:firstLineChars="98"/>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b/>
                <w:color w:val="auto"/>
                <w:sz w:val="28"/>
                <w:szCs w:val="28"/>
              </w:rPr>
              <mc:AlternateContent>
                <mc:Choice Requires="wps">
                  <w:drawing>
                    <wp:anchor distT="0" distB="0" distL="114300" distR="114300" simplePos="0" relativeHeight="251706368" behindDoc="0" locked="0" layoutInCell="1" allowOverlap="1">
                      <wp:simplePos x="0" y="0"/>
                      <wp:positionH relativeFrom="column">
                        <wp:posOffset>1734820</wp:posOffset>
                      </wp:positionH>
                      <wp:positionV relativeFrom="paragraph">
                        <wp:posOffset>25400</wp:posOffset>
                      </wp:positionV>
                      <wp:extent cx="3266440" cy="5715"/>
                      <wp:effectExtent l="0" t="0" r="0" b="0"/>
                      <wp:wrapNone/>
                      <wp:docPr id="4" name="直接连接符 4"/>
                      <wp:cNvGraphicFramePr/>
                      <a:graphic xmlns:a="http://schemas.openxmlformats.org/drawingml/2006/main">
                        <a:graphicData uri="http://schemas.microsoft.com/office/word/2010/wordprocessingShape">
                          <wps:wsp>
                            <wps:cNvCnPr/>
                            <wps:spPr>
                              <a:xfrm>
                                <a:off x="0" y="0"/>
                                <a:ext cx="3266440" cy="57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6.6pt;margin-top:2pt;height:0.45pt;width:257.2pt;z-index:251706368;mso-width-relative:page;mso-height-relative:page;" filled="f" stroked="t" coordsize="21600,21600" o:gfxdata="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Ko3rtYAAAAHAQAADwAAAAAAAAABACAAAAAiAAAAZHJzL2Rvd25yZXYueG1sUEsB&#10;AhQAFAAAAAgAh07iQPBcBQb3AQAA5wMAAA4AAAAAAAAAAQAgAAAAJQEAAGRycy9lMm9Eb2MueG1s&#10;UEsFBgAAAAAGAAYAWQEAAI4FAAAAAA==&#10;">
                      <v:fill on="f" focussize="0,0"/>
                      <v:stroke color="#000000" joinstyle="round"/>
                      <v:imagedata o:title=""/>
                      <o:lock v:ext="edit" aspectratio="f"/>
                    </v:line>
                  </w:pict>
                </mc:Fallback>
              </mc:AlternateContent>
            </w:r>
          </w:p>
          <w:p w14:paraId="1ECB5F70">
            <w:pPr>
              <w:tabs>
                <w:tab w:val="left" w:pos="7806"/>
              </w:tabs>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b/>
                <w:color w:val="auto"/>
                <w:sz w:val="28"/>
                <w:szCs w:val="28"/>
              </w:rPr>
              <w:t xml:space="preserve">  </w:t>
            </w:r>
          </w:p>
          <w:p w14:paraId="49EB6103">
            <w:pPr>
              <w:tabs>
                <w:tab w:val="left" w:pos="7806"/>
              </w:tabs>
              <w:ind w:firstLine="280" w:firstLineChars="100"/>
              <w:rPr>
                <w:rFonts w:hint="default" w:ascii="Times New Roman" w:hAnsi="Times New Roman" w:eastAsia="仿宋_GB2312" w:cs="Times New Roman"/>
                <w:b/>
                <w:color w:val="auto"/>
                <w:sz w:val="28"/>
                <w:szCs w:val="28"/>
                <w:lang w:val="en-US"/>
              </w:rPr>
            </w:pPr>
            <w:r>
              <w:rPr>
                <w:rFonts w:hint="default" w:ascii="Times New Roman" w:hAnsi="Times New Roman" w:eastAsia="仿宋_GB2312" w:cs="Times New Roman"/>
                <w:color w:val="auto"/>
                <w:sz w:val="28"/>
                <w:szCs w:val="28"/>
              </w:rPr>
              <mc:AlternateContent>
                <mc:Choice Requires="wps">
                  <w:drawing>
                    <wp:anchor distT="0" distB="0" distL="114300" distR="114300" simplePos="0" relativeHeight="251703296" behindDoc="0" locked="0" layoutInCell="1" allowOverlap="1">
                      <wp:simplePos x="0" y="0"/>
                      <wp:positionH relativeFrom="column">
                        <wp:posOffset>1687830</wp:posOffset>
                      </wp:positionH>
                      <wp:positionV relativeFrom="paragraph">
                        <wp:posOffset>222885</wp:posOffset>
                      </wp:positionV>
                      <wp:extent cx="3271520" cy="9525"/>
                      <wp:effectExtent l="0" t="0" r="0" b="0"/>
                      <wp:wrapNone/>
                      <wp:docPr id="6" name="直接连接符 6"/>
                      <wp:cNvGraphicFramePr/>
                      <a:graphic xmlns:a="http://schemas.openxmlformats.org/drawingml/2006/main">
                        <a:graphicData uri="http://schemas.microsoft.com/office/word/2010/wordprocessingShape">
                          <wps:wsp>
                            <wps:cNvCnPr/>
                            <wps:spPr>
                              <a:xfrm flipV="1">
                                <a:off x="0" y="0"/>
                                <a:ext cx="3271520" cy="95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32.9pt;margin-top:17.55pt;height:0.75pt;width:257.6pt;z-index:251703296;mso-width-relative:page;mso-height-relative:page;" filled="f" stroked="t" coordsize="21600,21600" o:gfxdata="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2PSMb1wAAAAkBAAAPAAAAAAAAAAEAIAAAACIAAABkcnMvZG93bnJldi54&#10;bWxQSwECFAAUAAAACACHTuJA/iy8dfsBAADxAwAADgAAAAAAAAABACAAAAAmAQAAZHJzL2Uyb0Rv&#10;Yy54bWxQSwUGAAAAAAYABgBZAQAAkwUAAAAA&#10;">
                      <v:fill on="f" focussize="0,0"/>
                      <v:stroke color="#000000" joinstyle="round"/>
                      <v:imagedata o:title=""/>
                      <o:lock v:ext="edit" aspectratio="f"/>
                    </v:line>
                  </w:pict>
                </mc:Fallback>
              </mc:AlternateContent>
            </w:r>
            <w:r>
              <w:rPr>
                <w:rFonts w:hint="default" w:ascii="Times New Roman" w:hAnsi="Times New Roman" w:eastAsia="仿宋_GB2312" w:cs="Times New Roman"/>
                <w:b/>
                <w:color w:val="auto"/>
                <w:sz w:val="28"/>
                <w:szCs w:val="28"/>
              </w:rPr>
              <w:t xml:space="preserve">电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话：</w:t>
            </w: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FF0000"/>
                <w:sz w:val="28"/>
                <w:szCs w:val="28"/>
                <w:lang w:val="en-US" w:eastAsia="zh-CN"/>
              </w:rPr>
              <w:t xml:space="preserve">   </w:t>
            </w:r>
            <w:r>
              <w:rPr>
                <w:rFonts w:hint="default" w:ascii="Times New Roman" w:hAnsi="Times New Roman" w:eastAsia="仿宋_GB2312" w:cs="Times New Roman"/>
                <w:color w:val="auto"/>
                <w:sz w:val="28"/>
                <w:szCs w:val="28"/>
                <w:lang w:val="en-US" w:eastAsia="zh-CN"/>
              </w:rPr>
              <w:t xml:space="preserve">  0839-6445039</w:t>
            </w:r>
          </w:p>
          <w:p w14:paraId="1CCF97F4">
            <w:pPr>
              <w:rPr>
                <w:rFonts w:hint="default" w:ascii="Times New Roman" w:hAnsi="Times New Roman" w:eastAsia="仿宋_GB2312" w:cs="Times New Roman"/>
                <w:b/>
                <w:color w:val="auto"/>
                <w:sz w:val="28"/>
                <w:szCs w:val="28"/>
              </w:rPr>
            </w:pPr>
          </w:p>
          <w:p w14:paraId="17A0F5A7">
            <w:pPr>
              <w:spacing w:line="360" w:lineRule="auto"/>
              <w:ind w:firstLine="281" w:firstLineChars="100"/>
              <w:rPr>
                <w:rFonts w:hint="default" w:ascii="Times New Roman" w:hAnsi="Times New Roman" w:eastAsia="仿宋_GB2312" w:cs="Times New Roman"/>
                <w:b/>
                <w:color w:val="auto"/>
                <w:sz w:val="28"/>
                <w:szCs w:val="28"/>
              </w:rPr>
            </w:pPr>
          </w:p>
          <w:p w14:paraId="5413DC7D">
            <w:pPr>
              <w:spacing w:line="360" w:lineRule="auto"/>
              <w:ind w:firstLine="281" w:firstLineChars="1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color w:val="auto"/>
                <w:sz w:val="28"/>
                <w:szCs w:val="28"/>
              </w:rPr>
              <mc:AlternateContent>
                <mc:Choice Requires="wps">
                  <w:drawing>
                    <wp:anchor distT="0" distB="0" distL="114300" distR="114300" simplePos="0" relativeHeight="251709440" behindDoc="0" locked="0" layoutInCell="1" allowOverlap="1">
                      <wp:simplePos x="0" y="0"/>
                      <wp:positionH relativeFrom="column">
                        <wp:posOffset>1710055</wp:posOffset>
                      </wp:positionH>
                      <wp:positionV relativeFrom="paragraph">
                        <wp:posOffset>245745</wp:posOffset>
                      </wp:positionV>
                      <wp:extent cx="3275965" cy="15240"/>
                      <wp:effectExtent l="0" t="4445" r="635" b="8890"/>
                      <wp:wrapNone/>
                      <wp:docPr id="7" name="直接连接符 7"/>
                      <wp:cNvGraphicFramePr/>
                      <a:graphic xmlns:a="http://schemas.openxmlformats.org/drawingml/2006/main">
                        <a:graphicData uri="http://schemas.microsoft.com/office/word/2010/wordprocessingShape">
                          <wps:wsp>
                            <wps:cNvCnPr/>
                            <wps:spPr>
                              <a:xfrm>
                                <a:off x="0" y="0"/>
                                <a:ext cx="3275965" cy="15240"/>
                              </a:xfrm>
                              <a:prstGeom prst="line">
                                <a:avLst/>
                              </a:prstGeom>
                              <a:noFill/>
                              <a:ln w="6350" cap="flat" cmpd="sng" algn="ctr">
                                <a:solidFill>
                                  <a:sysClr val="windowText" lastClr="00000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upright="1"/>
                          </wps:wsp>
                        </a:graphicData>
                      </a:graphic>
                    </wp:anchor>
                  </w:drawing>
                </mc:Choice>
                <mc:Fallback>
                  <w:pict>
                    <v:line id="_x0000_s1026" o:spid="_x0000_s1026" o:spt="20" style="position:absolute;left:0pt;margin-left:134.65pt;margin-top:19.35pt;height:1.2pt;width:257.95pt;z-index:251709440;mso-width-relative:page;mso-height-relative:page;" filled="f" stroked="t" coordsize="21600,21600" o:gfxdata="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vEX&#10;+tcAAAAJAQAADwAAAAAAAAABACAAAAAiAAAAZHJzL2Rvd25yZXYueG1sUEsBAhQAFAAAAAgAh07i&#10;QLjYdQIjAgAANwQAAA4AAAAAAAAAAQAgAAAAJgEAAGRycy9lMm9Eb2MueG1sUEsFBgAAAAAGAAYA&#10;WQEAALsFAAAAAA==&#10;">
                      <v:fill on="f" focussize="0,0"/>
                      <v:stroke weight="0.5pt" color="#000000 [3200]" miterlimit="8" joinstyle="miter"/>
                      <v:imagedata o:title=""/>
                      <o:lock v:ext="edit" aspectratio="f"/>
                    </v:line>
                  </w:pict>
                </mc:Fallback>
              </mc:AlternateContent>
            </w:r>
            <w:r>
              <w:rPr>
                <w:rFonts w:hint="default" w:ascii="Times New Roman" w:hAnsi="Times New Roman" w:eastAsia="仿宋_GB2312" w:cs="Times New Roman"/>
                <w:b/>
                <w:color w:val="auto"/>
                <w:sz w:val="28"/>
                <w:szCs w:val="28"/>
              </w:rPr>
              <w:t xml:space="preserve">编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 xml:space="preserve">制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 xml:space="preserve">单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位：</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四川一砚工程设计有限公司</w:t>
            </w:r>
          </w:p>
          <w:p w14:paraId="5A6B5CBE">
            <w:pPr>
              <w:rPr>
                <w:rFonts w:hint="default" w:ascii="Times New Roman" w:hAnsi="Times New Roman" w:eastAsia="仿宋_GB2312" w:cs="Times New Roman"/>
                <w:color w:val="auto"/>
                <w:sz w:val="28"/>
                <w:szCs w:val="28"/>
                <w:u w:val="single"/>
              </w:rPr>
            </w:pPr>
          </w:p>
          <w:p w14:paraId="7A730173">
            <w:pPr>
              <w:tabs>
                <w:tab w:val="left" w:pos="4935"/>
                <w:tab w:val="left" w:pos="5580"/>
                <w:tab w:val="left" w:pos="6300"/>
              </w:tabs>
              <w:ind w:firstLine="281" w:firstLineChars="100"/>
              <w:rPr>
                <w:rFonts w:hint="default" w:ascii="Times New Roman" w:hAnsi="Times New Roman" w:eastAsia="仿宋_GB2312" w:cs="Times New Roman"/>
                <w:b/>
                <w:color w:val="auto"/>
                <w:sz w:val="28"/>
                <w:szCs w:val="28"/>
              </w:rPr>
            </w:pPr>
          </w:p>
          <w:p w14:paraId="2AF063F5">
            <w:pPr>
              <w:tabs>
                <w:tab w:val="left" w:pos="4935"/>
                <w:tab w:val="left" w:pos="5580"/>
                <w:tab w:val="left" w:pos="6300"/>
              </w:tabs>
              <w:ind w:firstLine="281" w:firstLineChars="100"/>
              <w:rPr>
                <w:rFonts w:hint="default" w:ascii="Times New Roman" w:hAnsi="Times New Roman" w:eastAsia="仿宋_GB2312" w:cs="Times New Roman"/>
                <w:b/>
                <w:color w:val="FF0000"/>
                <w:sz w:val="28"/>
                <w:szCs w:val="28"/>
                <w:lang w:val="en-US" w:eastAsia="zh-CN"/>
              </w:rPr>
            </w:pPr>
            <w:r>
              <w:rPr>
                <w:rFonts w:hint="default" w:ascii="Times New Roman" w:hAnsi="Times New Roman" w:eastAsia="仿宋_GB2312" w:cs="Times New Roman"/>
                <w:b/>
                <w:color w:val="auto"/>
                <w:sz w:val="28"/>
                <w:szCs w:val="28"/>
              </w:rPr>
              <w:t xml:space="preserve">联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 xml:space="preserve">系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人：</w:t>
            </w: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FF0000"/>
                <w:sz w:val="28"/>
                <w:szCs w:val="28"/>
                <w:lang w:val="en-US" w:eastAsia="zh-CN"/>
              </w:rPr>
              <w:t xml:space="preserve">  </w:t>
            </w:r>
            <w:r>
              <w:rPr>
                <w:rFonts w:hint="default" w:ascii="Times New Roman" w:hAnsi="Times New Roman" w:eastAsia="仿宋_GB2312" w:cs="Times New Roman"/>
                <w:color w:val="auto"/>
                <w:sz w:val="28"/>
                <w:szCs w:val="28"/>
                <w:lang w:val="en-US" w:eastAsia="zh-CN"/>
              </w:rPr>
              <w:t>马云强</w:t>
            </w:r>
          </w:p>
          <w:p w14:paraId="7B09C33B">
            <w:pPr>
              <w:rPr>
                <w:rFonts w:hint="default" w:ascii="Times New Roman" w:hAnsi="Times New Roman" w:eastAsia="仿宋_GB2312" w:cs="Times New Roman"/>
                <w:b/>
                <w:color w:val="FF0000"/>
                <w:sz w:val="28"/>
                <w:szCs w:val="28"/>
              </w:rPr>
            </w:pPr>
            <w:r>
              <w:rPr>
                <w:rFonts w:hint="default" w:ascii="Times New Roman" w:hAnsi="Times New Roman" w:eastAsia="仿宋_GB2312" w:cs="Times New Roman"/>
                <w:color w:val="FF0000"/>
                <w:sz w:val="28"/>
                <w:szCs w:val="28"/>
              </w:rPr>
              <mc:AlternateContent>
                <mc:Choice Requires="wps">
                  <w:drawing>
                    <wp:anchor distT="0" distB="0" distL="114300" distR="114300" simplePos="0" relativeHeight="251704320" behindDoc="0" locked="0" layoutInCell="1" allowOverlap="1">
                      <wp:simplePos x="0" y="0"/>
                      <wp:positionH relativeFrom="column">
                        <wp:posOffset>1710690</wp:posOffset>
                      </wp:positionH>
                      <wp:positionV relativeFrom="paragraph">
                        <wp:posOffset>40640</wp:posOffset>
                      </wp:positionV>
                      <wp:extent cx="3341370" cy="12065"/>
                      <wp:effectExtent l="0" t="4445" r="11430" b="12065"/>
                      <wp:wrapNone/>
                      <wp:docPr id="8" name="直接连接符 8"/>
                      <wp:cNvGraphicFramePr/>
                      <a:graphic xmlns:a="http://schemas.openxmlformats.org/drawingml/2006/main">
                        <a:graphicData uri="http://schemas.microsoft.com/office/word/2010/wordprocessingShape">
                          <wps:wsp>
                            <wps:cNvCnPr/>
                            <wps:spPr>
                              <a:xfrm>
                                <a:off x="0" y="0"/>
                                <a:ext cx="3341370" cy="12065"/>
                              </a:xfrm>
                              <a:prstGeom prst="line">
                                <a:avLst/>
                              </a:prstGeom>
                              <a:noFill/>
                              <a:ln w="6350" cap="flat" cmpd="sng" algn="ctr">
                                <a:solidFill>
                                  <a:sysClr val="windowText" lastClr="00000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upright="1"/>
                          </wps:wsp>
                        </a:graphicData>
                      </a:graphic>
                    </wp:anchor>
                  </w:drawing>
                </mc:Choice>
                <mc:Fallback>
                  <w:pict>
                    <v:line id="_x0000_s1026" o:spid="_x0000_s1026" o:spt="20" style="position:absolute;left:0pt;margin-left:134.7pt;margin-top:3.2pt;height:0.95pt;width:263.1pt;z-index:251704320;mso-width-relative:page;mso-height-relative:page;" filled="f" stroked="t" coordsize="21600,21600" o:gfxdata="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lZ2LWAAAA&#10;BwEAAA8AAAAAAAAAAQAgAAAAIgAAAGRycy9kb3ducmV2LnhtbFBLAQIUABQAAAAIAIdO4kAKjGZn&#10;HwIAADcEAAAOAAAAAAAAAAEAIAAAACUBAABkcnMvZTJvRG9jLnhtbFBLBQYAAAAABgAGAFkBAAC2&#10;BQAAAAA=&#10;">
                      <v:fill on="f" focussize="0,0"/>
                      <v:stroke weight="0.5pt" color="#000000 [3200]" miterlimit="8" joinstyle="miter"/>
                      <v:imagedata o:title=""/>
                      <o:lock v:ext="edit" aspectratio="f"/>
                    </v:line>
                  </w:pict>
                </mc:Fallback>
              </mc:AlternateContent>
            </w:r>
          </w:p>
          <w:p w14:paraId="2715192C">
            <w:pPr>
              <w:ind w:firstLine="281" w:firstLineChars="100"/>
              <w:rPr>
                <w:rFonts w:hint="default" w:ascii="Times New Roman" w:hAnsi="Times New Roman" w:eastAsia="仿宋_GB2312" w:cs="Times New Roman"/>
                <w:b/>
                <w:color w:val="FF0000"/>
                <w:sz w:val="28"/>
                <w:szCs w:val="28"/>
              </w:rPr>
            </w:pPr>
          </w:p>
          <w:p w14:paraId="0D89D76C">
            <w:pPr>
              <w:ind w:firstLine="280" w:firstLineChars="100"/>
              <w:rPr>
                <w:rFonts w:hint="default" w:ascii="Times New Roman" w:hAnsi="Times New Roman" w:eastAsia="仿宋_GB2312" w:cs="Times New Roman"/>
                <w:b/>
                <w:color w:val="FF0000"/>
                <w:sz w:val="28"/>
                <w:szCs w:val="28"/>
                <w:lang w:val="en-US"/>
              </w:rPr>
            </w:pPr>
            <w:r>
              <w:rPr>
                <w:rFonts w:hint="default" w:ascii="Times New Roman" w:hAnsi="Times New Roman" w:eastAsia="仿宋_GB2312" w:cs="Times New Roman"/>
                <w:color w:val="auto"/>
                <w:sz w:val="28"/>
                <w:szCs w:val="28"/>
              </w:rPr>
              <mc:AlternateContent>
                <mc:Choice Requires="wps">
                  <w:drawing>
                    <wp:anchor distT="0" distB="0" distL="114300" distR="114300" simplePos="0" relativeHeight="251710464" behindDoc="0" locked="0" layoutInCell="1" allowOverlap="1">
                      <wp:simplePos x="0" y="0"/>
                      <wp:positionH relativeFrom="column">
                        <wp:posOffset>1706880</wp:posOffset>
                      </wp:positionH>
                      <wp:positionV relativeFrom="paragraph">
                        <wp:posOffset>255905</wp:posOffset>
                      </wp:positionV>
                      <wp:extent cx="3374390" cy="2540"/>
                      <wp:effectExtent l="0" t="0" r="0" b="0"/>
                      <wp:wrapNone/>
                      <wp:docPr id="9" name="直接连接符 9"/>
                      <wp:cNvGraphicFramePr/>
                      <a:graphic xmlns:a="http://schemas.openxmlformats.org/drawingml/2006/main">
                        <a:graphicData uri="http://schemas.microsoft.com/office/word/2010/wordprocessingShape">
                          <wps:wsp>
                            <wps:cNvCnPr/>
                            <wps:spPr>
                              <a:xfrm flipV="1">
                                <a:off x="0" y="0"/>
                                <a:ext cx="3374390" cy="25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34.4pt;margin-top:20.15pt;height:0.2pt;width:265.7pt;z-index:251710464;mso-width-relative:page;mso-height-relative:page;" filled="f" stroked="t" coordsize="21600,21600" o:gfxdata="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je8IvXAAAACQEAAA8AAAAAAAAAAQAgAAAAIgAAAGRycy9kb3du&#10;cmV2LnhtbFBLAQIUABQAAAAIAIdO4kDqFU0wAAIAAPEDAAAOAAAAAAAAAAEAIAAAACYBAABkcnMv&#10;ZTJvRG9jLnhtbFBLBQYAAAAABgAGAFkBAACYBQAAAAA=&#10;">
                      <v:fill on="f" focussize="0,0"/>
                      <v:stroke color="#000000" joinstyle="round"/>
                      <v:imagedata o:title=""/>
                      <o:lock v:ext="edit" aspectratio="f"/>
                    </v:line>
                  </w:pict>
                </mc:Fallback>
              </mc:AlternateContent>
            </w:r>
            <w:r>
              <w:rPr>
                <w:rFonts w:hint="default" w:ascii="Times New Roman" w:hAnsi="Times New Roman" w:eastAsia="仿宋_GB2312" w:cs="Times New Roman"/>
                <w:b/>
                <w:color w:val="auto"/>
                <w:sz w:val="28"/>
                <w:szCs w:val="28"/>
              </w:rPr>
              <w:t xml:space="preserve">电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话：</w:t>
            </w:r>
            <w:r>
              <w:rPr>
                <w:rFonts w:hint="default" w:ascii="Times New Roman" w:hAnsi="Times New Roman" w:eastAsia="仿宋_GB2312" w:cs="Times New Roman"/>
                <w:b/>
                <w:color w:val="FF0000"/>
                <w:sz w:val="28"/>
                <w:szCs w:val="28"/>
                <w:lang w:val="en-US" w:eastAsia="zh-CN"/>
              </w:rPr>
              <w:t xml:space="preserve">             </w:t>
            </w:r>
            <w:r>
              <w:rPr>
                <w:rFonts w:hint="default" w:ascii="Times New Roman" w:hAnsi="Times New Roman" w:eastAsia="仿宋_GB2312" w:cs="Times New Roman"/>
                <w:b w:val="0"/>
                <w:bCs/>
                <w:color w:val="auto"/>
                <w:sz w:val="28"/>
                <w:szCs w:val="28"/>
                <w:lang w:val="en-US" w:eastAsia="zh-CN"/>
              </w:rPr>
              <w:t>0839-3505934</w:t>
            </w:r>
          </w:p>
          <w:p w14:paraId="17C97C09">
            <w:pPr>
              <w:rPr>
                <w:rFonts w:hint="default" w:ascii="Times New Roman" w:hAnsi="Times New Roman" w:eastAsia="仿宋_GB2312" w:cs="Times New Roman"/>
                <w:b/>
                <w:color w:val="FF0000"/>
                <w:sz w:val="28"/>
                <w:szCs w:val="28"/>
              </w:rPr>
            </w:pPr>
          </w:p>
          <w:p w14:paraId="59577381">
            <w:pPr>
              <w:ind w:firstLine="281" w:firstLineChars="100"/>
              <w:rPr>
                <w:rFonts w:hint="default" w:ascii="Times New Roman" w:hAnsi="Times New Roman" w:eastAsia="仿宋_GB2312" w:cs="Times New Roman"/>
                <w:b/>
                <w:color w:val="FF0000"/>
                <w:sz w:val="28"/>
                <w:szCs w:val="28"/>
              </w:rPr>
            </w:pPr>
          </w:p>
          <w:p w14:paraId="114536DB">
            <w:pPr>
              <w:ind w:firstLine="280" w:firstLineChars="100"/>
              <w:rPr>
                <w:rFonts w:hint="default" w:ascii="Times New Roman" w:hAnsi="Times New Roman" w:eastAsia="仿宋_GB2312" w:cs="Times New Roman"/>
                <w:color w:val="auto"/>
                <w:sz w:val="32"/>
                <w:szCs w:val="32"/>
                <w:u w:val="single"/>
              </w:rPr>
            </w:pPr>
            <w:r>
              <w:rPr>
                <w:rFonts w:hint="default" w:ascii="Times New Roman" w:hAnsi="Times New Roman" w:eastAsia="仿宋_GB2312" w:cs="Times New Roman"/>
                <w:color w:val="auto"/>
                <w:sz w:val="28"/>
                <w:szCs w:val="28"/>
              </w:rPr>
              <mc:AlternateContent>
                <mc:Choice Requires="wps">
                  <w:drawing>
                    <wp:anchor distT="0" distB="0" distL="114300" distR="114300" simplePos="0" relativeHeight="251702272" behindDoc="0" locked="0" layoutInCell="1" allowOverlap="1">
                      <wp:simplePos x="0" y="0"/>
                      <wp:positionH relativeFrom="column">
                        <wp:posOffset>1716405</wp:posOffset>
                      </wp:positionH>
                      <wp:positionV relativeFrom="paragraph">
                        <wp:posOffset>266065</wp:posOffset>
                      </wp:positionV>
                      <wp:extent cx="3350260" cy="1270"/>
                      <wp:effectExtent l="0" t="0" r="0" b="0"/>
                      <wp:wrapNone/>
                      <wp:docPr id="10" name="直接连接符 10"/>
                      <wp:cNvGraphicFramePr/>
                      <a:graphic xmlns:a="http://schemas.openxmlformats.org/drawingml/2006/main">
                        <a:graphicData uri="http://schemas.microsoft.com/office/word/2010/wordprocessingShape">
                          <wps:wsp>
                            <wps:cNvCnPr/>
                            <wps:spPr>
                              <a:xfrm>
                                <a:off x="0" y="0"/>
                                <a:ext cx="335026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5.15pt;margin-top:20.95pt;height:0.1pt;width:263.8pt;z-index:251702272;mso-width-relative:page;mso-height-relative:page;" filled="f" stroked="t" coordsize="21600,21600" o:gfxdata="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foTo9cAAAAJAQAADwAAAAAAAAABACAAAAAiAAAAZHJzL2Rvd25yZXYueG1s&#10;UEsBAhQAFAAAAAgAh07iQF+vFWj5AQAA6QMAAA4AAAAAAAAAAQAgAAAAJgEAAGRycy9lMm9Eb2Mu&#10;eG1sUEsFBgAAAAAGAAYAWQEAAJEFAAAAAA==&#10;">
                      <v:fill on="f" focussize="0,0"/>
                      <v:stroke color="#000000" joinstyle="round"/>
                      <v:imagedata o:title=""/>
                      <o:lock v:ext="edit" aspectratio="f"/>
                    </v:line>
                  </w:pict>
                </mc:Fallback>
              </mc:AlternateContent>
            </w:r>
            <w:r>
              <w:rPr>
                <w:rFonts w:hint="default" w:ascii="Times New Roman" w:hAnsi="Times New Roman" w:eastAsia="仿宋_GB2312" w:cs="Times New Roman"/>
                <w:b/>
                <w:color w:val="auto"/>
                <w:sz w:val="28"/>
                <w:szCs w:val="28"/>
              </w:rPr>
              <w:t xml:space="preserve">报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送</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 xml:space="preserve"> 时</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 xml:space="preserve"> 间：</w:t>
            </w: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2025年10月</w:t>
            </w: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FF0000"/>
                <w:sz w:val="28"/>
                <w:szCs w:val="28"/>
              </w:rPr>
              <w:t xml:space="preserve"> </w:t>
            </w: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32"/>
                <w:szCs w:val="32"/>
              </w:rPr>
              <w:t xml:space="preserve">        </w:t>
            </w:r>
          </w:p>
        </w:tc>
      </w:tr>
    </w:tbl>
    <w:p w14:paraId="131DCC2C">
      <w:pPr>
        <w:jc w:val="center"/>
        <w:rPr>
          <w:rFonts w:hint="default" w:ascii="Times New Roman" w:hAnsi="Times New Roman" w:eastAsia="仿宋_GB2312" w:cs="Times New Roman"/>
          <w:b/>
          <w:color w:val="auto"/>
          <w:sz w:val="36"/>
          <w:szCs w:val="36"/>
          <w:lang w:eastAsia="zh-CN"/>
        </w:rPr>
      </w:pPr>
    </w:p>
    <w:p w14:paraId="6D721A3E">
      <w:pPr>
        <w:pStyle w:val="17"/>
        <w:ind w:left="0" w:leftChars="0" w:firstLine="0" w:firstLineChars="0"/>
        <w:rPr>
          <w:rFonts w:hint="default" w:ascii="Times New Roman" w:hAnsi="Times New Roman" w:eastAsia="仿宋_GB2312" w:cs="Times New Roman"/>
          <w:color w:val="auto"/>
          <w:szCs w:val="21"/>
        </w:rPr>
        <w:sectPr>
          <w:footerReference r:id="rId13" w:type="first"/>
          <w:headerReference r:id="rId11" w:type="default"/>
          <w:footerReference r:id="rId12" w:type="default"/>
          <w:pgSz w:w="11906" w:h="16838"/>
          <w:pgMar w:top="1327" w:right="1514" w:bottom="1327" w:left="1514" w:header="851" w:footer="992" w:gutter="0"/>
          <w:pgBorders>
            <w:top w:val="none" w:sz="0" w:space="0"/>
            <w:left w:val="none" w:sz="0" w:space="0"/>
            <w:bottom w:val="none" w:sz="0" w:space="0"/>
            <w:right w:val="none" w:sz="0" w:space="0"/>
          </w:pgBorders>
          <w:pgNumType w:fmt="upperRoman" w:start="1"/>
          <w:cols w:space="720" w:num="1"/>
          <w:titlePg/>
          <w:docGrid w:linePitch="312" w:charSpace="0"/>
        </w:sectPr>
      </w:pPr>
    </w:p>
    <w:p w14:paraId="7AE9F928">
      <w:pPr>
        <w:jc w:val="center"/>
        <w:rPr>
          <w:rFonts w:hint="default" w:ascii="Times New Roman" w:hAnsi="Times New Roman" w:eastAsia="仿宋_GB2312" w:cs="Times New Roman"/>
          <w:b/>
          <w:color w:val="auto"/>
          <w:sz w:val="36"/>
          <w:szCs w:val="36"/>
          <w:u w:val="single"/>
          <w:lang w:eastAsia="zh-CN"/>
        </w:rPr>
      </w:pPr>
      <w:r>
        <w:rPr>
          <w:rFonts w:hint="default" w:ascii="Times New Roman" w:hAnsi="Times New Roman" w:eastAsia="仿宋_GB2312" w:cs="Times New Roman"/>
          <w:b/>
          <w:color w:val="auto"/>
          <w:sz w:val="36"/>
          <w:szCs w:val="36"/>
          <w:u w:val="single"/>
          <w:lang w:eastAsia="zh-CN"/>
        </w:rPr>
        <w:t>剑阁县王河镇干部周转房建设项目</w:t>
      </w:r>
    </w:p>
    <w:p w14:paraId="31722E46">
      <w:pPr>
        <w:jc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b/>
          <w:color w:val="auto"/>
          <w:sz w:val="36"/>
          <w:szCs w:val="36"/>
        </w:rPr>
        <w:t>水土保持方案报告表</w:t>
      </w:r>
    </w:p>
    <w:tbl>
      <w:tblPr>
        <w:tblStyle w:val="18"/>
        <w:tblW w:w="9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691"/>
        <w:gridCol w:w="1593"/>
        <w:gridCol w:w="1467"/>
        <w:gridCol w:w="1581"/>
        <w:gridCol w:w="2256"/>
      </w:tblGrid>
      <w:tr w14:paraId="65C7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72" w:type="dxa"/>
            <w:vMerge w:val="restart"/>
            <w:noWrap w:val="0"/>
            <w:vAlign w:val="center"/>
          </w:tcPr>
          <w:p w14:paraId="56A5B07B">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项</w:t>
            </w:r>
          </w:p>
          <w:p w14:paraId="71C52282">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目</w:t>
            </w:r>
          </w:p>
          <w:p w14:paraId="1E29E952">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概</w:t>
            </w:r>
          </w:p>
          <w:p w14:paraId="39088E0D">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况</w:t>
            </w:r>
          </w:p>
        </w:tc>
        <w:tc>
          <w:tcPr>
            <w:tcW w:w="1691" w:type="dxa"/>
            <w:noWrap w:val="0"/>
            <w:vAlign w:val="center"/>
          </w:tcPr>
          <w:p w14:paraId="4123C6DC">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位置</w:t>
            </w:r>
          </w:p>
        </w:tc>
        <w:tc>
          <w:tcPr>
            <w:tcW w:w="6897" w:type="dxa"/>
            <w:gridSpan w:val="4"/>
            <w:noWrap w:val="0"/>
            <w:vAlign w:val="center"/>
          </w:tcPr>
          <w:p w14:paraId="08367CD6">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bidi="ar"/>
              </w:rPr>
              <w:t>四川省广元市剑阁县王河镇</w:t>
            </w:r>
            <w:r>
              <w:rPr>
                <w:rFonts w:hint="default" w:ascii="Times New Roman" w:hAnsi="Times New Roman" w:eastAsia="仿宋_GB2312" w:cs="Times New Roman"/>
                <w:color w:val="auto"/>
                <w:sz w:val="21"/>
                <w:szCs w:val="21"/>
                <w:lang w:val="en-US" w:eastAsia="zh-CN" w:bidi="ar"/>
              </w:rPr>
              <w:t>原粮站</w:t>
            </w:r>
          </w:p>
        </w:tc>
      </w:tr>
      <w:tr w14:paraId="77832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72" w:type="dxa"/>
            <w:vMerge w:val="continue"/>
            <w:noWrap w:val="0"/>
            <w:vAlign w:val="center"/>
          </w:tcPr>
          <w:p w14:paraId="45ABBCF6">
            <w:pPr>
              <w:jc w:val="center"/>
              <w:rPr>
                <w:rFonts w:hint="default" w:ascii="Times New Roman" w:hAnsi="Times New Roman" w:eastAsia="仿宋_GB2312" w:cs="Times New Roman"/>
                <w:color w:val="auto"/>
                <w:sz w:val="21"/>
                <w:szCs w:val="21"/>
              </w:rPr>
            </w:pPr>
          </w:p>
        </w:tc>
        <w:tc>
          <w:tcPr>
            <w:tcW w:w="1691" w:type="dxa"/>
            <w:noWrap w:val="0"/>
            <w:vAlign w:val="center"/>
          </w:tcPr>
          <w:p w14:paraId="5A36D39C">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建设内容及规模</w:t>
            </w:r>
          </w:p>
        </w:tc>
        <w:tc>
          <w:tcPr>
            <w:tcW w:w="6897" w:type="dxa"/>
            <w:gridSpan w:val="4"/>
            <w:noWrap w:val="0"/>
            <w:vAlign w:val="center"/>
          </w:tcPr>
          <w:p w14:paraId="62881E47">
            <w:pPr>
              <w:keepNext w:val="0"/>
              <w:keepLines w:val="0"/>
              <w:widowControl/>
              <w:suppressLineNumbers w:val="0"/>
              <w:spacing w:line="360" w:lineRule="auto"/>
              <w:ind w:firstLine="420" w:firstLineChars="200"/>
              <w:jc w:val="left"/>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b w:val="0"/>
                <w:bCs w:val="0"/>
                <w:color w:val="auto"/>
                <w:kern w:val="2"/>
                <w:sz w:val="21"/>
                <w:szCs w:val="21"/>
                <w:lang w:val="en-US" w:eastAsia="zh-CN" w:bidi="ar"/>
              </w:rPr>
              <w:t>总用地面积0.33hm</w:t>
            </w:r>
            <w:r>
              <w:rPr>
                <w:rFonts w:hint="default" w:ascii="Times New Roman" w:hAnsi="Times New Roman" w:eastAsia="仿宋_GB2312" w:cs="Times New Roman"/>
                <w:b w:val="0"/>
                <w:bCs w:val="0"/>
                <w:color w:val="auto"/>
                <w:kern w:val="2"/>
                <w:sz w:val="21"/>
                <w:szCs w:val="21"/>
                <w:vertAlign w:val="superscript"/>
                <w:lang w:val="en-US" w:eastAsia="zh-CN" w:bidi="ar"/>
              </w:rPr>
              <w:t>2</w:t>
            </w:r>
            <w:r>
              <w:rPr>
                <w:rFonts w:hint="default" w:ascii="Times New Roman" w:hAnsi="Times New Roman" w:eastAsia="仿宋_GB2312" w:cs="Times New Roman"/>
                <w:b w:val="0"/>
                <w:bCs w:val="0"/>
                <w:color w:val="auto"/>
                <w:kern w:val="2"/>
                <w:sz w:val="21"/>
                <w:szCs w:val="21"/>
                <w:lang w:val="en-US" w:eastAsia="zh-CN" w:bidi="ar"/>
              </w:rPr>
              <w:t>（3270.00m</w:t>
            </w:r>
            <w:r>
              <w:rPr>
                <w:rFonts w:hint="default" w:ascii="Times New Roman" w:hAnsi="Times New Roman" w:eastAsia="仿宋_GB2312" w:cs="Times New Roman"/>
                <w:b w:val="0"/>
                <w:bCs w:val="0"/>
                <w:color w:val="auto"/>
                <w:kern w:val="2"/>
                <w:sz w:val="21"/>
                <w:szCs w:val="21"/>
                <w:vertAlign w:val="superscript"/>
                <w:lang w:val="en-US" w:eastAsia="zh-CN" w:bidi="ar"/>
              </w:rPr>
              <w:t>2</w:t>
            </w:r>
            <w:r>
              <w:rPr>
                <w:rFonts w:hint="default" w:ascii="Times New Roman" w:hAnsi="Times New Roman" w:eastAsia="仿宋_GB2312" w:cs="Times New Roman"/>
                <w:b w:val="0"/>
                <w:bCs w:val="0"/>
                <w:color w:val="auto"/>
                <w:kern w:val="2"/>
                <w:sz w:val="21"/>
                <w:szCs w:val="21"/>
                <w:lang w:val="en-US" w:eastAsia="zh-CN" w:bidi="ar"/>
              </w:rPr>
              <w:t>），建筑面积2800m</w:t>
            </w:r>
            <w:r>
              <w:rPr>
                <w:rFonts w:hint="default" w:ascii="Times New Roman" w:hAnsi="Times New Roman" w:eastAsia="仿宋_GB2312" w:cs="Times New Roman"/>
                <w:b w:val="0"/>
                <w:bCs w:val="0"/>
                <w:color w:val="auto"/>
                <w:kern w:val="2"/>
                <w:sz w:val="21"/>
                <w:szCs w:val="21"/>
                <w:vertAlign w:val="superscript"/>
                <w:lang w:val="en-US" w:eastAsia="zh-CN" w:bidi="ar"/>
              </w:rPr>
              <w:t>2</w:t>
            </w:r>
            <w:r>
              <w:rPr>
                <w:rFonts w:hint="default" w:ascii="Times New Roman" w:hAnsi="Times New Roman" w:eastAsia="仿宋_GB2312" w:cs="Times New Roman"/>
                <w:b w:val="0"/>
                <w:bCs w:val="0"/>
                <w:color w:val="auto"/>
                <w:kern w:val="2"/>
                <w:sz w:val="21"/>
                <w:szCs w:val="21"/>
                <w:lang w:val="en-US" w:eastAsia="zh-CN" w:bidi="ar"/>
              </w:rPr>
              <w:t>，均为地上建筑面积，容积率0.86，建筑密度17.13%，绿地率36.36%。建设内容包括新建干部周转房 1 栋（80套），配套附属设施建设及居住设备购置</w:t>
            </w:r>
          </w:p>
        </w:tc>
      </w:tr>
      <w:tr w14:paraId="2AF4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72" w:type="dxa"/>
            <w:vMerge w:val="continue"/>
            <w:noWrap w:val="0"/>
            <w:vAlign w:val="center"/>
          </w:tcPr>
          <w:p w14:paraId="7C1DBC4A">
            <w:pPr>
              <w:jc w:val="center"/>
              <w:rPr>
                <w:rFonts w:hint="default" w:ascii="Times New Roman" w:hAnsi="Times New Roman" w:eastAsia="仿宋_GB2312" w:cs="Times New Roman"/>
                <w:color w:val="auto"/>
                <w:sz w:val="21"/>
                <w:szCs w:val="21"/>
              </w:rPr>
            </w:pPr>
          </w:p>
        </w:tc>
        <w:tc>
          <w:tcPr>
            <w:tcW w:w="1691" w:type="dxa"/>
            <w:noWrap w:val="0"/>
            <w:vAlign w:val="center"/>
          </w:tcPr>
          <w:p w14:paraId="46AC17F8">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建设性质</w:t>
            </w:r>
          </w:p>
        </w:tc>
        <w:tc>
          <w:tcPr>
            <w:tcW w:w="3060" w:type="dxa"/>
            <w:gridSpan w:val="2"/>
            <w:noWrap w:val="0"/>
            <w:vAlign w:val="center"/>
          </w:tcPr>
          <w:p w14:paraId="62A2336C">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eastAsia="zh-CN"/>
              </w:rPr>
              <w:t>新建</w:t>
            </w:r>
            <w:r>
              <w:rPr>
                <w:rFonts w:hint="default" w:ascii="Times New Roman" w:hAnsi="Times New Roman" w:eastAsia="仿宋_GB2312" w:cs="Times New Roman"/>
                <w:color w:val="auto"/>
                <w:sz w:val="21"/>
                <w:szCs w:val="21"/>
                <w:lang w:val="en-US" w:eastAsia="zh-CN"/>
              </w:rPr>
              <w:t>建设类</w:t>
            </w:r>
          </w:p>
        </w:tc>
        <w:tc>
          <w:tcPr>
            <w:tcW w:w="1581" w:type="dxa"/>
            <w:noWrap w:val="0"/>
            <w:vAlign w:val="center"/>
          </w:tcPr>
          <w:p w14:paraId="12794A01">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总投资（万元）</w:t>
            </w:r>
          </w:p>
        </w:tc>
        <w:tc>
          <w:tcPr>
            <w:tcW w:w="2256" w:type="dxa"/>
            <w:noWrap w:val="0"/>
            <w:vAlign w:val="center"/>
          </w:tcPr>
          <w:p w14:paraId="5927F82A">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1012.00</w:t>
            </w:r>
          </w:p>
        </w:tc>
      </w:tr>
      <w:tr w14:paraId="52953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672" w:type="dxa"/>
            <w:vMerge w:val="continue"/>
            <w:noWrap w:val="0"/>
            <w:vAlign w:val="center"/>
          </w:tcPr>
          <w:p w14:paraId="29B83F13">
            <w:pPr>
              <w:jc w:val="center"/>
              <w:rPr>
                <w:rFonts w:hint="default" w:ascii="Times New Roman" w:hAnsi="Times New Roman" w:eastAsia="仿宋_GB2312" w:cs="Times New Roman"/>
                <w:color w:val="auto"/>
                <w:sz w:val="21"/>
                <w:szCs w:val="21"/>
              </w:rPr>
            </w:pPr>
          </w:p>
        </w:tc>
        <w:tc>
          <w:tcPr>
            <w:tcW w:w="1691" w:type="dxa"/>
            <w:vMerge w:val="restart"/>
            <w:noWrap w:val="0"/>
            <w:vAlign w:val="center"/>
          </w:tcPr>
          <w:p w14:paraId="64CB2A8C">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土建投资（万元）</w:t>
            </w:r>
          </w:p>
        </w:tc>
        <w:tc>
          <w:tcPr>
            <w:tcW w:w="3060" w:type="dxa"/>
            <w:gridSpan w:val="2"/>
            <w:vMerge w:val="restart"/>
            <w:noWrap w:val="0"/>
            <w:vAlign w:val="center"/>
          </w:tcPr>
          <w:p w14:paraId="0232188E">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798.32</w:t>
            </w:r>
          </w:p>
        </w:tc>
        <w:tc>
          <w:tcPr>
            <w:tcW w:w="1581" w:type="dxa"/>
            <w:vMerge w:val="restart"/>
            <w:noWrap w:val="0"/>
            <w:vAlign w:val="center"/>
          </w:tcPr>
          <w:p w14:paraId="3BF01720">
            <w:pPr>
              <w:spacing w:line="280" w:lineRule="exact"/>
              <w:jc w:val="center"/>
              <w:rPr>
                <w:rFonts w:hint="default" w:ascii="Times New Roman" w:hAnsi="Times New Roman" w:eastAsia="仿宋_GB2312" w:cs="Times New Roman"/>
                <w:color w:val="auto"/>
                <w:sz w:val="21"/>
                <w:szCs w:val="21"/>
                <w:lang w:eastAsia="zh-CN" w:bidi="ar"/>
              </w:rPr>
            </w:pPr>
            <w:r>
              <w:rPr>
                <w:rFonts w:hint="default" w:ascii="Times New Roman" w:hAnsi="Times New Roman" w:eastAsia="仿宋_GB2312" w:cs="Times New Roman"/>
                <w:color w:val="auto"/>
                <w:sz w:val="21"/>
                <w:szCs w:val="21"/>
                <w:lang w:eastAsia="zh-CN" w:bidi="ar"/>
              </w:rPr>
              <w:t>占地面积（</w:t>
            </w:r>
            <w:r>
              <w:rPr>
                <w:rFonts w:hint="default" w:ascii="Times New Roman" w:hAnsi="Times New Roman" w:eastAsia="仿宋_GB2312" w:cs="Times New Roman"/>
                <w:color w:val="auto"/>
                <w:sz w:val="21"/>
                <w:szCs w:val="21"/>
                <w:lang w:val="en-US" w:eastAsia="zh-CN" w:bidi="ar"/>
              </w:rPr>
              <w:t>hm</w:t>
            </w:r>
            <w:r>
              <w:rPr>
                <w:rFonts w:hint="default" w:ascii="Times New Roman" w:hAnsi="Times New Roman" w:eastAsia="仿宋_GB2312" w:cs="Times New Roman"/>
                <w:color w:val="auto"/>
                <w:sz w:val="21"/>
                <w:szCs w:val="21"/>
                <w:vertAlign w:val="superscript"/>
                <w:lang w:val="en-US" w:eastAsia="zh-CN" w:bidi="ar"/>
              </w:rPr>
              <w:t>2</w:t>
            </w:r>
            <w:r>
              <w:rPr>
                <w:rFonts w:hint="default" w:ascii="Times New Roman" w:hAnsi="Times New Roman" w:eastAsia="仿宋_GB2312" w:cs="Times New Roman"/>
                <w:color w:val="auto"/>
                <w:sz w:val="21"/>
                <w:szCs w:val="21"/>
                <w:lang w:eastAsia="zh-CN" w:bidi="ar"/>
              </w:rPr>
              <w:t>）</w:t>
            </w:r>
          </w:p>
        </w:tc>
        <w:tc>
          <w:tcPr>
            <w:tcW w:w="2256" w:type="dxa"/>
            <w:noWrap w:val="0"/>
            <w:vAlign w:val="center"/>
          </w:tcPr>
          <w:p w14:paraId="2880E754">
            <w:pPr>
              <w:spacing w:line="280" w:lineRule="exact"/>
              <w:jc w:val="center"/>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val="en-US" w:eastAsia="zh-CN" w:bidi="ar"/>
              </w:rPr>
              <w:t>永久：0.33</w:t>
            </w:r>
          </w:p>
        </w:tc>
      </w:tr>
      <w:tr w14:paraId="3423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672" w:type="dxa"/>
            <w:vMerge w:val="continue"/>
            <w:noWrap w:val="0"/>
            <w:vAlign w:val="center"/>
          </w:tcPr>
          <w:p w14:paraId="2CCB19D6">
            <w:pPr>
              <w:spacing w:line="280" w:lineRule="exact"/>
              <w:jc w:val="center"/>
              <w:rPr>
                <w:rFonts w:hint="default" w:ascii="Times New Roman" w:hAnsi="Times New Roman" w:eastAsia="仿宋_GB2312" w:cs="Times New Roman"/>
                <w:color w:val="auto"/>
                <w:sz w:val="21"/>
                <w:szCs w:val="21"/>
              </w:rPr>
            </w:pPr>
          </w:p>
        </w:tc>
        <w:tc>
          <w:tcPr>
            <w:tcW w:w="1691" w:type="dxa"/>
            <w:vMerge w:val="continue"/>
            <w:noWrap w:val="0"/>
            <w:vAlign w:val="center"/>
          </w:tcPr>
          <w:p w14:paraId="060447C4">
            <w:pPr>
              <w:spacing w:line="280" w:lineRule="exact"/>
              <w:jc w:val="center"/>
              <w:rPr>
                <w:rFonts w:hint="default" w:ascii="Times New Roman" w:hAnsi="Times New Roman" w:eastAsia="仿宋_GB2312" w:cs="Times New Roman"/>
                <w:color w:val="auto"/>
                <w:sz w:val="21"/>
                <w:szCs w:val="21"/>
              </w:rPr>
            </w:pPr>
          </w:p>
        </w:tc>
        <w:tc>
          <w:tcPr>
            <w:tcW w:w="3060" w:type="dxa"/>
            <w:gridSpan w:val="2"/>
            <w:vMerge w:val="continue"/>
            <w:noWrap w:val="0"/>
            <w:vAlign w:val="center"/>
          </w:tcPr>
          <w:p w14:paraId="33B45BD6">
            <w:pPr>
              <w:spacing w:line="280" w:lineRule="exact"/>
              <w:jc w:val="center"/>
              <w:rPr>
                <w:rFonts w:hint="default" w:ascii="Times New Roman" w:hAnsi="Times New Roman" w:eastAsia="仿宋_GB2312" w:cs="Times New Roman"/>
                <w:color w:val="auto"/>
                <w:sz w:val="21"/>
                <w:szCs w:val="21"/>
              </w:rPr>
            </w:pPr>
          </w:p>
        </w:tc>
        <w:tc>
          <w:tcPr>
            <w:tcW w:w="1581" w:type="dxa"/>
            <w:vMerge w:val="continue"/>
            <w:noWrap w:val="0"/>
            <w:vAlign w:val="center"/>
          </w:tcPr>
          <w:p w14:paraId="73BDA422">
            <w:pPr>
              <w:spacing w:line="280" w:lineRule="exact"/>
              <w:jc w:val="center"/>
              <w:rPr>
                <w:rFonts w:hint="default" w:ascii="Times New Roman" w:hAnsi="Times New Roman" w:eastAsia="仿宋_GB2312" w:cs="Times New Roman"/>
                <w:color w:val="auto"/>
                <w:sz w:val="21"/>
                <w:szCs w:val="21"/>
              </w:rPr>
            </w:pPr>
          </w:p>
        </w:tc>
        <w:tc>
          <w:tcPr>
            <w:tcW w:w="2256" w:type="dxa"/>
            <w:noWrap w:val="0"/>
            <w:vAlign w:val="center"/>
          </w:tcPr>
          <w:p w14:paraId="72A1E18D">
            <w:pPr>
              <w:spacing w:line="280" w:lineRule="exact"/>
              <w:jc w:val="center"/>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eastAsia="zh-CN" w:bidi="ar"/>
              </w:rPr>
              <w:t>临时：</w:t>
            </w:r>
            <w:r>
              <w:rPr>
                <w:rFonts w:hint="default" w:ascii="Times New Roman" w:hAnsi="Times New Roman" w:eastAsia="仿宋_GB2312" w:cs="Times New Roman"/>
                <w:color w:val="auto"/>
                <w:sz w:val="21"/>
                <w:szCs w:val="21"/>
                <w:lang w:val="en-US" w:eastAsia="zh-CN" w:bidi="ar"/>
              </w:rPr>
              <w:t>/</w:t>
            </w:r>
          </w:p>
        </w:tc>
      </w:tr>
      <w:tr w14:paraId="36F6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72" w:type="dxa"/>
            <w:vMerge w:val="continue"/>
            <w:noWrap w:val="0"/>
            <w:vAlign w:val="center"/>
          </w:tcPr>
          <w:p w14:paraId="21DC2E5C">
            <w:pPr>
              <w:spacing w:line="280" w:lineRule="exact"/>
              <w:jc w:val="center"/>
              <w:rPr>
                <w:rFonts w:hint="default" w:ascii="Times New Roman" w:hAnsi="Times New Roman" w:eastAsia="仿宋_GB2312" w:cs="Times New Roman"/>
                <w:color w:val="auto"/>
                <w:sz w:val="21"/>
                <w:szCs w:val="21"/>
              </w:rPr>
            </w:pPr>
          </w:p>
        </w:tc>
        <w:tc>
          <w:tcPr>
            <w:tcW w:w="1691" w:type="dxa"/>
            <w:noWrap w:val="0"/>
            <w:vAlign w:val="center"/>
          </w:tcPr>
          <w:p w14:paraId="707C39F2">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动工时间</w:t>
            </w:r>
          </w:p>
        </w:tc>
        <w:tc>
          <w:tcPr>
            <w:tcW w:w="3060" w:type="dxa"/>
            <w:gridSpan w:val="2"/>
            <w:noWrap w:val="0"/>
            <w:vAlign w:val="center"/>
          </w:tcPr>
          <w:p w14:paraId="53FBD704">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2022年7月</w:t>
            </w:r>
          </w:p>
        </w:tc>
        <w:tc>
          <w:tcPr>
            <w:tcW w:w="1581" w:type="dxa"/>
            <w:noWrap w:val="0"/>
            <w:vAlign w:val="center"/>
          </w:tcPr>
          <w:p w14:paraId="5E4D32CE">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完工时间</w:t>
            </w:r>
          </w:p>
        </w:tc>
        <w:tc>
          <w:tcPr>
            <w:tcW w:w="2256" w:type="dxa"/>
            <w:noWrap w:val="0"/>
            <w:vAlign w:val="center"/>
          </w:tcPr>
          <w:p w14:paraId="1077130D">
            <w:pPr>
              <w:spacing w:line="280" w:lineRule="exact"/>
              <w:jc w:val="center"/>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val="en-US" w:eastAsia="zh-CN" w:bidi="ar"/>
              </w:rPr>
              <w:t>2023年8月</w:t>
            </w:r>
          </w:p>
        </w:tc>
      </w:tr>
      <w:tr w14:paraId="6D4C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72" w:type="dxa"/>
            <w:vMerge w:val="continue"/>
            <w:noWrap w:val="0"/>
            <w:vAlign w:val="center"/>
          </w:tcPr>
          <w:p w14:paraId="42EDDD3C">
            <w:pPr>
              <w:spacing w:line="280" w:lineRule="exact"/>
              <w:jc w:val="center"/>
              <w:rPr>
                <w:rFonts w:hint="default" w:ascii="Times New Roman" w:hAnsi="Times New Roman" w:eastAsia="仿宋_GB2312" w:cs="Times New Roman"/>
                <w:color w:val="auto"/>
                <w:sz w:val="21"/>
                <w:szCs w:val="21"/>
              </w:rPr>
            </w:pPr>
          </w:p>
        </w:tc>
        <w:tc>
          <w:tcPr>
            <w:tcW w:w="1691" w:type="dxa"/>
            <w:vMerge w:val="restart"/>
            <w:noWrap w:val="0"/>
            <w:vAlign w:val="center"/>
          </w:tcPr>
          <w:p w14:paraId="7681B90B">
            <w:pPr>
              <w:autoSpaceDN w:val="0"/>
              <w:spacing w:line="240" w:lineRule="auto"/>
              <w:ind w:firstLine="0" w:firstLineChars="0"/>
              <w:jc w:val="center"/>
              <w:textAlignment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土石方量</w:t>
            </w:r>
          </w:p>
          <w:p w14:paraId="4A9D5EF0">
            <w:pPr>
              <w:autoSpaceDN w:val="0"/>
              <w:spacing w:line="240" w:lineRule="auto"/>
              <w:ind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0"/>
                <w:sz w:val="21"/>
                <w:szCs w:val="21"/>
              </w:rPr>
              <w:t>（万m</w:t>
            </w:r>
            <w:r>
              <w:rPr>
                <w:rFonts w:hint="default" w:ascii="Times New Roman" w:hAnsi="Times New Roman" w:eastAsia="仿宋_GB2312" w:cs="Times New Roman"/>
                <w:color w:val="auto"/>
                <w:kern w:val="0"/>
                <w:sz w:val="21"/>
                <w:szCs w:val="21"/>
                <w:vertAlign w:val="superscript"/>
              </w:rPr>
              <w:t>3</w:t>
            </w:r>
            <w:r>
              <w:rPr>
                <w:rFonts w:hint="default" w:ascii="Times New Roman" w:hAnsi="Times New Roman" w:eastAsia="仿宋_GB2312" w:cs="Times New Roman"/>
                <w:color w:val="auto"/>
                <w:kern w:val="0"/>
                <w:sz w:val="21"/>
                <w:szCs w:val="21"/>
              </w:rPr>
              <w:t>）</w:t>
            </w:r>
          </w:p>
        </w:tc>
        <w:tc>
          <w:tcPr>
            <w:tcW w:w="1593" w:type="dxa"/>
            <w:noWrap w:val="0"/>
            <w:vAlign w:val="center"/>
          </w:tcPr>
          <w:p w14:paraId="36533AAF">
            <w:pPr>
              <w:autoSpaceDN w:val="0"/>
              <w:spacing w:line="240" w:lineRule="auto"/>
              <w:ind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0"/>
                <w:sz w:val="21"/>
                <w:szCs w:val="21"/>
              </w:rPr>
              <w:t>挖方</w:t>
            </w:r>
          </w:p>
        </w:tc>
        <w:tc>
          <w:tcPr>
            <w:tcW w:w="1467" w:type="dxa"/>
            <w:noWrap w:val="0"/>
            <w:vAlign w:val="center"/>
          </w:tcPr>
          <w:p w14:paraId="4118B84D">
            <w:pPr>
              <w:autoSpaceDN w:val="0"/>
              <w:spacing w:line="240" w:lineRule="auto"/>
              <w:ind w:firstLine="0" w:firstLineChars="0"/>
              <w:jc w:val="center"/>
              <w:textAlignment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填方</w:t>
            </w:r>
          </w:p>
        </w:tc>
        <w:tc>
          <w:tcPr>
            <w:tcW w:w="1581" w:type="dxa"/>
            <w:noWrap w:val="0"/>
            <w:vAlign w:val="center"/>
          </w:tcPr>
          <w:p w14:paraId="469BBE51">
            <w:pPr>
              <w:autoSpaceDN w:val="0"/>
              <w:spacing w:line="240" w:lineRule="auto"/>
              <w:ind w:firstLine="0" w:firstLineChars="0"/>
              <w:jc w:val="center"/>
              <w:textAlignment w:val="center"/>
              <w:rPr>
                <w:rFonts w:hint="default" w:ascii="Times New Roman" w:hAnsi="Times New Roman" w:eastAsia="仿宋_GB2312" w:cs="Times New Roman"/>
                <w:color w:val="auto"/>
                <w:kern w:val="2"/>
                <w:sz w:val="21"/>
                <w:szCs w:val="21"/>
                <w:lang w:val="en-US" w:eastAsia="zh-CN" w:bidi="ar"/>
              </w:rPr>
            </w:pPr>
            <w:r>
              <w:rPr>
                <w:rFonts w:hint="default" w:ascii="Times New Roman" w:hAnsi="Times New Roman" w:eastAsia="仿宋_GB2312" w:cs="Times New Roman"/>
                <w:color w:val="auto"/>
                <w:kern w:val="0"/>
                <w:sz w:val="21"/>
                <w:szCs w:val="21"/>
              </w:rPr>
              <w:t>借</w:t>
            </w:r>
            <w:r>
              <w:rPr>
                <w:rFonts w:hint="default" w:ascii="Times New Roman" w:hAnsi="Times New Roman" w:eastAsia="仿宋_GB2312" w:cs="Times New Roman"/>
                <w:color w:val="auto"/>
                <w:kern w:val="0"/>
                <w:sz w:val="21"/>
                <w:szCs w:val="21"/>
                <w:lang w:eastAsia="zh-CN"/>
              </w:rPr>
              <w:t>方</w:t>
            </w:r>
          </w:p>
        </w:tc>
        <w:tc>
          <w:tcPr>
            <w:tcW w:w="2256" w:type="dxa"/>
            <w:noWrap w:val="0"/>
            <w:vAlign w:val="center"/>
          </w:tcPr>
          <w:p w14:paraId="08148C4C">
            <w:pPr>
              <w:autoSpaceDN w:val="0"/>
              <w:spacing w:line="240" w:lineRule="auto"/>
              <w:ind w:firstLine="0" w:firstLineChars="0"/>
              <w:jc w:val="center"/>
              <w:textAlignment w:val="center"/>
              <w:rPr>
                <w:rFonts w:hint="default" w:ascii="Times New Roman" w:hAnsi="Times New Roman" w:eastAsia="仿宋_GB2312" w:cs="Times New Roman"/>
                <w:color w:val="auto"/>
                <w:sz w:val="21"/>
                <w:szCs w:val="21"/>
                <w:lang w:eastAsia="zh-CN" w:bidi="ar"/>
              </w:rPr>
            </w:pPr>
            <w:r>
              <w:rPr>
                <w:rFonts w:hint="default" w:ascii="Times New Roman" w:hAnsi="Times New Roman" w:eastAsia="仿宋_GB2312" w:cs="Times New Roman"/>
                <w:color w:val="auto"/>
                <w:sz w:val="21"/>
                <w:szCs w:val="21"/>
                <w:lang w:eastAsia="zh-CN" w:bidi="ar"/>
              </w:rPr>
              <w:t>余方</w:t>
            </w:r>
          </w:p>
        </w:tc>
      </w:tr>
      <w:tr w14:paraId="41688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72" w:type="dxa"/>
            <w:vMerge w:val="continue"/>
            <w:noWrap w:val="0"/>
            <w:vAlign w:val="center"/>
          </w:tcPr>
          <w:p w14:paraId="45CCDDE9">
            <w:pPr>
              <w:spacing w:line="280" w:lineRule="exact"/>
              <w:jc w:val="center"/>
              <w:rPr>
                <w:rFonts w:hint="default" w:ascii="Times New Roman" w:hAnsi="Times New Roman" w:eastAsia="仿宋_GB2312" w:cs="Times New Roman"/>
                <w:color w:val="auto"/>
                <w:sz w:val="21"/>
                <w:szCs w:val="21"/>
              </w:rPr>
            </w:pPr>
          </w:p>
        </w:tc>
        <w:tc>
          <w:tcPr>
            <w:tcW w:w="1691" w:type="dxa"/>
            <w:vMerge w:val="continue"/>
            <w:noWrap w:val="0"/>
            <w:vAlign w:val="center"/>
          </w:tcPr>
          <w:p w14:paraId="796AAED4">
            <w:pPr>
              <w:autoSpaceDN w:val="0"/>
              <w:spacing w:line="240" w:lineRule="auto"/>
              <w:ind w:firstLine="0" w:firstLineChars="0"/>
              <w:jc w:val="center"/>
              <w:textAlignment w:val="center"/>
              <w:rPr>
                <w:rFonts w:hint="default" w:ascii="Times New Roman" w:hAnsi="Times New Roman" w:eastAsia="仿宋_GB2312" w:cs="Times New Roman"/>
                <w:color w:val="auto"/>
                <w:kern w:val="0"/>
                <w:sz w:val="21"/>
                <w:szCs w:val="21"/>
              </w:rPr>
            </w:pPr>
          </w:p>
        </w:tc>
        <w:tc>
          <w:tcPr>
            <w:tcW w:w="1593" w:type="dxa"/>
            <w:noWrap w:val="0"/>
            <w:vAlign w:val="center"/>
          </w:tcPr>
          <w:p w14:paraId="099CC28F">
            <w:pPr>
              <w:autoSpaceDN w:val="0"/>
              <w:spacing w:line="240" w:lineRule="auto"/>
              <w:ind w:firstLine="0" w:firstLineChars="0"/>
              <w:jc w:val="center"/>
              <w:textAlignment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0.36</w:t>
            </w:r>
          </w:p>
        </w:tc>
        <w:tc>
          <w:tcPr>
            <w:tcW w:w="1467" w:type="dxa"/>
            <w:noWrap w:val="0"/>
            <w:vAlign w:val="center"/>
          </w:tcPr>
          <w:p w14:paraId="12BF5A37">
            <w:pPr>
              <w:autoSpaceDN w:val="0"/>
              <w:spacing w:line="240" w:lineRule="auto"/>
              <w:ind w:firstLine="0" w:firstLineChars="0"/>
              <w:jc w:val="center"/>
              <w:textAlignment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0.36</w:t>
            </w:r>
          </w:p>
        </w:tc>
        <w:tc>
          <w:tcPr>
            <w:tcW w:w="1581" w:type="dxa"/>
            <w:noWrap w:val="0"/>
            <w:vAlign w:val="center"/>
          </w:tcPr>
          <w:p w14:paraId="1C571BD8">
            <w:pPr>
              <w:autoSpaceDN w:val="0"/>
              <w:spacing w:line="240" w:lineRule="auto"/>
              <w:ind w:firstLine="0" w:firstLineChars="0"/>
              <w:jc w:val="center"/>
              <w:textAlignment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w:t>
            </w:r>
          </w:p>
        </w:tc>
        <w:tc>
          <w:tcPr>
            <w:tcW w:w="2256" w:type="dxa"/>
            <w:noWrap w:val="0"/>
            <w:vAlign w:val="center"/>
          </w:tcPr>
          <w:p w14:paraId="4A2EDED5">
            <w:pPr>
              <w:autoSpaceDN w:val="0"/>
              <w:spacing w:line="240" w:lineRule="auto"/>
              <w:ind w:firstLine="0" w:firstLineChars="0"/>
              <w:jc w:val="center"/>
              <w:textAlignment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w:t>
            </w:r>
          </w:p>
        </w:tc>
      </w:tr>
      <w:tr w14:paraId="4E39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72" w:type="dxa"/>
            <w:vMerge w:val="continue"/>
            <w:noWrap w:val="0"/>
            <w:vAlign w:val="center"/>
          </w:tcPr>
          <w:p w14:paraId="5DFF5063">
            <w:pPr>
              <w:jc w:val="center"/>
              <w:rPr>
                <w:rFonts w:hint="default" w:ascii="Times New Roman" w:hAnsi="Times New Roman" w:eastAsia="仿宋_GB2312" w:cs="Times New Roman"/>
                <w:color w:val="auto"/>
                <w:sz w:val="21"/>
                <w:szCs w:val="21"/>
              </w:rPr>
            </w:pPr>
          </w:p>
        </w:tc>
        <w:tc>
          <w:tcPr>
            <w:tcW w:w="1691" w:type="dxa"/>
            <w:noWrap w:val="0"/>
            <w:vAlign w:val="center"/>
          </w:tcPr>
          <w:p w14:paraId="2EA8507E">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取土（石、砂）场</w:t>
            </w:r>
          </w:p>
        </w:tc>
        <w:tc>
          <w:tcPr>
            <w:tcW w:w="6897" w:type="dxa"/>
            <w:gridSpan w:val="4"/>
            <w:noWrap w:val="0"/>
            <w:vAlign w:val="center"/>
          </w:tcPr>
          <w:p w14:paraId="31449923">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bidi="ar"/>
              </w:rPr>
              <w:t>不设取土场</w:t>
            </w:r>
          </w:p>
        </w:tc>
      </w:tr>
      <w:tr w14:paraId="1733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72" w:type="dxa"/>
            <w:vMerge w:val="continue"/>
            <w:noWrap w:val="0"/>
            <w:vAlign w:val="center"/>
          </w:tcPr>
          <w:p w14:paraId="23DBB942">
            <w:pPr>
              <w:jc w:val="center"/>
              <w:rPr>
                <w:rFonts w:hint="default" w:ascii="Times New Roman" w:hAnsi="Times New Roman" w:eastAsia="仿宋_GB2312" w:cs="Times New Roman"/>
                <w:color w:val="auto"/>
                <w:sz w:val="21"/>
                <w:szCs w:val="21"/>
              </w:rPr>
            </w:pPr>
          </w:p>
        </w:tc>
        <w:tc>
          <w:tcPr>
            <w:tcW w:w="1691" w:type="dxa"/>
            <w:noWrap w:val="0"/>
            <w:vAlign w:val="center"/>
          </w:tcPr>
          <w:p w14:paraId="5C4A0E63">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弃土（石、渣）场</w:t>
            </w:r>
          </w:p>
        </w:tc>
        <w:tc>
          <w:tcPr>
            <w:tcW w:w="6897" w:type="dxa"/>
            <w:gridSpan w:val="4"/>
            <w:noWrap w:val="0"/>
            <w:vAlign w:val="center"/>
          </w:tcPr>
          <w:p w14:paraId="7A4F72AD">
            <w:pPr>
              <w:spacing w:line="280" w:lineRule="exac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lang w:eastAsia="zh-CN" w:bidi="ar"/>
              </w:rPr>
              <w:t>不设</w:t>
            </w:r>
            <w:r>
              <w:rPr>
                <w:rFonts w:hint="default" w:ascii="Times New Roman" w:hAnsi="Times New Roman" w:eastAsia="仿宋_GB2312" w:cs="Times New Roman"/>
                <w:color w:val="auto"/>
                <w:sz w:val="21"/>
                <w:szCs w:val="21"/>
                <w:lang w:val="en-US" w:eastAsia="zh-CN" w:bidi="ar"/>
              </w:rPr>
              <w:t>弃渣</w:t>
            </w:r>
            <w:r>
              <w:rPr>
                <w:rFonts w:hint="default" w:ascii="Times New Roman" w:hAnsi="Times New Roman" w:eastAsia="仿宋_GB2312" w:cs="Times New Roman"/>
                <w:color w:val="auto"/>
                <w:sz w:val="21"/>
                <w:szCs w:val="21"/>
                <w:lang w:eastAsia="zh-CN" w:bidi="ar"/>
              </w:rPr>
              <w:t>场</w:t>
            </w:r>
          </w:p>
        </w:tc>
      </w:tr>
      <w:tr w14:paraId="0F75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restart"/>
            <w:noWrap w:val="0"/>
            <w:vAlign w:val="center"/>
          </w:tcPr>
          <w:p w14:paraId="7E66B888">
            <w:pPr>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项目区概况</w:t>
            </w:r>
          </w:p>
        </w:tc>
        <w:tc>
          <w:tcPr>
            <w:tcW w:w="1691" w:type="dxa"/>
            <w:noWrap w:val="0"/>
            <w:vAlign w:val="center"/>
          </w:tcPr>
          <w:p w14:paraId="3E6AC119">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涉及重点防治区情况</w:t>
            </w:r>
          </w:p>
        </w:tc>
        <w:tc>
          <w:tcPr>
            <w:tcW w:w="3060" w:type="dxa"/>
            <w:gridSpan w:val="2"/>
            <w:noWrap w:val="0"/>
            <w:vAlign w:val="center"/>
          </w:tcPr>
          <w:p w14:paraId="6847BF03">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嘉陵江及沱江中下游国家级水土流失重点治理区</w:t>
            </w:r>
          </w:p>
        </w:tc>
        <w:tc>
          <w:tcPr>
            <w:tcW w:w="1581" w:type="dxa"/>
            <w:noWrap w:val="0"/>
            <w:vAlign w:val="center"/>
          </w:tcPr>
          <w:p w14:paraId="7BDF6160">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地貌类型</w:t>
            </w:r>
          </w:p>
        </w:tc>
        <w:tc>
          <w:tcPr>
            <w:tcW w:w="2256" w:type="dxa"/>
            <w:noWrap w:val="0"/>
            <w:vAlign w:val="center"/>
          </w:tcPr>
          <w:p w14:paraId="64EF22A2">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val="en-US" w:eastAsia="zh-CN"/>
              </w:rPr>
              <w:t>丘陵</w:t>
            </w:r>
          </w:p>
        </w:tc>
      </w:tr>
      <w:tr w14:paraId="52B77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72" w:type="dxa"/>
            <w:vMerge w:val="continue"/>
            <w:noWrap w:val="0"/>
            <w:vAlign w:val="center"/>
          </w:tcPr>
          <w:p w14:paraId="0279DAA4">
            <w:pPr>
              <w:jc w:val="center"/>
              <w:rPr>
                <w:rFonts w:hint="default" w:ascii="Times New Roman" w:hAnsi="Times New Roman" w:eastAsia="仿宋_GB2312" w:cs="Times New Roman"/>
                <w:color w:val="auto"/>
                <w:sz w:val="21"/>
                <w:szCs w:val="21"/>
              </w:rPr>
            </w:pPr>
          </w:p>
        </w:tc>
        <w:tc>
          <w:tcPr>
            <w:tcW w:w="1691" w:type="dxa"/>
            <w:noWrap w:val="0"/>
            <w:vAlign w:val="center"/>
          </w:tcPr>
          <w:p w14:paraId="5A4DE710">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eastAsia="zh-CN"/>
              </w:rPr>
              <w:t>原地貌土壤侵蚀模数[</w:t>
            </w:r>
            <w:r>
              <w:rPr>
                <w:rFonts w:hint="default" w:ascii="Times New Roman" w:hAnsi="Times New Roman" w:eastAsia="仿宋_GB2312" w:cs="Times New Roman"/>
                <w:color w:val="auto"/>
                <w:kern w:val="0"/>
                <w:sz w:val="21"/>
                <w:szCs w:val="21"/>
              </w:rPr>
              <w:t>t/(km</w:t>
            </w:r>
            <w:r>
              <w:rPr>
                <w:rFonts w:hint="default" w:ascii="Times New Roman" w:hAnsi="Times New Roman" w:eastAsia="仿宋_GB2312" w:cs="Times New Roman"/>
                <w:color w:val="auto"/>
                <w:kern w:val="0"/>
                <w:sz w:val="21"/>
                <w:szCs w:val="21"/>
                <w:vertAlign w:val="superscript"/>
              </w:rPr>
              <w:t>2</w:t>
            </w:r>
            <w:r>
              <w:rPr>
                <w:rFonts w:hint="default" w:ascii="Times New Roman" w:hAnsi="Times New Roman" w:eastAsia="仿宋_GB2312" w:cs="Times New Roman"/>
                <w:color w:val="auto"/>
                <w:kern w:val="0"/>
                <w:sz w:val="21"/>
                <w:szCs w:val="21"/>
              </w:rPr>
              <w:t>.a)]</w:t>
            </w:r>
          </w:p>
        </w:tc>
        <w:tc>
          <w:tcPr>
            <w:tcW w:w="3060" w:type="dxa"/>
            <w:gridSpan w:val="2"/>
            <w:noWrap w:val="0"/>
            <w:vAlign w:val="center"/>
          </w:tcPr>
          <w:p w14:paraId="6F6B1B93">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850</w:t>
            </w:r>
          </w:p>
        </w:tc>
        <w:tc>
          <w:tcPr>
            <w:tcW w:w="1581" w:type="dxa"/>
            <w:noWrap w:val="0"/>
            <w:vAlign w:val="center"/>
          </w:tcPr>
          <w:p w14:paraId="3232423A">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容许土壤流失量[</w:t>
            </w:r>
            <w:r>
              <w:rPr>
                <w:rFonts w:hint="default" w:ascii="Times New Roman" w:hAnsi="Times New Roman" w:eastAsia="仿宋_GB2312" w:cs="Times New Roman"/>
                <w:color w:val="auto"/>
                <w:kern w:val="0"/>
                <w:sz w:val="21"/>
                <w:szCs w:val="21"/>
              </w:rPr>
              <w:t>t/(km</w:t>
            </w:r>
            <w:r>
              <w:rPr>
                <w:rFonts w:hint="default" w:ascii="Times New Roman" w:hAnsi="Times New Roman" w:eastAsia="仿宋_GB2312" w:cs="Times New Roman"/>
                <w:color w:val="auto"/>
                <w:kern w:val="0"/>
                <w:sz w:val="21"/>
                <w:szCs w:val="21"/>
                <w:vertAlign w:val="superscript"/>
              </w:rPr>
              <w:t>2</w:t>
            </w:r>
            <w:r>
              <w:rPr>
                <w:rFonts w:hint="default" w:ascii="Times New Roman" w:hAnsi="Times New Roman" w:eastAsia="仿宋_GB2312" w:cs="Times New Roman"/>
                <w:color w:val="auto"/>
                <w:kern w:val="0"/>
                <w:sz w:val="21"/>
                <w:szCs w:val="21"/>
              </w:rPr>
              <w:t>.a)]</w:t>
            </w:r>
          </w:p>
        </w:tc>
        <w:tc>
          <w:tcPr>
            <w:tcW w:w="2256" w:type="dxa"/>
            <w:noWrap w:val="0"/>
            <w:vAlign w:val="center"/>
          </w:tcPr>
          <w:p w14:paraId="3DF103C9">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500</w:t>
            </w:r>
          </w:p>
        </w:tc>
      </w:tr>
      <w:tr w14:paraId="60869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63" w:type="dxa"/>
            <w:gridSpan w:val="2"/>
            <w:noWrap w:val="0"/>
            <w:vAlign w:val="center"/>
          </w:tcPr>
          <w:p w14:paraId="10C0A720">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项目选址（线）水土保持评价</w:t>
            </w:r>
          </w:p>
        </w:tc>
        <w:tc>
          <w:tcPr>
            <w:tcW w:w="6897" w:type="dxa"/>
            <w:gridSpan w:val="4"/>
            <w:noWrap w:val="0"/>
            <w:vAlign w:val="center"/>
          </w:tcPr>
          <w:p w14:paraId="746F6912">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bCs/>
                <w:color w:val="auto"/>
                <w:kern w:val="0"/>
                <w:sz w:val="21"/>
                <w:szCs w:val="21"/>
                <w:lang w:val="en-US" w:eastAsia="zh-CN"/>
              </w:rPr>
              <w:t>位于</w:t>
            </w:r>
            <w:r>
              <w:rPr>
                <w:rFonts w:hint="default" w:ascii="Times New Roman" w:hAnsi="Times New Roman" w:eastAsia="仿宋_GB2312" w:cs="Times New Roman"/>
                <w:bCs/>
                <w:color w:val="auto"/>
                <w:kern w:val="0"/>
                <w:sz w:val="21"/>
                <w:szCs w:val="21"/>
                <w:lang w:eastAsia="zh-CN"/>
              </w:rPr>
              <w:t>嘉陵江及沱江中下游国家级水土流失重点治理区，</w:t>
            </w:r>
            <w:r>
              <w:rPr>
                <w:rFonts w:hint="default" w:ascii="Times New Roman" w:hAnsi="Times New Roman" w:eastAsia="仿宋_GB2312" w:cs="Times New Roman"/>
                <w:bCs/>
                <w:color w:val="auto"/>
                <w:kern w:val="0"/>
                <w:sz w:val="21"/>
                <w:szCs w:val="21"/>
                <w:lang w:val="en-US" w:eastAsia="zh-CN"/>
              </w:rPr>
              <w:t>提高标准等级</w:t>
            </w:r>
          </w:p>
        </w:tc>
      </w:tr>
      <w:tr w14:paraId="2ED1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3" w:type="dxa"/>
            <w:gridSpan w:val="2"/>
            <w:noWrap w:val="0"/>
            <w:vAlign w:val="center"/>
          </w:tcPr>
          <w:p w14:paraId="0CE7B11D">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预测水土流失总量</w:t>
            </w:r>
          </w:p>
        </w:tc>
        <w:tc>
          <w:tcPr>
            <w:tcW w:w="6897" w:type="dxa"/>
            <w:gridSpan w:val="4"/>
            <w:noWrap w:val="0"/>
            <w:vAlign w:val="center"/>
          </w:tcPr>
          <w:p w14:paraId="316A0006">
            <w:pPr>
              <w:spacing w:line="280" w:lineRule="exac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项目建设造成水土流失</w:t>
            </w:r>
            <w:r>
              <w:rPr>
                <w:rFonts w:hint="default" w:ascii="Times New Roman" w:hAnsi="Times New Roman" w:eastAsia="仿宋_GB2312" w:cs="Times New Roman"/>
                <w:color w:val="auto"/>
                <w:sz w:val="21"/>
                <w:szCs w:val="21"/>
                <w:lang w:val="en-US" w:eastAsia="zh-CN"/>
              </w:rPr>
              <w:t>14.52</w:t>
            </w:r>
            <w:r>
              <w:rPr>
                <w:rFonts w:hint="default" w:ascii="Times New Roman" w:hAnsi="Times New Roman" w:eastAsia="仿宋_GB2312" w:cs="Times New Roman"/>
                <w:color w:val="auto"/>
                <w:sz w:val="21"/>
                <w:szCs w:val="21"/>
                <w:lang w:eastAsia="zh-CN"/>
              </w:rPr>
              <w:t>t</w:t>
            </w:r>
          </w:p>
        </w:tc>
      </w:tr>
      <w:tr w14:paraId="32F8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63" w:type="dxa"/>
            <w:gridSpan w:val="2"/>
            <w:noWrap w:val="0"/>
            <w:vAlign w:val="center"/>
          </w:tcPr>
          <w:p w14:paraId="3CCB3522">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防治责任范围（</w:t>
            </w:r>
            <w:r>
              <w:rPr>
                <w:rFonts w:hint="default" w:ascii="Times New Roman" w:hAnsi="Times New Roman" w:eastAsia="仿宋_GB2312" w:cs="Times New Roman"/>
                <w:color w:val="auto"/>
                <w:sz w:val="21"/>
                <w:szCs w:val="21"/>
                <w:lang w:val="en-US" w:eastAsia="zh-CN" w:bidi="ar"/>
              </w:rPr>
              <w:t>hm</w:t>
            </w:r>
            <w:r>
              <w:rPr>
                <w:rFonts w:hint="default" w:ascii="Times New Roman" w:hAnsi="Times New Roman" w:eastAsia="仿宋_GB2312" w:cs="Times New Roman"/>
                <w:color w:val="auto"/>
                <w:sz w:val="21"/>
                <w:szCs w:val="21"/>
                <w:vertAlign w:val="superscript"/>
                <w:lang w:val="en-US" w:eastAsia="zh-CN" w:bidi="ar"/>
              </w:rPr>
              <w:t>2</w:t>
            </w:r>
            <w:r>
              <w:rPr>
                <w:rFonts w:hint="default" w:ascii="Times New Roman" w:hAnsi="Times New Roman" w:eastAsia="仿宋_GB2312" w:cs="Times New Roman"/>
                <w:color w:val="auto"/>
                <w:sz w:val="21"/>
                <w:szCs w:val="21"/>
                <w:lang w:eastAsia="zh-CN"/>
              </w:rPr>
              <w:t>）</w:t>
            </w:r>
          </w:p>
        </w:tc>
        <w:tc>
          <w:tcPr>
            <w:tcW w:w="6897" w:type="dxa"/>
            <w:gridSpan w:val="4"/>
            <w:noWrap w:val="0"/>
            <w:vAlign w:val="center"/>
          </w:tcPr>
          <w:p w14:paraId="72B7B1FC">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0.33</w:t>
            </w:r>
          </w:p>
        </w:tc>
      </w:tr>
      <w:tr w14:paraId="744F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72" w:type="dxa"/>
            <w:vMerge w:val="restart"/>
            <w:noWrap w:val="0"/>
            <w:vAlign w:val="center"/>
          </w:tcPr>
          <w:p w14:paraId="2CB1D36F">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防治标准等级及目标</w:t>
            </w:r>
          </w:p>
        </w:tc>
        <w:tc>
          <w:tcPr>
            <w:tcW w:w="1691" w:type="dxa"/>
            <w:noWrap w:val="0"/>
            <w:vAlign w:val="center"/>
          </w:tcPr>
          <w:p w14:paraId="27CAC5F5">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防治标准等级</w:t>
            </w:r>
          </w:p>
        </w:tc>
        <w:tc>
          <w:tcPr>
            <w:tcW w:w="6897" w:type="dxa"/>
            <w:gridSpan w:val="4"/>
            <w:noWrap w:val="0"/>
            <w:vAlign w:val="center"/>
          </w:tcPr>
          <w:p w14:paraId="5E2E57FF">
            <w:pPr>
              <w:spacing w:line="280" w:lineRule="exac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西南紫色土区一级防治标准</w:t>
            </w:r>
          </w:p>
        </w:tc>
      </w:tr>
      <w:tr w14:paraId="198B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72" w:type="dxa"/>
            <w:vMerge w:val="continue"/>
            <w:noWrap w:val="0"/>
            <w:vAlign w:val="center"/>
          </w:tcPr>
          <w:p w14:paraId="295EFDF7">
            <w:pPr>
              <w:spacing w:line="280" w:lineRule="exact"/>
              <w:jc w:val="center"/>
              <w:rPr>
                <w:rFonts w:hint="default" w:ascii="Times New Roman" w:hAnsi="Times New Roman" w:eastAsia="仿宋_GB2312" w:cs="Times New Roman"/>
                <w:color w:val="auto"/>
                <w:sz w:val="21"/>
                <w:szCs w:val="21"/>
                <w:lang w:eastAsia="zh-CN"/>
              </w:rPr>
            </w:pPr>
          </w:p>
        </w:tc>
        <w:tc>
          <w:tcPr>
            <w:tcW w:w="1691" w:type="dxa"/>
            <w:noWrap w:val="0"/>
            <w:vAlign w:val="center"/>
          </w:tcPr>
          <w:p w14:paraId="298DBB0C">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水土流失治理度（%）</w:t>
            </w:r>
          </w:p>
        </w:tc>
        <w:tc>
          <w:tcPr>
            <w:tcW w:w="3060" w:type="dxa"/>
            <w:gridSpan w:val="2"/>
            <w:noWrap w:val="0"/>
            <w:vAlign w:val="center"/>
          </w:tcPr>
          <w:p w14:paraId="436D7748">
            <w:pPr>
              <w:autoSpaceDN w:val="0"/>
              <w:spacing w:line="240" w:lineRule="auto"/>
              <w:ind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0"/>
                <w:sz w:val="21"/>
                <w:szCs w:val="21"/>
              </w:rPr>
              <w:t>97</w:t>
            </w:r>
          </w:p>
        </w:tc>
        <w:tc>
          <w:tcPr>
            <w:tcW w:w="1581" w:type="dxa"/>
            <w:noWrap w:val="0"/>
            <w:vAlign w:val="center"/>
          </w:tcPr>
          <w:p w14:paraId="49B89359">
            <w:pPr>
              <w:autoSpaceDN w:val="0"/>
              <w:spacing w:line="240" w:lineRule="auto"/>
              <w:ind w:firstLine="0" w:firstLineChars="0"/>
              <w:jc w:val="center"/>
              <w:textAlignment w:val="center"/>
              <w:rPr>
                <w:rFonts w:hint="default" w:ascii="Times New Roman" w:hAnsi="Times New Roman" w:eastAsia="仿宋_GB2312" w:cs="Times New Roman"/>
                <w:color w:val="auto"/>
                <w:spacing w:val="-8"/>
                <w:sz w:val="21"/>
                <w:szCs w:val="21"/>
              </w:rPr>
            </w:pPr>
            <w:r>
              <w:rPr>
                <w:rFonts w:hint="default" w:ascii="Times New Roman" w:hAnsi="Times New Roman" w:eastAsia="仿宋_GB2312" w:cs="Times New Roman"/>
                <w:color w:val="auto"/>
                <w:sz w:val="21"/>
                <w:szCs w:val="21"/>
              </w:rPr>
              <w:t>土壤流失控制比</w:t>
            </w:r>
          </w:p>
        </w:tc>
        <w:tc>
          <w:tcPr>
            <w:tcW w:w="2256" w:type="dxa"/>
            <w:noWrap w:val="0"/>
            <w:vAlign w:val="center"/>
          </w:tcPr>
          <w:p w14:paraId="52BE3F11">
            <w:pPr>
              <w:autoSpaceDN w:val="0"/>
              <w:spacing w:line="240" w:lineRule="auto"/>
              <w:ind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0"/>
                <w:sz w:val="21"/>
                <w:szCs w:val="21"/>
              </w:rPr>
              <w:t>1.0</w:t>
            </w:r>
          </w:p>
        </w:tc>
      </w:tr>
      <w:tr w14:paraId="694B7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72" w:type="dxa"/>
            <w:vMerge w:val="continue"/>
            <w:noWrap w:val="0"/>
            <w:vAlign w:val="center"/>
          </w:tcPr>
          <w:p w14:paraId="4748E1C0">
            <w:pPr>
              <w:spacing w:line="280" w:lineRule="exact"/>
              <w:jc w:val="center"/>
              <w:rPr>
                <w:rFonts w:hint="default" w:ascii="Times New Roman" w:hAnsi="Times New Roman" w:eastAsia="仿宋_GB2312" w:cs="Times New Roman"/>
                <w:color w:val="auto"/>
                <w:sz w:val="21"/>
                <w:szCs w:val="21"/>
                <w:lang w:eastAsia="zh-CN"/>
              </w:rPr>
            </w:pPr>
          </w:p>
        </w:tc>
        <w:tc>
          <w:tcPr>
            <w:tcW w:w="1691" w:type="dxa"/>
            <w:noWrap w:val="0"/>
            <w:vAlign w:val="center"/>
          </w:tcPr>
          <w:p w14:paraId="1D6A91EA">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渣土挡护率（%）</w:t>
            </w:r>
          </w:p>
        </w:tc>
        <w:tc>
          <w:tcPr>
            <w:tcW w:w="3060" w:type="dxa"/>
            <w:gridSpan w:val="2"/>
            <w:noWrap w:val="0"/>
            <w:vAlign w:val="center"/>
          </w:tcPr>
          <w:p w14:paraId="6E8E4F18">
            <w:pPr>
              <w:autoSpaceDN w:val="0"/>
              <w:spacing w:line="240" w:lineRule="auto"/>
              <w:ind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kern w:val="0"/>
                <w:sz w:val="21"/>
                <w:szCs w:val="21"/>
                <w:lang w:val="en-US" w:eastAsia="zh-CN"/>
              </w:rPr>
              <w:t>92</w:t>
            </w:r>
          </w:p>
        </w:tc>
        <w:tc>
          <w:tcPr>
            <w:tcW w:w="1581" w:type="dxa"/>
            <w:noWrap w:val="0"/>
            <w:vAlign w:val="center"/>
          </w:tcPr>
          <w:p w14:paraId="2A3A21CD">
            <w:pPr>
              <w:autoSpaceDN w:val="0"/>
              <w:spacing w:line="240" w:lineRule="auto"/>
              <w:ind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0"/>
                <w:sz w:val="21"/>
                <w:szCs w:val="21"/>
              </w:rPr>
              <w:t>表土保护率（%）</w:t>
            </w:r>
          </w:p>
        </w:tc>
        <w:tc>
          <w:tcPr>
            <w:tcW w:w="2256" w:type="dxa"/>
            <w:noWrap w:val="0"/>
            <w:vAlign w:val="center"/>
          </w:tcPr>
          <w:p w14:paraId="5A4AAB49">
            <w:pPr>
              <w:autoSpaceDN w:val="0"/>
              <w:spacing w:line="240" w:lineRule="auto"/>
              <w:ind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0"/>
                <w:sz w:val="21"/>
                <w:szCs w:val="21"/>
              </w:rPr>
              <w:t>92</w:t>
            </w:r>
          </w:p>
        </w:tc>
      </w:tr>
      <w:tr w14:paraId="7120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72" w:type="dxa"/>
            <w:vMerge w:val="continue"/>
            <w:noWrap w:val="0"/>
            <w:vAlign w:val="center"/>
          </w:tcPr>
          <w:p w14:paraId="7FF2A8CD">
            <w:pPr>
              <w:spacing w:line="280" w:lineRule="exact"/>
              <w:jc w:val="center"/>
              <w:rPr>
                <w:rFonts w:hint="default" w:ascii="Times New Roman" w:hAnsi="Times New Roman" w:eastAsia="仿宋_GB2312" w:cs="Times New Roman"/>
                <w:color w:val="auto"/>
                <w:sz w:val="21"/>
                <w:szCs w:val="21"/>
                <w:lang w:eastAsia="zh-CN"/>
              </w:rPr>
            </w:pPr>
          </w:p>
        </w:tc>
        <w:tc>
          <w:tcPr>
            <w:tcW w:w="1691" w:type="dxa"/>
            <w:noWrap w:val="0"/>
            <w:vAlign w:val="center"/>
          </w:tcPr>
          <w:p w14:paraId="03BCD948">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林草植被恢复率（%）</w:t>
            </w:r>
          </w:p>
        </w:tc>
        <w:tc>
          <w:tcPr>
            <w:tcW w:w="3060" w:type="dxa"/>
            <w:gridSpan w:val="2"/>
            <w:noWrap w:val="0"/>
            <w:vAlign w:val="center"/>
          </w:tcPr>
          <w:p w14:paraId="043BBEBB">
            <w:pPr>
              <w:autoSpaceDN w:val="0"/>
              <w:spacing w:line="240" w:lineRule="auto"/>
              <w:ind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kern w:val="0"/>
                <w:sz w:val="21"/>
                <w:szCs w:val="21"/>
              </w:rPr>
              <w:t>97</w:t>
            </w:r>
          </w:p>
        </w:tc>
        <w:tc>
          <w:tcPr>
            <w:tcW w:w="1581" w:type="dxa"/>
            <w:noWrap w:val="0"/>
            <w:vAlign w:val="center"/>
          </w:tcPr>
          <w:p w14:paraId="678B4252">
            <w:pPr>
              <w:autoSpaceDN w:val="0"/>
              <w:spacing w:line="240" w:lineRule="auto"/>
              <w:ind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0"/>
                <w:sz w:val="21"/>
                <w:szCs w:val="21"/>
              </w:rPr>
              <w:t>林草覆盖率（%）</w:t>
            </w:r>
          </w:p>
        </w:tc>
        <w:tc>
          <w:tcPr>
            <w:tcW w:w="2256" w:type="dxa"/>
            <w:noWrap w:val="0"/>
            <w:vAlign w:val="center"/>
          </w:tcPr>
          <w:p w14:paraId="4320050F">
            <w:pPr>
              <w:autoSpaceDN w:val="0"/>
              <w:spacing w:line="240" w:lineRule="auto"/>
              <w:ind w:firstLine="0" w:firstLineChars="0"/>
              <w:jc w:val="center"/>
              <w:textAlignment w:val="center"/>
              <w:rPr>
                <w:rFonts w:hint="default" w:ascii="Times New Roman" w:hAnsi="Times New Roman" w:eastAsia="仿宋_GB2312" w:cs="Times New Roman"/>
                <w:color w:val="auto"/>
                <w:sz w:val="21"/>
                <w:szCs w:val="21"/>
                <w:lang w:val="en-US"/>
              </w:rPr>
            </w:pPr>
            <w:r>
              <w:rPr>
                <w:rFonts w:hint="default" w:ascii="Times New Roman" w:hAnsi="Times New Roman" w:eastAsia="仿宋_GB2312" w:cs="Times New Roman"/>
                <w:color w:val="auto"/>
                <w:kern w:val="0"/>
                <w:sz w:val="21"/>
                <w:szCs w:val="21"/>
                <w:lang w:val="en-US" w:eastAsia="zh-CN"/>
              </w:rPr>
              <w:t>25</w:t>
            </w:r>
          </w:p>
        </w:tc>
      </w:tr>
      <w:tr w14:paraId="403B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72" w:type="dxa"/>
            <w:vMerge w:val="restart"/>
            <w:noWrap w:val="0"/>
            <w:vAlign w:val="center"/>
          </w:tcPr>
          <w:p w14:paraId="16DC5933">
            <w:pPr>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水土保持措施</w:t>
            </w:r>
          </w:p>
        </w:tc>
        <w:tc>
          <w:tcPr>
            <w:tcW w:w="1691" w:type="dxa"/>
            <w:noWrap w:val="0"/>
            <w:vAlign w:val="center"/>
          </w:tcPr>
          <w:p w14:paraId="1A005E38">
            <w:pPr>
              <w:spacing w:before="78" w:beforeLines="25" w:line="240" w:lineRule="auto"/>
              <w:ind w:firstLine="0" w:firstLineChars="0"/>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t>分区</w:t>
            </w:r>
          </w:p>
        </w:tc>
        <w:tc>
          <w:tcPr>
            <w:tcW w:w="3060" w:type="dxa"/>
            <w:gridSpan w:val="2"/>
            <w:noWrap w:val="0"/>
            <w:vAlign w:val="center"/>
          </w:tcPr>
          <w:p w14:paraId="6343FD9F">
            <w:pPr>
              <w:spacing w:before="78" w:beforeLines="25" w:line="240" w:lineRule="auto"/>
              <w:ind w:firstLine="0" w:firstLineChars="0"/>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t>工程措施</w:t>
            </w:r>
          </w:p>
        </w:tc>
        <w:tc>
          <w:tcPr>
            <w:tcW w:w="1581" w:type="dxa"/>
            <w:noWrap w:val="0"/>
            <w:vAlign w:val="center"/>
          </w:tcPr>
          <w:p w14:paraId="7D8AF841">
            <w:pPr>
              <w:spacing w:before="78" w:beforeLines="25" w:line="240" w:lineRule="auto"/>
              <w:ind w:firstLine="0" w:firstLineChars="0"/>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t>植物措施</w:t>
            </w:r>
          </w:p>
        </w:tc>
        <w:tc>
          <w:tcPr>
            <w:tcW w:w="2256" w:type="dxa"/>
            <w:noWrap w:val="0"/>
            <w:vAlign w:val="center"/>
          </w:tcPr>
          <w:p w14:paraId="7B8879F3">
            <w:pPr>
              <w:spacing w:before="78" w:beforeLines="25" w:line="240" w:lineRule="auto"/>
              <w:ind w:firstLine="0" w:firstLineChars="0"/>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t>临时措施</w:t>
            </w:r>
          </w:p>
        </w:tc>
      </w:tr>
      <w:tr w14:paraId="4271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continue"/>
            <w:noWrap w:val="0"/>
            <w:vAlign w:val="center"/>
          </w:tcPr>
          <w:p w14:paraId="517F4B78">
            <w:pPr>
              <w:spacing w:line="280" w:lineRule="exact"/>
              <w:ind w:firstLine="420"/>
              <w:jc w:val="center"/>
              <w:rPr>
                <w:rFonts w:hint="default" w:ascii="Times New Roman" w:hAnsi="Times New Roman" w:eastAsia="仿宋_GB2312" w:cs="Times New Roman"/>
                <w:color w:val="auto"/>
                <w:sz w:val="21"/>
                <w:szCs w:val="21"/>
              </w:rPr>
            </w:pPr>
          </w:p>
        </w:tc>
        <w:tc>
          <w:tcPr>
            <w:tcW w:w="1691" w:type="dxa"/>
            <w:noWrap w:val="0"/>
            <w:vAlign w:val="center"/>
          </w:tcPr>
          <w:p w14:paraId="02CECB79">
            <w:pPr>
              <w:ind w:firstLine="210" w:firstLineChars="100"/>
              <w:jc w:val="center"/>
              <w:rPr>
                <w:rFonts w:hint="default" w:ascii="Times New Roman" w:hAnsi="Times New Roman" w:eastAsia="仿宋_GB2312" w:cs="Times New Roman"/>
                <w:color w:val="auto"/>
                <w:sz w:val="21"/>
                <w:szCs w:val="21"/>
                <w:lang w:eastAsia="zh-CN" w:bidi="ar"/>
              </w:rPr>
            </w:pPr>
            <w:r>
              <w:rPr>
                <w:rFonts w:hint="default" w:ascii="Times New Roman" w:hAnsi="Times New Roman" w:eastAsia="仿宋_GB2312" w:cs="Times New Roman"/>
                <w:color w:val="auto"/>
                <w:sz w:val="21"/>
                <w:szCs w:val="21"/>
                <w:lang w:eastAsia="zh-CN" w:bidi="ar"/>
              </w:rPr>
              <w:t>建构筑物工程区</w:t>
            </w:r>
          </w:p>
        </w:tc>
        <w:tc>
          <w:tcPr>
            <w:tcW w:w="3060" w:type="dxa"/>
            <w:gridSpan w:val="2"/>
            <w:noWrap w:val="0"/>
            <w:vAlign w:val="center"/>
          </w:tcPr>
          <w:p w14:paraId="22BF87DD">
            <w:pPr>
              <w:jc w:val="center"/>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val="en-US" w:eastAsia="zh-CN" w:bidi="ar"/>
              </w:rPr>
              <w:t>/</w:t>
            </w:r>
          </w:p>
        </w:tc>
        <w:tc>
          <w:tcPr>
            <w:tcW w:w="1581" w:type="dxa"/>
            <w:noWrap w:val="0"/>
            <w:vAlign w:val="center"/>
          </w:tcPr>
          <w:p w14:paraId="1B4079DA">
            <w:pPr>
              <w:jc w:val="center"/>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val="en-US" w:eastAsia="zh-CN" w:bidi="ar"/>
              </w:rPr>
              <w:t>/</w:t>
            </w:r>
          </w:p>
        </w:tc>
        <w:tc>
          <w:tcPr>
            <w:tcW w:w="2256" w:type="dxa"/>
            <w:noWrap w:val="0"/>
            <w:vAlign w:val="center"/>
          </w:tcPr>
          <w:p w14:paraId="4DC77E9B">
            <w:pPr>
              <w:jc w:val="center"/>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val="en-US" w:eastAsia="zh-CN" w:bidi="ar"/>
              </w:rPr>
              <w:t>/</w:t>
            </w:r>
          </w:p>
        </w:tc>
      </w:tr>
      <w:tr w14:paraId="382E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672" w:type="dxa"/>
            <w:vMerge w:val="continue"/>
            <w:noWrap w:val="0"/>
            <w:vAlign w:val="center"/>
          </w:tcPr>
          <w:p w14:paraId="584AFC0A">
            <w:pPr>
              <w:spacing w:line="280" w:lineRule="exact"/>
              <w:ind w:firstLine="420"/>
              <w:jc w:val="center"/>
              <w:rPr>
                <w:rFonts w:hint="default" w:ascii="Times New Roman" w:hAnsi="Times New Roman" w:eastAsia="仿宋_GB2312" w:cs="Times New Roman"/>
                <w:color w:val="auto"/>
                <w:sz w:val="21"/>
                <w:szCs w:val="21"/>
              </w:rPr>
            </w:pPr>
          </w:p>
        </w:tc>
        <w:tc>
          <w:tcPr>
            <w:tcW w:w="1691" w:type="dxa"/>
            <w:noWrap w:val="0"/>
            <w:vAlign w:val="center"/>
          </w:tcPr>
          <w:p w14:paraId="1D5DEBBD">
            <w:pPr>
              <w:jc w:val="center"/>
              <w:rPr>
                <w:rFonts w:hint="default" w:ascii="Times New Roman" w:hAnsi="Times New Roman" w:eastAsia="仿宋_GB2312" w:cs="Times New Roman"/>
                <w:color w:val="auto"/>
                <w:sz w:val="21"/>
                <w:szCs w:val="21"/>
                <w:lang w:eastAsia="zh-CN" w:bidi="ar"/>
              </w:rPr>
            </w:pPr>
            <w:r>
              <w:rPr>
                <w:rFonts w:hint="default" w:ascii="Times New Roman" w:hAnsi="Times New Roman" w:eastAsia="仿宋_GB2312" w:cs="Times New Roman"/>
                <w:color w:val="auto"/>
                <w:sz w:val="21"/>
                <w:szCs w:val="21"/>
                <w:lang w:eastAsia="zh-CN" w:bidi="ar"/>
              </w:rPr>
              <w:t>硬化工程区</w:t>
            </w:r>
          </w:p>
        </w:tc>
        <w:tc>
          <w:tcPr>
            <w:tcW w:w="3060" w:type="dxa"/>
            <w:gridSpan w:val="2"/>
            <w:noWrap w:val="0"/>
            <w:vAlign w:val="center"/>
          </w:tcPr>
          <w:p w14:paraId="4F700219">
            <w:pPr>
              <w:jc w:val="center"/>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val="en-US" w:eastAsia="zh-CN" w:bidi="ar"/>
              </w:rPr>
              <w:t>表土剥离0.01万m</w:t>
            </w:r>
            <w:r>
              <w:rPr>
                <w:rFonts w:hint="default" w:ascii="Times New Roman" w:hAnsi="Times New Roman" w:eastAsia="仿宋_GB2312" w:cs="Times New Roman"/>
                <w:color w:val="auto"/>
                <w:sz w:val="21"/>
                <w:szCs w:val="21"/>
                <w:vertAlign w:val="superscript"/>
                <w:lang w:val="en-US" w:eastAsia="zh-CN" w:bidi="ar"/>
              </w:rPr>
              <w:t>3</w:t>
            </w:r>
            <w:r>
              <w:rPr>
                <w:rFonts w:hint="default" w:ascii="Times New Roman" w:hAnsi="Times New Roman" w:eastAsia="仿宋_GB2312" w:cs="Times New Roman"/>
                <w:color w:val="auto"/>
                <w:sz w:val="21"/>
                <w:szCs w:val="21"/>
                <w:lang w:val="en-US" w:eastAsia="zh-CN" w:bidi="ar"/>
              </w:rPr>
              <w:t>、排水管720m、雨水井20座、雨水口15座</w:t>
            </w:r>
          </w:p>
        </w:tc>
        <w:tc>
          <w:tcPr>
            <w:tcW w:w="1581" w:type="dxa"/>
            <w:noWrap w:val="0"/>
            <w:vAlign w:val="center"/>
          </w:tcPr>
          <w:p w14:paraId="412CF63B">
            <w:pPr>
              <w:jc w:val="center"/>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val="en-US" w:eastAsia="zh-CN" w:bidi="ar"/>
              </w:rPr>
              <w:t>/</w:t>
            </w:r>
          </w:p>
        </w:tc>
        <w:tc>
          <w:tcPr>
            <w:tcW w:w="2256" w:type="dxa"/>
            <w:noWrap w:val="0"/>
            <w:vAlign w:val="center"/>
          </w:tcPr>
          <w:p w14:paraId="7DA9E483">
            <w:pPr>
              <w:jc w:val="center"/>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val="en-US" w:eastAsia="zh-CN" w:bidi="ar"/>
              </w:rPr>
              <w:t>/</w:t>
            </w:r>
          </w:p>
        </w:tc>
      </w:tr>
      <w:tr w14:paraId="2933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72" w:type="dxa"/>
            <w:vMerge w:val="continue"/>
            <w:noWrap w:val="0"/>
            <w:vAlign w:val="center"/>
          </w:tcPr>
          <w:p w14:paraId="4FA7FD2A">
            <w:pPr>
              <w:spacing w:line="280" w:lineRule="exact"/>
              <w:ind w:firstLine="420"/>
              <w:jc w:val="center"/>
              <w:rPr>
                <w:rFonts w:hint="default" w:ascii="Times New Roman" w:hAnsi="Times New Roman" w:eastAsia="仿宋_GB2312" w:cs="Times New Roman"/>
                <w:color w:val="auto"/>
                <w:sz w:val="21"/>
                <w:szCs w:val="21"/>
              </w:rPr>
            </w:pPr>
          </w:p>
        </w:tc>
        <w:tc>
          <w:tcPr>
            <w:tcW w:w="1691" w:type="dxa"/>
            <w:noWrap w:val="0"/>
            <w:vAlign w:val="center"/>
          </w:tcPr>
          <w:p w14:paraId="723999DD">
            <w:pPr>
              <w:jc w:val="center"/>
              <w:rPr>
                <w:rFonts w:hint="default" w:ascii="Times New Roman" w:hAnsi="Times New Roman" w:eastAsia="仿宋_GB2312" w:cs="Times New Roman"/>
                <w:color w:val="auto"/>
                <w:sz w:val="21"/>
                <w:szCs w:val="21"/>
                <w:lang w:eastAsia="zh-CN" w:bidi="ar"/>
              </w:rPr>
            </w:pPr>
            <w:r>
              <w:rPr>
                <w:rFonts w:hint="default" w:ascii="Times New Roman" w:hAnsi="Times New Roman" w:eastAsia="仿宋_GB2312" w:cs="Times New Roman"/>
                <w:color w:val="auto"/>
                <w:sz w:val="21"/>
                <w:szCs w:val="21"/>
                <w:lang w:eastAsia="zh-CN" w:bidi="ar"/>
              </w:rPr>
              <w:t>绿化工程区</w:t>
            </w:r>
          </w:p>
        </w:tc>
        <w:tc>
          <w:tcPr>
            <w:tcW w:w="3060" w:type="dxa"/>
            <w:gridSpan w:val="2"/>
            <w:noWrap w:val="0"/>
            <w:vAlign w:val="center"/>
          </w:tcPr>
          <w:p w14:paraId="232BEA47">
            <w:pPr>
              <w:jc w:val="center"/>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val="en-US" w:eastAsia="zh-CN" w:bidi="ar"/>
              </w:rPr>
              <w:t>表土剥离0.01万m</w:t>
            </w:r>
            <w:r>
              <w:rPr>
                <w:rFonts w:hint="default" w:ascii="Times New Roman" w:hAnsi="Times New Roman" w:eastAsia="仿宋_GB2312" w:cs="Times New Roman"/>
                <w:color w:val="auto"/>
                <w:sz w:val="21"/>
                <w:szCs w:val="21"/>
                <w:vertAlign w:val="superscript"/>
                <w:lang w:val="en-US" w:eastAsia="zh-CN" w:bidi="ar"/>
              </w:rPr>
              <w:t>3</w:t>
            </w:r>
            <w:r>
              <w:rPr>
                <w:rFonts w:hint="default" w:ascii="Times New Roman" w:hAnsi="Times New Roman" w:eastAsia="仿宋_GB2312" w:cs="Times New Roman"/>
                <w:color w:val="auto"/>
                <w:sz w:val="21"/>
                <w:szCs w:val="21"/>
                <w:lang w:val="en-US" w:eastAsia="zh-CN" w:bidi="ar"/>
              </w:rPr>
              <w:t>、表土回覆0.02万m</w:t>
            </w:r>
            <w:r>
              <w:rPr>
                <w:rFonts w:hint="default" w:ascii="Times New Roman" w:hAnsi="Times New Roman" w:eastAsia="仿宋_GB2312" w:cs="Times New Roman"/>
                <w:color w:val="auto"/>
                <w:sz w:val="21"/>
                <w:szCs w:val="21"/>
                <w:vertAlign w:val="superscript"/>
                <w:lang w:val="en-US" w:eastAsia="zh-CN" w:bidi="ar"/>
              </w:rPr>
              <w:t>3</w:t>
            </w:r>
          </w:p>
        </w:tc>
        <w:tc>
          <w:tcPr>
            <w:tcW w:w="1581" w:type="dxa"/>
            <w:noWrap w:val="0"/>
            <w:vAlign w:val="center"/>
          </w:tcPr>
          <w:p w14:paraId="710CFB65">
            <w:pPr>
              <w:jc w:val="center"/>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val="en-US" w:eastAsia="zh-CN" w:bidi="ar"/>
              </w:rPr>
              <w:t>撒播草籽0.12h</w:t>
            </w:r>
            <w:r>
              <w:rPr>
                <w:rFonts w:hint="default" w:ascii="Times New Roman" w:hAnsi="Times New Roman" w:eastAsia="仿宋_GB2312" w:cs="Times New Roman"/>
                <w:color w:val="auto"/>
                <w:kern w:val="0"/>
                <w:sz w:val="21"/>
                <w:szCs w:val="21"/>
              </w:rPr>
              <w:t>m</w:t>
            </w:r>
            <w:r>
              <w:rPr>
                <w:rFonts w:hint="default" w:ascii="Times New Roman" w:hAnsi="Times New Roman" w:eastAsia="仿宋_GB2312" w:cs="Times New Roman"/>
                <w:b w:val="0"/>
                <w:bCs w:val="0"/>
                <w:color w:val="auto"/>
                <w:kern w:val="0"/>
                <w:sz w:val="21"/>
                <w:szCs w:val="21"/>
                <w:vertAlign w:val="superscript"/>
              </w:rPr>
              <w:t>2</w:t>
            </w:r>
          </w:p>
        </w:tc>
        <w:tc>
          <w:tcPr>
            <w:tcW w:w="2256" w:type="dxa"/>
            <w:noWrap w:val="0"/>
            <w:vAlign w:val="center"/>
          </w:tcPr>
          <w:p w14:paraId="3A6CBD6E">
            <w:pPr>
              <w:jc w:val="center"/>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val="en-US" w:eastAsia="zh-CN" w:bidi="ar"/>
              </w:rPr>
              <w:t>/</w:t>
            </w:r>
          </w:p>
        </w:tc>
      </w:tr>
      <w:tr w14:paraId="24D0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72" w:type="dxa"/>
            <w:vMerge w:val="restart"/>
            <w:noWrap w:val="0"/>
            <w:vAlign w:val="center"/>
          </w:tcPr>
          <w:p w14:paraId="5D1B5E82">
            <w:pPr>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水土保持投资估算（万元）</w:t>
            </w:r>
          </w:p>
        </w:tc>
        <w:tc>
          <w:tcPr>
            <w:tcW w:w="1691" w:type="dxa"/>
            <w:noWrap w:val="0"/>
            <w:vAlign w:val="center"/>
          </w:tcPr>
          <w:p w14:paraId="48916098">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工程措施（万元）</w:t>
            </w:r>
          </w:p>
        </w:tc>
        <w:tc>
          <w:tcPr>
            <w:tcW w:w="3060" w:type="dxa"/>
            <w:gridSpan w:val="2"/>
            <w:noWrap w:val="0"/>
            <w:vAlign w:val="center"/>
          </w:tcPr>
          <w:p w14:paraId="7D878963">
            <w:pPr>
              <w:spacing w:line="280" w:lineRule="exact"/>
              <w:ind w:firstLine="420" w:firstLineChars="20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20.92</w:t>
            </w:r>
          </w:p>
        </w:tc>
        <w:tc>
          <w:tcPr>
            <w:tcW w:w="1581" w:type="dxa"/>
            <w:noWrap w:val="0"/>
            <w:vAlign w:val="center"/>
          </w:tcPr>
          <w:p w14:paraId="06A9E176">
            <w:pPr>
              <w:spacing w:line="280" w:lineRule="exact"/>
              <w:jc w:val="center"/>
              <w:rPr>
                <w:rFonts w:hint="default" w:ascii="Times New Roman" w:hAnsi="Times New Roman" w:eastAsia="仿宋_GB2312" w:cs="Times New Roman"/>
                <w:color w:val="auto"/>
                <w:sz w:val="21"/>
                <w:szCs w:val="21"/>
                <w:lang w:eastAsia="zh-CN" w:bidi="ar"/>
              </w:rPr>
            </w:pPr>
            <w:r>
              <w:rPr>
                <w:rFonts w:hint="default" w:ascii="Times New Roman" w:hAnsi="Times New Roman" w:eastAsia="仿宋_GB2312" w:cs="Times New Roman"/>
                <w:color w:val="auto"/>
                <w:sz w:val="21"/>
                <w:szCs w:val="21"/>
                <w:lang w:eastAsia="zh-CN" w:bidi="ar"/>
              </w:rPr>
              <w:t>植物措施</w:t>
            </w:r>
            <w:r>
              <w:rPr>
                <w:rFonts w:hint="default" w:ascii="Times New Roman" w:hAnsi="Times New Roman" w:eastAsia="仿宋_GB2312" w:cs="Times New Roman"/>
                <w:color w:val="auto"/>
                <w:sz w:val="21"/>
                <w:szCs w:val="21"/>
                <w:lang w:eastAsia="zh-CN"/>
              </w:rPr>
              <w:t>（万元）</w:t>
            </w:r>
          </w:p>
        </w:tc>
        <w:tc>
          <w:tcPr>
            <w:tcW w:w="2256" w:type="dxa"/>
            <w:noWrap w:val="0"/>
            <w:vAlign w:val="center"/>
          </w:tcPr>
          <w:p w14:paraId="18DA8F17">
            <w:pPr>
              <w:spacing w:line="280" w:lineRule="exact"/>
              <w:ind w:firstLine="840" w:firstLineChars="400"/>
              <w:jc w:val="both"/>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val="en-US" w:eastAsia="zh-CN" w:bidi="ar"/>
              </w:rPr>
              <w:t>0.13</w:t>
            </w:r>
          </w:p>
        </w:tc>
      </w:tr>
      <w:tr w14:paraId="3E38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72" w:type="dxa"/>
            <w:vMerge w:val="continue"/>
            <w:noWrap w:val="0"/>
            <w:vAlign w:val="center"/>
          </w:tcPr>
          <w:p w14:paraId="7C29157B">
            <w:pPr>
              <w:spacing w:line="280" w:lineRule="exact"/>
              <w:ind w:firstLine="420" w:firstLineChars="200"/>
              <w:jc w:val="center"/>
              <w:rPr>
                <w:rFonts w:hint="default" w:ascii="Times New Roman" w:hAnsi="Times New Roman" w:eastAsia="仿宋_GB2312" w:cs="Times New Roman"/>
                <w:color w:val="auto"/>
                <w:sz w:val="21"/>
                <w:szCs w:val="21"/>
              </w:rPr>
            </w:pPr>
          </w:p>
        </w:tc>
        <w:tc>
          <w:tcPr>
            <w:tcW w:w="1691" w:type="dxa"/>
            <w:noWrap w:val="0"/>
            <w:vAlign w:val="center"/>
          </w:tcPr>
          <w:p w14:paraId="1D199F2F">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临时措施（万元）</w:t>
            </w:r>
          </w:p>
        </w:tc>
        <w:tc>
          <w:tcPr>
            <w:tcW w:w="3060" w:type="dxa"/>
            <w:gridSpan w:val="2"/>
            <w:noWrap w:val="0"/>
            <w:vAlign w:val="center"/>
          </w:tcPr>
          <w:p w14:paraId="31E765FD">
            <w:pPr>
              <w:spacing w:line="280" w:lineRule="exact"/>
              <w:ind w:firstLine="420" w:firstLineChars="20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0.42</w:t>
            </w:r>
          </w:p>
        </w:tc>
        <w:tc>
          <w:tcPr>
            <w:tcW w:w="1581" w:type="dxa"/>
            <w:noWrap w:val="0"/>
            <w:vAlign w:val="center"/>
          </w:tcPr>
          <w:p w14:paraId="38E14A3B">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水土保持补偿费（万元）</w:t>
            </w:r>
          </w:p>
        </w:tc>
        <w:tc>
          <w:tcPr>
            <w:tcW w:w="2256" w:type="dxa"/>
            <w:noWrap w:val="0"/>
            <w:vAlign w:val="center"/>
          </w:tcPr>
          <w:p w14:paraId="29705AED">
            <w:pPr>
              <w:spacing w:line="280" w:lineRule="exact"/>
              <w:ind w:firstLine="210" w:firstLineChars="100"/>
              <w:jc w:val="both"/>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bidi="ar"/>
              </w:rPr>
              <w:t>0.43（4251.00元）</w:t>
            </w:r>
          </w:p>
        </w:tc>
      </w:tr>
      <w:tr w14:paraId="5F42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continue"/>
            <w:noWrap w:val="0"/>
            <w:vAlign w:val="center"/>
          </w:tcPr>
          <w:p w14:paraId="210D8E76">
            <w:pPr>
              <w:spacing w:line="280" w:lineRule="exact"/>
              <w:ind w:firstLine="420" w:firstLineChars="200"/>
              <w:jc w:val="center"/>
              <w:rPr>
                <w:rFonts w:hint="default" w:ascii="Times New Roman" w:hAnsi="Times New Roman" w:eastAsia="仿宋_GB2312" w:cs="Times New Roman"/>
                <w:color w:val="auto"/>
                <w:sz w:val="21"/>
                <w:szCs w:val="21"/>
              </w:rPr>
            </w:pPr>
          </w:p>
        </w:tc>
        <w:tc>
          <w:tcPr>
            <w:tcW w:w="1691" w:type="dxa"/>
            <w:vMerge w:val="restart"/>
            <w:noWrap w:val="0"/>
            <w:vAlign w:val="center"/>
          </w:tcPr>
          <w:p w14:paraId="15A30C4D">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独立费用（万元）</w:t>
            </w:r>
          </w:p>
        </w:tc>
        <w:tc>
          <w:tcPr>
            <w:tcW w:w="3060" w:type="dxa"/>
            <w:gridSpan w:val="2"/>
            <w:noWrap w:val="0"/>
            <w:vAlign w:val="center"/>
          </w:tcPr>
          <w:p w14:paraId="53D4EB9C">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建设管理费（万元）</w:t>
            </w:r>
          </w:p>
        </w:tc>
        <w:tc>
          <w:tcPr>
            <w:tcW w:w="1581" w:type="dxa"/>
            <w:noWrap w:val="0"/>
            <w:vAlign w:val="center"/>
          </w:tcPr>
          <w:p w14:paraId="3A71A7CC">
            <w:pPr>
              <w:widowControl/>
              <w:ind w:firstLine="0" w:firstLineChars="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sz w:val="21"/>
                <w:szCs w:val="21"/>
                <w:lang w:val="en-US" w:eastAsia="zh-CN"/>
              </w:rPr>
              <w:t>0.42</w:t>
            </w:r>
          </w:p>
        </w:tc>
        <w:tc>
          <w:tcPr>
            <w:tcW w:w="2256" w:type="dxa"/>
            <w:vMerge w:val="restart"/>
            <w:noWrap w:val="0"/>
            <w:vAlign w:val="center"/>
          </w:tcPr>
          <w:p w14:paraId="2E493353">
            <w:pPr>
              <w:spacing w:line="280" w:lineRule="exact"/>
              <w:ind w:firstLine="840" w:firstLineChars="400"/>
              <w:jc w:val="both"/>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15.70</w:t>
            </w:r>
          </w:p>
        </w:tc>
      </w:tr>
      <w:tr w14:paraId="6486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72" w:type="dxa"/>
            <w:vMerge w:val="continue"/>
            <w:noWrap w:val="0"/>
            <w:vAlign w:val="center"/>
          </w:tcPr>
          <w:p w14:paraId="73DDFF78">
            <w:pPr>
              <w:spacing w:line="280" w:lineRule="exact"/>
              <w:ind w:firstLine="420" w:firstLineChars="200"/>
              <w:jc w:val="center"/>
              <w:rPr>
                <w:rFonts w:hint="default" w:ascii="Times New Roman" w:hAnsi="Times New Roman" w:eastAsia="仿宋_GB2312" w:cs="Times New Roman"/>
                <w:color w:val="auto"/>
                <w:sz w:val="21"/>
                <w:szCs w:val="21"/>
              </w:rPr>
            </w:pPr>
          </w:p>
        </w:tc>
        <w:tc>
          <w:tcPr>
            <w:tcW w:w="1691" w:type="dxa"/>
            <w:vMerge w:val="continue"/>
            <w:noWrap w:val="0"/>
            <w:vAlign w:val="center"/>
          </w:tcPr>
          <w:p w14:paraId="2C4B11E2">
            <w:pPr>
              <w:spacing w:line="280" w:lineRule="exact"/>
              <w:ind w:firstLine="420" w:firstLineChars="200"/>
              <w:jc w:val="center"/>
              <w:rPr>
                <w:rFonts w:hint="default" w:ascii="Times New Roman" w:hAnsi="Times New Roman" w:eastAsia="仿宋_GB2312" w:cs="Times New Roman"/>
                <w:color w:val="auto"/>
                <w:sz w:val="21"/>
                <w:szCs w:val="21"/>
                <w:lang w:eastAsia="zh-CN"/>
              </w:rPr>
            </w:pPr>
          </w:p>
        </w:tc>
        <w:tc>
          <w:tcPr>
            <w:tcW w:w="3060" w:type="dxa"/>
            <w:gridSpan w:val="2"/>
            <w:noWrap w:val="0"/>
            <w:vAlign w:val="center"/>
          </w:tcPr>
          <w:p w14:paraId="0E8A3076">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val="en-US" w:eastAsia="zh-CN"/>
              </w:rPr>
              <w:t>科研勘测设计</w:t>
            </w:r>
            <w:r>
              <w:rPr>
                <w:rFonts w:hint="default" w:ascii="Times New Roman" w:hAnsi="Times New Roman" w:eastAsia="仿宋_GB2312" w:cs="Times New Roman"/>
                <w:color w:val="auto"/>
                <w:sz w:val="21"/>
                <w:szCs w:val="21"/>
                <w:lang w:eastAsia="zh-CN"/>
              </w:rPr>
              <w:t>费（万元）</w:t>
            </w:r>
          </w:p>
        </w:tc>
        <w:tc>
          <w:tcPr>
            <w:tcW w:w="1581" w:type="dxa"/>
            <w:noWrap w:val="0"/>
            <w:vAlign w:val="center"/>
          </w:tcPr>
          <w:p w14:paraId="2EE9A5CF">
            <w:pPr>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bidi="ar"/>
              </w:rPr>
              <w:t>15.28</w:t>
            </w:r>
          </w:p>
        </w:tc>
        <w:tc>
          <w:tcPr>
            <w:tcW w:w="2256" w:type="dxa"/>
            <w:vMerge w:val="continue"/>
            <w:noWrap w:val="0"/>
            <w:vAlign w:val="center"/>
          </w:tcPr>
          <w:p w14:paraId="25906239">
            <w:pPr>
              <w:spacing w:line="280" w:lineRule="exact"/>
              <w:ind w:firstLine="420" w:firstLineChars="200"/>
              <w:jc w:val="center"/>
              <w:rPr>
                <w:rFonts w:hint="default" w:ascii="Times New Roman" w:hAnsi="Times New Roman" w:eastAsia="仿宋_GB2312" w:cs="Times New Roman"/>
                <w:color w:val="auto"/>
                <w:sz w:val="21"/>
                <w:szCs w:val="21"/>
                <w:lang w:eastAsia="zh-CN"/>
              </w:rPr>
            </w:pPr>
          </w:p>
        </w:tc>
      </w:tr>
      <w:tr w14:paraId="7B7CC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72" w:type="dxa"/>
            <w:vMerge w:val="continue"/>
            <w:noWrap w:val="0"/>
            <w:vAlign w:val="center"/>
          </w:tcPr>
          <w:p w14:paraId="528F1039">
            <w:pPr>
              <w:spacing w:line="280" w:lineRule="exact"/>
              <w:ind w:firstLine="420" w:firstLineChars="200"/>
              <w:jc w:val="center"/>
              <w:rPr>
                <w:rFonts w:hint="default" w:ascii="Times New Roman" w:hAnsi="Times New Roman" w:eastAsia="仿宋_GB2312" w:cs="Times New Roman"/>
                <w:color w:val="auto"/>
                <w:sz w:val="21"/>
                <w:szCs w:val="21"/>
              </w:rPr>
            </w:pPr>
          </w:p>
        </w:tc>
        <w:tc>
          <w:tcPr>
            <w:tcW w:w="1691" w:type="dxa"/>
            <w:vMerge w:val="continue"/>
            <w:noWrap w:val="0"/>
            <w:vAlign w:val="center"/>
          </w:tcPr>
          <w:p w14:paraId="4ADD301F">
            <w:pPr>
              <w:spacing w:line="280" w:lineRule="exact"/>
              <w:ind w:firstLine="420" w:firstLineChars="200"/>
              <w:jc w:val="center"/>
              <w:rPr>
                <w:rFonts w:hint="default" w:ascii="Times New Roman" w:hAnsi="Times New Roman" w:eastAsia="仿宋_GB2312" w:cs="Times New Roman"/>
                <w:color w:val="auto"/>
                <w:sz w:val="21"/>
                <w:szCs w:val="21"/>
                <w:lang w:eastAsia="zh-CN"/>
              </w:rPr>
            </w:pPr>
          </w:p>
        </w:tc>
        <w:tc>
          <w:tcPr>
            <w:tcW w:w="3060" w:type="dxa"/>
            <w:gridSpan w:val="2"/>
            <w:noWrap w:val="0"/>
            <w:vAlign w:val="center"/>
          </w:tcPr>
          <w:p w14:paraId="45E0FE6C">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水土保持监理费</w:t>
            </w:r>
            <w:r>
              <w:rPr>
                <w:rFonts w:hint="default" w:ascii="Times New Roman" w:hAnsi="Times New Roman" w:eastAsia="仿宋_GB2312" w:cs="Times New Roman"/>
                <w:color w:val="auto"/>
                <w:sz w:val="21"/>
                <w:szCs w:val="21"/>
                <w:lang w:eastAsia="zh-CN"/>
              </w:rPr>
              <w:t>（万元）</w:t>
            </w:r>
          </w:p>
        </w:tc>
        <w:tc>
          <w:tcPr>
            <w:tcW w:w="1581" w:type="dxa"/>
            <w:noWrap w:val="0"/>
            <w:vAlign w:val="center"/>
          </w:tcPr>
          <w:p w14:paraId="43AEEF2D">
            <w:pPr>
              <w:jc w:val="center"/>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val="en-US" w:eastAsia="zh-CN" w:bidi="ar"/>
              </w:rPr>
              <w:t>0.00</w:t>
            </w:r>
          </w:p>
        </w:tc>
        <w:tc>
          <w:tcPr>
            <w:tcW w:w="2256" w:type="dxa"/>
            <w:vMerge w:val="continue"/>
            <w:noWrap w:val="0"/>
            <w:vAlign w:val="center"/>
          </w:tcPr>
          <w:p w14:paraId="094E8063">
            <w:pPr>
              <w:spacing w:line="280" w:lineRule="exact"/>
              <w:ind w:firstLine="420" w:firstLineChars="200"/>
              <w:jc w:val="center"/>
              <w:rPr>
                <w:rFonts w:hint="default" w:ascii="Times New Roman" w:hAnsi="Times New Roman" w:eastAsia="仿宋_GB2312" w:cs="Times New Roman"/>
                <w:color w:val="auto"/>
                <w:sz w:val="21"/>
                <w:szCs w:val="21"/>
                <w:lang w:eastAsia="zh-CN"/>
              </w:rPr>
            </w:pPr>
          </w:p>
        </w:tc>
      </w:tr>
      <w:tr w14:paraId="2CE1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72" w:type="dxa"/>
            <w:vMerge w:val="continue"/>
            <w:noWrap w:val="0"/>
            <w:vAlign w:val="center"/>
          </w:tcPr>
          <w:p w14:paraId="3964FD3F">
            <w:pPr>
              <w:spacing w:line="280" w:lineRule="exact"/>
              <w:ind w:firstLine="420" w:firstLineChars="200"/>
              <w:jc w:val="center"/>
              <w:rPr>
                <w:rFonts w:hint="default" w:ascii="Times New Roman" w:hAnsi="Times New Roman" w:eastAsia="仿宋_GB2312" w:cs="Times New Roman"/>
                <w:color w:val="auto"/>
                <w:sz w:val="21"/>
                <w:szCs w:val="21"/>
              </w:rPr>
            </w:pPr>
          </w:p>
        </w:tc>
        <w:tc>
          <w:tcPr>
            <w:tcW w:w="1691" w:type="dxa"/>
            <w:noWrap w:val="0"/>
            <w:vAlign w:val="center"/>
          </w:tcPr>
          <w:p w14:paraId="40B7F6DC">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总投资（万元）</w:t>
            </w:r>
          </w:p>
        </w:tc>
        <w:tc>
          <w:tcPr>
            <w:tcW w:w="6897" w:type="dxa"/>
            <w:gridSpan w:val="4"/>
            <w:noWrap w:val="0"/>
            <w:vAlign w:val="center"/>
          </w:tcPr>
          <w:p w14:paraId="231CF602">
            <w:pPr>
              <w:spacing w:line="280" w:lineRule="exact"/>
              <w:ind w:firstLine="420" w:firstLineChars="20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37.60</w:t>
            </w:r>
          </w:p>
        </w:tc>
      </w:tr>
      <w:tr w14:paraId="0F86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363" w:type="dxa"/>
            <w:gridSpan w:val="2"/>
            <w:noWrap w:val="0"/>
            <w:vAlign w:val="center"/>
          </w:tcPr>
          <w:p w14:paraId="2CBF20C8">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编制单位</w:t>
            </w:r>
          </w:p>
        </w:tc>
        <w:tc>
          <w:tcPr>
            <w:tcW w:w="3060" w:type="dxa"/>
            <w:gridSpan w:val="2"/>
            <w:noWrap w:val="0"/>
            <w:vAlign w:val="center"/>
          </w:tcPr>
          <w:p w14:paraId="15CD2F07">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四川一砚工程设计有限公司</w:t>
            </w:r>
          </w:p>
        </w:tc>
        <w:tc>
          <w:tcPr>
            <w:tcW w:w="1581" w:type="dxa"/>
            <w:noWrap w:val="0"/>
            <w:vAlign w:val="center"/>
          </w:tcPr>
          <w:p w14:paraId="22EA0427">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建设单位</w:t>
            </w:r>
          </w:p>
        </w:tc>
        <w:tc>
          <w:tcPr>
            <w:tcW w:w="2256" w:type="dxa"/>
            <w:noWrap w:val="0"/>
            <w:vAlign w:val="center"/>
          </w:tcPr>
          <w:p w14:paraId="28024B47">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剑阁县王河镇人民政府</w:t>
            </w:r>
          </w:p>
        </w:tc>
      </w:tr>
      <w:tr w14:paraId="16B8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363" w:type="dxa"/>
            <w:gridSpan w:val="2"/>
            <w:noWrap w:val="0"/>
            <w:vAlign w:val="center"/>
          </w:tcPr>
          <w:p w14:paraId="16ED839B">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法人代表及电话</w:t>
            </w:r>
          </w:p>
        </w:tc>
        <w:tc>
          <w:tcPr>
            <w:tcW w:w="3060" w:type="dxa"/>
            <w:gridSpan w:val="2"/>
            <w:noWrap w:val="0"/>
            <w:vAlign w:val="center"/>
          </w:tcPr>
          <w:p w14:paraId="650D3E31">
            <w:pPr>
              <w:ind w:firstLine="210" w:firstLineChars="100"/>
              <w:jc w:val="center"/>
              <w:rPr>
                <w:rFonts w:hint="default" w:ascii="Times New Roman" w:hAnsi="Times New Roman" w:eastAsia="仿宋_GB2312" w:cs="Times New Roman"/>
                <w:color w:val="FF0000"/>
                <w:sz w:val="21"/>
                <w:szCs w:val="21"/>
                <w:lang w:val="en-US" w:eastAsia="zh-CN"/>
              </w:rPr>
            </w:pPr>
            <w:r>
              <w:rPr>
                <w:rFonts w:hint="default" w:ascii="Times New Roman" w:hAnsi="Times New Roman" w:eastAsia="仿宋_GB2312" w:cs="Times New Roman"/>
                <w:color w:val="auto"/>
                <w:kern w:val="0"/>
                <w:sz w:val="21"/>
                <w:szCs w:val="21"/>
                <w:lang w:val="en-US" w:eastAsia="zh-CN"/>
              </w:rPr>
              <w:t>马云强</w:t>
            </w:r>
            <w:r>
              <w:rPr>
                <w:rFonts w:hint="default" w:ascii="Times New Roman" w:hAnsi="Times New Roman" w:eastAsia="仿宋_GB2312" w:cs="Times New Roman"/>
                <w:color w:val="auto"/>
                <w:kern w:val="0"/>
                <w:sz w:val="21"/>
                <w:szCs w:val="21"/>
              </w:rPr>
              <w:t>/</w:t>
            </w:r>
            <w:r>
              <w:rPr>
                <w:rFonts w:hint="default" w:ascii="Times New Roman" w:hAnsi="Times New Roman" w:eastAsia="仿宋_GB2312" w:cs="Times New Roman"/>
                <w:color w:val="auto"/>
                <w:sz w:val="21"/>
                <w:szCs w:val="21"/>
                <w:lang w:val="en-US" w:eastAsia="zh-CN"/>
              </w:rPr>
              <w:t>0839-3505934</w:t>
            </w:r>
          </w:p>
        </w:tc>
        <w:tc>
          <w:tcPr>
            <w:tcW w:w="1581" w:type="dxa"/>
            <w:noWrap w:val="0"/>
            <w:vAlign w:val="center"/>
          </w:tcPr>
          <w:p w14:paraId="353EF33A">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法人代表及电话</w:t>
            </w:r>
          </w:p>
        </w:tc>
        <w:tc>
          <w:tcPr>
            <w:tcW w:w="2256" w:type="dxa"/>
            <w:noWrap w:val="0"/>
            <w:vAlign w:val="center"/>
          </w:tcPr>
          <w:p w14:paraId="034575BF">
            <w:pPr>
              <w:tabs>
                <w:tab w:val="left" w:pos="7806"/>
              </w:tabs>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杨雪/ 0839-6448403</w:t>
            </w:r>
          </w:p>
        </w:tc>
      </w:tr>
      <w:tr w14:paraId="185F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363" w:type="dxa"/>
            <w:gridSpan w:val="2"/>
            <w:noWrap w:val="0"/>
            <w:vAlign w:val="center"/>
          </w:tcPr>
          <w:p w14:paraId="2A9D7FEC">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地址</w:t>
            </w:r>
          </w:p>
        </w:tc>
        <w:tc>
          <w:tcPr>
            <w:tcW w:w="3060" w:type="dxa"/>
            <w:gridSpan w:val="2"/>
            <w:noWrap w:val="0"/>
            <w:vAlign w:val="center"/>
          </w:tcPr>
          <w:p w14:paraId="18865847">
            <w:pPr>
              <w:spacing w:line="280" w:lineRule="exact"/>
              <w:jc w:val="center"/>
              <w:rPr>
                <w:rFonts w:hint="default" w:ascii="Times New Roman" w:hAnsi="Times New Roman" w:eastAsia="仿宋_GB2312" w:cs="Times New Roman"/>
                <w:color w:val="FF0000"/>
                <w:sz w:val="21"/>
                <w:szCs w:val="21"/>
                <w:lang w:val="en-US" w:eastAsia="zh-CN"/>
              </w:rPr>
            </w:pPr>
            <w:r>
              <w:rPr>
                <w:rFonts w:hint="default" w:ascii="Times New Roman" w:hAnsi="Times New Roman" w:eastAsia="仿宋_GB2312" w:cs="Times New Roman"/>
                <w:color w:val="auto"/>
                <w:sz w:val="21"/>
                <w:szCs w:val="21"/>
                <w:lang w:eastAsia="zh-CN"/>
              </w:rPr>
              <w:t>四川省广元市剑阁县剑门关镇志公社区二组</w:t>
            </w:r>
          </w:p>
        </w:tc>
        <w:tc>
          <w:tcPr>
            <w:tcW w:w="1581" w:type="dxa"/>
            <w:noWrap w:val="0"/>
            <w:vAlign w:val="center"/>
          </w:tcPr>
          <w:p w14:paraId="2B30CDC8">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地址</w:t>
            </w:r>
          </w:p>
        </w:tc>
        <w:tc>
          <w:tcPr>
            <w:tcW w:w="2256" w:type="dxa"/>
            <w:noWrap w:val="0"/>
            <w:vAlign w:val="center"/>
          </w:tcPr>
          <w:p w14:paraId="2BF45AC8">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eastAsia="zh-CN" w:bidi="ar"/>
              </w:rPr>
              <w:t>四川省广元市剑阁县王河镇政府街49号</w:t>
            </w:r>
          </w:p>
        </w:tc>
      </w:tr>
      <w:tr w14:paraId="3B55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363" w:type="dxa"/>
            <w:gridSpan w:val="2"/>
            <w:noWrap w:val="0"/>
            <w:vAlign w:val="center"/>
          </w:tcPr>
          <w:p w14:paraId="5276BCCE">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邮编</w:t>
            </w:r>
          </w:p>
        </w:tc>
        <w:tc>
          <w:tcPr>
            <w:tcW w:w="3060" w:type="dxa"/>
            <w:gridSpan w:val="2"/>
            <w:noWrap w:val="0"/>
            <w:vAlign w:val="center"/>
          </w:tcPr>
          <w:p w14:paraId="7D900B9A">
            <w:pPr>
              <w:autoSpaceDN w:val="0"/>
              <w:spacing w:line="240" w:lineRule="auto"/>
              <w:ind w:firstLine="0" w:firstLineChars="0"/>
              <w:jc w:val="center"/>
              <w:textAlignment w:val="center"/>
              <w:rPr>
                <w:rFonts w:hint="default" w:ascii="Times New Roman" w:hAnsi="Times New Roman" w:eastAsia="仿宋_GB2312" w:cs="Times New Roman"/>
                <w:color w:val="FF0000"/>
                <w:kern w:val="0"/>
                <w:sz w:val="21"/>
                <w:szCs w:val="21"/>
                <w:lang w:val="en-US" w:eastAsia="zh-CN" w:bidi="ar-SA"/>
              </w:rPr>
            </w:pPr>
            <w:r>
              <w:rPr>
                <w:rFonts w:hint="default" w:ascii="Times New Roman" w:hAnsi="Times New Roman" w:eastAsia="仿宋_GB2312" w:cs="Times New Roman"/>
                <w:color w:val="auto"/>
                <w:kern w:val="0"/>
                <w:sz w:val="21"/>
                <w:szCs w:val="21"/>
                <w:lang w:val="en-US" w:eastAsia="zh-CN"/>
              </w:rPr>
              <w:t>628306</w:t>
            </w:r>
          </w:p>
        </w:tc>
        <w:tc>
          <w:tcPr>
            <w:tcW w:w="1581" w:type="dxa"/>
            <w:noWrap w:val="0"/>
            <w:vAlign w:val="center"/>
          </w:tcPr>
          <w:p w14:paraId="5E4B299E">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邮编</w:t>
            </w:r>
          </w:p>
        </w:tc>
        <w:tc>
          <w:tcPr>
            <w:tcW w:w="2256" w:type="dxa"/>
            <w:noWrap w:val="0"/>
            <w:vAlign w:val="center"/>
          </w:tcPr>
          <w:p w14:paraId="56BBE51F">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628316</w:t>
            </w:r>
          </w:p>
        </w:tc>
      </w:tr>
      <w:tr w14:paraId="2720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363" w:type="dxa"/>
            <w:gridSpan w:val="2"/>
            <w:noWrap w:val="0"/>
            <w:vAlign w:val="center"/>
          </w:tcPr>
          <w:p w14:paraId="12EDCED9">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联系人及电话</w:t>
            </w:r>
          </w:p>
        </w:tc>
        <w:tc>
          <w:tcPr>
            <w:tcW w:w="3060" w:type="dxa"/>
            <w:gridSpan w:val="2"/>
            <w:noWrap w:val="0"/>
            <w:vAlign w:val="center"/>
          </w:tcPr>
          <w:p w14:paraId="13CB8060">
            <w:pPr>
              <w:ind w:firstLine="210" w:firstLineChars="100"/>
              <w:jc w:val="center"/>
              <w:rPr>
                <w:rFonts w:hint="default" w:ascii="Times New Roman" w:hAnsi="Times New Roman" w:eastAsia="仿宋_GB2312" w:cs="Times New Roman"/>
                <w:color w:val="FF0000"/>
                <w:kern w:val="0"/>
                <w:sz w:val="21"/>
                <w:szCs w:val="21"/>
                <w:lang w:val="en-US" w:eastAsia="zh-CN" w:bidi="ar-SA"/>
              </w:rPr>
            </w:pPr>
            <w:r>
              <w:rPr>
                <w:rFonts w:hint="default" w:ascii="Times New Roman" w:hAnsi="Times New Roman" w:eastAsia="仿宋_GB2312" w:cs="Times New Roman"/>
                <w:color w:val="auto"/>
                <w:kern w:val="0"/>
                <w:sz w:val="21"/>
                <w:szCs w:val="21"/>
                <w:lang w:val="en-US" w:eastAsia="zh-CN"/>
              </w:rPr>
              <w:t>马云强</w:t>
            </w:r>
            <w:r>
              <w:rPr>
                <w:rFonts w:hint="default" w:ascii="Times New Roman" w:hAnsi="Times New Roman" w:eastAsia="仿宋_GB2312" w:cs="Times New Roman"/>
                <w:color w:val="auto"/>
                <w:kern w:val="0"/>
                <w:sz w:val="21"/>
                <w:szCs w:val="21"/>
              </w:rPr>
              <w:t>/</w:t>
            </w:r>
            <w:r>
              <w:rPr>
                <w:rFonts w:hint="default" w:ascii="Times New Roman" w:hAnsi="Times New Roman" w:eastAsia="仿宋_GB2312" w:cs="Times New Roman"/>
                <w:color w:val="auto"/>
                <w:sz w:val="21"/>
                <w:szCs w:val="21"/>
                <w:lang w:val="en-US" w:eastAsia="zh-CN"/>
              </w:rPr>
              <w:t>0839-3505934</w:t>
            </w:r>
          </w:p>
        </w:tc>
        <w:tc>
          <w:tcPr>
            <w:tcW w:w="1581" w:type="dxa"/>
            <w:noWrap w:val="0"/>
            <w:vAlign w:val="center"/>
          </w:tcPr>
          <w:p w14:paraId="23CE1022">
            <w:pPr>
              <w:tabs>
                <w:tab w:val="left" w:pos="7806"/>
              </w:tabs>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联系人及电话</w:t>
            </w:r>
          </w:p>
        </w:tc>
        <w:tc>
          <w:tcPr>
            <w:tcW w:w="2256" w:type="dxa"/>
            <w:noWrap w:val="0"/>
            <w:vAlign w:val="center"/>
          </w:tcPr>
          <w:p w14:paraId="4405A755">
            <w:pPr>
              <w:tabs>
                <w:tab w:val="left" w:pos="7806"/>
              </w:tabs>
              <w:jc w:val="both"/>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岳超飞/ 0839-6445039</w:t>
            </w:r>
          </w:p>
        </w:tc>
      </w:tr>
      <w:tr w14:paraId="36A9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363" w:type="dxa"/>
            <w:gridSpan w:val="2"/>
            <w:noWrap w:val="0"/>
            <w:vAlign w:val="center"/>
          </w:tcPr>
          <w:p w14:paraId="62E245C6">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电子信箱</w:t>
            </w:r>
          </w:p>
        </w:tc>
        <w:tc>
          <w:tcPr>
            <w:tcW w:w="3060" w:type="dxa"/>
            <w:gridSpan w:val="2"/>
            <w:noWrap w:val="0"/>
            <w:vAlign w:val="center"/>
          </w:tcPr>
          <w:p w14:paraId="246A0C9A">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kern w:val="0"/>
                <w:sz w:val="21"/>
                <w:szCs w:val="21"/>
                <w:lang w:val="en-US" w:eastAsia="zh-CN"/>
              </w:rPr>
              <w:t>273109914@qq.com</w:t>
            </w:r>
          </w:p>
        </w:tc>
        <w:tc>
          <w:tcPr>
            <w:tcW w:w="1581" w:type="dxa"/>
            <w:noWrap w:val="0"/>
            <w:vAlign w:val="center"/>
          </w:tcPr>
          <w:p w14:paraId="024FC7B0">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电子信箱</w:t>
            </w:r>
          </w:p>
        </w:tc>
        <w:tc>
          <w:tcPr>
            <w:tcW w:w="2256" w:type="dxa"/>
            <w:noWrap w:val="0"/>
            <w:vAlign w:val="center"/>
          </w:tcPr>
          <w:p w14:paraId="2B5F84BF">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w:t>
            </w:r>
          </w:p>
        </w:tc>
      </w:tr>
      <w:tr w14:paraId="63AD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363" w:type="dxa"/>
            <w:gridSpan w:val="2"/>
            <w:noWrap w:val="0"/>
            <w:vAlign w:val="center"/>
          </w:tcPr>
          <w:p w14:paraId="713666F2">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传真</w:t>
            </w:r>
          </w:p>
        </w:tc>
        <w:tc>
          <w:tcPr>
            <w:tcW w:w="3060" w:type="dxa"/>
            <w:gridSpan w:val="2"/>
            <w:noWrap w:val="0"/>
            <w:vAlign w:val="center"/>
          </w:tcPr>
          <w:p w14:paraId="04804ED2">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w:t>
            </w:r>
          </w:p>
        </w:tc>
        <w:tc>
          <w:tcPr>
            <w:tcW w:w="1581" w:type="dxa"/>
            <w:noWrap w:val="0"/>
            <w:vAlign w:val="center"/>
          </w:tcPr>
          <w:p w14:paraId="53FCE7D4">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传真</w:t>
            </w:r>
          </w:p>
        </w:tc>
        <w:tc>
          <w:tcPr>
            <w:tcW w:w="2256" w:type="dxa"/>
            <w:noWrap w:val="0"/>
            <w:vAlign w:val="center"/>
          </w:tcPr>
          <w:p w14:paraId="61A88EB1">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w:t>
            </w:r>
          </w:p>
        </w:tc>
      </w:tr>
    </w:tbl>
    <w:p w14:paraId="37D80E08">
      <w:pPr>
        <w:rPr>
          <w:rFonts w:hint="default" w:ascii="Times New Roman" w:hAnsi="Times New Roman" w:eastAsia="仿宋_GB2312" w:cs="Times New Roman"/>
          <w:color w:val="auto"/>
          <w:lang w:val="en-US" w:eastAsia="zh-CN"/>
        </w:rPr>
        <w:sectPr>
          <w:headerReference r:id="rId14" w:type="default"/>
          <w:footerReference r:id="rId15" w:type="default"/>
          <w:pgSz w:w="11906" w:h="16838"/>
          <w:pgMar w:top="1418" w:right="1418" w:bottom="1418" w:left="1418" w:header="851" w:footer="992" w:gutter="0"/>
          <w:pgBorders>
            <w:top w:val="none" w:sz="0" w:space="0"/>
            <w:left w:val="none" w:sz="0" w:space="0"/>
            <w:bottom w:val="none" w:sz="0" w:space="0"/>
            <w:right w:val="none" w:sz="0" w:space="0"/>
          </w:pgBorders>
          <w:pgNumType w:fmt="upperRoman"/>
          <w:cols w:space="720" w:num="1"/>
          <w:docGrid w:type="lines" w:linePitch="326" w:charSpace="0"/>
        </w:sectPr>
      </w:pPr>
    </w:p>
    <w:p w14:paraId="04252EB8">
      <w:pPr>
        <w:pStyle w:val="24"/>
        <w:keepNext/>
        <w:keepLines/>
        <w:pageBreakBefore w:val="0"/>
        <w:widowControl/>
        <w:kinsoku/>
        <w:wordWrap/>
        <w:overflowPunct/>
        <w:topLinePunct w:val="0"/>
        <w:autoSpaceDE/>
        <w:autoSpaceDN/>
        <w:bidi w:val="0"/>
        <w:adjustRightInd/>
        <w:snapToGrid/>
        <w:spacing w:before="0" w:line="360" w:lineRule="auto"/>
        <w:jc w:val="center"/>
        <w:textAlignment w:val="auto"/>
        <w:outlineLvl w:val="0"/>
        <w:rPr>
          <w:rFonts w:hint="default" w:ascii="Times New Roman" w:hAnsi="Times New Roman" w:eastAsia="黑体" w:cs="Times New Roman"/>
          <w:color w:val="auto"/>
          <w:sz w:val="32"/>
          <w:szCs w:val="32"/>
        </w:rPr>
      </w:pPr>
      <w:bookmarkStart w:id="0" w:name="_Toc863"/>
      <w:bookmarkStart w:id="1" w:name="_Toc18476"/>
      <w:bookmarkStart w:id="2" w:name="_Toc31835"/>
      <w:bookmarkStart w:id="3" w:name="_Toc27708"/>
      <w:bookmarkStart w:id="4" w:name="_Toc5689"/>
      <w:bookmarkStart w:id="5" w:name="_Toc12019"/>
      <w:bookmarkStart w:id="6" w:name="_Toc8365"/>
      <w:bookmarkStart w:id="7" w:name="_Toc5780"/>
      <w:bookmarkStart w:id="8" w:name="_Toc30070"/>
      <w:bookmarkStart w:id="9" w:name="_Toc11908"/>
      <w:bookmarkStart w:id="10" w:name="_Toc19245"/>
      <w:r>
        <w:rPr>
          <w:rFonts w:hint="default" w:ascii="Times New Roman" w:hAnsi="Times New Roman" w:eastAsia="黑体" w:cs="Times New Roman"/>
          <w:color w:val="auto"/>
          <w:sz w:val="32"/>
          <w:szCs w:val="32"/>
          <w:lang w:val="zh-CN"/>
        </w:rPr>
        <w:t>目录</w:t>
      </w:r>
      <w:bookmarkEnd w:id="0"/>
      <w:bookmarkEnd w:id="1"/>
      <w:bookmarkEnd w:id="2"/>
      <w:bookmarkEnd w:id="3"/>
      <w:bookmarkEnd w:id="4"/>
      <w:bookmarkEnd w:id="5"/>
      <w:bookmarkEnd w:id="6"/>
      <w:bookmarkEnd w:id="7"/>
      <w:bookmarkEnd w:id="8"/>
      <w:bookmarkEnd w:id="9"/>
      <w:bookmarkEnd w:id="10"/>
    </w:p>
    <w:p w14:paraId="43441D21">
      <w:pPr>
        <w:pStyle w:val="11"/>
        <w:tabs>
          <w:tab w:val="right" w:leader="dot" w:pos="9070"/>
        </w:tabs>
        <w:spacing w:line="360" w:lineRule="auto"/>
        <w:rPr>
          <w:rFonts w:hint="default" w:ascii="Times New Roman" w:hAnsi="Times New Roman" w:cs="Times New Roman"/>
          <w:sz w:val="28"/>
          <w:szCs w:val="28"/>
        </w:rPr>
      </w:pPr>
      <w:bookmarkStart w:id="11" w:name="_Toc21157"/>
      <w:bookmarkStart w:id="12" w:name="_Toc6429"/>
      <w:bookmarkStart w:id="13" w:name="_Toc14389"/>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TOC \o "1-2" \h \u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sz w:val="28"/>
          <w:szCs w:val="28"/>
        </w:rPr>
        <w:instrText xml:space="preserve"> HYPERLINK \l _Toc17875 </w:instrText>
      </w:r>
      <w:r>
        <w:rPr>
          <w:rFonts w:hint="default" w:ascii="Times New Roman" w:hAnsi="Times New Roman" w:eastAsia="仿宋_GB2312" w:cs="Times New Roman"/>
          <w:b/>
          <w:bCs/>
          <w:sz w:val="28"/>
          <w:szCs w:val="28"/>
        </w:rPr>
        <w:fldChar w:fldCharType="separate"/>
      </w:r>
      <w:r>
        <w:rPr>
          <w:rFonts w:hint="default" w:ascii="Times New Roman" w:hAnsi="Times New Roman" w:eastAsia="仿宋_GB2312" w:cs="Times New Roman"/>
          <w:b/>
          <w:bCs/>
          <w:sz w:val="28"/>
          <w:szCs w:val="28"/>
        </w:rPr>
        <w:t>1 综合说明</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_Toc17875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1</w:t>
      </w:r>
      <w:r>
        <w:rPr>
          <w:rFonts w:hint="default" w:ascii="Times New Roman" w:hAnsi="Times New Roman" w:cs="Times New Roman"/>
          <w:b/>
          <w:bCs/>
          <w:sz w:val="28"/>
          <w:szCs w:val="28"/>
        </w:rPr>
        <w:fldChar w:fldCharType="end"/>
      </w:r>
      <w:r>
        <w:rPr>
          <w:rFonts w:hint="default" w:ascii="Times New Roman" w:hAnsi="Times New Roman" w:eastAsia="仿宋_GB2312" w:cs="Times New Roman"/>
          <w:b/>
          <w:bCs/>
          <w:color w:val="auto"/>
          <w:sz w:val="28"/>
          <w:szCs w:val="28"/>
        </w:rPr>
        <w:fldChar w:fldCharType="end"/>
      </w:r>
    </w:p>
    <w:p w14:paraId="401FBD54">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_Toc13846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eastAsia="ar"/>
        </w:rPr>
        <w:t>1.1项目简况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_Toc13846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3AE30128">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_Toc14312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eastAsia="ar"/>
        </w:rPr>
        <w:t>1.2编制依据</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_Toc14312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3C1D7AA4">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_Toc7568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eastAsia="ar"/>
        </w:rPr>
        <w:t>1.3设计水平年</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_Toc7568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7</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3DB643CE">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_Toc17010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eastAsia="ar"/>
        </w:rPr>
        <w:t>1.4水土流失防治责任范围</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_Toc17010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7</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1A181F54">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_Toc19625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eastAsia="ar"/>
        </w:rPr>
        <w:t>1.5水土流失防治目标</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_Toc19625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8</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79CFB998">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_Toc5151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val="en-US" w:eastAsia="zh-CN"/>
        </w:rPr>
        <w:t>1.6项目水土保持评价结论</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_Toc5151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11</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0AB25140">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_Toc22877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val="en-US" w:eastAsia="zh-CN"/>
        </w:rPr>
        <w:t>1.7 水土流失调查结果</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_Toc22877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11</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31C5CF67">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_Toc3315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val="en-US" w:eastAsia="zh-CN"/>
        </w:rPr>
        <w:t>1.8 水土保持措施布设成果</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_Toc3315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11</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307489F7">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_Toc9646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val="en-US" w:eastAsia="zh-CN"/>
        </w:rPr>
        <w:t>1.9 水土保持监测方案</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_Toc9646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12</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31FC03BA">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_Toc18612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val="en-US" w:eastAsia="zh-CN"/>
        </w:rPr>
        <w:t>1.10 水土保持投资及效益分析成果</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_Toc18612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12</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19B9B2D2">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_Toc16625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val="en-US" w:eastAsia="zh-CN"/>
        </w:rPr>
        <w:t>1.11 结论</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_Toc16625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13</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11CD71CB">
      <w:pPr>
        <w:pStyle w:val="11"/>
        <w:tabs>
          <w:tab w:val="right" w:leader="dot" w:pos="9070"/>
        </w:tabs>
        <w:spacing w:line="360" w:lineRule="auto"/>
        <w:rPr>
          <w:rFonts w:hint="default" w:ascii="Times New Roman" w:hAnsi="Times New Roman" w:cs="Times New Roman"/>
          <w:b/>
          <w:bCs/>
          <w:sz w:val="28"/>
          <w:szCs w:val="28"/>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sz w:val="28"/>
          <w:szCs w:val="28"/>
        </w:rPr>
        <w:instrText xml:space="preserve"> HYPERLINK \l _Toc31099 </w:instrText>
      </w:r>
      <w:r>
        <w:rPr>
          <w:rFonts w:hint="default" w:ascii="Times New Roman" w:hAnsi="Times New Roman" w:eastAsia="仿宋_GB2312" w:cs="Times New Roman"/>
          <w:b/>
          <w:bCs/>
          <w:sz w:val="28"/>
          <w:szCs w:val="28"/>
        </w:rPr>
        <w:fldChar w:fldCharType="separate"/>
      </w:r>
      <w:r>
        <w:rPr>
          <w:rFonts w:hint="default" w:ascii="Times New Roman" w:hAnsi="Times New Roman" w:eastAsia="仿宋_GB2312" w:cs="Times New Roman"/>
          <w:b/>
          <w:bCs/>
          <w:sz w:val="28"/>
          <w:szCs w:val="28"/>
        </w:rPr>
        <w:t>2 项目概况</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_Toc31099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14</w:t>
      </w:r>
      <w:r>
        <w:rPr>
          <w:rFonts w:hint="default" w:ascii="Times New Roman" w:hAnsi="Times New Roman" w:cs="Times New Roman"/>
          <w:b/>
          <w:bCs/>
          <w:sz w:val="28"/>
          <w:szCs w:val="28"/>
        </w:rPr>
        <w:fldChar w:fldCharType="end"/>
      </w:r>
      <w:r>
        <w:rPr>
          <w:rFonts w:hint="default" w:ascii="Times New Roman" w:hAnsi="Times New Roman" w:eastAsia="仿宋_GB2312" w:cs="Times New Roman"/>
          <w:b/>
          <w:bCs/>
          <w:color w:val="auto"/>
          <w:sz w:val="28"/>
          <w:szCs w:val="28"/>
        </w:rPr>
        <w:fldChar w:fldCharType="end"/>
      </w:r>
    </w:p>
    <w:p w14:paraId="3C7CBE31">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_Toc23690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val="en-US" w:eastAsia="ar"/>
        </w:rPr>
        <w:t>2.1项目</w:t>
      </w:r>
      <w:r>
        <w:rPr>
          <w:rFonts w:hint="default" w:ascii="Times New Roman" w:hAnsi="Times New Roman" w:eastAsia="仿宋_GB2312" w:cs="Times New Roman"/>
          <w:bCs/>
          <w:sz w:val="28"/>
          <w:szCs w:val="28"/>
          <w:lang w:val="en-US" w:eastAsia="zh-CN"/>
        </w:rPr>
        <w:t>组成及工程布置</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_Toc23690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15</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06339B7F">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_Toc31752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val="en-US" w:eastAsia="zh-CN"/>
        </w:rPr>
        <w:t>2.2施工组织</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_Toc31752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16</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5B397CAF">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_Toc14201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val="en-US" w:eastAsia="zh-CN"/>
        </w:rPr>
        <w:t>2.3工程占地</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_Toc14201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17</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17AB5333">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_Toc7060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val="en-US" w:eastAsia="ar"/>
        </w:rPr>
        <w:t>2.</w:t>
      </w:r>
      <w:r>
        <w:rPr>
          <w:rFonts w:hint="default" w:ascii="Times New Roman" w:hAnsi="Times New Roman" w:eastAsia="仿宋_GB2312" w:cs="Times New Roman"/>
          <w:bCs/>
          <w:sz w:val="28"/>
          <w:szCs w:val="28"/>
          <w:lang w:val="en-US" w:eastAsia="zh-CN"/>
        </w:rPr>
        <w:t>4</w:t>
      </w:r>
      <w:r>
        <w:rPr>
          <w:rFonts w:hint="default" w:ascii="Times New Roman" w:hAnsi="Times New Roman" w:eastAsia="仿宋_GB2312" w:cs="Times New Roman"/>
          <w:bCs/>
          <w:sz w:val="28"/>
          <w:szCs w:val="28"/>
          <w:lang w:val="en-US" w:eastAsia="ar"/>
        </w:rPr>
        <w:t>土石方平衡</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_Toc7060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18</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118F0546">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_Toc16234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eastAsia="ar"/>
        </w:rPr>
        <w:t>2.</w:t>
      </w:r>
      <w:r>
        <w:rPr>
          <w:rFonts w:hint="default" w:ascii="Times New Roman" w:hAnsi="Times New Roman" w:eastAsia="仿宋_GB2312" w:cs="Times New Roman"/>
          <w:bCs/>
          <w:sz w:val="28"/>
          <w:szCs w:val="28"/>
          <w:lang w:val="en-US" w:eastAsia="zh-CN"/>
        </w:rPr>
        <w:t>5</w:t>
      </w:r>
      <w:r>
        <w:rPr>
          <w:rFonts w:hint="default" w:ascii="Times New Roman" w:hAnsi="Times New Roman" w:eastAsia="仿宋_GB2312" w:cs="Times New Roman"/>
          <w:bCs/>
          <w:sz w:val="28"/>
          <w:szCs w:val="28"/>
          <w:lang w:eastAsia="ar"/>
        </w:rPr>
        <w:t>拆迁</w:t>
      </w:r>
      <w:r>
        <w:rPr>
          <w:rFonts w:hint="default" w:ascii="Times New Roman" w:hAnsi="Times New Roman" w:eastAsia="仿宋_GB2312" w:cs="Times New Roman"/>
          <w:bCs/>
          <w:sz w:val="28"/>
          <w:szCs w:val="28"/>
          <w:lang w:eastAsia="zh-CN"/>
        </w:rPr>
        <w:t>（移民）</w:t>
      </w:r>
      <w:r>
        <w:rPr>
          <w:rFonts w:hint="default" w:ascii="Times New Roman" w:hAnsi="Times New Roman" w:eastAsia="仿宋_GB2312" w:cs="Times New Roman"/>
          <w:bCs/>
          <w:sz w:val="28"/>
          <w:szCs w:val="28"/>
          <w:lang w:eastAsia="ar"/>
        </w:rPr>
        <w:t>安置</w:t>
      </w:r>
      <w:r>
        <w:rPr>
          <w:rFonts w:hint="default" w:ascii="Times New Roman" w:hAnsi="Times New Roman" w:eastAsia="仿宋_GB2312" w:cs="Times New Roman"/>
          <w:bCs/>
          <w:sz w:val="28"/>
          <w:szCs w:val="28"/>
          <w:lang w:eastAsia="zh-CN"/>
        </w:rPr>
        <w:t>及专项设施改（迁）建</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_Toc16234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19</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2AFE6640">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_Toc26919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eastAsia="ar"/>
        </w:rPr>
        <w:t>2.</w:t>
      </w:r>
      <w:r>
        <w:rPr>
          <w:rFonts w:hint="default" w:ascii="Times New Roman" w:hAnsi="Times New Roman" w:eastAsia="仿宋_GB2312" w:cs="Times New Roman"/>
          <w:bCs/>
          <w:sz w:val="28"/>
          <w:szCs w:val="28"/>
          <w:lang w:val="en-US" w:eastAsia="zh-CN"/>
        </w:rPr>
        <w:t>6</w:t>
      </w:r>
      <w:r>
        <w:rPr>
          <w:rFonts w:hint="default" w:ascii="Times New Roman" w:hAnsi="Times New Roman" w:eastAsia="仿宋_GB2312" w:cs="Times New Roman"/>
          <w:bCs/>
          <w:sz w:val="28"/>
          <w:szCs w:val="28"/>
          <w:lang w:eastAsia="ar"/>
        </w:rPr>
        <w:t>工程进度</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_Toc26919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19</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52B83F90">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_Toc23331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val="en-US" w:eastAsia="zh-CN"/>
        </w:rPr>
        <w:t>2.7自然概况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_Toc23331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19</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20A41A69">
      <w:pPr>
        <w:pStyle w:val="11"/>
        <w:tabs>
          <w:tab w:val="right" w:leader="dot" w:pos="9070"/>
        </w:tabs>
        <w:spacing w:line="360" w:lineRule="auto"/>
        <w:rPr>
          <w:rFonts w:hint="default" w:ascii="Times New Roman" w:hAnsi="Times New Roman" w:cs="Times New Roman"/>
          <w:b/>
          <w:bCs/>
          <w:sz w:val="28"/>
          <w:szCs w:val="28"/>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sz w:val="28"/>
          <w:szCs w:val="28"/>
        </w:rPr>
        <w:instrText xml:space="preserve"> HYPERLINK \l _Toc27335 </w:instrText>
      </w:r>
      <w:r>
        <w:rPr>
          <w:rFonts w:hint="default" w:ascii="Times New Roman" w:hAnsi="Times New Roman" w:eastAsia="仿宋_GB2312" w:cs="Times New Roman"/>
          <w:b/>
          <w:bCs/>
          <w:sz w:val="28"/>
          <w:szCs w:val="28"/>
        </w:rPr>
        <w:fldChar w:fldCharType="separate"/>
      </w:r>
      <w:r>
        <w:rPr>
          <w:rFonts w:hint="default" w:ascii="Times New Roman" w:hAnsi="Times New Roman" w:eastAsia="仿宋_GB2312" w:cs="Times New Roman"/>
          <w:b/>
          <w:bCs/>
          <w:sz w:val="28"/>
          <w:szCs w:val="28"/>
        </w:rPr>
        <w:t xml:space="preserve">3 </w:t>
      </w:r>
      <w:r>
        <w:rPr>
          <w:rFonts w:hint="default" w:ascii="Times New Roman" w:hAnsi="Times New Roman" w:eastAsia="仿宋_GB2312" w:cs="Times New Roman"/>
          <w:b/>
          <w:bCs/>
          <w:sz w:val="28"/>
          <w:szCs w:val="28"/>
          <w:lang w:eastAsia="zh-CN"/>
        </w:rPr>
        <w:t>项目</w:t>
      </w:r>
      <w:r>
        <w:rPr>
          <w:rFonts w:hint="default" w:ascii="Times New Roman" w:hAnsi="Times New Roman" w:eastAsia="仿宋_GB2312" w:cs="Times New Roman"/>
          <w:b/>
          <w:bCs/>
          <w:sz w:val="28"/>
          <w:szCs w:val="28"/>
        </w:rPr>
        <w:t>水土保持评价</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_Toc27335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24</w:t>
      </w:r>
      <w:r>
        <w:rPr>
          <w:rFonts w:hint="default" w:ascii="Times New Roman" w:hAnsi="Times New Roman" w:cs="Times New Roman"/>
          <w:b/>
          <w:bCs/>
          <w:sz w:val="28"/>
          <w:szCs w:val="28"/>
        </w:rPr>
        <w:fldChar w:fldCharType="end"/>
      </w:r>
      <w:r>
        <w:rPr>
          <w:rFonts w:hint="default" w:ascii="Times New Roman" w:hAnsi="Times New Roman" w:eastAsia="仿宋_GB2312" w:cs="Times New Roman"/>
          <w:b/>
          <w:bCs/>
          <w:color w:val="auto"/>
          <w:sz w:val="28"/>
          <w:szCs w:val="28"/>
        </w:rPr>
        <w:fldChar w:fldCharType="end"/>
      </w:r>
    </w:p>
    <w:p w14:paraId="435189EB">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_Toc12677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eastAsia="ar"/>
        </w:rPr>
        <w:t>3.1</w:t>
      </w:r>
      <w:r>
        <w:rPr>
          <w:rFonts w:hint="default" w:ascii="Times New Roman" w:hAnsi="Times New Roman" w:eastAsia="仿宋_GB2312" w:cs="Times New Roman"/>
          <w:kern w:val="24"/>
          <w:sz w:val="28"/>
          <w:szCs w:val="28"/>
          <w:highlight w:val="none"/>
          <w:lang w:val="en-US" w:eastAsia="zh-CN" w:bidi="ar"/>
        </w:rPr>
        <w:t>主体</w:t>
      </w:r>
      <w:r>
        <w:rPr>
          <w:rFonts w:hint="default" w:ascii="Times New Roman" w:hAnsi="Times New Roman" w:eastAsia="仿宋_GB2312" w:cs="Times New Roman"/>
          <w:kern w:val="24"/>
          <w:sz w:val="28"/>
          <w:szCs w:val="28"/>
          <w:highlight w:val="none"/>
          <w:lang w:eastAsia="ar" w:bidi="ar"/>
        </w:rPr>
        <w:t>工程选址</w:t>
      </w:r>
      <w:r>
        <w:rPr>
          <w:rFonts w:hint="default" w:ascii="Times New Roman" w:hAnsi="Times New Roman" w:eastAsia="仿宋_GB2312" w:cs="Times New Roman"/>
          <w:kern w:val="24"/>
          <w:sz w:val="28"/>
          <w:szCs w:val="28"/>
          <w:highlight w:val="none"/>
          <w:lang w:val="en-US" w:eastAsia="zh-CN" w:bidi="ar"/>
        </w:rPr>
        <w:t>水土保持</w:t>
      </w:r>
      <w:r>
        <w:rPr>
          <w:rFonts w:hint="default" w:ascii="Times New Roman" w:hAnsi="Times New Roman" w:eastAsia="仿宋_GB2312" w:cs="Times New Roman"/>
          <w:kern w:val="24"/>
          <w:sz w:val="28"/>
          <w:szCs w:val="28"/>
          <w:highlight w:val="none"/>
          <w:lang w:eastAsia="ar" w:bidi="ar"/>
        </w:rPr>
        <w:t>评价</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_Toc12677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24</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08B68399">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_Toc18683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eastAsia="ar"/>
        </w:rPr>
        <w:t>3.2</w:t>
      </w:r>
      <w:r>
        <w:rPr>
          <w:rFonts w:hint="default" w:ascii="Times New Roman" w:hAnsi="Times New Roman" w:eastAsia="仿宋_GB2312" w:cs="Times New Roman"/>
          <w:bCs/>
          <w:sz w:val="28"/>
          <w:szCs w:val="28"/>
          <w:lang w:val="en-US" w:eastAsia="zh-CN"/>
        </w:rPr>
        <w:t xml:space="preserve"> 建设方案与布局水土保持</w:t>
      </w:r>
      <w:r>
        <w:rPr>
          <w:rFonts w:hint="default" w:ascii="Times New Roman" w:hAnsi="Times New Roman" w:eastAsia="仿宋_GB2312" w:cs="Times New Roman"/>
          <w:bCs/>
          <w:sz w:val="28"/>
          <w:szCs w:val="28"/>
          <w:lang w:eastAsia="ar"/>
        </w:rPr>
        <w:t>评价</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_Toc18683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25</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634071FA">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_Toc6527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val="en-US" w:eastAsia="ar"/>
        </w:rPr>
        <w:t>3.</w:t>
      </w:r>
      <w:r>
        <w:rPr>
          <w:rFonts w:hint="default" w:ascii="Times New Roman" w:hAnsi="Times New Roman" w:eastAsia="仿宋_GB2312" w:cs="Times New Roman"/>
          <w:bCs/>
          <w:sz w:val="28"/>
          <w:szCs w:val="28"/>
          <w:lang w:val="en-US" w:eastAsia="zh-CN"/>
        </w:rPr>
        <w:t>3 主体工程设计中水土保持措施界定</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_Toc6527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29</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5AC95004">
      <w:pPr>
        <w:pStyle w:val="11"/>
        <w:tabs>
          <w:tab w:val="right" w:leader="dot" w:pos="9070"/>
        </w:tabs>
        <w:spacing w:line="360" w:lineRule="auto"/>
        <w:rPr>
          <w:rFonts w:hint="default" w:ascii="Times New Roman" w:hAnsi="Times New Roman" w:cs="Times New Roman"/>
          <w:b/>
          <w:bCs/>
          <w:sz w:val="28"/>
          <w:szCs w:val="28"/>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sz w:val="28"/>
          <w:szCs w:val="28"/>
        </w:rPr>
        <w:instrText xml:space="preserve"> HYPERLINK \l _Toc5485 </w:instrText>
      </w:r>
      <w:r>
        <w:rPr>
          <w:rFonts w:hint="default" w:ascii="Times New Roman" w:hAnsi="Times New Roman" w:eastAsia="仿宋_GB2312" w:cs="Times New Roman"/>
          <w:b/>
          <w:bCs/>
          <w:sz w:val="28"/>
          <w:szCs w:val="28"/>
        </w:rPr>
        <w:fldChar w:fldCharType="separate"/>
      </w:r>
      <w:r>
        <w:rPr>
          <w:rFonts w:hint="default" w:ascii="Times New Roman" w:hAnsi="Times New Roman" w:eastAsia="仿宋_GB2312" w:cs="Times New Roman"/>
          <w:b/>
          <w:bCs/>
          <w:sz w:val="28"/>
          <w:szCs w:val="28"/>
          <w:lang w:val="en-US" w:eastAsia="zh-CN"/>
        </w:rPr>
        <w:t>4 水土流失分析与调查</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_Toc5485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30</w:t>
      </w:r>
      <w:r>
        <w:rPr>
          <w:rFonts w:hint="default" w:ascii="Times New Roman" w:hAnsi="Times New Roman" w:cs="Times New Roman"/>
          <w:b/>
          <w:bCs/>
          <w:sz w:val="28"/>
          <w:szCs w:val="28"/>
        </w:rPr>
        <w:fldChar w:fldCharType="end"/>
      </w:r>
      <w:r>
        <w:rPr>
          <w:rFonts w:hint="default" w:ascii="Times New Roman" w:hAnsi="Times New Roman" w:eastAsia="仿宋_GB2312" w:cs="Times New Roman"/>
          <w:b/>
          <w:bCs/>
          <w:color w:val="auto"/>
          <w:sz w:val="28"/>
          <w:szCs w:val="28"/>
        </w:rPr>
        <w:fldChar w:fldCharType="end"/>
      </w:r>
    </w:p>
    <w:p w14:paraId="315DD899">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_Toc673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eastAsia="ar"/>
        </w:rPr>
        <w:t>4.1水土流失现状</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30</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3B5EE604">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_Toc23487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eastAsia="ar"/>
        </w:rPr>
        <w:t>4.2</w:t>
      </w:r>
      <w:r>
        <w:rPr>
          <w:rFonts w:hint="default" w:ascii="Times New Roman" w:hAnsi="Times New Roman" w:eastAsia="仿宋_GB2312" w:cs="Times New Roman"/>
          <w:sz w:val="28"/>
          <w:szCs w:val="28"/>
        </w:rPr>
        <w:t>水土流失影响因素分析</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_Toc23487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31</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2AF6EB7A">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_Toc25387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eastAsia="ar"/>
        </w:rPr>
        <w:t>4.</w:t>
      </w:r>
      <w:r>
        <w:rPr>
          <w:rFonts w:hint="default" w:ascii="Times New Roman" w:hAnsi="Times New Roman" w:cs="Times New Roman"/>
          <w:bCs/>
          <w:sz w:val="28"/>
          <w:szCs w:val="28"/>
          <w:lang w:val="en-US" w:eastAsia="zh-CN"/>
        </w:rPr>
        <w:t>3</w:t>
      </w:r>
      <w:r>
        <w:rPr>
          <w:rFonts w:hint="default" w:ascii="Times New Roman" w:hAnsi="Times New Roman" w:eastAsia="仿宋_GB2312" w:cs="Times New Roman"/>
          <w:bCs/>
          <w:sz w:val="28"/>
          <w:szCs w:val="28"/>
          <w:lang w:eastAsia="ar"/>
        </w:rPr>
        <w:t>土壤流失量</w:t>
      </w:r>
      <w:r>
        <w:rPr>
          <w:rFonts w:hint="default" w:ascii="Times New Roman" w:hAnsi="Times New Roman" w:eastAsia="仿宋_GB2312" w:cs="Times New Roman"/>
          <w:bCs/>
          <w:sz w:val="28"/>
          <w:szCs w:val="28"/>
          <w:lang w:eastAsia="zh-CN"/>
        </w:rPr>
        <w:t>调查</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_Toc25387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32</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01886402">
      <w:pPr>
        <w:pStyle w:val="11"/>
        <w:tabs>
          <w:tab w:val="right" w:leader="dot" w:pos="9070"/>
        </w:tabs>
        <w:spacing w:line="360" w:lineRule="auto"/>
        <w:rPr>
          <w:rFonts w:hint="default" w:ascii="Times New Roman" w:hAnsi="Times New Roman" w:cs="Times New Roman"/>
          <w:b/>
          <w:bCs/>
          <w:sz w:val="28"/>
          <w:szCs w:val="28"/>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sz w:val="28"/>
          <w:szCs w:val="28"/>
        </w:rPr>
        <w:instrText xml:space="preserve"> HYPERLINK \l _Toc30146 </w:instrText>
      </w:r>
      <w:r>
        <w:rPr>
          <w:rFonts w:hint="default" w:ascii="Times New Roman" w:hAnsi="Times New Roman" w:eastAsia="仿宋_GB2312" w:cs="Times New Roman"/>
          <w:b/>
          <w:bCs/>
          <w:sz w:val="28"/>
          <w:szCs w:val="28"/>
        </w:rPr>
        <w:fldChar w:fldCharType="separate"/>
      </w:r>
      <w:r>
        <w:rPr>
          <w:rFonts w:hint="default" w:ascii="Times New Roman" w:hAnsi="Times New Roman" w:eastAsia="仿宋_GB2312" w:cs="Times New Roman"/>
          <w:b/>
          <w:bCs/>
          <w:sz w:val="28"/>
          <w:szCs w:val="28"/>
          <w:lang w:val="en-US" w:eastAsia="zh-CN"/>
        </w:rPr>
        <w:t>5 水土流失防治目标及水土保持措施设计</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_Toc30146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37</w:t>
      </w:r>
      <w:r>
        <w:rPr>
          <w:rFonts w:hint="default" w:ascii="Times New Roman" w:hAnsi="Times New Roman" w:cs="Times New Roman"/>
          <w:b/>
          <w:bCs/>
          <w:sz w:val="28"/>
          <w:szCs w:val="28"/>
        </w:rPr>
        <w:fldChar w:fldCharType="end"/>
      </w:r>
      <w:r>
        <w:rPr>
          <w:rFonts w:hint="default" w:ascii="Times New Roman" w:hAnsi="Times New Roman" w:eastAsia="仿宋_GB2312" w:cs="Times New Roman"/>
          <w:b/>
          <w:bCs/>
          <w:color w:val="auto"/>
          <w:sz w:val="28"/>
          <w:szCs w:val="28"/>
        </w:rPr>
        <w:fldChar w:fldCharType="end"/>
      </w:r>
    </w:p>
    <w:p w14:paraId="524A5573">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_Toc24536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eastAsia="ar"/>
        </w:rPr>
        <w:t>5.1防治区划分</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_Toc24536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37</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1000F729">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_Toc9909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eastAsia="ar"/>
        </w:rPr>
        <w:t>5.2</w:t>
      </w:r>
      <w:r>
        <w:rPr>
          <w:rFonts w:hint="default" w:ascii="Times New Roman" w:hAnsi="Times New Roman" w:eastAsia="仿宋_GB2312" w:cs="Times New Roman"/>
          <w:bCs/>
          <w:sz w:val="28"/>
          <w:szCs w:val="28"/>
          <w:lang w:eastAsia="zh-CN"/>
        </w:rPr>
        <w:t>防治措施总体布局</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_Toc9909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37</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5AB244C0">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_Toc17071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kern w:val="2"/>
          <w:sz w:val="28"/>
          <w:szCs w:val="28"/>
          <w:lang w:val="en-US" w:eastAsia="zh-CN" w:bidi="ar-SA"/>
        </w:rPr>
        <w:t>5.3分区措施布设</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_Toc17071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38</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2E03FDAC">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_Toc23867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kern w:val="2"/>
          <w:sz w:val="28"/>
          <w:szCs w:val="28"/>
          <w:lang w:val="en-US" w:eastAsia="zh-CN" w:bidi="ar-SA"/>
        </w:rPr>
        <w:t xml:space="preserve">5.4 </w:t>
      </w:r>
      <w:r>
        <w:rPr>
          <w:rFonts w:hint="default" w:ascii="Times New Roman" w:hAnsi="Times New Roman" w:eastAsia="仿宋_GB2312" w:cs="Times New Roman"/>
          <w:kern w:val="0"/>
          <w:sz w:val="28"/>
          <w:szCs w:val="28"/>
          <w:lang w:val="en-US" w:eastAsia="zh-CN" w:bidi="ar"/>
        </w:rPr>
        <w:t>施工要求</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_Toc23867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39</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5D9ABC6B">
      <w:pPr>
        <w:pStyle w:val="11"/>
        <w:tabs>
          <w:tab w:val="right" w:leader="dot" w:pos="9070"/>
        </w:tabs>
        <w:spacing w:line="360" w:lineRule="auto"/>
        <w:rPr>
          <w:rFonts w:hint="default" w:ascii="Times New Roman" w:hAnsi="Times New Roman" w:cs="Times New Roman"/>
          <w:b/>
          <w:bCs/>
          <w:sz w:val="28"/>
          <w:szCs w:val="28"/>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sz w:val="28"/>
          <w:szCs w:val="28"/>
        </w:rPr>
        <w:instrText xml:space="preserve"> HYPERLINK \l _Toc16796 </w:instrText>
      </w:r>
      <w:r>
        <w:rPr>
          <w:rFonts w:hint="default" w:ascii="Times New Roman" w:hAnsi="Times New Roman" w:eastAsia="仿宋_GB2312" w:cs="Times New Roman"/>
          <w:b/>
          <w:bCs/>
          <w:sz w:val="28"/>
          <w:szCs w:val="28"/>
        </w:rPr>
        <w:fldChar w:fldCharType="separate"/>
      </w:r>
      <w:r>
        <w:rPr>
          <w:rFonts w:hint="default" w:ascii="Times New Roman" w:hAnsi="Times New Roman" w:eastAsia="仿宋_GB2312" w:cs="Times New Roman"/>
          <w:b/>
          <w:bCs/>
          <w:sz w:val="28"/>
          <w:szCs w:val="28"/>
          <w:lang w:val="en-US" w:eastAsia="zh-CN"/>
        </w:rPr>
        <w:t>6水土保持监测</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_Toc16796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44</w:t>
      </w:r>
      <w:r>
        <w:rPr>
          <w:rFonts w:hint="default" w:ascii="Times New Roman" w:hAnsi="Times New Roman" w:cs="Times New Roman"/>
          <w:b/>
          <w:bCs/>
          <w:sz w:val="28"/>
          <w:szCs w:val="28"/>
        </w:rPr>
        <w:fldChar w:fldCharType="end"/>
      </w:r>
      <w:r>
        <w:rPr>
          <w:rFonts w:hint="default" w:ascii="Times New Roman" w:hAnsi="Times New Roman" w:eastAsia="仿宋_GB2312" w:cs="Times New Roman"/>
          <w:b/>
          <w:bCs/>
          <w:color w:val="auto"/>
          <w:sz w:val="28"/>
          <w:szCs w:val="28"/>
        </w:rPr>
        <w:fldChar w:fldCharType="end"/>
      </w:r>
    </w:p>
    <w:p w14:paraId="3F9D23B6">
      <w:pPr>
        <w:pStyle w:val="11"/>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sz w:val="28"/>
          <w:szCs w:val="28"/>
        </w:rPr>
        <w:instrText xml:space="preserve"> HYPERLINK \l _Toc14876 </w:instrText>
      </w:r>
      <w:r>
        <w:rPr>
          <w:rFonts w:hint="default" w:ascii="Times New Roman" w:hAnsi="Times New Roman" w:eastAsia="仿宋_GB2312" w:cs="Times New Roman"/>
          <w:b/>
          <w:bCs/>
          <w:sz w:val="28"/>
          <w:szCs w:val="28"/>
        </w:rPr>
        <w:fldChar w:fldCharType="separate"/>
      </w:r>
      <w:r>
        <w:rPr>
          <w:rFonts w:hint="default" w:ascii="Times New Roman" w:hAnsi="Times New Roman" w:eastAsia="仿宋_GB2312" w:cs="Times New Roman"/>
          <w:b/>
          <w:bCs/>
          <w:sz w:val="28"/>
          <w:szCs w:val="28"/>
          <w:lang w:val="en-US" w:eastAsia="zh-CN"/>
        </w:rPr>
        <w:t>7 水土保持投资概算及效益分析</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_Toc14876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45</w:t>
      </w:r>
      <w:r>
        <w:rPr>
          <w:rFonts w:hint="default" w:ascii="Times New Roman" w:hAnsi="Times New Roman" w:cs="Times New Roman"/>
          <w:b/>
          <w:bCs/>
          <w:sz w:val="28"/>
          <w:szCs w:val="28"/>
        </w:rPr>
        <w:fldChar w:fldCharType="end"/>
      </w:r>
      <w:r>
        <w:rPr>
          <w:rFonts w:hint="default" w:ascii="Times New Roman" w:hAnsi="Times New Roman" w:eastAsia="仿宋_GB2312" w:cs="Times New Roman"/>
          <w:b/>
          <w:bCs/>
          <w:color w:val="auto"/>
          <w:sz w:val="28"/>
          <w:szCs w:val="28"/>
        </w:rPr>
        <w:fldChar w:fldCharType="end"/>
      </w:r>
    </w:p>
    <w:p w14:paraId="437F0975">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_Toc23206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eastAsia="ar"/>
        </w:rPr>
        <w:t>7.1.</w:t>
      </w:r>
      <w:r>
        <w:rPr>
          <w:rFonts w:hint="default" w:ascii="Times New Roman" w:hAnsi="Times New Roman" w:eastAsia="仿宋_GB2312" w:cs="Times New Roman"/>
          <w:bCs/>
          <w:sz w:val="28"/>
          <w:szCs w:val="28"/>
          <w:lang w:eastAsia="zh-CN"/>
        </w:rPr>
        <w:t>投资</w:t>
      </w:r>
      <w:r>
        <w:rPr>
          <w:rFonts w:hint="default" w:ascii="Times New Roman" w:hAnsi="Times New Roman" w:cs="Times New Roman"/>
          <w:bCs/>
          <w:sz w:val="28"/>
          <w:szCs w:val="28"/>
          <w:lang w:val="en-US" w:eastAsia="zh-CN"/>
        </w:rPr>
        <w:t>概</w:t>
      </w:r>
      <w:r>
        <w:rPr>
          <w:rFonts w:hint="default" w:ascii="Times New Roman" w:hAnsi="Times New Roman" w:eastAsia="仿宋_GB2312" w:cs="Times New Roman"/>
          <w:bCs/>
          <w:sz w:val="28"/>
          <w:szCs w:val="28"/>
          <w:lang w:eastAsia="zh-CN"/>
        </w:rPr>
        <w:t>算</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_Toc23206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45</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2DF337BA">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_Toc10778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eastAsia="ar"/>
        </w:rPr>
        <w:t>7.2.水土保持效益分析</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_Toc10778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54</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0BCC9A4F">
      <w:pPr>
        <w:pStyle w:val="11"/>
        <w:tabs>
          <w:tab w:val="right" w:leader="dot" w:pos="9070"/>
        </w:tabs>
        <w:spacing w:line="360" w:lineRule="auto"/>
        <w:rPr>
          <w:rFonts w:hint="default" w:ascii="Times New Roman" w:hAnsi="Times New Roman" w:cs="Times New Roman"/>
          <w:b/>
          <w:bCs/>
          <w:sz w:val="28"/>
          <w:szCs w:val="28"/>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sz w:val="28"/>
          <w:szCs w:val="28"/>
        </w:rPr>
        <w:instrText xml:space="preserve"> HYPERLINK \l _Toc31481 </w:instrText>
      </w:r>
      <w:r>
        <w:rPr>
          <w:rFonts w:hint="default" w:ascii="Times New Roman" w:hAnsi="Times New Roman" w:eastAsia="仿宋_GB2312" w:cs="Times New Roman"/>
          <w:b/>
          <w:bCs/>
          <w:sz w:val="28"/>
          <w:szCs w:val="28"/>
        </w:rPr>
        <w:fldChar w:fldCharType="separate"/>
      </w:r>
      <w:r>
        <w:rPr>
          <w:rFonts w:hint="default" w:ascii="Times New Roman" w:hAnsi="Times New Roman" w:eastAsia="仿宋_GB2312" w:cs="Times New Roman"/>
          <w:b/>
          <w:bCs/>
          <w:sz w:val="28"/>
          <w:szCs w:val="28"/>
          <w:lang w:val="en-US" w:eastAsia="zh-CN"/>
        </w:rPr>
        <w:t>8 结论与建议</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_Toc31481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58</w:t>
      </w:r>
      <w:r>
        <w:rPr>
          <w:rFonts w:hint="default" w:ascii="Times New Roman" w:hAnsi="Times New Roman" w:cs="Times New Roman"/>
          <w:b/>
          <w:bCs/>
          <w:sz w:val="28"/>
          <w:szCs w:val="28"/>
        </w:rPr>
        <w:fldChar w:fldCharType="end"/>
      </w:r>
      <w:r>
        <w:rPr>
          <w:rFonts w:hint="default" w:ascii="Times New Roman" w:hAnsi="Times New Roman" w:eastAsia="仿宋_GB2312" w:cs="Times New Roman"/>
          <w:b/>
          <w:bCs/>
          <w:color w:val="auto"/>
          <w:sz w:val="28"/>
          <w:szCs w:val="28"/>
        </w:rPr>
        <w:fldChar w:fldCharType="end"/>
      </w:r>
    </w:p>
    <w:p w14:paraId="021F8BAC">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_Toc4957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val="en-US" w:eastAsia="zh-CN"/>
        </w:rPr>
        <w:t>8.1 组织管理</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_Toc4957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58</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0523C293">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_Toc3871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val="en-US" w:eastAsia="zh-CN"/>
        </w:rPr>
        <w:t>8.2 后续设计</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_Toc3871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58</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6A0544C3">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_Toc23359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val="en-US" w:eastAsia="zh-CN"/>
        </w:rPr>
        <w:t>8.3 水土保持监测</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_Toc23359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58</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72BB3463">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_Toc19994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val="en-US" w:eastAsia="zh-CN"/>
        </w:rPr>
        <w:t>8.4</w:t>
      </w:r>
      <w:r>
        <w:rPr>
          <w:rFonts w:hint="eastAsia" w:eastAsia="仿宋_GB2312" w:cs="Times New Roman"/>
          <w:bCs/>
          <w:sz w:val="28"/>
          <w:szCs w:val="28"/>
          <w:lang w:val="en-US" w:eastAsia="zh-CN"/>
        </w:rPr>
        <w:t xml:space="preserve"> </w:t>
      </w:r>
      <w:r>
        <w:rPr>
          <w:rFonts w:hint="default" w:ascii="Times New Roman" w:hAnsi="Times New Roman" w:eastAsia="仿宋_GB2312" w:cs="Times New Roman"/>
          <w:bCs/>
          <w:sz w:val="28"/>
          <w:szCs w:val="28"/>
          <w:lang w:val="en-US" w:eastAsia="zh-CN"/>
        </w:rPr>
        <w:t>水土保持监理</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_Toc19994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58</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015533BF">
      <w:pPr>
        <w:pStyle w:val="14"/>
        <w:tabs>
          <w:tab w:val="right" w:leader="dot" w:pos="9070"/>
        </w:tabs>
        <w:spacing w:line="360" w:lineRule="auto"/>
        <w:rPr>
          <w:rFonts w:hint="default" w:ascii="Times New Roman" w:hAnsi="Times New Roman" w:cs="Times New Roman"/>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_Toc28549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val="en-US" w:eastAsia="zh-CN"/>
        </w:rPr>
        <w:t>8.5</w:t>
      </w:r>
      <w:r>
        <w:rPr>
          <w:rFonts w:hint="eastAsia" w:eastAsia="仿宋_GB2312" w:cs="Times New Roman"/>
          <w:bCs/>
          <w:sz w:val="28"/>
          <w:szCs w:val="28"/>
          <w:lang w:val="en-US" w:eastAsia="zh-CN"/>
        </w:rPr>
        <w:t xml:space="preserve"> </w:t>
      </w:r>
      <w:r>
        <w:rPr>
          <w:rFonts w:hint="default" w:ascii="Times New Roman" w:hAnsi="Times New Roman" w:eastAsia="仿宋_GB2312" w:cs="Times New Roman"/>
          <w:bCs/>
          <w:sz w:val="28"/>
          <w:szCs w:val="28"/>
          <w:lang w:val="en-US" w:eastAsia="zh-CN"/>
        </w:rPr>
        <w:t>水土保持施工</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_Toc28549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59</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70E99A02">
      <w:pPr>
        <w:pStyle w:val="14"/>
        <w:tabs>
          <w:tab w:val="right" w:leader="dot" w:pos="9070"/>
        </w:tabs>
        <w:spacing w:line="360" w:lineRule="auto"/>
        <w:rPr>
          <w:rFonts w:hint="default" w:ascii="Times New Roman" w:hAnsi="Times New Roman" w:cs="Times New Roma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sz w:val="28"/>
          <w:szCs w:val="28"/>
        </w:rPr>
        <w:instrText xml:space="preserve"> HYPERLINK \l _Toc24130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sz w:val="28"/>
          <w:szCs w:val="28"/>
          <w:lang w:val="en-US" w:eastAsia="zh-CN"/>
        </w:rPr>
        <w:t>8.6</w:t>
      </w:r>
      <w:r>
        <w:rPr>
          <w:rFonts w:hint="eastAsia" w:eastAsia="仿宋_GB2312" w:cs="Times New Roman"/>
          <w:bCs/>
          <w:sz w:val="28"/>
          <w:szCs w:val="28"/>
          <w:lang w:val="en-US" w:eastAsia="zh-CN"/>
        </w:rPr>
        <w:t xml:space="preserve"> </w:t>
      </w:r>
      <w:r>
        <w:rPr>
          <w:rFonts w:hint="default" w:ascii="Times New Roman" w:hAnsi="Times New Roman" w:eastAsia="仿宋_GB2312" w:cs="Times New Roman"/>
          <w:bCs/>
          <w:sz w:val="28"/>
          <w:szCs w:val="28"/>
          <w:lang w:val="en-US" w:eastAsia="zh-CN"/>
        </w:rPr>
        <w:t>水土保持设施验收</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_Toc24130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59</w:t>
      </w:r>
      <w:r>
        <w:rPr>
          <w:rFonts w:hint="default" w:ascii="Times New Roman" w:hAnsi="Times New Roman" w:cs="Times New Roman"/>
          <w:sz w:val="28"/>
          <w:szCs w:val="28"/>
        </w:rPr>
        <w:fldChar w:fldCharType="end"/>
      </w:r>
      <w:r>
        <w:rPr>
          <w:rFonts w:hint="default" w:ascii="Times New Roman" w:hAnsi="Times New Roman" w:eastAsia="仿宋_GB2312" w:cs="Times New Roman"/>
          <w:color w:val="auto"/>
          <w:sz w:val="28"/>
          <w:szCs w:val="28"/>
        </w:rPr>
        <w:fldChar w:fldCharType="end"/>
      </w:r>
    </w:p>
    <w:p w14:paraId="282CE405">
      <w:pP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Cs w:val="28"/>
        </w:rPr>
        <w:fldChar w:fldCharType="end"/>
      </w:r>
    </w:p>
    <w:p w14:paraId="1A223FEB">
      <w:pPr>
        <w:rPr>
          <w:rFonts w:hint="default" w:ascii="Times New Roman" w:hAnsi="Times New Roman" w:eastAsia="仿宋_GB2312" w:cs="Times New Roman"/>
          <w:color w:val="auto"/>
          <w:sz w:val="28"/>
          <w:szCs w:val="28"/>
        </w:rPr>
      </w:pPr>
    </w:p>
    <w:p w14:paraId="070F750D">
      <w:pPr>
        <w:rPr>
          <w:rFonts w:hint="default" w:ascii="Times New Roman" w:hAnsi="Times New Roman" w:eastAsia="仿宋_GB2312" w:cs="Times New Roman"/>
          <w:color w:val="auto"/>
          <w:sz w:val="28"/>
          <w:szCs w:val="28"/>
        </w:rPr>
      </w:pPr>
    </w:p>
    <w:p w14:paraId="60F1C457">
      <w:pPr>
        <w:rPr>
          <w:rFonts w:hint="default" w:ascii="Times New Roman" w:hAnsi="Times New Roman" w:eastAsia="仿宋_GB2312" w:cs="Times New Roman"/>
          <w:color w:val="auto"/>
          <w:sz w:val="28"/>
          <w:szCs w:val="28"/>
        </w:rPr>
      </w:pPr>
    </w:p>
    <w:p w14:paraId="5A4F4B1C">
      <w:pPr>
        <w:rPr>
          <w:rFonts w:hint="default" w:ascii="Times New Roman" w:hAnsi="Times New Roman" w:eastAsia="仿宋_GB2312" w:cs="Times New Roman"/>
          <w:color w:val="auto"/>
          <w:sz w:val="28"/>
          <w:szCs w:val="28"/>
        </w:rPr>
      </w:pPr>
    </w:p>
    <w:p w14:paraId="3D8A565E">
      <w:pPr>
        <w:rPr>
          <w:rFonts w:hint="default" w:ascii="Times New Roman" w:hAnsi="Times New Roman" w:eastAsia="仿宋_GB2312" w:cs="Times New Roman"/>
          <w:color w:val="auto"/>
          <w:sz w:val="28"/>
          <w:szCs w:val="28"/>
        </w:rPr>
      </w:pPr>
    </w:p>
    <w:p w14:paraId="04C51CA4">
      <w:pPr>
        <w:rPr>
          <w:rFonts w:hint="default" w:ascii="Times New Roman" w:hAnsi="Times New Roman" w:eastAsia="仿宋_GB2312" w:cs="Times New Roman"/>
          <w:color w:val="auto"/>
          <w:sz w:val="28"/>
          <w:szCs w:val="28"/>
        </w:rPr>
      </w:pPr>
    </w:p>
    <w:p w14:paraId="3B6F15A0">
      <w:pPr>
        <w:rPr>
          <w:rFonts w:hint="default" w:ascii="Times New Roman" w:hAnsi="Times New Roman" w:eastAsia="仿宋_GB2312" w:cs="Times New Roman"/>
          <w:color w:val="auto"/>
          <w:sz w:val="28"/>
          <w:szCs w:val="28"/>
        </w:rPr>
      </w:pPr>
    </w:p>
    <w:p w14:paraId="412C3FD3">
      <w:pPr>
        <w:rPr>
          <w:rFonts w:hint="default" w:ascii="Times New Roman" w:hAnsi="Times New Roman" w:eastAsia="仿宋_GB2312" w:cs="Times New Roman"/>
          <w:color w:val="auto"/>
          <w:sz w:val="28"/>
          <w:szCs w:val="28"/>
        </w:rPr>
      </w:pPr>
    </w:p>
    <w:p w14:paraId="40E8C121">
      <w:pPr>
        <w:rPr>
          <w:rFonts w:hint="default" w:ascii="Times New Roman" w:hAnsi="Times New Roman" w:eastAsia="仿宋_GB2312" w:cs="Times New Roman"/>
          <w:color w:val="auto"/>
          <w:sz w:val="28"/>
          <w:szCs w:val="28"/>
        </w:rPr>
      </w:pPr>
    </w:p>
    <w:p w14:paraId="03A787A9">
      <w:pPr>
        <w:rPr>
          <w:rFonts w:hint="default" w:ascii="Times New Roman" w:hAnsi="Times New Roman" w:eastAsia="仿宋_GB2312" w:cs="Times New Roman"/>
          <w:color w:val="auto"/>
          <w:sz w:val="28"/>
          <w:szCs w:val="28"/>
        </w:rPr>
      </w:pPr>
    </w:p>
    <w:p w14:paraId="2D76A9D9">
      <w:pPr>
        <w:rPr>
          <w:rFonts w:hint="default" w:ascii="Times New Roman" w:hAnsi="Times New Roman" w:eastAsia="仿宋_GB2312" w:cs="Times New Roman"/>
          <w:color w:val="auto"/>
          <w:sz w:val="28"/>
          <w:szCs w:val="28"/>
        </w:rPr>
      </w:pPr>
    </w:p>
    <w:p w14:paraId="10CCCCCC">
      <w:pPr>
        <w:rPr>
          <w:rFonts w:hint="default" w:ascii="Times New Roman" w:hAnsi="Times New Roman" w:eastAsia="仿宋_GB2312" w:cs="Times New Roman"/>
          <w:color w:val="auto"/>
          <w:sz w:val="28"/>
          <w:szCs w:val="28"/>
        </w:rPr>
      </w:pPr>
    </w:p>
    <w:p w14:paraId="22299D3E">
      <w:pPr>
        <w:rPr>
          <w:rFonts w:hint="default" w:ascii="Times New Roman" w:hAnsi="Times New Roman" w:eastAsia="仿宋_GB2312" w:cs="Times New Roman"/>
          <w:color w:val="auto"/>
          <w:sz w:val="28"/>
          <w:szCs w:val="28"/>
        </w:rPr>
      </w:pPr>
    </w:p>
    <w:p w14:paraId="11227C6B">
      <w:pPr>
        <w:rPr>
          <w:rFonts w:hint="default" w:ascii="Times New Roman" w:hAnsi="Times New Roman" w:eastAsia="仿宋_GB2312" w:cs="Times New Roman"/>
          <w:color w:val="auto"/>
          <w:sz w:val="28"/>
          <w:szCs w:val="28"/>
        </w:rPr>
      </w:pPr>
    </w:p>
    <w:p w14:paraId="694210B3">
      <w:pPr>
        <w:rPr>
          <w:rFonts w:hint="default" w:ascii="Times New Roman" w:hAnsi="Times New Roman" w:eastAsia="仿宋_GB2312" w:cs="Times New Roman"/>
          <w:color w:val="auto"/>
          <w:sz w:val="28"/>
          <w:szCs w:val="28"/>
        </w:rPr>
      </w:pPr>
    </w:p>
    <w:p w14:paraId="3E5FC55B">
      <w:pPr>
        <w:rPr>
          <w:rFonts w:hint="default" w:ascii="Times New Roman" w:hAnsi="Times New Roman" w:eastAsia="仿宋_GB2312" w:cs="Times New Roman"/>
          <w:color w:val="auto"/>
          <w:sz w:val="28"/>
          <w:szCs w:val="28"/>
        </w:rPr>
      </w:pPr>
    </w:p>
    <w:p w14:paraId="21CF3B2C">
      <w:pPr>
        <w:rPr>
          <w:rFonts w:hint="default" w:ascii="Times New Roman" w:hAnsi="Times New Roman" w:eastAsia="仿宋_GB2312" w:cs="Times New Roman"/>
          <w:b/>
          <w:color w:val="auto"/>
          <w:sz w:val="28"/>
          <w:szCs w:val="28"/>
          <w:lang w:bidi="ar"/>
        </w:rPr>
      </w:pPr>
    </w:p>
    <w:p w14:paraId="3D6D9907">
      <w:pPr>
        <w:rPr>
          <w:rFonts w:hint="default" w:ascii="Times New Roman" w:hAnsi="Times New Roman" w:eastAsia="仿宋_GB2312" w:cs="Times New Roman"/>
          <w:b/>
          <w:color w:val="auto"/>
          <w:sz w:val="28"/>
          <w:szCs w:val="28"/>
          <w:lang w:bidi="ar"/>
        </w:rPr>
      </w:pPr>
    </w:p>
    <w:p w14:paraId="55FA1461">
      <w:pPr>
        <w:rPr>
          <w:rFonts w:hint="default" w:ascii="Times New Roman" w:hAnsi="Times New Roman" w:eastAsia="仿宋_GB2312" w:cs="Times New Roman"/>
          <w:b/>
          <w:color w:val="auto"/>
          <w:sz w:val="28"/>
          <w:szCs w:val="28"/>
          <w:lang w:bidi="ar"/>
        </w:rPr>
      </w:pPr>
    </w:p>
    <w:p w14:paraId="38A89D6F">
      <w:pPr>
        <w:rPr>
          <w:rFonts w:hint="default" w:ascii="Times New Roman" w:hAnsi="Times New Roman" w:eastAsia="仿宋_GB2312" w:cs="Times New Roman"/>
          <w:b/>
          <w:color w:val="auto"/>
          <w:sz w:val="28"/>
          <w:szCs w:val="28"/>
          <w:lang w:bidi="ar"/>
        </w:rPr>
      </w:pPr>
    </w:p>
    <w:p w14:paraId="235FFCCB">
      <w:pPr>
        <w:rPr>
          <w:rFonts w:hint="default" w:ascii="Times New Roman" w:hAnsi="Times New Roman" w:eastAsia="仿宋_GB2312" w:cs="Times New Roman"/>
          <w:b/>
          <w:color w:val="auto"/>
          <w:sz w:val="28"/>
          <w:szCs w:val="28"/>
          <w:lang w:bidi="ar"/>
        </w:rPr>
      </w:pPr>
    </w:p>
    <w:p w14:paraId="6BE0FE5B">
      <w:pPr>
        <w:rPr>
          <w:rFonts w:hint="default" w:ascii="Times New Roman" w:hAnsi="Times New Roman" w:eastAsia="仿宋_GB2312" w:cs="Times New Roman"/>
          <w:b/>
          <w:color w:val="auto"/>
          <w:sz w:val="28"/>
          <w:szCs w:val="28"/>
          <w:lang w:bidi="ar"/>
        </w:rPr>
      </w:pPr>
    </w:p>
    <w:p w14:paraId="7B152A25">
      <w:pPr>
        <w:rPr>
          <w:rFonts w:hint="default" w:ascii="Times New Roman" w:hAnsi="Times New Roman" w:eastAsia="仿宋_GB2312" w:cs="Times New Roman"/>
          <w:b/>
          <w:color w:val="auto"/>
          <w:sz w:val="28"/>
          <w:szCs w:val="28"/>
          <w:lang w:bidi="ar"/>
        </w:rPr>
      </w:pPr>
    </w:p>
    <w:p w14:paraId="63DAFDB7">
      <w:pPr>
        <w:rPr>
          <w:rFonts w:hint="default" w:ascii="Times New Roman" w:hAnsi="Times New Roman" w:eastAsia="仿宋_GB2312" w:cs="Times New Roman"/>
          <w:b/>
          <w:color w:val="auto"/>
          <w:sz w:val="28"/>
          <w:szCs w:val="28"/>
          <w:lang w:bidi="ar"/>
        </w:rPr>
      </w:pPr>
    </w:p>
    <w:p w14:paraId="257377F6">
      <w:pPr>
        <w:rPr>
          <w:rFonts w:hint="default" w:ascii="Times New Roman" w:hAnsi="Times New Roman" w:eastAsia="仿宋_GB2312" w:cs="Times New Roman"/>
          <w:b/>
          <w:color w:val="auto"/>
          <w:sz w:val="28"/>
          <w:szCs w:val="28"/>
          <w:lang w:bidi="ar"/>
        </w:rPr>
      </w:pPr>
    </w:p>
    <w:p w14:paraId="2CEC470A">
      <w:pPr>
        <w:rPr>
          <w:rFonts w:hint="default" w:ascii="Times New Roman" w:hAnsi="Times New Roman" w:eastAsia="仿宋_GB2312" w:cs="Times New Roman"/>
          <w:b/>
          <w:color w:val="auto"/>
          <w:sz w:val="28"/>
          <w:szCs w:val="28"/>
          <w:lang w:bidi="ar"/>
        </w:rPr>
      </w:pPr>
    </w:p>
    <w:p w14:paraId="6F26A0D2">
      <w:pPr>
        <w:rPr>
          <w:rFonts w:hint="default" w:ascii="Times New Roman" w:hAnsi="Times New Roman" w:eastAsia="仿宋_GB2312" w:cs="Times New Roman"/>
          <w:b/>
          <w:color w:val="auto"/>
          <w:sz w:val="28"/>
          <w:szCs w:val="28"/>
          <w:lang w:bidi="ar"/>
        </w:rPr>
      </w:pPr>
    </w:p>
    <w:p w14:paraId="3416B613">
      <w:pPr>
        <w:rPr>
          <w:rFonts w:hint="default" w:ascii="Times New Roman" w:hAnsi="Times New Roman" w:eastAsia="仿宋_GB2312" w:cs="Times New Roman"/>
          <w:b/>
          <w:color w:val="auto"/>
          <w:sz w:val="28"/>
          <w:szCs w:val="28"/>
          <w:lang w:bidi="ar"/>
        </w:rPr>
        <w:sectPr>
          <w:footerReference r:id="rId18" w:type="first"/>
          <w:headerReference r:id="rId16" w:type="default"/>
          <w:footerReference r:id="rId17" w:type="default"/>
          <w:pgSz w:w="11906" w:h="16838"/>
          <w:pgMar w:top="1418" w:right="1418" w:bottom="1418" w:left="1418" w:header="851" w:footer="992" w:gutter="0"/>
          <w:pgBorders>
            <w:top w:val="none" w:sz="0" w:space="0"/>
            <w:left w:val="none" w:sz="0" w:space="0"/>
            <w:bottom w:val="none" w:sz="0" w:space="0"/>
            <w:right w:val="none" w:sz="0" w:space="0"/>
          </w:pgBorders>
          <w:pgNumType w:fmt="upperRoman" w:start="1"/>
          <w:cols w:space="720" w:num="1"/>
          <w:docGrid w:type="lines" w:linePitch="326" w:charSpace="0"/>
        </w:sectPr>
      </w:pPr>
    </w:p>
    <w:p w14:paraId="569C7D7E">
      <w:pPr>
        <w:rPr>
          <w:rFonts w:hint="default" w:ascii="Times New Roman" w:hAnsi="Times New Roman" w:eastAsia="仿宋_GB2312" w:cs="Times New Roman"/>
          <w:b/>
          <w:color w:val="auto"/>
          <w:sz w:val="28"/>
          <w:szCs w:val="28"/>
          <w:lang w:bidi="ar"/>
        </w:rPr>
      </w:pPr>
      <w:r>
        <w:rPr>
          <w:rFonts w:hint="default" w:ascii="Times New Roman" w:hAnsi="Times New Roman" w:eastAsia="仿宋_GB2312" w:cs="Times New Roman"/>
          <w:b/>
          <w:color w:val="auto"/>
          <w:sz w:val="28"/>
          <w:szCs w:val="28"/>
          <w:lang w:bidi="ar"/>
        </w:rPr>
        <w:t>附件</w:t>
      </w:r>
      <w:bookmarkEnd w:id="11"/>
      <w:bookmarkEnd w:id="12"/>
      <w:bookmarkEnd w:id="13"/>
    </w:p>
    <w:p w14:paraId="0CECB2A3">
      <w:pPr>
        <w:widowControl/>
        <w:spacing w:line="360" w:lineRule="auto"/>
        <w:ind w:firstLine="560" w:firstLineChars="200"/>
        <w:jc w:val="left"/>
        <w:rPr>
          <w:rFonts w:hint="default" w:ascii="Times New Roman" w:hAnsi="Times New Roman" w:eastAsia="仿宋_GB2312" w:cs="Times New Roman"/>
          <w:color w:val="auto"/>
          <w:sz w:val="28"/>
          <w:szCs w:val="28"/>
          <w:lang w:eastAsia="zh-CN"/>
        </w:rPr>
      </w:pPr>
      <w:bookmarkStart w:id="14" w:name="_Toc23417"/>
      <w:bookmarkStart w:id="15" w:name="_Toc29838"/>
      <w:bookmarkStart w:id="16" w:name="_Toc26199"/>
      <w:r>
        <w:rPr>
          <w:rFonts w:hint="default" w:ascii="Times New Roman" w:hAnsi="Times New Roman" w:eastAsia="仿宋_GB2312" w:cs="Times New Roman"/>
          <w:color w:val="auto"/>
          <w:sz w:val="28"/>
          <w:szCs w:val="28"/>
        </w:rPr>
        <w:t>附件1</w:t>
      </w:r>
      <w:bookmarkEnd w:id="14"/>
      <w:bookmarkEnd w:id="15"/>
      <w:bookmarkEnd w:id="16"/>
      <w:r>
        <w:rPr>
          <w:rFonts w:hint="default" w:ascii="Times New Roman" w:hAnsi="Times New Roman" w:eastAsia="仿宋_GB2312" w:cs="Times New Roman"/>
          <w:color w:val="auto"/>
          <w:sz w:val="28"/>
          <w:szCs w:val="28"/>
          <w:lang w:eastAsia="zh-CN"/>
        </w:rPr>
        <w:t>、委托书；</w:t>
      </w:r>
    </w:p>
    <w:p w14:paraId="254DC6C4">
      <w:pPr>
        <w:widowControl/>
        <w:spacing w:line="360" w:lineRule="auto"/>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附件</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b w:val="0"/>
          <w:bCs/>
          <w:color w:val="auto"/>
          <w:kern w:val="2"/>
          <w:sz w:val="28"/>
          <w:szCs w:val="28"/>
          <w:lang w:val="en-US" w:eastAsia="zh-CN" w:bidi="ar-SA"/>
        </w:rPr>
        <w:t>《剑阁县王河镇人民</w:t>
      </w:r>
      <w:r>
        <w:rPr>
          <w:rFonts w:hint="default" w:ascii="Times New Roman" w:hAnsi="Times New Roman" w:eastAsia="仿宋_GB2312" w:cs="Times New Roman"/>
          <w:b w:val="0"/>
          <w:bCs/>
          <w:color w:val="auto"/>
          <w:sz w:val="28"/>
          <w:szCs w:val="28"/>
          <w:lang w:val="en-US" w:eastAsia="zh-CN"/>
        </w:rPr>
        <w:t>政府关于王河镇干部周转房建设项目立项的报告》（王府〔2021〕255号）</w:t>
      </w:r>
      <w:r>
        <w:rPr>
          <w:rFonts w:hint="default" w:ascii="Times New Roman" w:hAnsi="Times New Roman" w:eastAsia="仿宋_GB2312" w:cs="Times New Roman"/>
          <w:color w:val="auto"/>
          <w:sz w:val="28"/>
          <w:szCs w:val="28"/>
          <w:lang w:val="en-US" w:eastAsia="zh-CN"/>
        </w:rPr>
        <w:t>；</w:t>
      </w:r>
    </w:p>
    <w:p w14:paraId="0C667771">
      <w:pPr>
        <w:widowControl/>
        <w:spacing w:line="360" w:lineRule="auto"/>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附件3、</w:t>
      </w:r>
      <w:r>
        <w:rPr>
          <w:rFonts w:hint="default" w:ascii="Times New Roman" w:hAnsi="Times New Roman" w:eastAsia="仿宋_GB2312" w:cs="Times New Roman"/>
          <w:b w:val="0"/>
          <w:bCs/>
          <w:color w:val="auto"/>
          <w:sz w:val="28"/>
          <w:szCs w:val="28"/>
          <w:lang w:val="en-US" w:eastAsia="zh-CN"/>
        </w:rPr>
        <w:t>《剑阁县发展和改革局关于审批剑阁县王河镇干部周转房建设项目可行性研究报告的批复》（剑发改发〔2022〕18号）</w:t>
      </w:r>
      <w:r>
        <w:rPr>
          <w:rFonts w:hint="default" w:ascii="Times New Roman" w:hAnsi="Times New Roman" w:eastAsia="仿宋_GB2312" w:cs="Times New Roman"/>
          <w:color w:val="auto"/>
          <w:sz w:val="28"/>
          <w:szCs w:val="28"/>
          <w:lang w:val="en-US" w:eastAsia="zh-CN"/>
        </w:rPr>
        <w:t>；</w:t>
      </w:r>
    </w:p>
    <w:p w14:paraId="3B113CC2">
      <w:pPr>
        <w:widowControl/>
        <w:spacing w:line="360" w:lineRule="auto"/>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附件4、</w:t>
      </w:r>
      <w:r>
        <w:rPr>
          <w:rFonts w:hint="default" w:ascii="Times New Roman" w:hAnsi="Times New Roman" w:eastAsia="仿宋_GB2312" w:cs="Times New Roman"/>
          <w:b w:val="0"/>
          <w:bCs/>
          <w:color w:val="auto"/>
          <w:sz w:val="28"/>
          <w:szCs w:val="28"/>
          <w:lang w:val="en-US" w:eastAsia="zh-CN"/>
        </w:rPr>
        <w:t>施工许可证（510823202307210101）；</w:t>
      </w:r>
    </w:p>
    <w:p w14:paraId="26C8601C">
      <w:pPr>
        <w:widowControl/>
        <w:spacing w:line="360" w:lineRule="auto"/>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附件5、修改对照表；</w:t>
      </w:r>
    </w:p>
    <w:p w14:paraId="5B11B2FE">
      <w:pPr>
        <w:widowControl/>
        <w:spacing w:line="360" w:lineRule="auto"/>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附件6、专家签字。</w:t>
      </w:r>
    </w:p>
    <w:p w14:paraId="16A5EEC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b/>
          <w:color w:val="auto"/>
          <w:sz w:val="28"/>
          <w:szCs w:val="28"/>
          <w:lang w:bidi="ar"/>
        </w:rPr>
        <w:t>附图</w:t>
      </w:r>
    </w:p>
    <w:p w14:paraId="430C909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eastAsia="仿宋_GB2312" w:cs="Times New Roman"/>
          <w:color w:val="auto"/>
          <w:sz w:val="28"/>
          <w:szCs w:val="28"/>
        </w:rPr>
      </w:pPr>
      <w:bookmarkStart w:id="17" w:name="_Toc1583"/>
      <w:bookmarkStart w:id="18" w:name="_Toc5046"/>
      <w:bookmarkStart w:id="19" w:name="_Toc17378"/>
      <w:r>
        <w:rPr>
          <w:rFonts w:hint="default" w:ascii="Times New Roman" w:hAnsi="Times New Roman" w:eastAsia="仿宋_GB2312" w:cs="Times New Roman"/>
          <w:color w:val="auto"/>
          <w:sz w:val="28"/>
          <w:szCs w:val="28"/>
          <w:lang w:bidi="ar"/>
        </w:rPr>
        <w:t>附图</w:t>
      </w:r>
      <w:r>
        <w:rPr>
          <w:rFonts w:hint="default" w:ascii="Times New Roman" w:hAnsi="Times New Roman" w:eastAsia="仿宋_GB2312" w:cs="Times New Roman"/>
          <w:color w:val="auto"/>
          <w:sz w:val="28"/>
          <w:szCs w:val="28"/>
          <w:lang w:val="en-US" w:eastAsia="zh-CN" w:bidi="ar"/>
        </w:rPr>
        <w:t>1</w:t>
      </w:r>
      <w:r>
        <w:rPr>
          <w:rFonts w:hint="default" w:ascii="Times New Roman" w:hAnsi="Times New Roman" w:eastAsia="仿宋_GB2312" w:cs="Times New Roman"/>
          <w:color w:val="auto"/>
          <w:sz w:val="28"/>
          <w:szCs w:val="28"/>
          <w:lang w:bidi="ar"/>
        </w:rPr>
        <w:t>：项目</w:t>
      </w:r>
      <w:r>
        <w:rPr>
          <w:rFonts w:hint="default" w:ascii="Times New Roman" w:hAnsi="Times New Roman" w:eastAsia="仿宋_GB2312" w:cs="Times New Roman"/>
          <w:color w:val="auto"/>
          <w:sz w:val="28"/>
          <w:szCs w:val="28"/>
          <w:lang w:eastAsia="zh-CN" w:bidi="ar"/>
        </w:rPr>
        <w:t>区</w:t>
      </w:r>
      <w:r>
        <w:rPr>
          <w:rFonts w:hint="default" w:ascii="Times New Roman" w:hAnsi="Times New Roman" w:eastAsia="仿宋_GB2312" w:cs="Times New Roman"/>
          <w:color w:val="auto"/>
          <w:sz w:val="28"/>
          <w:szCs w:val="28"/>
          <w:lang w:bidi="ar"/>
        </w:rPr>
        <w:t>地理位置图；</w:t>
      </w:r>
      <w:bookmarkEnd w:id="17"/>
      <w:bookmarkEnd w:id="18"/>
      <w:bookmarkEnd w:id="19"/>
    </w:p>
    <w:p w14:paraId="0516F0F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eastAsia="仿宋_GB2312" w:cs="Times New Roman"/>
          <w:color w:val="auto"/>
          <w:sz w:val="28"/>
          <w:szCs w:val="28"/>
        </w:rPr>
      </w:pPr>
      <w:bookmarkStart w:id="20" w:name="_Toc2739"/>
      <w:bookmarkStart w:id="21" w:name="_Toc15078"/>
      <w:bookmarkStart w:id="22" w:name="_Toc15051"/>
      <w:r>
        <w:rPr>
          <w:rFonts w:hint="default" w:ascii="Times New Roman" w:hAnsi="Times New Roman" w:eastAsia="仿宋_GB2312" w:cs="Times New Roman"/>
          <w:color w:val="auto"/>
          <w:sz w:val="28"/>
          <w:szCs w:val="28"/>
          <w:lang w:bidi="ar"/>
        </w:rPr>
        <w:t>附图</w:t>
      </w:r>
      <w:r>
        <w:rPr>
          <w:rFonts w:hint="default" w:ascii="Times New Roman" w:hAnsi="Times New Roman" w:eastAsia="仿宋_GB2312" w:cs="Times New Roman"/>
          <w:color w:val="auto"/>
          <w:sz w:val="28"/>
          <w:szCs w:val="28"/>
          <w:lang w:val="en-US" w:eastAsia="zh-CN" w:bidi="ar"/>
        </w:rPr>
        <w:t>2</w:t>
      </w:r>
      <w:r>
        <w:rPr>
          <w:rFonts w:hint="default" w:ascii="Times New Roman" w:hAnsi="Times New Roman" w:eastAsia="仿宋_GB2312" w:cs="Times New Roman"/>
          <w:color w:val="auto"/>
          <w:sz w:val="28"/>
          <w:szCs w:val="28"/>
          <w:lang w:bidi="ar"/>
        </w:rPr>
        <w:t>：</w:t>
      </w:r>
      <w:r>
        <w:rPr>
          <w:rFonts w:hint="default" w:ascii="Times New Roman" w:hAnsi="Times New Roman" w:eastAsia="仿宋_GB2312" w:cs="Times New Roman"/>
          <w:color w:val="auto"/>
          <w:sz w:val="28"/>
          <w:szCs w:val="28"/>
          <w:lang w:eastAsia="zh-CN" w:bidi="ar"/>
        </w:rPr>
        <w:t>项目区</w:t>
      </w:r>
      <w:r>
        <w:rPr>
          <w:rFonts w:hint="default" w:ascii="Times New Roman" w:hAnsi="Times New Roman" w:eastAsia="仿宋_GB2312" w:cs="Times New Roman"/>
          <w:color w:val="auto"/>
          <w:sz w:val="28"/>
          <w:szCs w:val="28"/>
          <w:lang w:bidi="ar"/>
        </w:rPr>
        <w:t>水系图；</w:t>
      </w:r>
      <w:bookmarkEnd w:id="20"/>
      <w:bookmarkEnd w:id="21"/>
      <w:bookmarkEnd w:id="22"/>
    </w:p>
    <w:p w14:paraId="06A7C2C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eastAsia="仿宋_GB2312" w:cs="Times New Roman"/>
          <w:color w:val="auto"/>
          <w:sz w:val="28"/>
          <w:szCs w:val="28"/>
        </w:rPr>
      </w:pPr>
      <w:bookmarkStart w:id="23" w:name="_Toc17980"/>
      <w:bookmarkStart w:id="24" w:name="_Toc28336"/>
      <w:bookmarkStart w:id="25" w:name="_Toc11215"/>
      <w:r>
        <w:rPr>
          <w:rFonts w:hint="default" w:ascii="Times New Roman" w:hAnsi="Times New Roman" w:eastAsia="仿宋_GB2312" w:cs="Times New Roman"/>
          <w:color w:val="auto"/>
          <w:sz w:val="28"/>
          <w:szCs w:val="28"/>
          <w:lang w:bidi="ar"/>
        </w:rPr>
        <w:t>附图</w:t>
      </w:r>
      <w:r>
        <w:rPr>
          <w:rFonts w:hint="default" w:ascii="Times New Roman" w:hAnsi="Times New Roman" w:eastAsia="仿宋_GB2312" w:cs="Times New Roman"/>
          <w:color w:val="auto"/>
          <w:sz w:val="28"/>
          <w:szCs w:val="28"/>
          <w:lang w:val="en-US" w:eastAsia="zh-CN" w:bidi="ar"/>
        </w:rPr>
        <w:t>3</w:t>
      </w:r>
      <w:r>
        <w:rPr>
          <w:rFonts w:hint="default" w:ascii="Times New Roman" w:hAnsi="Times New Roman" w:eastAsia="仿宋_GB2312" w:cs="Times New Roman"/>
          <w:color w:val="auto"/>
          <w:sz w:val="28"/>
          <w:szCs w:val="28"/>
          <w:lang w:bidi="ar"/>
        </w:rPr>
        <w:t>：</w:t>
      </w:r>
      <w:r>
        <w:rPr>
          <w:rFonts w:hint="default" w:ascii="Times New Roman" w:hAnsi="Times New Roman" w:eastAsia="仿宋_GB2312" w:cs="Times New Roman"/>
          <w:color w:val="auto"/>
          <w:sz w:val="28"/>
          <w:szCs w:val="28"/>
          <w:lang w:eastAsia="zh-CN" w:bidi="ar"/>
        </w:rPr>
        <w:t>项目区</w:t>
      </w:r>
      <w:r>
        <w:rPr>
          <w:rFonts w:hint="default" w:ascii="Times New Roman" w:hAnsi="Times New Roman" w:eastAsia="仿宋_GB2312" w:cs="Times New Roman"/>
          <w:color w:val="auto"/>
          <w:sz w:val="28"/>
          <w:szCs w:val="28"/>
          <w:lang w:bidi="ar"/>
        </w:rPr>
        <w:t>土壤侵蚀图；</w:t>
      </w:r>
      <w:bookmarkEnd w:id="23"/>
      <w:bookmarkEnd w:id="24"/>
      <w:bookmarkEnd w:id="25"/>
    </w:p>
    <w:p w14:paraId="069605B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eastAsia="仿宋_GB2312" w:cs="Times New Roman"/>
          <w:color w:val="auto"/>
          <w:sz w:val="28"/>
          <w:szCs w:val="28"/>
        </w:rPr>
      </w:pPr>
      <w:bookmarkStart w:id="26" w:name="_Toc26201"/>
      <w:bookmarkStart w:id="27" w:name="_Toc9684"/>
      <w:bookmarkStart w:id="28" w:name="_Toc20886"/>
      <w:r>
        <w:rPr>
          <w:rFonts w:hint="default" w:ascii="Times New Roman" w:hAnsi="Times New Roman" w:eastAsia="仿宋_GB2312" w:cs="Times New Roman"/>
          <w:color w:val="auto"/>
          <w:sz w:val="28"/>
          <w:szCs w:val="28"/>
          <w:lang w:bidi="ar"/>
        </w:rPr>
        <w:t>附图</w:t>
      </w:r>
      <w:r>
        <w:rPr>
          <w:rFonts w:hint="default" w:ascii="Times New Roman" w:hAnsi="Times New Roman" w:eastAsia="仿宋_GB2312" w:cs="Times New Roman"/>
          <w:color w:val="auto"/>
          <w:sz w:val="28"/>
          <w:szCs w:val="28"/>
          <w:lang w:val="en-US" w:eastAsia="zh-CN" w:bidi="ar"/>
        </w:rPr>
        <w:t>4</w:t>
      </w:r>
      <w:r>
        <w:rPr>
          <w:rFonts w:hint="default" w:ascii="Times New Roman" w:hAnsi="Times New Roman" w:eastAsia="仿宋_GB2312" w:cs="Times New Roman"/>
          <w:color w:val="auto"/>
          <w:sz w:val="28"/>
          <w:szCs w:val="28"/>
          <w:lang w:bidi="ar"/>
        </w:rPr>
        <w:t>：总平面布置图；</w:t>
      </w:r>
      <w:bookmarkEnd w:id="26"/>
      <w:bookmarkEnd w:id="27"/>
      <w:bookmarkEnd w:id="28"/>
    </w:p>
    <w:p w14:paraId="44C404E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eastAsia="仿宋_GB2312" w:cs="Times New Roman"/>
          <w:color w:val="auto"/>
          <w:sz w:val="28"/>
          <w:szCs w:val="28"/>
          <w:lang w:eastAsia="zh-CN"/>
        </w:rPr>
      </w:pPr>
      <w:bookmarkStart w:id="29" w:name="_Toc13037"/>
      <w:bookmarkStart w:id="30" w:name="_Toc29155"/>
      <w:bookmarkStart w:id="31" w:name="_Toc17418"/>
      <w:r>
        <w:rPr>
          <w:rFonts w:hint="default" w:ascii="Times New Roman" w:hAnsi="Times New Roman" w:eastAsia="仿宋_GB2312" w:cs="Times New Roman"/>
          <w:color w:val="auto"/>
          <w:sz w:val="28"/>
          <w:szCs w:val="28"/>
          <w:lang w:bidi="ar"/>
        </w:rPr>
        <w:t>附图</w:t>
      </w:r>
      <w:r>
        <w:rPr>
          <w:rFonts w:hint="default" w:ascii="Times New Roman" w:hAnsi="Times New Roman" w:eastAsia="仿宋_GB2312" w:cs="Times New Roman"/>
          <w:color w:val="auto"/>
          <w:sz w:val="28"/>
          <w:szCs w:val="28"/>
          <w:lang w:val="en-US" w:eastAsia="zh-CN" w:bidi="ar"/>
        </w:rPr>
        <w:t>5</w:t>
      </w:r>
      <w:r>
        <w:rPr>
          <w:rFonts w:hint="default" w:ascii="Times New Roman" w:hAnsi="Times New Roman" w:eastAsia="仿宋_GB2312" w:cs="Times New Roman"/>
          <w:color w:val="auto"/>
          <w:sz w:val="28"/>
          <w:szCs w:val="28"/>
          <w:lang w:bidi="ar"/>
        </w:rPr>
        <w:t>：</w:t>
      </w:r>
      <w:r>
        <w:rPr>
          <w:rFonts w:hint="default" w:ascii="Times New Roman" w:hAnsi="Times New Roman" w:eastAsia="仿宋_GB2312" w:cs="Times New Roman"/>
          <w:color w:val="auto"/>
          <w:sz w:val="28"/>
          <w:szCs w:val="28"/>
          <w:lang w:val="en-US" w:eastAsia="zh-CN" w:bidi="ar"/>
        </w:rPr>
        <w:t>分区防治措施总体布局图</w:t>
      </w:r>
      <w:bookmarkEnd w:id="29"/>
      <w:bookmarkEnd w:id="30"/>
      <w:bookmarkEnd w:id="31"/>
      <w:r>
        <w:rPr>
          <w:rFonts w:hint="default" w:ascii="Times New Roman" w:hAnsi="Times New Roman" w:eastAsia="仿宋_GB2312" w:cs="Times New Roman"/>
          <w:color w:val="auto"/>
          <w:sz w:val="28"/>
          <w:szCs w:val="28"/>
          <w:lang w:eastAsia="zh-CN" w:bidi="ar"/>
        </w:rPr>
        <w:t>；</w:t>
      </w:r>
    </w:p>
    <w:p w14:paraId="0258FE5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bidi="ar"/>
        </w:rPr>
        <w:t>附图</w:t>
      </w:r>
      <w:r>
        <w:rPr>
          <w:rFonts w:hint="default" w:ascii="Times New Roman" w:hAnsi="Times New Roman" w:eastAsia="仿宋_GB2312" w:cs="Times New Roman"/>
          <w:color w:val="auto"/>
          <w:sz w:val="28"/>
          <w:szCs w:val="28"/>
          <w:lang w:val="en-US" w:eastAsia="zh-CN" w:bidi="ar"/>
        </w:rPr>
        <w:t>6</w:t>
      </w:r>
      <w:r>
        <w:rPr>
          <w:rFonts w:hint="default" w:ascii="Times New Roman" w:hAnsi="Times New Roman" w:eastAsia="仿宋_GB2312" w:cs="Times New Roman"/>
          <w:color w:val="auto"/>
          <w:sz w:val="28"/>
          <w:szCs w:val="28"/>
          <w:lang w:bidi="ar"/>
        </w:rPr>
        <w:t>：</w:t>
      </w:r>
      <w:r>
        <w:rPr>
          <w:rFonts w:hint="default" w:ascii="Times New Roman" w:hAnsi="Times New Roman" w:eastAsia="仿宋_GB2312" w:cs="Times New Roman"/>
          <w:color w:val="auto"/>
          <w:sz w:val="28"/>
          <w:szCs w:val="28"/>
          <w:lang w:val="en-US" w:eastAsia="zh-CN" w:bidi="ar"/>
        </w:rPr>
        <w:t>给排水平面布置图</w:t>
      </w:r>
      <w:r>
        <w:rPr>
          <w:rFonts w:hint="default" w:ascii="Times New Roman" w:hAnsi="Times New Roman" w:eastAsia="仿宋_GB2312" w:cs="Times New Roman"/>
          <w:color w:val="auto"/>
          <w:sz w:val="28"/>
          <w:szCs w:val="28"/>
          <w:lang w:eastAsia="zh-CN" w:bidi="ar"/>
        </w:rPr>
        <w:t>。</w:t>
      </w:r>
    </w:p>
    <w:p w14:paraId="3841455B">
      <w:pPr>
        <w:pStyle w:val="10"/>
        <w:rPr>
          <w:rFonts w:hint="default" w:ascii="Times New Roman" w:hAnsi="Times New Roman" w:eastAsia="仿宋_GB2312" w:cs="Times New Roman"/>
          <w:color w:val="auto"/>
          <w:lang w:val="en-US" w:eastAsia="zh-CN"/>
        </w:rPr>
        <w:sectPr>
          <w:footerReference r:id="rId19" w:type="default"/>
          <w:pgSz w:w="11906" w:h="16838"/>
          <w:pgMar w:top="1418" w:right="1418" w:bottom="1418" w:left="1418" w:header="851" w:footer="992" w:gutter="0"/>
          <w:pgBorders>
            <w:top w:val="none" w:sz="0" w:space="0"/>
            <w:left w:val="none" w:sz="0" w:space="0"/>
            <w:bottom w:val="none" w:sz="0" w:space="0"/>
            <w:right w:val="none" w:sz="0" w:space="0"/>
          </w:pgBorders>
          <w:pgNumType w:fmt="upperRoman" w:start="4"/>
          <w:cols w:space="720" w:num="1"/>
          <w:docGrid w:type="lines" w:linePitch="326" w:charSpace="0"/>
        </w:sectPr>
      </w:pPr>
    </w:p>
    <w:p w14:paraId="72987817">
      <w:pPr>
        <w:pStyle w:val="2"/>
        <w:keepNext/>
        <w:keepLines/>
        <w:pageBreakBefore w:val="0"/>
        <w:widowControl w:val="0"/>
        <w:kinsoku/>
        <w:wordWrap/>
        <w:overflowPunct/>
        <w:topLinePunct w:val="0"/>
        <w:autoSpaceDE/>
        <w:autoSpaceDN/>
        <w:bidi w:val="0"/>
        <w:adjustRightInd/>
        <w:snapToGrid/>
        <w:spacing w:before="313" w:beforeLines="100" w:after="313" w:afterLines="100"/>
        <w:textAlignment w:val="auto"/>
        <w:rPr>
          <w:rFonts w:hint="default" w:ascii="Times New Roman" w:hAnsi="Times New Roman" w:eastAsia="仿宋_GB2312" w:cs="Times New Roman"/>
          <w:color w:val="auto"/>
        </w:rPr>
      </w:pPr>
      <w:bookmarkStart w:id="32" w:name="_Toc11696"/>
      <w:bookmarkStart w:id="33" w:name="_Toc17875"/>
      <w:r>
        <w:rPr>
          <w:rFonts w:hint="default" w:ascii="Times New Roman" w:hAnsi="Times New Roman" w:eastAsia="仿宋_GB2312" w:cs="Times New Roman"/>
          <w:color w:val="auto"/>
        </w:rPr>
        <w:t>1 综合说明</w:t>
      </w:r>
      <w:bookmarkEnd w:id="32"/>
      <w:bookmarkEnd w:id="33"/>
    </w:p>
    <w:p w14:paraId="276180FC">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仿宋_GB2312" w:cs="Times New Roman"/>
          <w:color w:val="auto"/>
          <w:lang w:eastAsia="ar"/>
        </w:rPr>
      </w:pPr>
      <w:bookmarkStart w:id="34" w:name="_Toc30694"/>
      <w:bookmarkStart w:id="35" w:name="_Toc13846"/>
      <w:r>
        <w:rPr>
          <w:rFonts w:hint="default" w:ascii="Times New Roman" w:hAnsi="Times New Roman" w:eastAsia="仿宋_GB2312" w:cs="Times New Roman"/>
          <w:color w:val="auto"/>
          <w:lang w:eastAsia="ar"/>
        </w:rPr>
        <w:t>1.1项目简况</w:t>
      </w:r>
      <w:bookmarkEnd w:id="34"/>
      <w:bookmarkEnd w:id="35"/>
    </w:p>
    <w:p w14:paraId="1CE82DE2">
      <w:pPr>
        <w:pStyle w:val="4"/>
        <w:bidi w:val="0"/>
        <w:rPr>
          <w:rFonts w:hint="default" w:ascii="Times New Roman" w:hAnsi="Times New Roman" w:eastAsia="仿宋_GB2312" w:cs="Times New Roman"/>
          <w:color w:val="auto"/>
          <w:sz w:val="24"/>
          <w:szCs w:val="24"/>
          <w:lang w:bidi="ar"/>
        </w:rPr>
      </w:pPr>
      <w:bookmarkStart w:id="36" w:name="_Toc11366"/>
      <w:bookmarkStart w:id="37" w:name="_Toc6784"/>
      <w:bookmarkStart w:id="38" w:name="_Toc8325"/>
      <w:bookmarkStart w:id="39" w:name="_Toc11121"/>
      <w:r>
        <w:rPr>
          <w:rFonts w:hint="default" w:ascii="Times New Roman" w:hAnsi="Times New Roman" w:eastAsia="仿宋_GB2312" w:cs="Times New Roman"/>
          <w:b/>
          <w:bCs w:val="0"/>
          <w:color w:val="auto"/>
        </w:rPr>
        <w:t>1.1.1项目基本情况</w:t>
      </w:r>
      <w:bookmarkEnd w:id="36"/>
      <w:bookmarkEnd w:id="37"/>
      <w:bookmarkEnd w:id="38"/>
      <w:bookmarkEnd w:id="39"/>
    </w:p>
    <w:p w14:paraId="4673678C">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bookmarkStart w:id="40" w:name="_Toc26743"/>
      <w:bookmarkStart w:id="41" w:name="_Toc8104"/>
      <w:bookmarkStart w:id="42" w:name="_Toc11501"/>
      <w:bookmarkStart w:id="43" w:name="_Toc27621"/>
      <w:r>
        <w:rPr>
          <w:rFonts w:hint="default" w:ascii="Times New Roman" w:hAnsi="Times New Roman" w:eastAsia="仿宋_GB2312" w:cs="Times New Roman"/>
          <w:b w:val="0"/>
          <w:bCs w:val="0"/>
          <w:color w:val="auto"/>
          <w:kern w:val="2"/>
          <w:sz w:val="24"/>
          <w:szCs w:val="24"/>
          <w:lang w:val="en-US" w:eastAsia="zh-CN" w:bidi="ar"/>
        </w:rPr>
        <w:t>1、项目建设必要性</w:t>
      </w:r>
    </w:p>
    <w:p w14:paraId="42E00670">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乡镇行政区划和村级建制调整改革后，剑阁县撤销公店乡、柘坝乡，将其行政区域划归王河镇管辖，王河镇人民政府驻王河镇华阳社区大成街12号。现王河镇区域内无专门干部周转用房，部分基层干部上班距离较远，现干部职工均租住镇域小旅馆或投亲靠友，给基层干部的生活带来了经济压力，上下班时间过长，不利于提高乡镇干部工作效率。为提升基层行政能力，改善基层干部的居住条件，增强基层服务能力、提高治理效能的有力保障。根据四川省发展和改革委员会《关于进一步核实部分涉改乡镇干部周转房有关情况的函》（川发改 投资函〔2020〕972号），提出了剑阁县王河镇干部周转房建设项目（以下简称本项目）的建设。</w:t>
      </w:r>
    </w:p>
    <w:p w14:paraId="3031FD03">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（1）项目建设是改善剑阁县王河镇干部居住现状条件的需要</w:t>
      </w:r>
    </w:p>
    <w:p w14:paraId="4D483A11">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2020年，剑阁县撤销公店乡、柘坝乡，将其行政区域划归王河镇管辖，重新组建王河镇，王河镇人民政府驻华阳社区大成街12号。建制调整后，王河镇编制人数82人，其中家在王河镇新镇的有2人，尚有80人家未在王河镇新镇。</w:t>
      </w:r>
    </w:p>
    <w:p w14:paraId="47DC82C5">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因此王河镇管辖范围进一步扩大，部分乡镇干部需异地上班，且镇域内无专门的干部居住用房，现有异地上班的干部主要居住小旅馆或投亲靠友，给基层干部的生活带来了较大的经济压力，部分投亲靠友的分散居住在王河镇内，生活设施有好有坏，没有统一标准，造成了一定的矛盾因素。王河镇现有80人尚需解决居住问题，本项目建设后可为干部提供周转房，改善其居住条件。</w:t>
      </w:r>
    </w:p>
    <w:p w14:paraId="519D952B">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 xml:space="preserve"> （2）项目建设是王河镇自身发展的需要</w:t>
      </w:r>
    </w:p>
    <w:p w14:paraId="23B7834E">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王河镇乡镇经济发展较为落后，当地青壮年主要以外出务工为主，难以留住人才。 因此，王河镇干部的生活问题直接影响到能否留住人才的问题，人才的多少直接关系到王河镇城市建设的快与慢，将影响当地的发展速度。</w:t>
      </w:r>
    </w:p>
    <w:p w14:paraId="1695978D">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该项目的建设，有利于留住优秀年轻人才，长期以来，受自然地理、经济等困难的制约，王河镇缺乏干部周转宿舍。所以，要想留住优秀的干部人才，就要提供相对良好的居住环境和硬件设施，通过对该项目的新建，能大大解决了基层干部的后顾之忧，也更能留下人才，让这些基层人才能安心为当地社会发展做贡献。从社会进步和社会经济、教育、医疗卫生乡镇形象等各方面长远发展讲，王河镇干部周转房建设项目是必要的。</w:t>
      </w:r>
    </w:p>
    <w:p w14:paraId="0827E7D6">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（3）项目建设是提高王河镇人民政府行政能力的需要</w:t>
      </w:r>
    </w:p>
    <w:p w14:paraId="06DD8B1A">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通过本项目的建设，能有效改善干部职工生活与居住条件，能使干部职工能安心工作，扎根基层。让干部职工能够空出更多时间用于工作，能对王河镇经济的发展和社会的发展多做贡献。同时，本项目建设后，能吸引更多的人才，特别是领导和专业人才到王河镇来工作，这对于提高王河镇干部职工的整体素质和工作质量，提高王河镇乡镇建设水平，促进城市经济和社会快速发展起着非常重要的作用。</w:t>
      </w:r>
    </w:p>
    <w:p w14:paraId="1CE24EFD">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（4）项目建设是落实省委办公厅、省政府办公《关于做好乡镇行政区划和村级建制调整改革“后半篇”文章的实施方案》的需要</w:t>
      </w:r>
    </w:p>
    <w:p w14:paraId="70F62745">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关于做好乡镇行政区划和村级建制调整改革“后半篇”文章的实施方案》围绕优化资源配置、提升发展质量、增强服务能力、提高治理效能“四大任务”，提出优化乡镇机构编制资源配置、加强乡村规划建设、完善镇村便民服务体系、加强乡村基层组织建设等24项重点任务并逐一明确了责任单位。提出到2025年，实现乡镇 (街道)、村(社区)运行机制更加高效顺畅，公共服务水平和基层治理能力显著提升，产业布局更加优化，新型城镇化体系更加完善，县域综合实力和整体竞争力明显增强。本项目建设后，将有效解决80名乡镇干部无住房问题，是剑阁县落实《关于做好乡镇行政区划和村级建制调整改革“后半篇”文章的实施方案》的重要举措。</w:t>
      </w:r>
    </w:p>
    <w:p w14:paraId="2AAEFD36">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综上所述，本项目的建设是必要且可行的。</w:t>
      </w:r>
    </w:p>
    <w:p w14:paraId="073CF30D">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2、基本情况</w:t>
      </w:r>
    </w:p>
    <w:p w14:paraId="6245925D">
      <w:pPr>
        <w:widowControl w:val="0"/>
        <w:spacing w:line="360" w:lineRule="auto"/>
        <w:ind w:firstLine="482" w:firstLineChars="200"/>
        <w:jc w:val="both"/>
        <w:rPr>
          <w:rFonts w:hint="default" w:ascii="Times New Roman" w:hAnsi="Times New Roman" w:eastAsia="仿宋_GB2312" w:cs="Times New Roman"/>
          <w:b w:val="0"/>
          <w:bCs w:val="0"/>
          <w:color w:val="auto"/>
          <w:kern w:val="13"/>
          <w:sz w:val="24"/>
          <w:szCs w:val="24"/>
          <w:lang w:val="en-US" w:eastAsia="zh-CN"/>
        </w:rPr>
      </w:pPr>
      <w:r>
        <w:rPr>
          <w:rFonts w:hint="default" w:ascii="Times New Roman" w:hAnsi="Times New Roman" w:eastAsia="仿宋_GB2312" w:cs="Times New Roman"/>
          <w:b/>
          <w:bCs/>
          <w:color w:val="auto"/>
          <w:kern w:val="13"/>
          <w:sz w:val="24"/>
          <w:szCs w:val="24"/>
          <w:lang w:val="en-US" w:eastAsia="zh-CN"/>
        </w:rPr>
        <w:t>项目名称</w:t>
      </w:r>
      <w:r>
        <w:rPr>
          <w:rFonts w:hint="default" w:ascii="Times New Roman" w:hAnsi="Times New Roman" w:eastAsia="仿宋_GB2312" w:cs="Times New Roman"/>
          <w:b w:val="0"/>
          <w:bCs w:val="0"/>
          <w:color w:val="auto"/>
          <w:kern w:val="13"/>
          <w:sz w:val="24"/>
          <w:szCs w:val="24"/>
          <w:lang w:val="en-US" w:eastAsia="zh-CN"/>
        </w:rPr>
        <w:t>：</w:t>
      </w:r>
      <w:r>
        <w:rPr>
          <w:rFonts w:hint="default" w:ascii="Times New Roman" w:hAnsi="Times New Roman" w:eastAsia="仿宋_GB2312" w:cs="Times New Roman"/>
          <w:b w:val="0"/>
          <w:bCs w:val="0"/>
          <w:color w:val="auto"/>
          <w:kern w:val="2"/>
          <w:sz w:val="24"/>
          <w:szCs w:val="24"/>
          <w:lang w:val="en-US" w:eastAsia="zh-CN" w:bidi="ar"/>
        </w:rPr>
        <w:t>剑阁县王河镇干部周转房建设项目</w:t>
      </w:r>
    </w:p>
    <w:p w14:paraId="0AEDC97D">
      <w:pPr>
        <w:keepNext w:val="0"/>
        <w:keepLines w:val="0"/>
        <w:widowControl/>
        <w:suppressLineNumbers w:val="0"/>
        <w:spacing w:line="360" w:lineRule="auto"/>
        <w:ind w:firstLine="482"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bCs/>
          <w:color w:val="auto"/>
          <w:kern w:val="13"/>
          <w:sz w:val="24"/>
          <w:szCs w:val="24"/>
          <w:lang w:val="en-US" w:eastAsia="zh-CN"/>
        </w:rPr>
        <w:t>建设单位</w:t>
      </w:r>
      <w:r>
        <w:rPr>
          <w:rFonts w:hint="default" w:ascii="Times New Roman" w:hAnsi="Times New Roman" w:eastAsia="仿宋_GB2312" w:cs="Times New Roman"/>
          <w:b w:val="0"/>
          <w:bCs w:val="0"/>
          <w:color w:val="auto"/>
          <w:kern w:val="13"/>
          <w:sz w:val="24"/>
          <w:szCs w:val="24"/>
          <w:lang w:val="en-US" w:eastAsia="zh-CN"/>
        </w:rPr>
        <w:t>：</w:t>
      </w:r>
      <w:r>
        <w:rPr>
          <w:rFonts w:hint="default" w:ascii="Times New Roman" w:hAnsi="Times New Roman" w:eastAsia="仿宋_GB2312" w:cs="Times New Roman"/>
          <w:b w:val="0"/>
          <w:bCs w:val="0"/>
          <w:color w:val="auto"/>
          <w:kern w:val="2"/>
          <w:sz w:val="24"/>
          <w:szCs w:val="24"/>
          <w:lang w:val="en-US" w:eastAsia="zh-CN" w:bidi="ar"/>
        </w:rPr>
        <w:t xml:space="preserve">剑阁县王河镇人民政府 </w:t>
      </w:r>
    </w:p>
    <w:p w14:paraId="2156307C">
      <w:pPr>
        <w:widowControl w:val="0"/>
        <w:spacing w:line="360" w:lineRule="auto"/>
        <w:ind w:firstLine="482" w:firstLineChars="200"/>
        <w:jc w:val="both"/>
        <w:rPr>
          <w:rFonts w:hint="default" w:ascii="Times New Roman" w:hAnsi="Times New Roman" w:eastAsia="仿宋_GB2312" w:cs="Times New Roman"/>
          <w:b w:val="0"/>
          <w:bCs w:val="0"/>
          <w:color w:val="auto"/>
          <w:kern w:val="13"/>
          <w:sz w:val="24"/>
          <w:szCs w:val="24"/>
          <w:lang w:val="en-US" w:eastAsia="zh-CN"/>
        </w:rPr>
      </w:pPr>
      <w:r>
        <w:rPr>
          <w:rFonts w:hint="default" w:ascii="Times New Roman" w:hAnsi="Times New Roman" w:eastAsia="仿宋_GB2312" w:cs="Times New Roman"/>
          <w:b/>
          <w:bCs/>
          <w:color w:val="auto"/>
          <w:kern w:val="13"/>
          <w:sz w:val="24"/>
          <w:szCs w:val="24"/>
          <w:lang w:val="en-US" w:eastAsia="zh-CN"/>
        </w:rPr>
        <w:t>项目位置</w:t>
      </w:r>
      <w:r>
        <w:rPr>
          <w:rFonts w:hint="default" w:ascii="Times New Roman" w:hAnsi="Times New Roman" w:eastAsia="仿宋_GB2312" w:cs="Times New Roman"/>
          <w:b w:val="0"/>
          <w:bCs w:val="0"/>
          <w:color w:val="auto"/>
          <w:kern w:val="13"/>
          <w:sz w:val="24"/>
          <w:szCs w:val="24"/>
          <w:lang w:val="en-US" w:eastAsia="zh-CN"/>
        </w:rPr>
        <w:t>：</w:t>
      </w:r>
      <w:r>
        <w:rPr>
          <w:rFonts w:hint="default" w:ascii="Times New Roman" w:hAnsi="Times New Roman" w:eastAsia="仿宋_GB2312" w:cs="Times New Roman"/>
          <w:b w:val="0"/>
          <w:bCs w:val="0"/>
          <w:color w:val="auto"/>
          <w:kern w:val="2"/>
          <w:sz w:val="24"/>
          <w:szCs w:val="24"/>
          <w:lang w:val="en-US" w:eastAsia="zh-CN" w:bidi="ar"/>
        </w:rPr>
        <w:t>四川省广元市剑阁县王河镇原粮站，</w:t>
      </w:r>
      <w:r>
        <w:rPr>
          <w:rFonts w:hint="default" w:ascii="Times New Roman" w:hAnsi="Times New Roman" w:eastAsia="仿宋_GB2312" w:cs="Times New Roman"/>
          <w:b w:val="0"/>
          <w:bCs w:val="0"/>
          <w:color w:val="auto"/>
          <w:sz w:val="24"/>
          <w:szCs w:val="24"/>
          <w:lang w:eastAsia="zh-CN"/>
        </w:rPr>
        <w:t>东经105°24'47.5257"</w:t>
      </w:r>
      <w:r>
        <w:rPr>
          <w:rFonts w:hint="default" w:ascii="Times New Roman" w:hAnsi="Times New Roman" w:eastAsia="仿宋_GB2312" w:cs="Times New Roman"/>
          <w:b w:val="0"/>
          <w:bCs w:val="0"/>
          <w:color w:val="auto"/>
          <w:kern w:val="0"/>
          <w:sz w:val="24"/>
          <w:szCs w:val="24"/>
          <w:lang w:eastAsia="zh-CN"/>
        </w:rPr>
        <w:t>、</w:t>
      </w:r>
      <w:r>
        <w:rPr>
          <w:rFonts w:hint="default" w:ascii="Times New Roman" w:hAnsi="Times New Roman" w:eastAsia="仿宋_GB2312" w:cs="Times New Roman"/>
          <w:b w:val="0"/>
          <w:bCs w:val="0"/>
          <w:color w:val="auto"/>
          <w:kern w:val="0"/>
          <w:sz w:val="24"/>
          <w:szCs w:val="24"/>
        </w:rPr>
        <w:t>北纬</w:t>
      </w:r>
      <w:r>
        <w:rPr>
          <w:rFonts w:hint="default" w:ascii="Times New Roman" w:hAnsi="Times New Roman" w:eastAsia="仿宋_GB2312" w:cs="Times New Roman"/>
          <w:b w:val="0"/>
          <w:bCs w:val="0"/>
          <w:color w:val="auto"/>
          <w:kern w:val="0"/>
          <w:sz w:val="24"/>
          <w:szCs w:val="24"/>
          <w:lang w:val="en-US" w:eastAsia="zh-CN"/>
        </w:rPr>
        <w:t>31°38'56.0714"</w:t>
      </w:r>
    </w:p>
    <w:p w14:paraId="2D386EB9">
      <w:pPr>
        <w:widowControl w:val="0"/>
        <w:spacing w:line="360" w:lineRule="auto"/>
        <w:ind w:firstLine="482" w:firstLineChars="200"/>
        <w:jc w:val="both"/>
        <w:rPr>
          <w:rFonts w:hint="default" w:ascii="Times New Roman" w:hAnsi="Times New Roman" w:eastAsia="仿宋_GB2312" w:cs="Times New Roman"/>
          <w:b w:val="0"/>
          <w:bCs w:val="0"/>
          <w:color w:val="auto"/>
          <w:kern w:val="13"/>
          <w:sz w:val="24"/>
          <w:szCs w:val="24"/>
        </w:rPr>
      </w:pPr>
      <w:r>
        <w:rPr>
          <w:rFonts w:hint="default" w:ascii="Times New Roman" w:hAnsi="Times New Roman" w:eastAsia="仿宋_GB2312" w:cs="Times New Roman"/>
          <w:b/>
          <w:bCs/>
          <w:color w:val="auto"/>
          <w:kern w:val="13"/>
          <w:sz w:val="24"/>
          <w:szCs w:val="24"/>
        </w:rPr>
        <w:t>建设性质</w:t>
      </w:r>
      <w:r>
        <w:rPr>
          <w:rFonts w:hint="default" w:ascii="Times New Roman" w:hAnsi="Times New Roman" w:eastAsia="仿宋_GB2312" w:cs="Times New Roman"/>
          <w:b w:val="0"/>
          <w:bCs w:val="0"/>
          <w:color w:val="auto"/>
          <w:kern w:val="13"/>
          <w:sz w:val="24"/>
          <w:szCs w:val="24"/>
        </w:rPr>
        <w:t>：</w:t>
      </w:r>
      <w:r>
        <w:rPr>
          <w:rFonts w:hint="default" w:ascii="Times New Roman" w:hAnsi="Times New Roman" w:eastAsia="仿宋_GB2312" w:cs="Times New Roman"/>
          <w:b w:val="0"/>
          <w:bCs w:val="0"/>
          <w:color w:val="auto"/>
          <w:kern w:val="13"/>
          <w:sz w:val="24"/>
          <w:szCs w:val="24"/>
          <w:lang w:val="en-US" w:eastAsia="zh-CN"/>
        </w:rPr>
        <w:t>新建</w:t>
      </w:r>
      <w:r>
        <w:rPr>
          <w:rFonts w:hint="default" w:ascii="Times New Roman" w:hAnsi="Times New Roman" w:eastAsia="仿宋_GB2312" w:cs="Times New Roman"/>
          <w:b w:val="0"/>
          <w:bCs w:val="0"/>
          <w:color w:val="auto"/>
          <w:kern w:val="13"/>
          <w:sz w:val="24"/>
          <w:szCs w:val="24"/>
        </w:rPr>
        <w:t>，建设类项目</w:t>
      </w:r>
    </w:p>
    <w:p w14:paraId="6B8224AA">
      <w:pPr>
        <w:widowControl w:val="0"/>
        <w:spacing w:line="360" w:lineRule="auto"/>
        <w:ind w:firstLine="482" w:firstLineChars="200"/>
        <w:jc w:val="both"/>
        <w:rPr>
          <w:rFonts w:hint="default" w:ascii="Times New Roman" w:hAnsi="Times New Roman" w:eastAsia="仿宋_GB2312" w:cs="Times New Roman"/>
          <w:b w:val="0"/>
          <w:bCs w:val="0"/>
          <w:color w:val="auto"/>
          <w:kern w:val="13"/>
          <w:sz w:val="24"/>
          <w:szCs w:val="24"/>
          <w:lang w:val="en-US" w:eastAsia="zh-CN"/>
        </w:rPr>
      </w:pPr>
      <w:r>
        <w:rPr>
          <w:rFonts w:hint="default" w:ascii="Times New Roman" w:hAnsi="Times New Roman" w:eastAsia="仿宋_GB2312" w:cs="Times New Roman"/>
          <w:b/>
          <w:bCs/>
          <w:color w:val="auto"/>
          <w:sz w:val="24"/>
          <w:szCs w:val="24"/>
        </w:rPr>
        <w:t>所属流域</w:t>
      </w:r>
      <w:r>
        <w:rPr>
          <w:rFonts w:hint="default" w:ascii="Times New Roman" w:hAnsi="Times New Roman" w:eastAsia="仿宋_GB2312" w:cs="Times New Roman"/>
          <w:b w:val="0"/>
          <w:bCs w:val="0"/>
          <w:color w:val="auto"/>
          <w:sz w:val="24"/>
          <w:szCs w:val="24"/>
        </w:rPr>
        <w:t>：</w:t>
      </w:r>
      <w:r>
        <w:rPr>
          <w:rFonts w:hint="default" w:ascii="Times New Roman" w:hAnsi="Times New Roman" w:eastAsia="仿宋_GB2312" w:cs="Times New Roman"/>
          <w:b w:val="0"/>
          <w:bCs w:val="0"/>
          <w:color w:val="auto"/>
          <w:sz w:val="24"/>
          <w:szCs w:val="24"/>
          <w:lang w:val="en-US" w:eastAsia="zh-CN"/>
        </w:rPr>
        <w:t>长江</w:t>
      </w:r>
      <w:r>
        <w:rPr>
          <w:rFonts w:hint="default" w:ascii="Times New Roman" w:hAnsi="Times New Roman" w:eastAsia="仿宋_GB2312" w:cs="Times New Roman"/>
          <w:b w:val="0"/>
          <w:bCs w:val="0"/>
          <w:color w:val="auto"/>
          <w:sz w:val="24"/>
          <w:szCs w:val="24"/>
        </w:rPr>
        <w:t>流域</w:t>
      </w:r>
      <w:r>
        <w:rPr>
          <w:rFonts w:hint="default" w:ascii="Times New Roman" w:hAnsi="Times New Roman" w:eastAsia="仿宋_GB2312" w:cs="Times New Roman"/>
          <w:b w:val="0"/>
          <w:bCs w:val="0"/>
          <w:color w:val="auto"/>
          <w:sz w:val="24"/>
          <w:szCs w:val="24"/>
          <w:lang w:val="en-US" w:eastAsia="zh-CN"/>
        </w:rPr>
        <w:t>-嘉陵江</w:t>
      </w:r>
      <w:r>
        <w:rPr>
          <w:rFonts w:hint="default" w:ascii="Times New Roman" w:hAnsi="Times New Roman" w:eastAsia="仿宋_GB2312" w:cs="Times New Roman"/>
          <w:b w:val="0"/>
          <w:bCs w:val="0"/>
          <w:color w:val="auto"/>
          <w:sz w:val="24"/>
          <w:szCs w:val="24"/>
        </w:rPr>
        <w:t>流域</w:t>
      </w:r>
    </w:p>
    <w:p w14:paraId="041A2767">
      <w:pPr>
        <w:keepNext w:val="0"/>
        <w:keepLines w:val="0"/>
        <w:widowControl/>
        <w:suppressLineNumbers w:val="0"/>
        <w:spacing w:line="360" w:lineRule="auto"/>
        <w:ind w:firstLine="482" w:firstLineChars="200"/>
        <w:jc w:val="left"/>
        <w:rPr>
          <w:rFonts w:hint="default" w:ascii="Times New Roman" w:hAnsi="Times New Roman" w:eastAsia="仿宋_GB2312" w:cs="Times New Roman"/>
          <w:b w:val="0"/>
          <w:bCs w:val="0"/>
          <w:color w:val="FF0000"/>
          <w:kern w:val="2"/>
          <w:sz w:val="24"/>
          <w:szCs w:val="24"/>
          <w:lang w:val="en-US" w:eastAsia="zh-CN" w:bidi="ar"/>
        </w:rPr>
      </w:pPr>
      <w:r>
        <w:rPr>
          <w:rFonts w:hint="default" w:ascii="Times New Roman" w:hAnsi="Times New Roman" w:eastAsia="仿宋_GB2312" w:cs="Times New Roman"/>
          <w:b/>
          <w:bCs/>
          <w:color w:val="auto"/>
          <w:kern w:val="13"/>
          <w:sz w:val="24"/>
          <w:szCs w:val="24"/>
        </w:rPr>
        <w:t>项目建设内容及规模</w:t>
      </w:r>
      <w:r>
        <w:rPr>
          <w:rFonts w:hint="default" w:ascii="Times New Roman" w:hAnsi="Times New Roman" w:eastAsia="仿宋_GB2312" w:cs="Times New Roman"/>
          <w:b w:val="0"/>
          <w:bCs w:val="0"/>
          <w:color w:val="auto"/>
          <w:kern w:val="13"/>
          <w:sz w:val="24"/>
          <w:szCs w:val="24"/>
        </w:rPr>
        <w:t>：</w:t>
      </w:r>
      <w:r>
        <w:rPr>
          <w:rFonts w:hint="default" w:ascii="Times New Roman" w:hAnsi="Times New Roman" w:eastAsia="仿宋_GB2312" w:cs="Times New Roman"/>
          <w:b w:val="0"/>
          <w:bCs w:val="0"/>
          <w:color w:val="auto"/>
          <w:kern w:val="2"/>
          <w:sz w:val="24"/>
          <w:szCs w:val="24"/>
          <w:lang w:val="en-US" w:eastAsia="zh-CN" w:bidi="ar"/>
        </w:rPr>
        <w:t>总用地面积0.33hm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（3270.00m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），建筑面积2800m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，均为地上建筑面积，容积率0.86，建筑密度17.13%，绿地率36.36%。建设内容包括新建干部周转房 1 栋（80套），配套附属设施建设及居住设备购置。</w:t>
      </w:r>
    </w:p>
    <w:p w14:paraId="68ABB498">
      <w:pPr>
        <w:widowControl w:val="0"/>
        <w:spacing w:line="360" w:lineRule="auto"/>
        <w:ind w:firstLine="482" w:firstLineChars="200"/>
        <w:jc w:val="both"/>
        <w:rPr>
          <w:rFonts w:hint="default" w:ascii="Times New Roman" w:hAnsi="Times New Roman" w:eastAsia="仿宋_GB2312" w:cs="Times New Roman"/>
          <w:b w:val="0"/>
          <w:bCs w:val="0"/>
          <w:color w:val="FF0000"/>
          <w:kern w:val="13"/>
          <w:sz w:val="24"/>
          <w:szCs w:val="24"/>
          <w:lang w:val="en-US" w:eastAsia="zh-CN"/>
        </w:rPr>
      </w:pPr>
      <w:r>
        <w:rPr>
          <w:rFonts w:hint="default" w:ascii="Times New Roman" w:hAnsi="Times New Roman" w:eastAsia="仿宋_GB2312" w:cs="Times New Roman"/>
          <w:b/>
          <w:bCs/>
          <w:color w:val="auto"/>
          <w:kern w:val="13"/>
          <w:sz w:val="24"/>
          <w:szCs w:val="24"/>
          <w:lang w:eastAsia="zh-CN"/>
        </w:rPr>
        <w:t>施工组织</w:t>
      </w:r>
      <w:r>
        <w:rPr>
          <w:rFonts w:hint="default" w:ascii="Times New Roman" w:hAnsi="Times New Roman" w:eastAsia="仿宋_GB2312" w:cs="Times New Roman"/>
          <w:b w:val="0"/>
          <w:bCs w:val="0"/>
          <w:color w:val="auto"/>
          <w:kern w:val="13"/>
          <w:sz w:val="24"/>
          <w:szCs w:val="24"/>
          <w:lang w:eastAsia="zh-CN"/>
        </w:rPr>
        <w:t>：</w:t>
      </w:r>
      <w:r>
        <w:rPr>
          <w:rFonts w:hint="default" w:ascii="Times New Roman" w:hAnsi="Times New Roman" w:eastAsia="仿宋_GB2312" w:cs="Times New Roman"/>
          <w:color w:val="auto"/>
          <w:kern w:val="0"/>
          <w:sz w:val="24"/>
          <w:lang w:val="en-US" w:eastAsia="zh-CN"/>
        </w:rPr>
        <w:t>施工作业较为简单，施工生产利用红线范围内现有场地灵活安排施工作业，不再单独布设施工生产区；另外</w:t>
      </w:r>
      <w:r>
        <w:rPr>
          <w:rFonts w:hint="default" w:ascii="Times New Roman" w:hAnsi="Times New Roman" w:eastAsia="仿宋_GB2312" w:cs="Times New Roman"/>
          <w:color w:val="auto"/>
          <w:kern w:val="0"/>
          <w:sz w:val="24"/>
        </w:rPr>
        <w:t>本项目附近居民分布比较密集，因此施工办公室及住宿</w:t>
      </w:r>
      <w:r>
        <w:rPr>
          <w:rFonts w:hint="default" w:ascii="Times New Roman" w:hAnsi="Times New Roman" w:eastAsia="仿宋_GB2312" w:cs="Times New Roman"/>
          <w:color w:val="auto"/>
          <w:kern w:val="0"/>
          <w:sz w:val="24"/>
          <w:lang w:eastAsia="zh-CN"/>
        </w:rPr>
        <w:t>采用</w:t>
      </w:r>
      <w:r>
        <w:rPr>
          <w:rFonts w:hint="default" w:ascii="Times New Roman" w:hAnsi="Times New Roman" w:eastAsia="仿宋_GB2312" w:cs="Times New Roman"/>
          <w:color w:val="auto"/>
          <w:kern w:val="0"/>
          <w:sz w:val="24"/>
        </w:rPr>
        <w:t>就近租房，</w:t>
      </w:r>
      <w:r>
        <w:rPr>
          <w:rFonts w:hint="default" w:ascii="Times New Roman" w:hAnsi="Times New Roman" w:eastAsia="仿宋_GB2312" w:cs="Times New Roman"/>
          <w:color w:val="auto"/>
          <w:kern w:val="0"/>
          <w:sz w:val="24"/>
          <w:lang w:val="en-US" w:eastAsia="zh-CN"/>
        </w:rPr>
        <w:t>不再单独布设施工生活区</w:t>
      </w:r>
      <w:r>
        <w:rPr>
          <w:rFonts w:hint="default" w:ascii="Times New Roman" w:hAnsi="Times New Roman" w:eastAsia="仿宋_GB2312" w:cs="Times New Roman"/>
          <w:b w:val="0"/>
          <w:bCs w:val="0"/>
          <w:color w:val="auto"/>
          <w:sz w:val="24"/>
          <w:szCs w:val="24"/>
          <w:lang w:val="en-US" w:eastAsia="zh-CN"/>
        </w:rPr>
        <w:t>；</w:t>
      </w:r>
      <w:r>
        <w:rPr>
          <w:rFonts w:hint="default" w:ascii="Times New Roman" w:hAnsi="Times New Roman" w:eastAsia="仿宋_GB2312" w:cs="Times New Roman"/>
          <w:color w:val="auto"/>
          <w:kern w:val="2"/>
          <w:sz w:val="24"/>
          <w:szCs w:val="24"/>
          <w:lang w:val="en-US" w:eastAsia="zh-CN" w:bidi="ar-SA"/>
        </w:rPr>
        <w:t>绿化工程占地面积较大且剥离表土较少，表土剥离后已及时回覆在绿化工程内并进行绿化，临时堆土占地为本项目红线内占地，不新增临时用地，未设置独立的临时堆土场；未</w:t>
      </w:r>
      <w:r>
        <w:rPr>
          <w:rFonts w:hint="default" w:ascii="Times New Roman" w:hAnsi="Times New Roman" w:eastAsia="仿宋_GB2312" w:cs="Times New Roman"/>
          <w:b w:val="0"/>
          <w:bCs w:val="0"/>
          <w:color w:val="auto"/>
          <w:kern w:val="13"/>
          <w:sz w:val="24"/>
          <w:szCs w:val="24"/>
          <w:lang w:val="en-US" w:eastAsia="zh-CN" w:bidi="ar-SA"/>
        </w:rPr>
        <w:t>设置取土场、弃渣场</w:t>
      </w:r>
      <w:r>
        <w:rPr>
          <w:rFonts w:hint="default" w:ascii="Times New Roman" w:hAnsi="Times New Roman" w:eastAsia="仿宋_GB2312" w:cs="Times New Roman"/>
          <w:b w:val="0"/>
          <w:bCs w:val="0"/>
          <w:color w:val="auto"/>
          <w:kern w:val="13"/>
          <w:sz w:val="24"/>
          <w:szCs w:val="24"/>
          <w:lang w:val="en-US" w:eastAsia="zh-CN"/>
        </w:rPr>
        <w:t>。</w:t>
      </w:r>
    </w:p>
    <w:p w14:paraId="28576D15">
      <w:pPr>
        <w:widowControl w:val="0"/>
        <w:spacing w:line="360" w:lineRule="auto"/>
        <w:ind w:firstLine="482" w:firstLineChars="200"/>
        <w:jc w:val="both"/>
        <w:rPr>
          <w:rFonts w:hint="default" w:ascii="Times New Roman" w:hAnsi="Times New Roman" w:eastAsia="仿宋_GB2312" w:cs="Times New Roman"/>
          <w:b w:val="0"/>
          <w:bCs w:val="0"/>
          <w:color w:val="auto"/>
          <w:kern w:val="13"/>
          <w:sz w:val="24"/>
          <w:szCs w:val="24"/>
          <w:lang w:val="en-US" w:eastAsia="zh-CN"/>
        </w:rPr>
      </w:pPr>
      <w:r>
        <w:rPr>
          <w:rFonts w:hint="default" w:ascii="Times New Roman" w:hAnsi="Times New Roman" w:eastAsia="仿宋_GB2312" w:cs="Times New Roman"/>
          <w:b/>
          <w:bCs/>
          <w:color w:val="auto"/>
          <w:kern w:val="13"/>
          <w:sz w:val="24"/>
          <w:szCs w:val="24"/>
          <w:lang w:val="en-US" w:eastAsia="zh-CN"/>
        </w:rPr>
        <w:t>拆迁（移民）数量及安置方式</w:t>
      </w:r>
      <w:r>
        <w:rPr>
          <w:rFonts w:hint="default" w:ascii="Times New Roman" w:hAnsi="Times New Roman" w:eastAsia="仿宋_GB2312" w:cs="Times New Roman"/>
          <w:b w:val="0"/>
          <w:bCs w:val="0"/>
          <w:color w:val="auto"/>
          <w:kern w:val="13"/>
          <w:sz w:val="24"/>
          <w:szCs w:val="24"/>
          <w:lang w:val="en-US" w:eastAsia="zh-CN"/>
        </w:rPr>
        <w:t>：不涉及拆迁及安置工程。</w:t>
      </w:r>
    </w:p>
    <w:p w14:paraId="6B02AFAE">
      <w:pPr>
        <w:widowControl w:val="0"/>
        <w:spacing w:line="360" w:lineRule="auto"/>
        <w:ind w:firstLine="482" w:firstLineChars="200"/>
        <w:jc w:val="both"/>
        <w:rPr>
          <w:rFonts w:hint="default" w:ascii="Times New Roman" w:hAnsi="Times New Roman" w:eastAsia="仿宋_GB2312" w:cs="Times New Roman"/>
          <w:b w:val="0"/>
          <w:bCs w:val="0"/>
          <w:color w:val="auto"/>
          <w:kern w:val="13"/>
          <w:sz w:val="24"/>
          <w:szCs w:val="24"/>
          <w:lang w:val="en-US" w:eastAsia="zh-CN"/>
        </w:rPr>
      </w:pPr>
      <w:r>
        <w:rPr>
          <w:rFonts w:hint="default" w:ascii="Times New Roman" w:hAnsi="Times New Roman" w:eastAsia="仿宋_GB2312" w:cs="Times New Roman"/>
          <w:b/>
          <w:bCs/>
          <w:color w:val="auto"/>
          <w:kern w:val="13"/>
          <w:sz w:val="24"/>
          <w:szCs w:val="24"/>
          <w:lang w:val="en-US" w:eastAsia="zh-CN"/>
        </w:rPr>
        <w:t>专项设施改（迁）建</w:t>
      </w:r>
      <w:r>
        <w:rPr>
          <w:rFonts w:hint="default" w:ascii="Times New Roman" w:hAnsi="Times New Roman" w:eastAsia="仿宋_GB2312" w:cs="Times New Roman"/>
          <w:b w:val="0"/>
          <w:bCs w:val="0"/>
          <w:color w:val="auto"/>
          <w:kern w:val="13"/>
          <w:sz w:val="24"/>
          <w:szCs w:val="24"/>
          <w:lang w:val="en-US" w:eastAsia="zh-CN"/>
        </w:rPr>
        <w:t>：不涉及专项设施改（迁）建工程。</w:t>
      </w:r>
    </w:p>
    <w:p w14:paraId="7D70F794">
      <w:pPr>
        <w:widowControl w:val="0"/>
        <w:spacing w:line="360" w:lineRule="auto"/>
        <w:ind w:firstLine="482" w:firstLineChars="200"/>
        <w:jc w:val="both"/>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bCs/>
          <w:color w:val="auto"/>
          <w:kern w:val="13"/>
          <w:sz w:val="24"/>
          <w:szCs w:val="24"/>
          <w:lang w:eastAsia="zh-CN"/>
        </w:rPr>
        <w:t>开工与完工时间</w:t>
      </w:r>
      <w:r>
        <w:rPr>
          <w:rFonts w:hint="default" w:ascii="Times New Roman" w:hAnsi="Times New Roman" w:eastAsia="仿宋_GB2312" w:cs="Times New Roman"/>
          <w:b w:val="0"/>
          <w:bCs w:val="0"/>
          <w:color w:val="auto"/>
          <w:kern w:val="13"/>
          <w:sz w:val="24"/>
          <w:szCs w:val="24"/>
          <w:lang w:eastAsia="zh-CN"/>
        </w:rPr>
        <w:t>：</w:t>
      </w:r>
      <w:r>
        <w:rPr>
          <w:rFonts w:hint="default" w:ascii="Times New Roman" w:hAnsi="Times New Roman" w:eastAsia="仿宋_GB2312" w:cs="Times New Roman"/>
          <w:b w:val="0"/>
          <w:bCs w:val="0"/>
          <w:color w:val="auto"/>
          <w:kern w:val="13"/>
          <w:sz w:val="24"/>
          <w:szCs w:val="24"/>
          <w:lang w:val="en-US" w:eastAsia="zh-CN"/>
        </w:rPr>
        <w:t>据业主介绍，</w:t>
      </w:r>
      <w:r>
        <w:rPr>
          <w:rFonts w:hint="default" w:ascii="Times New Roman" w:hAnsi="Times New Roman" w:eastAsia="仿宋_GB2312" w:cs="Times New Roman"/>
          <w:b w:val="0"/>
          <w:bCs w:val="0"/>
          <w:color w:val="auto"/>
          <w:kern w:val="13"/>
          <w:sz w:val="24"/>
          <w:szCs w:val="24"/>
          <w:lang w:eastAsia="zh-CN"/>
        </w:rPr>
        <w:t>本项目已</w:t>
      </w:r>
      <w:r>
        <w:rPr>
          <w:rFonts w:hint="default" w:ascii="Times New Roman" w:hAnsi="Times New Roman" w:eastAsia="仿宋_GB2312" w:cs="Times New Roman"/>
          <w:b w:val="0"/>
          <w:bCs w:val="0"/>
          <w:color w:val="auto"/>
          <w:kern w:val="13"/>
          <w:sz w:val="24"/>
          <w:szCs w:val="24"/>
        </w:rPr>
        <w:t>于20</w:t>
      </w:r>
      <w:r>
        <w:rPr>
          <w:rFonts w:hint="default" w:ascii="Times New Roman" w:hAnsi="Times New Roman" w:eastAsia="仿宋_GB2312" w:cs="Times New Roman"/>
          <w:b w:val="0"/>
          <w:bCs w:val="0"/>
          <w:color w:val="auto"/>
          <w:kern w:val="13"/>
          <w:sz w:val="24"/>
          <w:szCs w:val="24"/>
          <w:lang w:val="en-US" w:eastAsia="zh-CN"/>
        </w:rPr>
        <w:t>22</w:t>
      </w:r>
      <w:r>
        <w:rPr>
          <w:rFonts w:hint="default" w:ascii="Times New Roman" w:hAnsi="Times New Roman" w:eastAsia="仿宋_GB2312" w:cs="Times New Roman"/>
          <w:b w:val="0"/>
          <w:bCs w:val="0"/>
          <w:color w:val="auto"/>
          <w:kern w:val="13"/>
          <w:sz w:val="24"/>
          <w:szCs w:val="24"/>
        </w:rPr>
        <w:t>年</w:t>
      </w:r>
      <w:r>
        <w:rPr>
          <w:rFonts w:hint="default" w:ascii="Times New Roman" w:hAnsi="Times New Roman" w:eastAsia="仿宋_GB2312" w:cs="Times New Roman"/>
          <w:b w:val="0"/>
          <w:bCs w:val="0"/>
          <w:color w:val="auto"/>
          <w:kern w:val="13"/>
          <w:sz w:val="24"/>
          <w:szCs w:val="24"/>
          <w:lang w:val="en-US" w:eastAsia="zh-CN"/>
        </w:rPr>
        <w:t>7</w:t>
      </w:r>
      <w:r>
        <w:rPr>
          <w:rFonts w:hint="default" w:ascii="Times New Roman" w:hAnsi="Times New Roman" w:eastAsia="仿宋_GB2312" w:cs="Times New Roman"/>
          <w:b w:val="0"/>
          <w:bCs w:val="0"/>
          <w:color w:val="auto"/>
          <w:kern w:val="13"/>
          <w:sz w:val="24"/>
          <w:szCs w:val="24"/>
        </w:rPr>
        <w:t>月开工，20</w:t>
      </w:r>
      <w:r>
        <w:rPr>
          <w:rFonts w:hint="default" w:ascii="Times New Roman" w:hAnsi="Times New Roman" w:eastAsia="仿宋_GB2312" w:cs="Times New Roman"/>
          <w:b w:val="0"/>
          <w:bCs w:val="0"/>
          <w:color w:val="auto"/>
          <w:kern w:val="13"/>
          <w:sz w:val="24"/>
          <w:szCs w:val="24"/>
          <w:lang w:val="en-US" w:eastAsia="zh-CN"/>
        </w:rPr>
        <w:t>23</w:t>
      </w:r>
      <w:r>
        <w:rPr>
          <w:rFonts w:hint="default" w:ascii="Times New Roman" w:hAnsi="Times New Roman" w:eastAsia="仿宋_GB2312" w:cs="Times New Roman"/>
          <w:b w:val="0"/>
          <w:bCs w:val="0"/>
          <w:color w:val="auto"/>
          <w:kern w:val="13"/>
          <w:sz w:val="24"/>
          <w:szCs w:val="24"/>
        </w:rPr>
        <w:t>年</w:t>
      </w:r>
      <w:r>
        <w:rPr>
          <w:rFonts w:hint="default" w:ascii="Times New Roman" w:hAnsi="Times New Roman" w:eastAsia="仿宋_GB2312" w:cs="Times New Roman"/>
          <w:b w:val="0"/>
          <w:bCs w:val="0"/>
          <w:color w:val="auto"/>
          <w:kern w:val="13"/>
          <w:sz w:val="24"/>
          <w:szCs w:val="24"/>
          <w:lang w:val="en-US" w:eastAsia="zh-CN"/>
        </w:rPr>
        <w:t>8</w:t>
      </w:r>
      <w:r>
        <w:rPr>
          <w:rFonts w:hint="default" w:ascii="Times New Roman" w:hAnsi="Times New Roman" w:eastAsia="仿宋_GB2312" w:cs="Times New Roman"/>
          <w:b w:val="0"/>
          <w:bCs w:val="0"/>
          <w:color w:val="auto"/>
          <w:kern w:val="13"/>
          <w:sz w:val="24"/>
          <w:szCs w:val="24"/>
        </w:rPr>
        <w:t>月完工，总工期为</w:t>
      </w:r>
      <w:r>
        <w:rPr>
          <w:rFonts w:hint="default" w:ascii="Times New Roman" w:hAnsi="Times New Roman" w:eastAsia="仿宋_GB2312" w:cs="Times New Roman"/>
          <w:b w:val="0"/>
          <w:bCs w:val="0"/>
          <w:color w:val="auto"/>
          <w:kern w:val="13"/>
          <w:sz w:val="24"/>
          <w:szCs w:val="24"/>
          <w:lang w:val="en-US" w:eastAsia="zh-CN"/>
        </w:rPr>
        <w:t>14</w:t>
      </w:r>
      <w:r>
        <w:rPr>
          <w:rFonts w:hint="default" w:ascii="Times New Roman" w:hAnsi="Times New Roman" w:eastAsia="仿宋_GB2312" w:cs="Times New Roman"/>
          <w:b w:val="0"/>
          <w:bCs w:val="0"/>
          <w:color w:val="auto"/>
          <w:kern w:val="13"/>
          <w:sz w:val="24"/>
          <w:szCs w:val="24"/>
        </w:rPr>
        <w:t>个月。</w:t>
      </w:r>
    </w:p>
    <w:p w14:paraId="0F7AD16E">
      <w:pPr>
        <w:keepNext w:val="0"/>
        <w:keepLines w:val="0"/>
        <w:pageBreakBefore w:val="0"/>
        <w:widowControl w:val="0"/>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bCs/>
          <w:color w:val="auto"/>
          <w:kern w:val="0"/>
          <w:sz w:val="24"/>
          <w:szCs w:val="24"/>
          <w:lang w:val="en-US" w:eastAsia="zh-CN"/>
        </w:rPr>
        <w:t>总投资与土建投资</w:t>
      </w:r>
      <w:r>
        <w:rPr>
          <w:rFonts w:hint="default" w:ascii="Times New Roman" w:hAnsi="Times New Roman" w:eastAsia="仿宋_GB2312" w:cs="Times New Roman"/>
          <w:b w:val="0"/>
          <w:bCs w:val="0"/>
          <w:color w:val="auto"/>
          <w:kern w:val="0"/>
          <w:sz w:val="24"/>
          <w:szCs w:val="24"/>
          <w:lang w:val="en-US" w:eastAsia="zh-CN"/>
        </w:rPr>
        <w:t>：</w:t>
      </w:r>
      <w:r>
        <w:rPr>
          <w:rFonts w:hint="default" w:ascii="Times New Roman" w:hAnsi="Times New Roman" w:eastAsia="仿宋_GB2312" w:cs="Times New Roman"/>
          <w:b w:val="0"/>
          <w:bCs w:val="0"/>
          <w:color w:val="auto"/>
          <w:kern w:val="2"/>
          <w:sz w:val="24"/>
          <w:szCs w:val="24"/>
          <w:lang w:val="en-US" w:eastAsia="zh-CN" w:bidi="ar"/>
        </w:rPr>
        <w:t>总投资1012.00万元，土建投资为798.32万元，资金来源为向上争取及县财政配套。</w:t>
      </w:r>
    </w:p>
    <w:p w14:paraId="01FFCE1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val="0"/>
          <w:bCs w:val="0"/>
          <w:color w:val="FF0000"/>
          <w:sz w:val="24"/>
          <w:szCs w:val="24"/>
          <w:lang w:eastAsia="zh-CN"/>
        </w:rPr>
      </w:pPr>
      <w:r>
        <w:rPr>
          <w:rFonts w:hint="default" w:ascii="Times New Roman" w:hAnsi="Times New Roman" w:eastAsia="仿宋_GB2312" w:cs="Times New Roman"/>
          <w:b/>
          <w:bCs/>
          <w:color w:val="auto"/>
          <w:sz w:val="24"/>
          <w:szCs w:val="24"/>
          <w:lang w:eastAsia="zh-CN"/>
        </w:rPr>
        <w:t>工程占地</w:t>
      </w:r>
      <w:r>
        <w:rPr>
          <w:rFonts w:hint="default" w:ascii="Times New Roman" w:hAnsi="Times New Roman" w:eastAsia="仿宋_GB2312" w:cs="Times New Roman"/>
          <w:b w:val="0"/>
          <w:bCs w:val="0"/>
          <w:color w:val="auto"/>
          <w:sz w:val="24"/>
          <w:szCs w:val="24"/>
          <w:lang w:eastAsia="zh-CN"/>
        </w:rPr>
        <w:t>：</w:t>
      </w:r>
      <w:r>
        <w:rPr>
          <w:rFonts w:hint="default" w:ascii="Times New Roman" w:hAnsi="Times New Roman" w:eastAsia="仿宋_GB2312" w:cs="Times New Roman"/>
          <w:color w:val="auto"/>
          <w:kern w:val="0"/>
          <w:sz w:val="24"/>
          <w:lang w:val="en-US" w:eastAsia="zh-CN"/>
        </w:rPr>
        <w:t>根据</w:t>
      </w:r>
      <w:r>
        <w:rPr>
          <w:rFonts w:hint="default" w:ascii="Times New Roman" w:hAnsi="Times New Roman" w:eastAsia="仿宋_GB2312" w:cs="Times New Roman"/>
          <w:b w:val="0"/>
          <w:bCs w:val="0"/>
          <w:color w:val="auto"/>
          <w:kern w:val="2"/>
          <w:sz w:val="24"/>
          <w:szCs w:val="24"/>
          <w:lang w:val="en-US" w:eastAsia="zh-CN" w:bidi="ar"/>
        </w:rPr>
        <w:t>项目可行性研究报告的批复、施工图及现场踏勘</w:t>
      </w:r>
      <w:r>
        <w:rPr>
          <w:rFonts w:hint="default" w:ascii="Times New Roman" w:hAnsi="Times New Roman" w:eastAsia="仿宋_GB2312" w:cs="Times New Roman"/>
          <w:color w:val="auto"/>
          <w:kern w:val="0"/>
          <w:sz w:val="24"/>
          <w:lang w:val="en-US" w:eastAsia="zh-CN"/>
        </w:rPr>
        <w:t>，本项目总占地面积为</w:t>
      </w:r>
      <w:r>
        <w:rPr>
          <w:rFonts w:hint="default" w:ascii="Times New Roman" w:hAnsi="Times New Roman" w:eastAsia="仿宋_GB2312" w:cs="Times New Roman"/>
          <w:b w:val="0"/>
          <w:bCs w:val="0"/>
          <w:color w:val="auto"/>
          <w:kern w:val="2"/>
          <w:sz w:val="24"/>
          <w:szCs w:val="24"/>
          <w:lang w:val="en-US" w:eastAsia="zh-CN" w:bidi="ar"/>
        </w:rPr>
        <w:t>0.33hm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（3270.00m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），均为永久占地。其中建构筑物工程区0.04</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，硬化工程区0.17</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，绿化工程区0.12</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，占地类型为工矿仓储用用地、林地。</w:t>
      </w:r>
    </w:p>
    <w:p w14:paraId="5C53933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仿宋_GB2312" w:cs="Times New Roman"/>
          <w:b w:val="0"/>
          <w:bCs w:val="0"/>
          <w:color w:val="auto"/>
          <w:sz w:val="24"/>
          <w:szCs w:val="24"/>
          <w:lang w:val="en-US" w:eastAsia="zh-CN"/>
        </w:rPr>
      </w:pPr>
      <w:r>
        <w:rPr>
          <w:rFonts w:hint="default" w:ascii="Times New Roman" w:hAnsi="Times New Roman" w:eastAsia="仿宋_GB2312" w:cs="Times New Roman"/>
          <w:b/>
          <w:bCs/>
          <w:color w:val="auto"/>
          <w:sz w:val="24"/>
          <w:szCs w:val="24"/>
          <w:lang w:eastAsia="zh-CN"/>
        </w:rPr>
        <w:t>土石方量</w:t>
      </w:r>
      <w:r>
        <w:rPr>
          <w:rFonts w:hint="default" w:ascii="Times New Roman" w:hAnsi="Times New Roman" w:eastAsia="仿宋_GB2312" w:cs="Times New Roman"/>
          <w:b w:val="0"/>
          <w:bCs w:val="0"/>
          <w:color w:val="auto"/>
          <w:sz w:val="24"/>
          <w:szCs w:val="24"/>
          <w:lang w:eastAsia="zh-CN"/>
        </w:rPr>
        <w:t>：</w:t>
      </w:r>
      <w:r>
        <w:rPr>
          <w:rFonts w:hint="default" w:ascii="Times New Roman" w:hAnsi="Times New Roman" w:eastAsia="仿宋_GB2312" w:cs="Times New Roman"/>
          <w:b w:val="0"/>
          <w:bCs w:val="0"/>
          <w:color w:val="auto"/>
          <w:kern w:val="2"/>
          <w:sz w:val="24"/>
          <w:szCs w:val="24"/>
          <w:lang w:val="en-US" w:eastAsia="zh-CN" w:bidi="ar"/>
        </w:rPr>
        <w:t>本项目挖方总量为0.36万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auto"/>
          <w:kern w:val="0"/>
          <w:sz w:val="24"/>
          <w:szCs w:val="24"/>
          <w:lang w:val="en-US" w:eastAsia="zh-CN" w:bidi="ar"/>
        </w:rPr>
        <w:t>其中表土剥离0.02</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），填方总量为0.36万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auto"/>
          <w:kern w:val="0"/>
          <w:sz w:val="24"/>
          <w:szCs w:val="24"/>
          <w:lang w:val="en-US" w:eastAsia="zh-CN" w:bidi="ar"/>
        </w:rPr>
        <w:t>其中表土回覆0.02</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），无借方，无余方。</w:t>
      </w:r>
    </w:p>
    <w:p w14:paraId="25B7F914">
      <w:pPr>
        <w:keepNext w:val="0"/>
        <w:keepLines w:val="0"/>
        <w:widowControl/>
        <w:suppressLineNumbers w:val="0"/>
        <w:spacing w:line="360" w:lineRule="auto"/>
        <w:ind w:firstLine="482" w:firstLineChars="200"/>
        <w:jc w:val="left"/>
        <w:outlineLvl w:val="9"/>
        <w:rPr>
          <w:rFonts w:hint="default" w:ascii="Times New Roman" w:hAnsi="Times New Roman" w:eastAsia="仿宋_GB2312" w:cs="Times New Roman"/>
          <w:b w:val="0"/>
          <w:bCs w:val="0"/>
          <w:color w:val="auto"/>
          <w:kern w:val="0"/>
          <w:sz w:val="24"/>
          <w:szCs w:val="24"/>
          <w:lang w:val="zh-CN"/>
        </w:rPr>
      </w:pPr>
      <w:r>
        <w:rPr>
          <w:rFonts w:hint="default" w:ascii="Times New Roman" w:hAnsi="Times New Roman" w:eastAsia="仿宋_GB2312" w:cs="Times New Roman"/>
          <w:b/>
          <w:bCs/>
          <w:color w:val="auto"/>
          <w:sz w:val="24"/>
          <w:szCs w:val="24"/>
          <w:lang w:eastAsia="zh-CN"/>
        </w:rPr>
        <w:t>取土场和弃渣场数量</w:t>
      </w:r>
      <w:r>
        <w:rPr>
          <w:rFonts w:hint="default" w:ascii="Times New Roman" w:hAnsi="Times New Roman" w:eastAsia="仿宋_GB2312" w:cs="Times New Roman"/>
          <w:b w:val="0"/>
          <w:bCs w:val="0"/>
          <w:color w:val="auto"/>
          <w:sz w:val="24"/>
          <w:szCs w:val="24"/>
          <w:lang w:eastAsia="zh-CN"/>
        </w:rPr>
        <w:t>：</w:t>
      </w:r>
      <w:r>
        <w:rPr>
          <w:rFonts w:hint="default" w:ascii="Times New Roman" w:hAnsi="Times New Roman" w:eastAsia="仿宋_GB2312" w:cs="Times New Roman"/>
          <w:b w:val="0"/>
          <w:bCs w:val="0"/>
          <w:color w:val="auto"/>
          <w:sz w:val="24"/>
          <w:szCs w:val="24"/>
          <w:lang w:val="en-US" w:eastAsia="zh-CN"/>
        </w:rPr>
        <w:t>未</w:t>
      </w:r>
      <w:r>
        <w:rPr>
          <w:rFonts w:hint="default" w:ascii="Times New Roman" w:hAnsi="Times New Roman" w:eastAsia="仿宋_GB2312" w:cs="Times New Roman"/>
          <w:b w:val="0"/>
          <w:bCs w:val="0"/>
          <w:color w:val="auto"/>
          <w:sz w:val="24"/>
          <w:szCs w:val="24"/>
          <w:lang w:eastAsia="zh-CN"/>
        </w:rPr>
        <w:t>设置取土场、弃渣场</w:t>
      </w:r>
      <w:r>
        <w:rPr>
          <w:rFonts w:hint="default" w:ascii="Times New Roman" w:hAnsi="Times New Roman" w:eastAsia="仿宋_GB2312" w:cs="Times New Roman"/>
          <w:b w:val="0"/>
          <w:bCs w:val="0"/>
          <w:color w:val="auto"/>
          <w:kern w:val="0"/>
          <w:sz w:val="24"/>
          <w:szCs w:val="24"/>
          <w:lang w:val="zh-CN"/>
        </w:rPr>
        <w:t>。</w:t>
      </w:r>
    </w:p>
    <w:p w14:paraId="2FBA54FA">
      <w:pPr>
        <w:keepNext w:val="0"/>
        <w:keepLines w:val="0"/>
        <w:widowControl/>
        <w:suppressLineNumbers w:val="0"/>
        <w:spacing w:line="360" w:lineRule="auto"/>
        <w:ind w:firstLine="482" w:firstLineChars="200"/>
        <w:jc w:val="left"/>
        <w:outlineLvl w:val="9"/>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b/>
          <w:bCs/>
          <w:color w:val="000000"/>
          <w:sz w:val="24"/>
          <w:szCs w:val="24"/>
          <w:lang w:val="en-US" w:eastAsia="zh-CN"/>
        </w:rPr>
        <w:t>主体工程竣工验收情况</w:t>
      </w:r>
      <w:r>
        <w:rPr>
          <w:rFonts w:hint="default" w:ascii="Times New Roman" w:hAnsi="Times New Roman" w:eastAsia="仿宋_GB2312" w:cs="Times New Roman"/>
          <w:color w:val="000000"/>
          <w:sz w:val="24"/>
          <w:szCs w:val="24"/>
          <w:lang w:val="en-US" w:eastAsia="zh-CN"/>
        </w:rPr>
        <w:t>：</w:t>
      </w:r>
    </w:p>
    <w:p w14:paraId="55BF77A1">
      <w:pPr>
        <w:keepNext w:val="0"/>
        <w:keepLines w:val="0"/>
        <w:widowControl/>
        <w:suppressLineNumbers w:val="0"/>
        <w:spacing w:line="360" w:lineRule="auto"/>
        <w:ind w:firstLine="480" w:firstLineChars="200"/>
        <w:jc w:val="left"/>
        <w:outlineLvl w:val="9"/>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设计单位：中国华西工程设计建设有限公司</w:t>
      </w:r>
    </w:p>
    <w:p w14:paraId="5C24D377">
      <w:pPr>
        <w:keepNext w:val="0"/>
        <w:keepLines w:val="0"/>
        <w:widowControl/>
        <w:suppressLineNumbers w:val="0"/>
        <w:spacing w:line="360" w:lineRule="auto"/>
        <w:ind w:firstLine="480" w:firstLineChars="200"/>
        <w:jc w:val="left"/>
        <w:outlineLvl w:val="9"/>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施工单位：四川博睿嘉智慧城市建设有限公司</w:t>
      </w:r>
    </w:p>
    <w:p w14:paraId="215155E8">
      <w:pPr>
        <w:keepNext w:val="0"/>
        <w:keepLines w:val="0"/>
        <w:widowControl/>
        <w:suppressLineNumbers w:val="0"/>
        <w:spacing w:line="360" w:lineRule="auto"/>
        <w:ind w:firstLine="480" w:firstLineChars="200"/>
        <w:jc w:val="left"/>
        <w:outlineLvl w:val="9"/>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监理单位：中成弘业工程技术集团有限公司</w:t>
      </w:r>
    </w:p>
    <w:p w14:paraId="707143F3">
      <w:pPr>
        <w:keepNext w:val="0"/>
        <w:keepLines w:val="0"/>
        <w:widowControl/>
        <w:suppressLineNumbers w:val="0"/>
        <w:spacing w:line="360" w:lineRule="auto"/>
        <w:ind w:firstLine="480" w:firstLineChars="200"/>
        <w:jc w:val="left"/>
        <w:outlineLvl w:val="9"/>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 xml:space="preserve">2023年8月，验收组运用现场踏勘、抽样检测、外观检查等方法，对项目主体工程的实体质量展开全面核查，同时对施工、监理等单位提交的技术资料进行细致审查。验收组综合考量项目的基本概况、验收的组织情况与依据以及主体工程验收的核心状况，开展分析评估工作。评估结果表明，主体工程已按照设计文件及合同要求，完成全部建设内容；工程实体质量符合相关标准规范；技术资料完整且规范；主要使用功能经试验能够满足预期需求，不存在遗留质量问题。依据相关竣工验收规定，本项目主体工程通过竣工验收，同意交付使用。 </w:t>
      </w:r>
      <w:r>
        <w:rPr>
          <w:rFonts w:hint="default" w:ascii="Times New Roman" w:hAnsi="Times New Roman" w:eastAsia="仿宋_GB2312" w:cs="Times New Roman"/>
          <w:i w:val="0"/>
          <w:iCs w:val="0"/>
          <w:caps w:val="0"/>
          <w:spacing w:val="0"/>
          <w:kern w:val="2"/>
          <w:sz w:val="19"/>
          <w:szCs w:val="19"/>
          <w:shd w:val="clear" w:fill="F9FAFB"/>
          <w:lang w:val="en-US" w:eastAsia="zh-CN" w:bidi="ar-SA"/>
        </w:rPr>
        <w:t xml:space="preserve"> </w:t>
      </w:r>
    </w:p>
    <w:p w14:paraId="6B0C0900">
      <w:pPr>
        <w:keepNext w:val="0"/>
        <w:keepLines w:val="0"/>
        <w:widowControl/>
        <w:suppressLineNumbers w:val="0"/>
        <w:spacing w:line="360" w:lineRule="auto"/>
        <w:jc w:val="left"/>
        <w:outlineLvl w:val="2"/>
        <w:rPr>
          <w:rFonts w:hint="default" w:ascii="Times New Roman" w:hAnsi="Times New Roman" w:eastAsia="仿宋_GB2312" w:cs="Times New Roman"/>
          <w:b/>
          <w:bCs/>
          <w:color w:val="auto"/>
          <w:kern w:val="2"/>
          <w:sz w:val="28"/>
          <w:szCs w:val="28"/>
          <w:lang w:val="en-US" w:eastAsia="zh-CN" w:bidi="ar"/>
        </w:rPr>
      </w:pPr>
      <w:r>
        <w:rPr>
          <w:rFonts w:hint="default" w:ascii="Times New Roman" w:hAnsi="Times New Roman" w:eastAsia="仿宋_GB2312" w:cs="Times New Roman"/>
          <w:b/>
          <w:bCs/>
          <w:color w:val="000000" w:themeColor="text1"/>
          <w:kern w:val="2"/>
          <w:sz w:val="28"/>
          <w:szCs w:val="28"/>
          <w:lang w:val="en-US" w:eastAsia="zh-CN" w:bidi="ar"/>
          <w14:textFill>
            <w14:solidFill>
              <w14:schemeClr w14:val="tx1"/>
            </w14:solidFill>
          </w14:textFill>
        </w:rPr>
        <w:t>1.1.2项目前期工作进展情况</w:t>
      </w:r>
    </w:p>
    <w:p w14:paraId="6D83E63B">
      <w:pPr>
        <w:pStyle w:val="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仿宋_GB2312" w:cs="Times New Roman"/>
          <w:b w:val="0"/>
          <w:bCs/>
          <w:color w:val="auto"/>
          <w:sz w:val="24"/>
          <w:szCs w:val="24"/>
          <w:lang w:val="en-US" w:eastAsia="zh-CN"/>
        </w:rPr>
      </w:pPr>
      <w:r>
        <w:rPr>
          <w:rFonts w:hint="default" w:ascii="Times New Roman" w:hAnsi="Times New Roman" w:eastAsia="仿宋_GB2312" w:cs="Times New Roman"/>
          <w:b w:val="0"/>
          <w:bCs/>
          <w:color w:val="auto"/>
          <w:kern w:val="2"/>
          <w:sz w:val="24"/>
          <w:szCs w:val="24"/>
          <w:lang w:val="en-US" w:eastAsia="zh-CN" w:bidi="ar-SA"/>
        </w:rPr>
        <w:t>2021年11月，剑阁县王河镇人民政府提出项目立项的申请《剑阁县王河镇人民</w:t>
      </w:r>
      <w:r>
        <w:rPr>
          <w:rFonts w:hint="default" w:ascii="Times New Roman" w:hAnsi="Times New Roman" w:eastAsia="仿宋_GB2312" w:cs="Times New Roman"/>
          <w:b w:val="0"/>
          <w:bCs/>
          <w:color w:val="auto"/>
          <w:sz w:val="24"/>
          <w:szCs w:val="24"/>
          <w:lang w:val="en-US" w:eastAsia="zh-CN"/>
        </w:rPr>
        <w:t>政府关于王河镇干部周转房建设项目立项的报告》（王府〔2021〕255号）。</w:t>
      </w:r>
    </w:p>
    <w:p w14:paraId="149A3414">
      <w:pPr>
        <w:pStyle w:val="9"/>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b w:val="0"/>
          <w:bCs/>
          <w:color w:val="auto"/>
          <w:sz w:val="24"/>
          <w:szCs w:val="24"/>
          <w:lang w:val="en-US" w:eastAsia="zh-CN"/>
        </w:rPr>
        <w:t>2022年1月，本项目取得剑阁县发展和改革局文件《剑阁县发展和改革局关于审批剑阁县王河镇干部周转房建设项目可行性研究报告的批复》（剑发改发〔2022〕18号）。</w:t>
      </w:r>
    </w:p>
    <w:p w14:paraId="292E3585">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color w:val="auto"/>
          <w:sz w:val="24"/>
          <w:szCs w:val="24"/>
          <w:lang w:val="en-US" w:eastAsia="zh-CN"/>
        </w:rPr>
      </w:pPr>
      <w:r>
        <w:rPr>
          <w:rFonts w:hint="default" w:ascii="Times New Roman" w:hAnsi="Times New Roman" w:eastAsia="仿宋_GB2312" w:cs="Times New Roman"/>
          <w:b w:val="0"/>
          <w:bCs/>
          <w:color w:val="auto"/>
          <w:sz w:val="24"/>
          <w:szCs w:val="24"/>
          <w:lang w:val="en-US" w:eastAsia="zh-CN"/>
        </w:rPr>
        <w:t>2022年7月，中国华西工程设计建设有限公司完成本项目的施工图设计；同月，本项目取得建设工程施工许可证（</w:t>
      </w:r>
      <w:r>
        <w:rPr>
          <w:rFonts w:hint="default" w:ascii="Times New Roman" w:hAnsi="Times New Roman" w:eastAsia="宋体" w:cs="Times New Roman"/>
          <w:color w:val="000000"/>
          <w:kern w:val="0"/>
          <w:sz w:val="24"/>
          <w:szCs w:val="24"/>
          <w:lang w:val="en-US" w:eastAsia="zh-CN" w:bidi="ar"/>
        </w:rPr>
        <w:t>510823202307210101</w:t>
      </w:r>
      <w:r>
        <w:rPr>
          <w:rFonts w:hint="default" w:ascii="Times New Roman" w:hAnsi="Times New Roman" w:eastAsia="仿宋_GB2312" w:cs="Times New Roman"/>
          <w:b w:val="0"/>
          <w:bCs/>
          <w:color w:val="auto"/>
          <w:sz w:val="24"/>
          <w:szCs w:val="24"/>
          <w:lang w:val="en-US" w:eastAsia="zh-CN"/>
        </w:rPr>
        <w:t>）并开工建设。</w:t>
      </w:r>
    </w:p>
    <w:p w14:paraId="2D638158">
      <w:pPr>
        <w:pStyle w:val="9"/>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仿宋_GB2312" w:cs="Times New Roman"/>
          <w:b w:val="0"/>
          <w:bCs/>
          <w:color w:val="auto"/>
          <w:sz w:val="24"/>
          <w:szCs w:val="24"/>
          <w:lang w:val="en-US" w:eastAsia="zh-CN"/>
        </w:rPr>
      </w:pPr>
      <w:r>
        <w:rPr>
          <w:rFonts w:hint="default" w:ascii="Times New Roman" w:hAnsi="Times New Roman" w:eastAsia="仿宋_GB2312" w:cs="Times New Roman"/>
          <w:b w:val="0"/>
          <w:bCs/>
          <w:color w:val="auto"/>
          <w:sz w:val="24"/>
          <w:szCs w:val="24"/>
          <w:lang w:val="en-US" w:eastAsia="zh-CN"/>
        </w:rPr>
        <w:t>2023年8月，本项目竣工。</w:t>
      </w:r>
    </w:p>
    <w:p w14:paraId="125BB601">
      <w:pPr>
        <w:spacing w:line="360" w:lineRule="auto"/>
        <w:ind w:firstLine="480" w:firstLineChars="200"/>
        <w:jc w:val="left"/>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pPr>
      <w:r>
        <w:rPr>
          <w:rFonts w:hint="default" w:ascii="Times New Roman" w:hAnsi="Times New Roman" w:eastAsia="仿宋_GB2312" w:cs="Times New Roman"/>
          <w:b w:val="0"/>
          <w:bCs w:val="0"/>
          <w:color w:val="000000"/>
          <w:kern w:val="0"/>
          <w:sz w:val="24"/>
          <w:szCs w:val="24"/>
          <w:lang w:val="en-US" w:eastAsia="zh-CN"/>
        </w:rPr>
        <w:t>据现场踏勘，</w:t>
      </w:r>
      <w:r>
        <w:rPr>
          <w:rFonts w:hint="default" w:ascii="Times New Roman" w:hAnsi="Times New Roman" w:eastAsia="仿宋_GB2312" w:cs="Times New Roman"/>
          <w:b w:val="0"/>
          <w:bCs w:val="0"/>
          <w:color w:val="auto"/>
          <w:kern w:val="2"/>
          <w:sz w:val="24"/>
          <w:szCs w:val="24"/>
          <w:lang w:val="en-US" w:eastAsia="zh-CN" w:bidi="ar"/>
        </w:rPr>
        <w:t>据现场踏勘，项目区绿植生长良好，周边排水通畅。项目区已实施的水土保持措施包括硬化工程：表土剥离0.01万m</w:t>
      </w:r>
      <w:r>
        <w:rPr>
          <w:rFonts w:hint="default" w:ascii="Times New Roman" w:hAnsi="Times New Roman" w:eastAsia="仿宋_GB2312" w:cs="Times New Roman"/>
          <w:b w:val="0"/>
          <w:bCs w:val="0"/>
          <w:color w:val="auto"/>
          <w:kern w:val="2"/>
          <w:sz w:val="24"/>
          <w:szCs w:val="24"/>
          <w:vertAlign w:val="superscript"/>
          <w:lang w:val="en-US" w:eastAsia="zh-CN" w:bidi="ar"/>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auto"/>
          <w:sz w:val="24"/>
          <w:lang w:val="en-US" w:eastAsia="zh-CN" w:bidi="ar"/>
        </w:rPr>
        <w:t>DN300排水管720m、雨水井20座、雨水口15座；</w:t>
      </w:r>
      <w:r>
        <w:rPr>
          <w:rFonts w:hint="default" w:ascii="Times New Roman" w:hAnsi="Times New Roman" w:eastAsia="仿宋_GB2312" w:cs="Times New Roman"/>
          <w:b w:val="0"/>
          <w:bCs w:val="0"/>
          <w:color w:val="auto"/>
          <w:kern w:val="2"/>
          <w:sz w:val="24"/>
          <w:szCs w:val="24"/>
          <w:lang w:val="en-US" w:eastAsia="zh-CN" w:bidi="ar"/>
        </w:rPr>
        <w:t>绿化工程：表土剥离0.01万m</w:t>
      </w:r>
      <w:r>
        <w:rPr>
          <w:rFonts w:hint="default" w:ascii="Times New Roman" w:hAnsi="Times New Roman" w:eastAsia="仿宋_GB2312" w:cs="Times New Roman"/>
          <w:b w:val="0"/>
          <w:bCs w:val="0"/>
          <w:color w:val="auto"/>
          <w:kern w:val="2"/>
          <w:sz w:val="24"/>
          <w:szCs w:val="24"/>
          <w:vertAlign w:val="superscript"/>
          <w:lang w:val="en-US" w:eastAsia="zh-CN" w:bidi="ar"/>
        </w:rPr>
        <w:t>3</w:t>
      </w:r>
      <w:r>
        <w:rPr>
          <w:rFonts w:hint="default" w:ascii="Times New Roman" w:hAnsi="Times New Roman" w:eastAsia="仿宋_GB2312" w:cs="Times New Roman"/>
          <w:b w:val="0"/>
          <w:bCs w:val="0"/>
          <w:color w:val="auto"/>
          <w:kern w:val="2"/>
          <w:sz w:val="24"/>
          <w:szCs w:val="24"/>
          <w:lang w:val="en-US" w:eastAsia="zh-CN" w:bidi="ar"/>
        </w:rPr>
        <w:t>、表土回覆0.02万m</w:t>
      </w:r>
      <w:r>
        <w:rPr>
          <w:rFonts w:hint="default" w:ascii="Times New Roman" w:hAnsi="Times New Roman" w:eastAsia="仿宋_GB2312" w:cs="Times New Roman"/>
          <w:b w:val="0"/>
          <w:bCs w:val="0"/>
          <w:color w:val="auto"/>
          <w:kern w:val="2"/>
          <w:sz w:val="24"/>
          <w:szCs w:val="24"/>
          <w:vertAlign w:val="superscript"/>
          <w:lang w:val="en-US" w:eastAsia="zh-CN" w:bidi="ar"/>
        </w:rPr>
        <w:t>3</w:t>
      </w:r>
      <w:r>
        <w:rPr>
          <w:rFonts w:hint="default" w:ascii="Times New Roman" w:hAnsi="Times New Roman" w:eastAsia="仿宋_GB2312" w:cs="Times New Roman"/>
          <w:b w:val="0"/>
          <w:bCs w:val="0"/>
          <w:color w:val="auto"/>
          <w:kern w:val="2"/>
          <w:sz w:val="24"/>
          <w:szCs w:val="24"/>
          <w:lang w:val="en-US" w:eastAsia="zh-CN" w:bidi="ar"/>
        </w:rPr>
        <w:t>、撒播草籽0.12</w:t>
      </w:r>
      <w:r>
        <w:rPr>
          <w:rFonts w:hint="default" w:ascii="Times New Roman" w:hAnsi="Times New Roman" w:eastAsia="仿宋_GB2312" w:cs="Times New Roman"/>
          <w:color w:val="auto"/>
          <w:sz w:val="24"/>
          <w:lang w:val="en-US" w:eastAsia="zh-CN" w:bidi="ar"/>
        </w:rPr>
        <w:t>h</w:t>
      </w:r>
      <w:r>
        <w:rPr>
          <w:rFonts w:hint="default" w:ascii="Times New Roman" w:hAnsi="Times New Roman" w:eastAsia="仿宋_GB2312" w:cs="Times New Roman"/>
          <w:bCs/>
          <w:color w:val="auto"/>
          <w:sz w:val="24"/>
          <w:lang w:val="zh-CN" w:bidi="ar"/>
        </w:rPr>
        <w:t>m</w:t>
      </w:r>
      <w:r>
        <w:rPr>
          <w:rFonts w:hint="default" w:ascii="Times New Roman" w:hAnsi="Times New Roman" w:eastAsia="仿宋_GB2312" w:cs="Times New Roman"/>
          <w:bCs/>
          <w:color w:val="auto"/>
          <w:sz w:val="24"/>
          <w:vertAlign w:val="superscript"/>
          <w:lang w:val="zh-CN" w:bidi="ar"/>
        </w:rPr>
        <w:t>2</w:t>
      </w:r>
      <w:r>
        <w:rPr>
          <w:rFonts w:hint="default" w:ascii="Times New Roman" w:hAnsi="Times New Roman" w:eastAsia="仿宋_GB2312" w:cs="Times New Roman"/>
          <w:b w:val="0"/>
          <w:bCs w:val="0"/>
          <w:color w:val="auto"/>
          <w:kern w:val="2"/>
          <w:sz w:val="24"/>
          <w:szCs w:val="24"/>
          <w:lang w:val="en-US" w:eastAsia="zh-CN" w:bidi="ar"/>
        </w:rPr>
        <w:t>。</w:t>
      </w:r>
    </w:p>
    <w:p w14:paraId="05D883A7">
      <w:pPr>
        <w:pStyle w:val="9"/>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仿宋_GB2312" w:cs="Times New Roman"/>
          <w:b w:val="0"/>
          <w:bCs w:val="0"/>
          <w:color w:val="000000"/>
          <w:kern w:val="0"/>
          <w:sz w:val="24"/>
          <w:szCs w:val="24"/>
        </w:rPr>
      </w:pPr>
      <w:r>
        <w:rPr>
          <w:rFonts w:hint="default" w:ascii="Times New Roman" w:hAnsi="Times New Roman" w:eastAsia="仿宋_GB2312" w:cs="Times New Roman"/>
          <w:b w:val="0"/>
          <w:bCs w:val="0"/>
          <w:color w:val="000000"/>
          <w:kern w:val="0"/>
          <w:sz w:val="24"/>
          <w:szCs w:val="24"/>
        </w:rPr>
        <w:t>为了贯彻执行《中华人民共和国水土保持法》和工程建设项目的有关法律法规，做好本项目的水土保持工作，建设单位</w:t>
      </w:r>
      <w:r>
        <w:rPr>
          <w:rFonts w:hint="default" w:ascii="Times New Roman" w:hAnsi="Times New Roman" w:eastAsia="仿宋_GB2312" w:cs="Times New Roman"/>
          <w:b w:val="0"/>
          <w:bCs w:val="0"/>
          <w:color w:val="000000"/>
          <w:kern w:val="0"/>
          <w:sz w:val="24"/>
          <w:szCs w:val="24"/>
          <w:lang w:eastAsia="zh-CN"/>
        </w:rPr>
        <w:t>剑阁县王河镇人民政府</w:t>
      </w:r>
      <w:r>
        <w:rPr>
          <w:rFonts w:hint="default" w:ascii="Times New Roman" w:hAnsi="Times New Roman" w:eastAsia="仿宋_GB2312" w:cs="Times New Roman"/>
          <w:b w:val="0"/>
          <w:bCs w:val="0"/>
          <w:color w:val="000000"/>
          <w:kern w:val="0"/>
          <w:sz w:val="24"/>
          <w:szCs w:val="24"/>
        </w:rPr>
        <w:t>于20</w:t>
      </w:r>
      <w:r>
        <w:rPr>
          <w:rFonts w:hint="default" w:ascii="Times New Roman" w:hAnsi="Times New Roman" w:eastAsia="仿宋_GB2312" w:cs="Times New Roman"/>
          <w:b w:val="0"/>
          <w:bCs w:val="0"/>
          <w:color w:val="000000"/>
          <w:kern w:val="0"/>
          <w:sz w:val="24"/>
          <w:szCs w:val="24"/>
          <w:lang w:val="en-US" w:eastAsia="zh-CN"/>
        </w:rPr>
        <w:t>25</w:t>
      </w:r>
      <w:r>
        <w:rPr>
          <w:rFonts w:hint="default" w:ascii="Times New Roman" w:hAnsi="Times New Roman" w:eastAsia="仿宋_GB2312" w:cs="Times New Roman"/>
          <w:b w:val="0"/>
          <w:bCs w:val="0"/>
          <w:color w:val="000000"/>
          <w:kern w:val="0"/>
          <w:sz w:val="24"/>
          <w:szCs w:val="24"/>
        </w:rPr>
        <w:t>年</w:t>
      </w:r>
      <w:r>
        <w:rPr>
          <w:rFonts w:hint="default" w:ascii="Times New Roman" w:hAnsi="Times New Roman" w:eastAsia="仿宋_GB2312" w:cs="Times New Roman"/>
          <w:b w:val="0"/>
          <w:bCs w:val="0"/>
          <w:color w:val="000000"/>
          <w:kern w:val="0"/>
          <w:sz w:val="24"/>
          <w:szCs w:val="24"/>
          <w:lang w:val="en-US" w:eastAsia="zh-CN"/>
        </w:rPr>
        <w:t>9</w:t>
      </w:r>
      <w:r>
        <w:rPr>
          <w:rFonts w:hint="default" w:ascii="Times New Roman" w:hAnsi="Times New Roman" w:eastAsia="仿宋_GB2312" w:cs="Times New Roman"/>
          <w:b w:val="0"/>
          <w:bCs w:val="0"/>
          <w:color w:val="000000"/>
          <w:kern w:val="0"/>
          <w:sz w:val="24"/>
          <w:szCs w:val="24"/>
        </w:rPr>
        <w:t>月委托我公司（</w:t>
      </w:r>
      <w:r>
        <w:rPr>
          <w:rFonts w:hint="default" w:ascii="Times New Roman" w:hAnsi="Times New Roman" w:eastAsia="仿宋_GB2312" w:cs="Times New Roman"/>
          <w:b w:val="0"/>
          <w:bCs w:val="0"/>
          <w:color w:val="auto"/>
          <w:sz w:val="24"/>
          <w:szCs w:val="24"/>
          <w:lang w:eastAsia="zh-CN"/>
        </w:rPr>
        <w:t>四川一砚工程设计有限公司</w:t>
      </w:r>
      <w:r>
        <w:rPr>
          <w:rFonts w:hint="default" w:ascii="Times New Roman" w:hAnsi="Times New Roman" w:eastAsia="仿宋_GB2312" w:cs="Times New Roman"/>
          <w:b w:val="0"/>
          <w:bCs w:val="0"/>
          <w:color w:val="000000"/>
          <w:kern w:val="0"/>
          <w:sz w:val="24"/>
          <w:szCs w:val="24"/>
        </w:rPr>
        <w:t>）进行本项目的水土保持方案报告的编制工作。接到委托任务后，我公司按照有关法律法规及相关规范要求开展了现场调查、资料收集及报告编制工作，于202</w:t>
      </w:r>
      <w:r>
        <w:rPr>
          <w:rFonts w:hint="default" w:ascii="Times New Roman" w:hAnsi="Times New Roman" w:eastAsia="仿宋_GB2312" w:cs="Times New Roman"/>
          <w:b w:val="0"/>
          <w:bCs w:val="0"/>
          <w:color w:val="000000"/>
          <w:kern w:val="0"/>
          <w:sz w:val="24"/>
          <w:szCs w:val="24"/>
          <w:lang w:val="en-US" w:eastAsia="zh-CN"/>
        </w:rPr>
        <w:t>5</w:t>
      </w:r>
      <w:r>
        <w:rPr>
          <w:rFonts w:hint="default" w:ascii="Times New Roman" w:hAnsi="Times New Roman" w:eastAsia="仿宋_GB2312" w:cs="Times New Roman"/>
          <w:b w:val="0"/>
          <w:bCs w:val="0"/>
          <w:color w:val="000000"/>
          <w:kern w:val="0"/>
          <w:sz w:val="24"/>
          <w:szCs w:val="24"/>
        </w:rPr>
        <w:t>年</w:t>
      </w:r>
      <w:r>
        <w:rPr>
          <w:rFonts w:hint="default" w:ascii="Times New Roman" w:hAnsi="Times New Roman" w:eastAsia="仿宋_GB2312" w:cs="Times New Roman"/>
          <w:b w:val="0"/>
          <w:bCs w:val="0"/>
          <w:color w:val="000000"/>
          <w:kern w:val="0"/>
          <w:sz w:val="24"/>
          <w:szCs w:val="24"/>
          <w:lang w:val="en-US" w:eastAsia="zh-CN"/>
        </w:rPr>
        <w:t>10</w:t>
      </w:r>
      <w:r>
        <w:rPr>
          <w:rFonts w:hint="default" w:ascii="Times New Roman" w:hAnsi="Times New Roman" w:eastAsia="仿宋_GB2312" w:cs="Times New Roman"/>
          <w:b w:val="0"/>
          <w:bCs w:val="0"/>
          <w:color w:val="000000"/>
          <w:kern w:val="0"/>
          <w:sz w:val="24"/>
          <w:szCs w:val="24"/>
        </w:rPr>
        <w:t>月编制</w:t>
      </w:r>
      <w:r>
        <w:rPr>
          <w:rFonts w:hint="default" w:ascii="Times New Roman" w:hAnsi="Times New Roman" w:eastAsia="仿宋_GB2312" w:cs="Times New Roman"/>
          <w:b w:val="0"/>
          <w:bCs w:val="0"/>
          <w:color w:val="000000"/>
          <w:sz w:val="24"/>
          <w:szCs w:val="24"/>
        </w:rPr>
        <w:t>完成了《</w:t>
      </w:r>
      <w:r>
        <w:rPr>
          <w:rFonts w:hint="default" w:ascii="Times New Roman" w:hAnsi="Times New Roman" w:eastAsia="仿宋_GB2312" w:cs="Times New Roman"/>
          <w:b w:val="0"/>
          <w:bCs w:val="0"/>
          <w:color w:val="000000"/>
          <w:kern w:val="0"/>
          <w:sz w:val="24"/>
          <w:szCs w:val="24"/>
          <w:lang w:eastAsia="zh-CN"/>
        </w:rPr>
        <w:t>剑阁县王河镇干部周转房建设项目</w:t>
      </w:r>
      <w:r>
        <w:rPr>
          <w:rFonts w:hint="default" w:ascii="Times New Roman" w:hAnsi="Times New Roman" w:eastAsia="仿宋_GB2312" w:cs="Times New Roman"/>
          <w:b w:val="0"/>
          <w:bCs w:val="0"/>
          <w:color w:val="000000"/>
          <w:sz w:val="24"/>
          <w:szCs w:val="24"/>
        </w:rPr>
        <w:t>水土保持方案报告</w:t>
      </w:r>
      <w:r>
        <w:rPr>
          <w:rFonts w:hint="default" w:ascii="Times New Roman" w:hAnsi="Times New Roman" w:eastAsia="仿宋_GB2312" w:cs="Times New Roman"/>
          <w:b w:val="0"/>
          <w:bCs w:val="0"/>
          <w:color w:val="000000"/>
          <w:sz w:val="24"/>
          <w:szCs w:val="24"/>
          <w:lang w:eastAsia="zh-CN"/>
        </w:rPr>
        <w:t>表</w:t>
      </w:r>
      <w:r>
        <w:rPr>
          <w:rFonts w:hint="default" w:ascii="Times New Roman" w:hAnsi="Times New Roman" w:eastAsia="仿宋_GB2312" w:cs="Times New Roman"/>
          <w:b w:val="0"/>
          <w:bCs/>
          <w:color w:val="auto"/>
          <w:sz w:val="24"/>
          <w:szCs w:val="24"/>
          <w:lang w:val="en-US" w:eastAsia="zh-CN"/>
        </w:rPr>
        <w:t>》</w:t>
      </w:r>
      <w:r>
        <w:rPr>
          <w:rFonts w:hint="default" w:ascii="Times New Roman" w:hAnsi="Times New Roman" w:eastAsia="仿宋_GB2312" w:cs="Times New Roman"/>
          <w:b w:val="0"/>
          <w:bCs w:val="0"/>
          <w:color w:val="000000"/>
          <w:kern w:val="0"/>
          <w:sz w:val="24"/>
          <w:szCs w:val="24"/>
        </w:rPr>
        <w:t>。</w:t>
      </w:r>
    </w:p>
    <w:p w14:paraId="4DAE727B">
      <w:pPr>
        <w:pStyle w:val="4"/>
        <w:keepNext w:val="0"/>
        <w:keepLines w:val="0"/>
        <w:pageBreakBefore w:val="0"/>
        <w:widowControl w:val="0"/>
        <w:kinsoku/>
        <w:wordWrap/>
        <w:overflowPunct/>
        <w:topLinePunct w:val="0"/>
        <w:autoSpaceDE/>
        <w:autoSpaceDN/>
        <w:bidi w:val="0"/>
        <w:adjustRightInd/>
        <w:snapToGrid/>
        <w:spacing w:after="163" w:afterLines="50"/>
        <w:textAlignment w:val="auto"/>
        <w:rPr>
          <w:rFonts w:hint="default" w:ascii="Times New Roman" w:hAnsi="Times New Roman" w:eastAsia="仿宋_GB2312" w:cs="Times New Roman"/>
          <w:b/>
          <w:color w:val="auto"/>
          <w:szCs w:val="24"/>
          <w:lang w:val="en-US" w:eastAsia="zh-CN"/>
        </w:rPr>
      </w:pPr>
      <w:r>
        <w:rPr>
          <w:rFonts w:hint="default" w:ascii="Times New Roman" w:hAnsi="Times New Roman" w:eastAsia="仿宋_GB2312" w:cs="Times New Roman"/>
          <w:b/>
          <w:color w:val="auto"/>
          <w:szCs w:val="24"/>
        </w:rPr>
        <w:t>1.1.</w:t>
      </w:r>
      <w:bookmarkEnd w:id="40"/>
      <w:bookmarkEnd w:id="41"/>
      <w:bookmarkEnd w:id="42"/>
      <w:bookmarkEnd w:id="43"/>
      <w:r>
        <w:rPr>
          <w:rFonts w:hint="default" w:ascii="Times New Roman" w:hAnsi="Times New Roman" w:cs="Times New Roman"/>
          <w:b/>
          <w:color w:val="auto"/>
          <w:szCs w:val="24"/>
          <w:lang w:val="en-US" w:eastAsia="zh-CN"/>
        </w:rPr>
        <w:t>3</w:t>
      </w:r>
      <w:r>
        <w:rPr>
          <w:rFonts w:hint="default" w:ascii="Times New Roman" w:hAnsi="Times New Roman" w:eastAsia="仿宋_GB2312" w:cs="Times New Roman"/>
          <w:b/>
          <w:color w:val="auto"/>
          <w:szCs w:val="24"/>
          <w:lang w:eastAsia="zh-CN"/>
        </w:rPr>
        <w:t>自然简况</w:t>
      </w:r>
    </w:p>
    <w:p w14:paraId="5E361DA0">
      <w:pPr>
        <w:spacing w:line="360" w:lineRule="auto"/>
        <w:ind w:firstLine="480"/>
        <w:rPr>
          <w:rFonts w:hint="default" w:ascii="Times New Roman" w:hAnsi="Times New Roman" w:eastAsia="仿宋_GB2312" w:cs="Times New Roman"/>
          <w:color w:val="auto"/>
          <w:sz w:val="24"/>
          <w:szCs w:val="24"/>
          <w:lang w:val="en-US" w:eastAsia="zh-CN"/>
        </w:rPr>
      </w:pPr>
      <w:bookmarkStart w:id="44" w:name="_Toc27441"/>
      <w:bookmarkStart w:id="45" w:name="_Toc437027665"/>
      <w:bookmarkStart w:id="46" w:name="_Toc23670"/>
      <w:r>
        <w:rPr>
          <w:rFonts w:hint="default" w:ascii="Times New Roman" w:hAnsi="Times New Roman" w:eastAsia="仿宋_GB2312" w:cs="Times New Roman"/>
          <w:color w:val="auto"/>
          <w:sz w:val="24"/>
          <w:szCs w:val="24"/>
          <w:lang w:val="en-US" w:eastAsia="zh-CN"/>
        </w:rPr>
        <w:t>项目区扬子地台川西前陆盆地北西部位与龙门山前陆推覆构造带的过度地带。抗震设防烈度为Ⅶ度，地震峰值加速度为0.05g，特征周期为0.40s。项目区未发现有大型滑坡、泥石流、崩塌、不稳定斜坡、地面沉降等不良地质灾害，工程地质条件简单。</w:t>
      </w:r>
    </w:p>
    <w:p w14:paraId="2EF9BF52">
      <w:pPr>
        <w:spacing w:line="360" w:lineRule="auto"/>
        <w:ind w:firstLine="480"/>
        <w:rPr>
          <w:rFonts w:hint="default" w:ascii="Times New Roman" w:hAnsi="Times New Roman" w:eastAsia="仿宋_GB2312" w:cs="Times New Roman"/>
          <w:lang w:val="en-US" w:eastAsia="zh-CN"/>
        </w:rPr>
      </w:pPr>
      <w:r>
        <w:rPr>
          <w:rFonts w:hint="default" w:ascii="Times New Roman" w:hAnsi="Times New Roman" w:eastAsia="仿宋_GB2312" w:cs="Times New Roman"/>
          <w:snapToGrid w:val="0"/>
          <w:color w:val="auto"/>
          <w:kern w:val="0"/>
          <w:sz w:val="24"/>
          <w:szCs w:val="24"/>
          <w:lang w:eastAsia="zh-CN"/>
        </w:rPr>
        <w:t>项目</w:t>
      </w:r>
      <w:r>
        <w:rPr>
          <w:rFonts w:hint="default" w:ascii="Times New Roman" w:hAnsi="Times New Roman" w:eastAsia="仿宋_GB2312" w:cs="Times New Roman"/>
          <w:snapToGrid w:val="0"/>
          <w:color w:val="auto"/>
          <w:kern w:val="0"/>
          <w:sz w:val="24"/>
          <w:szCs w:val="24"/>
        </w:rPr>
        <w:t>场地地貌单元为构造剥蚀丘陵地貌，场地处丘陵斜坡、坡积裙地带，现状呈</w:t>
      </w:r>
      <w:r>
        <w:rPr>
          <w:rFonts w:hint="default" w:ascii="Times New Roman" w:hAnsi="Times New Roman" w:eastAsia="仿宋_GB2312" w:cs="Times New Roman"/>
          <w:snapToGrid w:val="0"/>
          <w:color w:val="auto"/>
          <w:kern w:val="0"/>
          <w:sz w:val="24"/>
          <w:szCs w:val="24"/>
          <w:lang w:eastAsia="zh-CN"/>
        </w:rPr>
        <w:t>低山</w:t>
      </w:r>
      <w:r>
        <w:rPr>
          <w:rFonts w:hint="default" w:ascii="Times New Roman" w:hAnsi="Times New Roman" w:eastAsia="仿宋_GB2312" w:cs="Times New Roman"/>
          <w:snapToGrid w:val="0"/>
          <w:color w:val="auto"/>
          <w:kern w:val="0"/>
          <w:sz w:val="24"/>
          <w:szCs w:val="24"/>
        </w:rPr>
        <w:t>地貌，地形局部起伏</w:t>
      </w:r>
      <w:r>
        <w:rPr>
          <w:rFonts w:hint="default" w:ascii="Times New Roman" w:hAnsi="Times New Roman" w:eastAsia="仿宋_GB2312" w:cs="Times New Roman"/>
          <w:snapToGrid w:val="0"/>
          <w:color w:val="auto"/>
          <w:kern w:val="0"/>
          <w:sz w:val="24"/>
          <w:szCs w:val="24"/>
          <w:lang w:eastAsia="zh-CN"/>
        </w:rPr>
        <w:t>不</w:t>
      </w:r>
      <w:r>
        <w:rPr>
          <w:rFonts w:hint="default" w:ascii="Times New Roman" w:hAnsi="Times New Roman" w:eastAsia="仿宋_GB2312" w:cs="Times New Roman"/>
          <w:snapToGrid w:val="0"/>
          <w:color w:val="auto"/>
          <w:kern w:val="0"/>
          <w:sz w:val="24"/>
          <w:szCs w:val="24"/>
        </w:rPr>
        <w:t>大。</w:t>
      </w:r>
      <w:r>
        <w:rPr>
          <w:rFonts w:hint="default" w:ascii="Times New Roman" w:hAnsi="Times New Roman" w:eastAsia="仿宋_GB2312" w:cs="Times New Roman"/>
          <w:snapToGrid w:val="0"/>
          <w:color w:val="auto"/>
          <w:kern w:val="0"/>
          <w:sz w:val="24"/>
          <w:szCs w:val="24"/>
          <w:lang w:eastAsia="zh-CN"/>
        </w:rPr>
        <w:t>项目区内原始地面高程介于</w:t>
      </w:r>
      <w:r>
        <w:rPr>
          <w:rFonts w:hint="default" w:ascii="Times New Roman" w:hAnsi="Times New Roman" w:eastAsia="仿宋_GB2312" w:cs="Times New Roman"/>
          <w:snapToGrid w:val="0"/>
          <w:color w:val="auto"/>
          <w:kern w:val="0"/>
          <w:sz w:val="24"/>
          <w:szCs w:val="24"/>
          <w:lang w:val="en-US" w:eastAsia="zh-CN"/>
        </w:rPr>
        <w:t>516.12m~518.79m，项目区场平高程为517.50m。</w:t>
      </w:r>
    </w:p>
    <w:p w14:paraId="5AA445D9">
      <w:pPr>
        <w:spacing w:line="360" w:lineRule="auto"/>
        <w:ind w:firstLine="480" w:firstLineChars="200"/>
        <w:rPr>
          <w:rFonts w:hint="default" w:ascii="Times New Roman" w:hAnsi="Times New Roman" w:eastAsia="仿宋_GB2312" w:cs="Times New Roman"/>
          <w:color w:val="auto"/>
          <w:sz w:val="24"/>
          <w:szCs w:val="18"/>
        </w:rPr>
      </w:pPr>
      <w:r>
        <w:rPr>
          <w:rFonts w:hint="default" w:ascii="Times New Roman" w:hAnsi="Times New Roman" w:eastAsia="仿宋_GB2312" w:cs="Times New Roman"/>
          <w:color w:val="auto"/>
          <w:sz w:val="24"/>
          <w:szCs w:val="18"/>
        </w:rPr>
        <w:t>项目区属亚热带湿润季风气候。气候温和，光照比较适宜，四季分明，大陆性季风明显。由于地理位置和多变地貌影响，垂直气候明显，区域气候差异大，出现海拔高程不同，气候各异，高山顶和漕谷地气温相差大。气候随海拔升高而降低。降水充分，但呈陡峭单峰型分布，时空分布不均，常有“东边日出西边雨”情形。剑阁县一般年平均气温约16.7℃，最高40.09℃，最低-7.2℃，多年均降水量1086.6毫米，雨季为每年7～9月，最高月降雨量为551.4mm，最低月降雨量为0.02mm。境内风向随季节变化明显，夏半年盛行偏南风，冬半年盛行偏北风常年主导风向SWW、NEE、多年平均风速1.8m/s。全年无霜期约270天。秋冬两季多雾，多年平均日照时数为1328.3小时</w:t>
      </w:r>
      <w:r>
        <w:rPr>
          <w:rFonts w:hint="default" w:ascii="Times New Roman" w:hAnsi="Times New Roman" w:eastAsia="仿宋_GB2312" w:cs="Times New Roman"/>
          <w:color w:val="auto"/>
          <w:sz w:val="24"/>
          <w:szCs w:val="22"/>
          <w:lang w:val="en-US" w:eastAsia="zh-CN"/>
        </w:rPr>
        <w:t>。</w:t>
      </w:r>
    </w:p>
    <w:p w14:paraId="45E14FE7">
      <w:pPr>
        <w:widowControl w:val="0"/>
        <w:spacing w:line="360" w:lineRule="auto"/>
        <w:ind w:firstLine="480" w:firstLineChars="200"/>
        <w:jc w:val="both"/>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项目区土壤以</w:t>
      </w:r>
      <w:r>
        <w:rPr>
          <w:rFonts w:hint="default" w:ascii="Times New Roman" w:hAnsi="Times New Roman" w:eastAsia="仿宋_GB2312" w:cs="Times New Roman"/>
          <w:color w:val="auto"/>
          <w:sz w:val="24"/>
          <w:szCs w:val="24"/>
          <w:lang w:eastAsia="zh-CN"/>
        </w:rPr>
        <w:t>黄壤土</w:t>
      </w:r>
      <w:r>
        <w:rPr>
          <w:rFonts w:hint="default" w:ascii="Times New Roman" w:hAnsi="Times New Roman" w:eastAsia="仿宋_GB2312" w:cs="Times New Roman"/>
          <w:color w:val="auto"/>
          <w:sz w:val="24"/>
          <w:szCs w:val="24"/>
          <w:lang w:val="en-US" w:eastAsia="zh-CN"/>
        </w:rPr>
        <w:t>为主，项目区可剥离表土厚度为0.20m。</w:t>
      </w:r>
    </w:p>
    <w:p w14:paraId="1F0B77C9">
      <w:pPr>
        <w:widowControl w:val="0"/>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highlight w:val="none"/>
          <w:lang w:val="en-US" w:eastAsia="zh-CN"/>
        </w:rPr>
        <w:t>项目区</w:t>
      </w:r>
      <w:r>
        <w:rPr>
          <w:rFonts w:hint="default" w:ascii="Times New Roman" w:hAnsi="Times New Roman" w:eastAsia="仿宋_GB2312" w:cs="Times New Roman"/>
          <w:color w:val="auto"/>
          <w:kern w:val="0"/>
          <w:sz w:val="24"/>
          <w:szCs w:val="24"/>
          <w:highlight w:val="none"/>
          <w:lang w:val="en-US" w:eastAsia="zh-CN" w:bidi="ar"/>
        </w:rPr>
        <w:t>地带性植被类型为</w:t>
      </w:r>
      <w:r>
        <w:rPr>
          <w:rFonts w:hint="default" w:ascii="Times New Roman" w:hAnsi="Times New Roman" w:eastAsia="仿宋_GB2312" w:cs="Times New Roman"/>
          <w:color w:val="auto"/>
          <w:sz w:val="24"/>
          <w:szCs w:val="24"/>
          <w:lang w:eastAsia="zh-CN"/>
        </w:rPr>
        <w:t>亚热带常绿阔叶林区</w:t>
      </w:r>
      <w:r>
        <w:rPr>
          <w:rFonts w:hint="default" w:ascii="Times New Roman" w:hAnsi="Times New Roman" w:eastAsia="仿宋_GB2312" w:cs="Times New Roman"/>
          <w:color w:val="auto"/>
          <w:kern w:val="0"/>
          <w:sz w:val="24"/>
          <w:szCs w:val="24"/>
          <w:highlight w:val="none"/>
          <w:lang w:val="en-US" w:eastAsia="zh-CN" w:bidi="ar"/>
        </w:rPr>
        <w:t>，</w:t>
      </w:r>
      <w:r>
        <w:rPr>
          <w:rFonts w:hint="default" w:ascii="Times New Roman" w:hAnsi="Times New Roman" w:eastAsia="仿宋_GB2312" w:cs="Times New Roman"/>
          <w:color w:val="auto"/>
          <w:sz w:val="24"/>
          <w:szCs w:val="24"/>
          <w:lang w:val="en-US" w:eastAsia="zh-CN"/>
        </w:rPr>
        <w:t>项目区林草覆盖率约为73.96%。</w:t>
      </w:r>
    </w:p>
    <w:p w14:paraId="029035EB">
      <w:pPr>
        <w:widowControl w:val="0"/>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rPr>
        <w:t>本</w:t>
      </w:r>
      <w:r>
        <w:rPr>
          <w:rFonts w:hint="default" w:ascii="Times New Roman" w:hAnsi="Times New Roman" w:eastAsia="仿宋_GB2312" w:cs="Times New Roman"/>
          <w:color w:val="auto"/>
          <w:sz w:val="24"/>
          <w:szCs w:val="24"/>
        </w:rPr>
        <w:t>项目所在地</w:t>
      </w:r>
      <w:r>
        <w:rPr>
          <w:rFonts w:hint="default" w:ascii="Times New Roman" w:hAnsi="Times New Roman" w:eastAsia="仿宋_GB2312" w:cs="Times New Roman"/>
          <w:color w:val="auto"/>
          <w:sz w:val="24"/>
          <w:szCs w:val="24"/>
          <w:lang w:val="en-US" w:eastAsia="zh-CN"/>
        </w:rPr>
        <w:t>剑阁</w:t>
      </w:r>
      <w:r>
        <w:rPr>
          <w:rFonts w:hint="default" w:ascii="Times New Roman" w:hAnsi="Times New Roman" w:eastAsia="仿宋_GB2312" w:cs="Times New Roman"/>
          <w:color w:val="auto"/>
          <w:sz w:val="24"/>
          <w:szCs w:val="24"/>
          <w:lang w:eastAsia="zh-CN"/>
        </w:rPr>
        <w:t>县</w:t>
      </w:r>
      <w:r>
        <w:rPr>
          <w:rFonts w:hint="default" w:ascii="Times New Roman" w:hAnsi="Times New Roman" w:eastAsia="仿宋_GB2312" w:cs="Times New Roman"/>
          <w:color w:val="auto"/>
          <w:sz w:val="24"/>
          <w:szCs w:val="24"/>
        </w:rPr>
        <w:t>属于</w:t>
      </w:r>
      <w:r>
        <w:rPr>
          <w:rFonts w:hint="default" w:ascii="Times New Roman" w:hAnsi="Times New Roman" w:eastAsia="仿宋_GB2312" w:cs="Times New Roman"/>
          <w:color w:val="auto"/>
          <w:sz w:val="24"/>
          <w:szCs w:val="24"/>
          <w:lang w:val="en-US" w:eastAsia="zh-CN"/>
        </w:rPr>
        <w:t>西南紫色土</w:t>
      </w:r>
      <w:r>
        <w:rPr>
          <w:rFonts w:hint="default" w:ascii="Times New Roman" w:hAnsi="Times New Roman" w:eastAsia="仿宋_GB2312" w:cs="Times New Roman"/>
          <w:color w:val="auto"/>
          <w:sz w:val="24"/>
          <w:szCs w:val="24"/>
        </w:rPr>
        <w:t>区，项目区土壤侵蚀类型以</w:t>
      </w:r>
      <w:r>
        <w:rPr>
          <w:rFonts w:hint="default" w:ascii="Times New Roman" w:hAnsi="Times New Roman" w:eastAsia="仿宋_GB2312" w:cs="Times New Roman"/>
          <w:color w:val="auto"/>
          <w:sz w:val="24"/>
          <w:szCs w:val="24"/>
          <w:lang w:eastAsia="zh-CN"/>
        </w:rPr>
        <w:t>轻</w:t>
      </w:r>
      <w:r>
        <w:rPr>
          <w:rFonts w:hint="default" w:ascii="Times New Roman" w:hAnsi="Times New Roman" w:eastAsia="仿宋_GB2312" w:cs="Times New Roman"/>
          <w:color w:val="auto"/>
          <w:sz w:val="24"/>
          <w:szCs w:val="24"/>
        </w:rPr>
        <w:t>度水力侵蚀为</w:t>
      </w:r>
    </w:p>
    <w:p w14:paraId="7FEF3C18">
      <w:pPr>
        <w:widowControl w:val="0"/>
        <w:spacing w:line="360" w:lineRule="auto"/>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主</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容许土壤流失量为500t/</w:t>
      </w:r>
      <w:r>
        <w:rPr>
          <w:rFonts w:hint="default" w:ascii="Times New Roman" w:hAnsi="Times New Roman" w:eastAsia="仿宋_GB2312" w:cs="Times New Roman"/>
          <w:color w:val="auto"/>
          <w:sz w:val="24"/>
          <w:szCs w:val="24"/>
          <w:lang w:eastAsia="zh-CN"/>
        </w:rPr>
        <w:t>K</w:t>
      </w:r>
      <w:r>
        <w:rPr>
          <w:rFonts w:hint="default" w:ascii="Times New Roman" w:hAnsi="Times New Roman" w:eastAsia="仿宋_GB2312" w:cs="Times New Roman"/>
          <w:color w:val="auto"/>
          <w:sz w:val="24"/>
          <w:szCs w:val="24"/>
        </w:rPr>
        <w:t>m²·a</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highlight w:val="none"/>
        </w:rPr>
        <w:t>土壤侵蚀模数背景值为</w:t>
      </w:r>
      <w:r>
        <w:rPr>
          <w:rFonts w:hint="default" w:ascii="Times New Roman" w:hAnsi="Times New Roman" w:eastAsia="仿宋_GB2312" w:cs="Times New Roman"/>
          <w:color w:val="auto"/>
          <w:sz w:val="24"/>
          <w:szCs w:val="24"/>
          <w:lang w:val="en-US" w:eastAsia="zh-CN"/>
        </w:rPr>
        <w:t>850t/Km</w:t>
      </w:r>
      <w:r>
        <w:rPr>
          <w:rFonts w:hint="default" w:ascii="Times New Roman" w:hAnsi="Times New Roman" w:eastAsia="仿宋_GB2312" w:cs="Times New Roman"/>
          <w:color w:val="auto"/>
          <w:sz w:val="24"/>
          <w:szCs w:val="24"/>
          <w:vertAlign w:val="superscript"/>
          <w:lang w:val="en-US" w:eastAsia="zh-CN"/>
        </w:rPr>
        <w:t>2</w:t>
      </w:r>
      <w:r>
        <w:rPr>
          <w:rFonts w:hint="default" w:ascii="Times New Roman" w:hAnsi="Times New Roman" w:eastAsia="仿宋_GB2312" w:cs="Times New Roman"/>
          <w:color w:val="auto"/>
          <w:sz w:val="24"/>
          <w:szCs w:val="24"/>
          <w:lang w:val="en-US" w:eastAsia="zh-CN"/>
        </w:rPr>
        <w:t>.a</w:t>
      </w:r>
      <w:r>
        <w:rPr>
          <w:rFonts w:hint="default" w:ascii="Times New Roman" w:hAnsi="Times New Roman" w:eastAsia="仿宋_GB2312" w:cs="Times New Roman"/>
          <w:color w:val="auto"/>
          <w:sz w:val="24"/>
          <w:szCs w:val="24"/>
          <w:lang w:eastAsia="zh-CN"/>
        </w:rPr>
        <w:t>。</w:t>
      </w:r>
    </w:p>
    <w:p w14:paraId="620F924B">
      <w:pPr>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本项目建设场地不涉及水功能保护区，本项目建设场地未在县级以上地方人民政府划定的崩塌、滑坡危险区和泥石流易发区内，不属于水土流失严重、生态脆弱的地区；本项目建设场地内无自然遗产地、地质公园、森林公园、重要湿地、文物、古迹等。</w:t>
      </w:r>
    </w:p>
    <w:bookmarkEnd w:id="44"/>
    <w:bookmarkEnd w:id="45"/>
    <w:p w14:paraId="41C060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Cs/>
          <w:color w:val="auto"/>
          <w:kern w:val="0"/>
          <w:sz w:val="24"/>
          <w:szCs w:val="24"/>
        </w:rPr>
      </w:pPr>
      <w:r>
        <w:rPr>
          <w:rFonts w:hint="default" w:ascii="Times New Roman" w:hAnsi="Times New Roman" w:eastAsia="仿宋_GB2312" w:cs="Times New Roman"/>
          <w:color w:val="auto"/>
          <w:kern w:val="2"/>
          <w:sz w:val="24"/>
          <w:szCs w:val="24"/>
          <w:lang w:val="en-US" w:eastAsia="zh-CN" w:bidi="ar-SA"/>
        </w:rPr>
        <w:t>根据</w:t>
      </w:r>
      <w:r>
        <w:rPr>
          <w:rFonts w:hint="default" w:ascii="Times New Roman" w:hAnsi="Times New Roman" w:eastAsia="仿宋_GB2312" w:cs="Times New Roman"/>
          <w:color w:val="auto"/>
          <w:kern w:val="2"/>
          <w:sz w:val="24"/>
          <w:szCs w:val="24"/>
          <w:lang w:val="zh-CN" w:eastAsia="zh-CN" w:bidi="ar-SA"/>
        </w:rPr>
        <w:t>《全国水土保持规划国家级水土流失重点预防区和重点治理区复核划分成果》（办水保</w:t>
      </w:r>
      <w:r>
        <w:rPr>
          <w:rFonts w:hint="default" w:ascii="Times New Roman" w:hAnsi="Times New Roman" w:eastAsia="仿宋_GB2312" w:cs="Times New Roman"/>
          <w:b w:val="0"/>
          <w:bCs/>
          <w:color w:val="auto"/>
          <w:sz w:val="24"/>
          <w:szCs w:val="24"/>
          <w:lang w:val="en-US" w:eastAsia="zh-CN"/>
        </w:rPr>
        <w:t>〔2013〕</w:t>
      </w:r>
      <w:r>
        <w:rPr>
          <w:rFonts w:hint="default" w:ascii="Times New Roman" w:hAnsi="Times New Roman" w:eastAsia="仿宋_GB2312" w:cs="Times New Roman"/>
          <w:color w:val="auto"/>
          <w:kern w:val="2"/>
          <w:sz w:val="24"/>
          <w:szCs w:val="24"/>
          <w:lang w:val="zh-CN" w:eastAsia="zh-CN" w:bidi="ar-SA"/>
        </w:rPr>
        <w:t>188号）</w:t>
      </w:r>
      <w:r>
        <w:rPr>
          <w:rFonts w:hint="default" w:ascii="Times New Roman" w:hAnsi="Times New Roman" w:eastAsia="仿宋_GB2312" w:cs="Times New Roman"/>
          <w:color w:val="auto"/>
          <w:kern w:val="2"/>
          <w:sz w:val="24"/>
          <w:szCs w:val="24"/>
          <w:lang w:val="en-US" w:eastAsia="zh-CN" w:bidi="ar-SA"/>
        </w:rPr>
        <w:t>，项目区属于</w:t>
      </w:r>
      <w:r>
        <w:rPr>
          <w:rFonts w:hint="default" w:ascii="Times New Roman" w:hAnsi="Times New Roman" w:eastAsia="仿宋_GB2312" w:cs="Times New Roman"/>
          <w:bCs/>
          <w:color w:val="auto"/>
          <w:kern w:val="0"/>
          <w:sz w:val="24"/>
          <w:szCs w:val="24"/>
          <w:lang w:eastAsia="zh-CN"/>
        </w:rPr>
        <w:t>嘉陵江及沱江中下游国家级水土流失重点治理区</w:t>
      </w:r>
      <w:r>
        <w:rPr>
          <w:rFonts w:hint="default" w:ascii="Times New Roman" w:hAnsi="Times New Roman" w:eastAsia="仿宋_GB2312" w:cs="Times New Roman"/>
          <w:color w:val="auto"/>
          <w:kern w:val="2"/>
          <w:sz w:val="24"/>
          <w:szCs w:val="24"/>
          <w:lang w:val="en-US" w:eastAsia="zh-CN" w:bidi="ar-SA"/>
        </w:rPr>
        <w:t>。</w:t>
      </w:r>
    </w:p>
    <w:p w14:paraId="7801937A">
      <w:pPr>
        <w:spacing w:line="360" w:lineRule="auto"/>
        <w:outlineLvl w:val="1"/>
        <w:rPr>
          <w:rFonts w:hint="default" w:ascii="Times New Roman" w:hAnsi="Times New Roman" w:eastAsia="仿宋_GB2312" w:cs="Times New Roman"/>
          <w:b/>
          <w:bCs/>
          <w:color w:val="auto"/>
          <w:sz w:val="30"/>
          <w:szCs w:val="30"/>
          <w:lang w:eastAsia="ar"/>
        </w:rPr>
      </w:pPr>
      <w:bookmarkStart w:id="47" w:name="_Toc14312"/>
      <w:r>
        <w:rPr>
          <w:rFonts w:hint="default" w:ascii="Times New Roman" w:hAnsi="Times New Roman" w:eastAsia="仿宋_GB2312" w:cs="Times New Roman"/>
          <w:b/>
          <w:bCs/>
          <w:color w:val="auto"/>
          <w:sz w:val="30"/>
          <w:szCs w:val="30"/>
          <w:lang w:eastAsia="ar"/>
        </w:rPr>
        <w:t>1.2编制依据</w:t>
      </w:r>
      <w:bookmarkEnd w:id="46"/>
      <w:bookmarkEnd w:id="47"/>
    </w:p>
    <w:p w14:paraId="00AF55D8">
      <w:pPr>
        <w:keepNext/>
        <w:keepLines/>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2"/>
        <w:rPr>
          <w:rFonts w:hint="default" w:ascii="Times New Roman" w:hAnsi="Times New Roman" w:eastAsia="仿宋_GB2312" w:cs="Times New Roman"/>
          <w:b/>
          <w:bCs/>
          <w:color w:val="000000"/>
          <w:sz w:val="28"/>
          <w:szCs w:val="28"/>
        </w:rPr>
      </w:pPr>
      <w:bookmarkStart w:id="48" w:name="_Toc2801"/>
      <w:bookmarkStart w:id="49" w:name="_Toc4978"/>
      <w:bookmarkStart w:id="50" w:name="_Toc23242"/>
      <w:bookmarkStart w:id="51" w:name="_Toc8217"/>
      <w:bookmarkStart w:id="52" w:name="_Toc27188"/>
      <w:r>
        <w:rPr>
          <w:rFonts w:hint="default" w:ascii="Times New Roman" w:hAnsi="Times New Roman" w:eastAsia="仿宋_GB2312" w:cs="Times New Roman"/>
          <w:b/>
          <w:bCs/>
          <w:color w:val="000000"/>
          <w:sz w:val="28"/>
          <w:szCs w:val="28"/>
        </w:rPr>
        <w:t>1.2.1 法律法规</w:t>
      </w:r>
      <w:bookmarkEnd w:id="48"/>
    </w:p>
    <w:p w14:paraId="63881D05">
      <w:pPr>
        <w:widowControl w:val="0"/>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rPr>
        <w:t>《中华人民共和国水土保持法》（中华人民共和国主席令第39号，1991年6月29日颁布，2010年12月25日修订通过，自2011年3月1日起实施）</w:t>
      </w:r>
      <w:r>
        <w:rPr>
          <w:rFonts w:hint="default" w:ascii="Times New Roman" w:hAnsi="Times New Roman" w:eastAsia="仿宋_GB2312" w:cs="Times New Roman"/>
          <w:color w:val="auto"/>
          <w:sz w:val="24"/>
          <w:szCs w:val="24"/>
          <w:lang w:val="en-US" w:eastAsia="zh-CN"/>
        </w:rPr>
        <w:t>；</w:t>
      </w:r>
    </w:p>
    <w:p w14:paraId="33EE8A4D">
      <w:pPr>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2、《中华人民共和国河道管理条例》（2018年3月19日《国务院关于修改和废止部分行政法规的决定》修订）；</w:t>
      </w:r>
    </w:p>
    <w:p w14:paraId="7D1D9415">
      <w:pPr>
        <w:spacing w:line="360" w:lineRule="auto"/>
        <w:ind w:firstLine="480"/>
        <w:rPr>
          <w:rFonts w:hint="default" w:ascii="Times New Roman" w:hAnsi="Times New Roman" w:eastAsia="仿宋_GB2312" w:cs="Times New Roman"/>
          <w:color w:val="auto"/>
          <w:spacing w:val="6"/>
          <w:sz w:val="24"/>
          <w:szCs w:val="24"/>
          <w:lang w:eastAsia="zh-CN"/>
        </w:rPr>
      </w:pPr>
      <w:r>
        <w:rPr>
          <w:rFonts w:hint="default" w:ascii="Times New Roman" w:hAnsi="Times New Roman" w:eastAsia="仿宋_GB2312" w:cs="Times New Roman"/>
          <w:color w:val="auto"/>
          <w:spacing w:val="6"/>
          <w:sz w:val="24"/>
          <w:szCs w:val="24"/>
          <w:lang w:val="en-US" w:eastAsia="zh-CN"/>
        </w:rPr>
        <w:t>3</w:t>
      </w:r>
      <w:r>
        <w:rPr>
          <w:rFonts w:hint="default" w:ascii="Times New Roman" w:hAnsi="Times New Roman" w:eastAsia="仿宋_GB2312" w:cs="Times New Roman"/>
          <w:color w:val="auto"/>
          <w:spacing w:val="6"/>
          <w:sz w:val="24"/>
          <w:szCs w:val="24"/>
        </w:rPr>
        <w:t>、《中华人民共和国环境保护法》（中华人民共和国主席令第9号，2014年4月24日全国人大常委会修订通过，2015年1月1日起施行）</w:t>
      </w:r>
      <w:r>
        <w:rPr>
          <w:rFonts w:hint="default" w:ascii="Times New Roman" w:hAnsi="Times New Roman" w:eastAsia="仿宋_GB2312" w:cs="Times New Roman"/>
          <w:color w:val="auto"/>
          <w:spacing w:val="6"/>
          <w:sz w:val="24"/>
          <w:szCs w:val="24"/>
          <w:lang w:eastAsia="zh-CN"/>
        </w:rPr>
        <w:t>；</w:t>
      </w:r>
    </w:p>
    <w:p w14:paraId="75D7BC31">
      <w:pPr>
        <w:spacing w:line="360" w:lineRule="auto"/>
        <w:ind w:firstLine="480"/>
        <w:rPr>
          <w:rFonts w:hint="default" w:ascii="Times New Roman" w:hAnsi="Times New Roman" w:eastAsia="仿宋_GB2312" w:cs="Times New Roman"/>
          <w:color w:val="auto"/>
          <w:spacing w:val="6"/>
          <w:sz w:val="24"/>
          <w:szCs w:val="24"/>
          <w:lang w:val="en-US" w:eastAsia="zh-CN"/>
        </w:rPr>
      </w:pPr>
      <w:r>
        <w:rPr>
          <w:rFonts w:hint="default" w:ascii="Times New Roman" w:hAnsi="Times New Roman" w:eastAsia="仿宋_GB2312" w:cs="Times New Roman"/>
          <w:color w:val="auto"/>
          <w:spacing w:val="6"/>
          <w:sz w:val="24"/>
          <w:szCs w:val="24"/>
          <w:lang w:val="en-US" w:eastAsia="zh-CN"/>
        </w:rPr>
        <w:t>4、</w:t>
      </w:r>
      <w:r>
        <w:rPr>
          <w:rFonts w:hint="default" w:ascii="Times New Roman" w:hAnsi="Times New Roman" w:eastAsia="仿宋_GB2312" w:cs="Times New Roman"/>
          <w:color w:val="auto"/>
          <w:spacing w:val="6"/>
          <w:sz w:val="24"/>
          <w:szCs w:val="24"/>
        </w:rPr>
        <w:t>《四川省〈中华人民共和国水土保持法〉实施办法》（2012年9月2</w:t>
      </w:r>
      <w:r>
        <w:rPr>
          <w:rFonts w:hint="default" w:ascii="Times New Roman" w:hAnsi="Times New Roman" w:eastAsia="仿宋_GB2312" w:cs="Times New Roman"/>
          <w:color w:val="auto"/>
          <w:spacing w:val="6"/>
          <w:sz w:val="24"/>
          <w:szCs w:val="24"/>
          <w:lang w:val="en-US" w:eastAsia="zh-CN"/>
        </w:rPr>
        <w:t>1</w:t>
      </w:r>
      <w:r>
        <w:rPr>
          <w:rFonts w:hint="default" w:ascii="Times New Roman" w:hAnsi="Times New Roman" w:eastAsia="仿宋_GB2312" w:cs="Times New Roman"/>
          <w:color w:val="auto"/>
          <w:spacing w:val="6"/>
          <w:sz w:val="24"/>
          <w:szCs w:val="24"/>
        </w:rPr>
        <w:t>日四川省第十一届人民代表大会常务委员会第三十二次会议修订，2012年12月1日起施行）</w:t>
      </w:r>
      <w:r>
        <w:rPr>
          <w:rFonts w:hint="default" w:ascii="Times New Roman" w:hAnsi="Times New Roman" w:eastAsia="仿宋_GB2312" w:cs="Times New Roman"/>
          <w:color w:val="auto"/>
          <w:spacing w:val="6"/>
          <w:sz w:val="24"/>
          <w:szCs w:val="24"/>
          <w:lang w:eastAsia="zh-CN"/>
        </w:rPr>
        <w:t>。</w:t>
      </w:r>
    </w:p>
    <w:p w14:paraId="1CBF507F">
      <w:pPr>
        <w:keepNext/>
        <w:keepLines/>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2"/>
        <w:rPr>
          <w:rFonts w:hint="default" w:ascii="Times New Roman" w:hAnsi="Times New Roman" w:eastAsia="仿宋_GB2312" w:cs="Times New Roman"/>
          <w:b/>
          <w:bCs/>
          <w:color w:val="000000"/>
          <w:sz w:val="28"/>
          <w:szCs w:val="28"/>
          <w:lang w:val="en-US" w:eastAsia="zh-CN"/>
        </w:rPr>
      </w:pPr>
      <w:r>
        <w:rPr>
          <w:rFonts w:hint="default" w:ascii="Times New Roman" w:hAnsi="Times New Roman" w:eastAsia="仿宋_GB2312" w:cs="Times New Roman"/>
          <w:b/>
          <w:bCs/>
          <w:color w:val="000000"/>
          <w:sz w:val="28"/>
          <w:szCs w:val="28"/>
        </w:rPr>
        <w:t>1.2.</w:t>
      </w:r>
      <w:r>
        <w:rPr>
          <w:rFonts w:hint="default" w:ascii="Times New Roman" w:hAnsi="Times New Roman" w:eastAsia="仿宋_GB2312" w:cs="Times New Roman"/>
          <w:b/>
          <w:bCs/>
          <w:color w:val="000000"/>
          <w:sz w:val="28"/>
          <w:szCs w:val="28"/>
          <w:lang w:val="en-US" w:eastAsia="zh-CN"/>
        </w:rPr>
        <w:t>2部门规章</w:t>
      </w:r>
    </w:p>
    <w:p w14:paraId="75F242F0">
      <w:pPr>
        <w:pStyle w:val="26"/>
        <w:widowControl/>
        <w:spacing w:line="360" w:lineRule="auto"/>
        <w:ind w:firstLine="480"/>
        <w:jc w:val="left"/>
        <w:rPr>
          <w:rFonts w:hint="default" w:ascii="Times New Roman" w:hAnsi="Times New Roman" w:eastAsia="仿宋_GB2312" w:cs="Times New Roman"/>
          <w:caps w:val="0"/>
          <w:smallCaps w:val="0"/>
          <w:color w:val="auto"/>
          <w:sz w:val="24"/>
          <w:szCs w:val="24"/>
        </w:rPr>
      </w:pPr>
      <w:r>
        <w:rPr>
          <w:rFonts w:hint="default" w:ascii="Times New Roman" w:hAnsi="Times New Roman" w:eastAsia="仿宋_GB2312" w:cs="Times New Roman"/>
          <w:caps w:val="0"/>
          <w:smallCaps w:val="0"/>
          <w:color w:val="auto"/>
          <w:sz w:val="24"/>
          <w:szCs w:val="24"/>
          <w:lang w:val="en-US" w:eastAsia="zh-CN"/>
        </w:rPr>
        <w:t>1、《生产建设项目水土保持方案管理办法》（水利部令第53号，2023年1月17日，2023年3月1日起施行）；</w:t>
      </w:r>
    </w:p>
    <w:p w14:paraId="12701722">
      <w:pPr>
        <w:pStyle w:val="26"/>
        <w:widowControl/>
        <w:spacing w:line="360" w:lineRule="auto"/>
        <w:ind w:firstLine="480"/>
        <w:jc w:val="left"/>
        <w:rPr>
          <w:rFonts w:hint="default" w:ascii="Times New Roman" w:hAnsi="Times New Roman" w:eastAsia="仿宋_GB2312" w:cs="Times New Roman"/>
          <w:caps w:val="0"/>
          <w:smallCaps w:val="0"/>
          <w:color w:val="auto"/>
          <w:sz w:val="24"/>
          <w:szCs w:val="24"/>
        </w:rPr>
      </w:pPr>
      <w:r>
        <w:rPr>
          <w:rFonts w:hint="default" w:ascii="Times New Roman" w:hAnsi="Times New Roman" w:eastAsia="仿宋_GB2312" w:cs="Times New Roman"/>
          <w:caps w:val="0"/>
          <w:smallCaps w:val="0"/>
          <w:color w:val="auto"/>
          <w:sz w:val="24"/>
          <w:szCs w:val="24"/>
          <w:lang w:val="en-US" w:eastAsia="zh-CN"/>
        </w:rPr>
        <w:t>2、</w:t>
      </w:r>
      <w:r>
        <w:rPr>
          <w:rFonts w:hint="default" w:ascii="Times New Roman" w:hAnsi="Times New Roman" w:eastAsia="仿宋_GB2312" w:cs="Times New Roman"/>
          <w:caps w:val="0"/>
          <w:smallCaps w:val="0"/>
          <w:color w:val="auto"/>
          <w:sz w:val="24"/>
          <w:szCs w:val="24"/>
        </w:rPr>
        <w:t>《企业投资项目核准暂行办法》（国家发展和改革委员会令第19号）；</w:t>
      </w:r>
    </w:p>
    <w:p w14:paraId="0F4B94B0">
      <w:pPr>
        <w:pStyle w:val="26"/>
        <w:widowControl/>
        <w:spacing w:line="360" w:lineRule="auto"/>
        <w:ind w:firstLine="480"/>
        <w:jc w:val="left"/>
        <w:rPr>
          <w:rFonts w:hint="default" w:ascii="Times New Roman" w:hAnsi="Times New Roman" w:eastAsia="仿宋_GB2312" w:cs="Times New Roman"/>
          <w:caps w:val="0"/>
          <w:smallCaps w:val="0"/>
          <w:color w:val="auto"/>
          <w:sz w:val="24"/>
          <w:szCs w:val="24"/>
          <w:lang w:eastAsia="zh-CN"/>
        </w:rPr>
      </w:pPr>
      <w:r>
        <w:rPr>
          <w:rFonts w:hint="default" w:ascii="Times New Roman" w:hAnsi="Times New Roman" w:eastAsia="仿宋_GB2312" w:cs="Times New Roman"/>
          <w:caps w:val="0"/>
          <w:smallCaps w:val="0"/>
          <w:color w:val="auto"/>
          <w:sz w:val="24"/>
          <w:szCs w:val="24"/>
          <w:lang w:val="en-US" w:eastAsia="zh-CN"/>
        </w:rPr>
        <w:t>3、</w:t>
      </w:r>
      <w:r>
        <w:rPr>
          <w:rFonts w:hint="default" w:ascii="Times New Roman" w:hAnsi="Times New Roman" w:eastAsia="仿宋_GB2312" w:cs="Times New Roman"/>
          <w:caps w:val="0"/>
          <w:smallCaps w:val="0"/>
          <w:color w:val="auto"/>
          <w:sz w:val="24"/>
          <w:szCs w:val="24"/>
        </w:rPr>
        <w:t>《地质灾害防治管理办法》（国土资源部令第2号）</w:t>
      </w:r>
      <w:r>
        <w:rPr>
          <w:rFonts w:hint="default" w:ascii="Times New Roman" w:hAnsi="Times New Roman" w:eastAsia="仿宋_GB2312" w:cs="Times New Roman"/>
          <w:caps w:val="0"/>
          <w:smallCaps w:val="0"/>
          <w:color w:val="auto"/>
          <w:sz w:val="24"/>
          <w:szCs w:val="24"/>
          <w:lang w:eastAsia="zh-CN"/>
        </w:rPr>
        <w:t>。</w:t>
      </w:r>
    </w:p>
    <w:p w14:paraId="4C72204C">
      <w:pPr>
        <w:keepNext/>
        <w:keepLines/>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2"/>
        <w:rPr>
          <w:rFonts w:hint="default" w:ascii="Times New Roman" w:hAnsi="Times New Roman" w:eastAsia="仿宋_GB2312" w:cs="Times New Roman"/>
          <w:b/>
          <w:bCs/>
          <w:color w:val="000000"/>
          <w:sz w:val="28"/>
          <w:szCs w:val="28"/>
          <w:lang w:eastAsia="zh-CN"/>
        </w:rPr>
      </w:pPr>
      <w:r>
        <w:rPr>
          <w:rFonts w:hint="default" w:ascii="Times New Roman" w:hAnsi="Times New Roman" w:eastAsia="仿宋_GB2312" w:cs="Times New Roman"/>
          <w:b/>
          <w:bCs/>
          <w:color w:val="000000"/>
          <w:sz w:val="28"/>
          <w:szCs w:val="28"/>
        </w:rPr>
        <w:t>1.2.</w:t>
      </w:r>
      <w:r>
        <w:rPr>
          <w:rFonts w:hint="default" w:ascii="Times New Roman" w:hAnsi="Times New Roman" w:eastAsia="仿宋_GB2312" w:cs="Times New Roman"/>
          <w:b/>
          <w:bCs/>
          <w:color w:val="000000"/>
          <w:sz w:val="28"/>
          <w:szCs w:val="28"/>
          <w:lang w:val="en-US" w:eastAsia="zh-CN"/>
        </w:rPr>
        <w:t>3</w:t>
      </w:r>
      <w:r>
        <w:rPr>
          <w:rFonts w:hint="default" w:ascii="Times New Roman" w:hAnsi="Times New Roman" w:eastAsia="仿宋_GB2312" w:cs="Times New Roman"/>
          <w:b/>
          <w:bCs/>
          <w:color w:val="000000"/>
          <w:sz w:val="28"/>
          <w:szCs w:val="28"/>
          <w:lang w:eastAsia="zh-CN"/>
        </w:rPr>
        <w:t>规范性文件</w:t>
      </w:r>
    </w:p>
    <w:p w14:paraId="7F1A7D5F">
      <w:pPr>
        <w:tabs>
          <w:tab w:val="left" w:pos="0"/>
        </w:tabs>
        <w:spacing w:line="360"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lang w:val="en-US" w:eastAsia="zh-CN"/>
        </w:rPr>
        <w:t>1、</w:t>
      </w:r>
      <w:r>
        <w:rPr>
          <w:rFonts w:hint="default" w:ascii="Times New Roman" w:hAnsi="Times New Roman" w:eastAsia="仿宋_GB2312" w:cs="Times New Roman"/>
          <w:sz w:val="24"/>
        </w:rPr>
        <w:t>《水利部办公厅关于印发生产建设项目水土保持技术文件编写和印制格式规定（试行）的通知》（办水保〔2018〕135号，2018年7月12日）；</w:t>
      </w:r>
    </w:p>
    <w:p w14:paraId="0ECDDD02">
      <w:pPr>
        <w:tabs>
          <w:tab w:val="left" w:pos="0"/>
        </w:tabs>
        <w:spacing w:line="360"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lang w:val="en-US" w:eastAsia="zh-CN"/>
        </w:rPr>
        <w:t>2、</w:t>
      </w:r>
      <w:r>
        <w:rPr>
          <w:rFonts w:hint="default" w:ascii="Times New Roman" w:hAnsi="Times New Roman" w:eastAsia="仿宋_GB2312" w:cs="Times New Roman"/>
          <w:sz w:val="24"/>
        </w:rPr>
        <w:t>《水利部办公厅关于印发生产建设项目水土保持方案审查要点的通知》（办水保〔2023〕177号，2023年7月4日）；</w:t>
      </w:r>
    </w:p>
    <w:p w14:paraId="4D3F5770">
      <w:pPr>
        <w:spacing w:line="360"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lang w:val="en-US" w:eastAsia="zh-CN"/>
        </w:rPr>
        <w:t>3、</w:t>
      </w:r>
      <w:r>
        <w:rPr>
          <w:rFonts w:hint="default" w:ascii="Times New Roman" w:hAnsi="Times New Roman" w:eastAsia="仿宋_GB2312" w:cs="Times New Roman"/>
          <w:sz w:val="24"/>
        </w:rPr>
        <w:t>《水利部办公厅关于生产建设项目水土保持方案管理工作有关衔接事项的通知》（办水保函〔2023〕109号）；</w:t>
      </w:r>
    </w:p>
    <w:p w14:paraId="1130410C">
      <w:pPr>
        <w:spacing w:line="360"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lang w:val="en-US" w:eastAsia="zh-CN"/>
        </w:rPr>
        <w:t>4、</w:t>
      </w:r>
      <w:r>
        <w:rPr>
          <w:rFonts w:hint="default" w:ascii="Times New Roman" w:hAnsi="Times New Roman" w:eastAsia="仿宋_GB2312" w:cs="Times New Roman"/>
          <w:sz w:val="24"/>
        </w:rPr>
        <w:t>水利部办公厅关于进一步加强生产建设项目水土保持监测工作的通知（办水保〔2020〕161号）；</w:t>
      </w:r>
    </w:p>
    <w:p w14:paraId="510146C0">
      <w:pPr>
        <w:spacing w:line="360"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kern w:val="0"/>
          <w:sz w:val="24"/>
          <w:lang w:val="en-US" w:eastAsia="zh-CN"/>
        </w:rPr>
        <w:t>5、</w:t>
      </w:r>
      <w:r>
        <w:rPr>
          <w:rFonts w:hint="default" w:ascii="Times New Roman" w:hAnsi="Times New Roman" w:eastAsia="仿宋_GB2312" w:cs="Times New Roman"/>
          <w:kern w:val="0"/>
          <w:sz w:val="24"/>
        </w:rPr>
        <w:t>水利部办公厅关于做好生产建设项目水土保持承诺制管理的通知（办水保〔2020〕160号）；</w:t>
      </w:r>
    </w:p>
    <w:p w14:paraId="1F687C4F">
      <w:pPr>
        <w:tabs>
          <w:tab w:val="left" w:pos="0"/>
        </w:tabs>
        <w:spacing w:line="360" w:lineRule="auto"/>
        <w:ind w:firstLine="480" w:firstLineChars="200"/>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lang w:val="en-US" w:eastAsia="zh-CN"/>
        </w:rPr>
        <w:t>6、</w:t>
      </w:r>
      <w:r>
        <w:rPr>
          <w:rFonts w:hint="default" w:ascii="Times New Roman" w:hAnsi="Times New Roman" w:eastAsia="仿宋_GB2312" w:cs="Times New Roman"/>
          <w:kern w:val="0"/>
          <w:sz w:val="24"/>
        </w:rPr>
        <w:t>《水利部关于进一步深化“放管服”改革全面加强水土保持监管的意见》（水保〔2019〕160号</w:t>
      </w:r>
      <w:r>
        <w:rPr>
          <w:rFonts w:hint="default" w:ascii="Times New Roman" w:hAnsi="Times New Roman" w:eastAsia="仿宋_GB2312" w:cs="Times New Roman"/>
          <w:sz w:val="24"/>
        </w:rPr>
        <w:t>，2019年5月31日</w:t>
      </w:r>
      <w:r>
        <w:rPr>
          <w:rFonts w:hint="default" w:ascii="Times New Roman" w:hAnsi="Times New Roman" w:eastAsia="仿宋_GB2312" w:cs="Times New Roman"/>
          <w:kern w:val="0"/>
          <w:sz w:val="24"/>
        </w:rPr>
        <w:t>）；</w:t>
      </w:r>
    </w:p>
    <w:p w14:paraId="44EA6E73">
      <w:pPr>
        <w:tabs>
          <w:tab w:val="left" w:pos="0"/>
        </w:tabs>
        <w:spacing w:line="360" w:lineRule="auto"/>
        <w:ind w:firstLine="480" w:firstLineChars="200"/>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lang w:val="en-US" w:eastAsia="zh-CN"/>
        </w:rPr>
        <w:t>7、</w:t>
      </w:r>
      <w:r>
        <w:rPr>
          <w:rFonts w:hint="default" w:ascii="Times New Roman" w:hAnsi="Times New Roman" w:eastAsia="仿宋_GB2312" w:cs="Times New Roman"/>
          <w:kern w:val="0"/>
          <w:sz w:val="24"/>
        </w:rPr>
        <w:t>《水利部办公厅关于进一步加强生产建设项目水土保持方案技术评审工作的通知》（办水保〔2016〕123号）；</w:t>
      </w:r>
    </w:p>
    <w:p w14:paraId="3C522366">
      <w:pPr>
        <w:tabs>
          <w:tab w:val="left" w:pos="0"/>
        </w:tabs>
        <w:spacing w:line="360" w:lineRule="auto"/>
        <w:ind w:firstLine="480" w:firstLineChars="200"/>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lang w:val="en-US" w:eastAsia="zh-CN"/>
        </w:rPr>
        <w:t>8、</w:t>
      </w:r>
      <w:r>
        <w:rPr>
          <w:rFonts w:hint="default" w:ascii="Times New Roman" w:hAnsi="Times New Roman" w:eastAsia="仿宋_GB2312" w:cs="Times New Roman"/>
          <w:kern w:val="0"/>
          <w:sz w:val="24"/>
        </w:rPr>
        <w:t>《水利部办公厅关于实施生产建设项目水土保持信用监管“两单”制度的通知》（办水保〔2020〕157号）；</w:t>
      </w:r>
    </w:p>
    <w:p w14:paraId="5DD417DB">
      <w:pPr>
        <w:tabs>
          <w:tab w:val="left" w:pos="0"/>
        </w:tabs>
        <w:spacing w:line="360" w:lineRule="auto"/>
        <w:ind w:firstLine="480" w:firstLineChars="200"/>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lang w:val="en-US" w:eastAsia="zh-CN"/>
        </w:rPr>
        <w:t>9、</w:t>
      </w:r>
      <w:r>
        <w:rPr>
          <w:rFonts w:hint="default" w:ascii="Times New Roman" w:hAnsi="Times New Roman" w:eastAsia="仿宋_GB2312" w:cs="Times New Roman"/>
          <w:kern w:val="0"/>
          <w:sz w:val="24"/>
        </w:rPr>
        <w:t>《水利部办公厅关于进一步加强部批项目水土保持监管工作的通知》（办水保〔2024〕57号）；</w:t>
      </w:r>
    </w:p>
    <w:p w14:paraId="2560DB11">
      <w:pPr>
        <w:tabs>
          <w:tab w:val="left" w:pos="0"/>
        </w:tabs>
        <w:spacing w:line="360" w:lineRule="auto"/>
        <w:ind w:firstLine="480" w:firstLineChars="200"/>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lang w:val="en-US" w:eastAsia="zh-CN"/>
        </w:rPr>
        <w:t>10、</w:t>
      </w:r>
      <w:r>
        <w:rPr>
          <w:rFonts w:hint="default" w:ascii="Times New Roman" w:hAnsi="Times New Roman" w:eastAsia="仿宋_GB2312" w:cs="Times New Roman"/>
          <w:kern w:val="0"/>
          <w:sz w:val="24"/>
        </w:rPr>
        <w:t>《水利部关于实施水土保持信用评价的意见》（水保〔2023〕359号）；</w:t>
      </w:r>
    </w:p>
    <w:p w14:paraId="4AD93B5F">
      <w:pPr>
        <w:spacing w:line="360" w:lineRule="auto"/>
        <w:ind w:right="206" w:rightChars="98" w:firstLine="480" w:firstLineChars="200"/>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lang w:val="en-US" w:eastAsia="zh-CN"/>
        </w:rPr>
        <w:t>11、</w:t>
      </w:r>
      <w:r>
        <w:rPr>
          <w:rFonts w:hint="default" w:ascii="Times New Roman" w:hAnsi="Times New Roman" w:eastAsia="仿宋_GB2312" w:cs="Times New Roman"/>
          <w:kern w:val="0"/>
          <w:sz w:val="24"/>
        </w:rPr>
        <w:t>《水利部办公厅关于印发2025年水土保持工作要点的通知》（办水保〔2025〕38号）；</w:t>
      </w:r>
    </w:p>
    <w:p w14:paraId="595DC1C7">
      <w:pPr>
        <w:spacing w:line="360" w:lineRule="auto"/>
        <w:ind w:right="206" w:rightChars="98" w:firstLine="480" w:firstLineChars="200"/>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lang w:val="en-US" w:eastAsia="zh-CN"/>
        </w:rPr>
        <w:t>12、</w:t>
      </w:r>
      <w:r>
        <w:rPr>
          <w:rFonts w:hint="default" w:ascii="Times New Roman" w:hAnsi="Times New Roman" w:eastAsia="仿宋_GB2312" w:cs="Times New Roman"/>
          <w:kern w:val="0"/>
          <w:sz w:val="24"/>
        </w:rPr>
        <w:t>《水利部关于实施水土保持信用评价的意见》（水保〔2023〕359号）；</w:t>
      </w:r>
    </w:p>
    <w:p w14:paraId="08752BDA">
      <w:pPr>
        <w:spacing w:line="360" w:lineRule="auto"/>
        <w:ind w:right="206" w:rightChars="98" w:firstLine="480" w:firstLineChars="200"/>
        <w:rPr>
          <w:rFonts w:hint="default" w:ascii="Times New Roman" w:hAnsi="Times New Roman" w:eastAsia="仿宋" w:cs="Times New Roman"/>
          <w:sz w:val="24"/>
        </w:rPr>
      </w:pPr>
      <w:r>
        <w:rPr>
          <w:rFonts w:hint="default" w:ascii="Times New Roman" w:hAnsi="Times New Roman" w:eastAsia="仿宋_GB2312" w:cs="Times New Roman"/>
          <w:kern w:val="0"/>
          <w:sz w:val="24"/>
          <w:lang w:val="en-US" w:eastAsia="zh-CN"/>
        </w:rPr>
        <w:t>13、</w:t>
      </w:r>
      <w:r>
        <w:rPr>
          <w:rFonts w:hint="default" w:ascii="Times New Roman" w:hAnsi="Times New Roman" w:eastAsia="仿宋_GB2312" w:cs="Times New Roman"/>
          <w:kern w:val="0"/>
          <w:sz w:val="24"/>
        </w:rPr>
        <w:t>水土保持司《关于印发相关规划水土保持内容编制技术要点的通知》（水保监督〔2023〕34号）；</w:t>
      </w:r>
    </w:p>
    <w:p w14:paraId="6DB4A6BD">
      <w:pPr>
        <w:keepNext/>
        <w:keepLines/>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2"/>
        <w:rPr>
          <w:rFonts w:hint="default" w:ascii="Times New Roman" w:hAnsi="Times New Roman" w:eastAsia="仿宋_GB2312" w:cs="Times New Roman"/>
          <w:b/>
          <w:bCs/>
          <w:color w:val="000000"/>
          <w:sz w:val="28"/>
          <w:szCs w:val="28"/>
        </w:rPr>
      </w:pPr>
      <w:r>
        <w:rPr>
          <w:rFonts w:hint="default" w:ascii="Times New Roman" w:hAnsi="Times New Roman" w:eastAsia="仿宋_GB2312" w:cs="Times New Roman"/>
          <w:b/>
          <w:bCs/>
          <w:color w:val="000000"/>
          <w:sz w:val="28"/>
          <w:szCs w:val="28"/>
        </w:rPr>
        <w:t>1.2.</w:t>
      </w:r>
      <w:r>
        <w:rPr>
          <w:rFonts w:hint="default" w:ascii="Times New Roman" w:hAnsi="Times New Roman" w:eastAsia="仿宋_GB2312" w:cs="Times New Roman"/>
          <w:b/>
          <w:bCs/>
          <w:color w:val="000000"/>
          <w:sz w:val="28"/>
          <w:szCs w:val="28"/>
          <w:lang w:val="en-US" w:eastAsia="zh-CN"/>
        </w:rPr>
        <w:t>4</w:t>
      </w:r>
      <w:r>
        <w:rPr>
          <w:rFonts w:hint="default" w:ascii="Times New Roman" w:hAnsi="Times New Roman" w:eastAsia="仿宋_GB2312" w:cs="Times New Roman"/>
          <w:b/>
          <w:bCs/>
          <w:color w:val="000000"/>
          <w:sz w:val="28"/>
          <w:szCs w:val="28"/>
        </w:rPr>
        <w:t>技术标准</w:t>
      </w:r>
    </w:p>
    <w:p w14:paraId="014B2C73">
      <w:pPr>
        <w:spacing w:line="360" w:lineRule="auto"/>
        <w:ind w:left="0" w:leftChars="0"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1、《生产建设项目水土保持技术标准》（GB 50433-2018）；</w:t>
      </w:r>
    </w:p>
    <w:p w14:paraId="19F26FF3">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2、《生产建设项目水土流失防治标准》（GB/T 50434-2018）；</w:t>
      </w:r>
    </w:p>
    <w:p w14:paraId="2C4F057D">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3、《生产建设项目水土保持监测与评价标准》（GB/T 51240-2018）；</w:t>
      </w:r>
    </w:p>
    <w:p w14:paraId="7293C9F9">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4、《水土保持工程调查与勘测标准》（GB/T 51297-2018）；</w:t>
      </w:r>
    </w:p>
    <w:p w14:paraId="6E41F420">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5、《生产建设项目土壤流失量测算导则》（SL 773-2018）；</w:t>
      </w:r>
    </w:p>
    <w:p w14:paraId="0BE17AFE">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6、《水土保持工程设计规范》（GB 51018-2014）；</w:t>
      </w:r>
    </w:p>
    <w:p w14:paraId="2B5B3D80">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7、《水土保持监测技术规程》（SL 277-2002）；</w:t>
      </w:r>
    </w:p>
    <w:p w14:paraId="354890ED">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8、《开发建设项目水土保持设施验收技术规程》（GB/ T22490-2008）；</w:t>
      </w:r>
    </w:p>
    <w:p w14:paraId="1469E27D">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9、《土地利用现状分类标准》（GB/ T21010-2017）；</w:t>
      </w:r>
    </w:p>
    <w:p w14:paraId="4BC4C382">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10、《土壤侵蚀分类分级标准》（SL190-2007）；</w:t>
      </w:r>
    </w:p>
    <w:p w14:paraId="4E9D4DE9">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11、《防洪标准》（GB 50201-2014）；</w:t>
      </w:r>
    </w:p>
    <w:p w14:paraId="4DA2FFC6">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12、《水利水电工程制图标准水土保持图》（SL 73.6-2015）；</w:t>
      </w:r>
    </w:p>
    <w:p w14:paraId="4638458D">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13、《水土保持综合治理效益计算方法》（GB/T 15774-2008）；</w:t>
      </w:r>
    </w:p>
    <w:p w14:paraId="09DA5827">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14、《中国设计地震动参数区划图》（GB18306-2015）。</w:t>
      </w:r>
    </w:p>
    <w:p w14:paraId="3B86DBD3">
      <w:pPr>
        <w:keepNext/>
        <w:keepLines/>
        <w:spacing w:before="120" w:beforeLines="50" w:after="120" w:afterLines="50" w:line="360" w:lineRule="auto"/>
        <w:ind w:firstLine="0" w:firstLineChars="0"/>
        <w:outlineLvl w:val="2"/>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rPr>
        <w:t>1.2.</w:t>
      </w:r>
      <w:r>
        <w:rPr>
          <w:rFonts w:hint="default" w:ascii="Times New Roman" w:hAnsi="Times New Roman" w:eastAsia="仿宋_GB2312" w:cs="Times New Roman"/>
          <w:b/>
          <w:bCs/>
          <w:color w:val="auto"/>
          <w:sz w:val="28"/>
          <w:szCs w:val="28"/>
          <w:lang w:val="en-US" w:eastAsia="zh-CN"/>
        </w:rPr>
        <w:t>5参考</w:t>
      </w:r>
      <w:r>
        <w:rPr>
          <w:rFonts w:hint="default" w:ascii="Times New Roman" w:hAnsi="Times New Roman" w:eastAsia="仿宋_GB2312" w:cs="Times New Roman"/>
          <w:b/>
          <w:bCs/>
          <w:color w:val="auto"/>
          <w:sz w:val="28"/>
          <w:szCs w:val="28"/>
          <w:lang w:eastAsia="zh-CN"/>
        </w:rPr>
        <w:t>资料</w:t>
      </w:r>
    </w:p>
    <w:p w14:paraId="6C5A7D90">
      <w:pPr>
        <w:spacing w:line="360" w:lineRule="auto"/>
        <w:ind w:firstLine="480" w:firstLineChars="200"/>
        <w:rPr>
          <w:rFonts w:hint="default" w:ascii="Times New Roman" w:hAnsi="Times New Roman" w:eastAsia="仿宋_GB2312" w:cs="Times New Roman"/>
          <w:color w:val="auto"/>
          <w:kern w:val="0"/>
          <w:sz w:val="24"/>
          <w:szCs w:val="22"/>
        </w:rPr>
      </w:pPr>
      <w:r>
        <w:rPr>
          <w:rFonts w:hint="default" w:ascii="Times New Roman" w:hAnsi="Times New Roman" w:eastAsia="仿宋_GB2312" w:cs="Times New Roman"/>
          <w:color w:val="auto"/>
          <w:kern w:val="0"/>
          <w:sz w:val="24"/>
          <w:szCs w:val="22"/>
          <w:lang w:val="en-US" w:eastAsia="zh-CN"/>
        </w:rPr>
        <w:t>1、</w:t>
      </w:r>
      <w:r>
        <w:rPr>
          <w:rFonts w:hint="default" w:ascii="Times New Roman" w:hAnsi="Times New Roman" w:eastAsia="仿宋_GB2312" w:cs="Times New Roman"/>
          <w:b w:val="0"/>
          <w:bCs/>
          <w:color w:val="auto"/>
          <w:kern w:val="2"/>
          <w:sz w:val="24"/>
          <w:szCs w:val="24"/>
          <w:lang w:val="en-US" w:eastAsia="zh-CN" w:bidi="ar-SA"/>
        </w:rPr>
        <w:t>《剑阁县王河镇人民</w:t>
      </w:r>
      <w:r>
        <w:rPr>
          <w:rFonts w:hint="default" w:ascii="Times New Roman" w:hAnsi="Times New Roman" w:eastAsia="仿宋_GB2312" w:cs="Times New Roman"/>
          <w:b w:val="0"/>
          <w:bCs/>
          <w:color w:val="auto"/>
          <w:sz w:val="24"/>
          <w:szCs w:val="24"/>
          <w:lang w:val="en-US" w:eastAsia="zh-CN"/>
        </w:rPr>
        <w:t>政府关于王河镇干部周转房建设项目立项的报告》（王府〔2021〕255号）；</w:t>
      </w:r>
    </w:p>
    <w:p w14:paraId="64628F5A">
      <w:pPr>
        <w:pStyle w:val="9"/>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b w:val="0"/>
          <w:bCs/>
          <w:color w:val="auto"/>
          <w:sz w:val="24"/>
          <w:szCs w:val="24"/>
          <w:lang w:val="en-US" w:eastAsia="zh-CN"/>
        </w:rPr>
        <w:t>《剑阁县发展和改革局关于审批剑阁县王河镇干部周转房建设项目可行性研究报告的批复》（剑发改发〔2022〕18号）；</w:t>
      </w:r>
    </w:p>
    <w:p w14:paraId="524074ED">
      <w:pPr>
        <w:spacing w:line="360" w:lineRule="auto"/>
        <w:ind w:firstLine="48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lang w:val="en-US" w:eastAsia="zh-CN" w:bidi="ar"/>
        </w:rPr>
        <w:t>3、</w:t>
      </w:r>
      <w:r>
        <w:rPr>
          <w:rFonts w:hint="default" w:ascii="Times New Roman" w:hAnsi="Times New Roman" w:eastAsia="仿宋_GB2312" w:cs="Times New Roman"/>
          <w:color w:val="auto"/>
          <w:kern w:val="0"/>
          <w:sz w:val="24"/>
          <w:szCs w:val="22"/>
          <w:lang w:val="en-US" w:eastAsia="zh-CN"/>
        </w:rPr>
        <w:t>项目全套施工图；</w:t>
      </w:r>
    </w:p>
    <w:p w14:paraId="1D2C150D">
      <w:pPr>
        <w:spacing w:line="360" w:lineRule="auto"/>
        <w:ind w:firstLine="48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4</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eastAsia="zh-CN"/>
        </w:rPr>
        <w:t>施工许可证；</w:t>
      </w:r>
    </w:p>
    <w:p w14:paraId="689F664A">
      <w:pPr>
        <w:spacing w:line="360" w:lineRule="auto"/>
        <w:ind w:firstLine="480"/>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val="en-US" w:eastAsia="zh-CN"/>
        </w:rPr>
        <w:t>5、</w:t>
      </w:r>
      <w:r>
        <w:rPr>
          <w:rFonts w:hint="default" w:ascii="Times New Roman" w:hAnsi="Times New Roman" w:eastAsia="仿宋_GB2312" w:cs="Times New Roman"/>
          <w:color w:val="auto"/>
          <w:sz w:val="24"/>
          <w:szCs w:val="24"/>
        </w:rPr>
        <w:t>工程涉及的其它相关技术资料</w:t>
      </w:r>
      <w:r>
        <w:rPr>
          <w:rFonts w:hint="default" w:ascii="Times New Roman" w:hAnsi="Times New Roman" w:eastAsia="仿宋_GB2312" w:cs="Times New Roman"/>
          <w:color w:val="auto"/>
          <w:lang w:eastAsia="zh-CN"/>
        </w:rPr>
        <w:t>。</w:t>
      </w:r>
    </w:p>
    <w:bookmarkEnd w:id="49"/>
    <w:bookmarkEnd w:id="50"/>
    <w:bookmarkEnd w:id="51"/>
    <w:bookmarkEnd w:id="52"/>
    <w:p w14:paraId="6C330BBC">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eastAsia="ar"/>
        </w:rPr>
      </w:pPr>
      <w:bookmarkStart w:id="53" w:name="_Toc9758"/>
      <w:bookmarkStart w:id="54" w:name="_Toc7568"/>
      <w:r>
        <w:rPr>
          <w:rFonts w:hint="default" w:ascii="Times New Roman" w:hAnsi="Times New Roman" w:eastAsia="仿宋_GB2312" w:cs="Times New Roman"/>
          <w:b/>
          <w:bCs/>
          <w:color w:val="auto"/>
          <w:szCs w:val="24"/>
          <w:lang w:eastAsia="ar"/>
        </w:rPr>
        <w:t>1.3设计水平年</w:t>
      </w:r>
      <w:bookmarkEnd w:id="53"/>
      <w:bookmarkEnd w:id="54"/>
    </w:p>
    <w:p w14:paraId="517AA99B">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sz w:val="24"/>
          <w:szCs w:val="24"/>
          <w:lang w:val="en-US"/>
        </w:rPr>
      </w:pPr>
      <w:bookmarkStart w:id="55" w:name="_Toc9248"/>
      <w:r>
        <w:rPr>
          <w:rFonts w:hint="default" w:ascii="Times New Roman" w:hAnsi="Times New Roman" w:eastAsia="仿宋_GB2312" w:cs="Times New Roman"/>
          <w:color w:val="auto"/>
          <w:kern w:val="0"/>
          <w:sz w:val="24"/>
          <w:szCs w:val="24"/>
          <w:lang w:val="en-US" w:eastAsia="zh-CN" w:bidi="ar"/>
        </w:rPr>
        <w:t>根据《生产建设项目水土保持技术标准》（GB 50433-2018），按照水土保持“三同时”制度，水土保持设计水平年应为主体工程完工后的当年或后一年。根据主体工程完工时间和水土保持措施实施进度安排，综合确定本项目水土保持设计水平年为完工当年，即2023年。</w:t>
      </w:r>
    </w:p>
    <w:p w14:paraId="5555343E">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eastAsia="ar"/>
        </w:rPr>
      </w:pPr>
      <w:bookmarkStart w:id="56" w:name="_Toc17010"/>
      <w:r>
        <w:rPr>
          <w:rFonts w:hint="default" w:ascii="Times New Roman" w:hAnsi="Times New Roman" w:eastAsia="仿宋_GB2312" w:cs="Times New Roman"/>
          <w:b/>
          <w:bCs/>
          <w:color w:val="auto"/>
          <w:szCs w:val="24"/>
          <w:lang w:eastAsia="ar"/>
        </w:rPr>
        <w:t>1.4水土流失防治责任范围</w:t>
      </w:r>
      <w:bookmarkEnd w:id="55"/>
      <w:bookmarkEnd w:id="56"/>
    </w:p>
    <w:p w14:paraId="5E74E471">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lang w:val="en-US" w:eastAsia="zh-CN" w:bidi="ar"/>
        </w:rPr>
        <w:t xml:space="preserve">根据《生产建设项目水土保持技术标准》（GB 50433-2018），生产建设项目水土 </w:t>
      </w:r>
    </w:p>
    <w:p w14:paraId="7DDE0FF7">
      <w:pPr>
        <w:keepNext w:val="0"/>
        <w:keepLines w:val="0"/>
        <w:widowControl/>
        <w:suppressLineNumbers w:val="0"/>
        <w:spacing w:line="360" w:lineRule="auto"/>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流失防治责任范围应包括项目永久征地、临时占地（含租赁土地）以及其他使用与管辖区域。因此，本项目水土流失防治责任范围为0.33</w:t>
      </w:r>
      <w:r>
        <w:rPr>
          <w:rFonts w:hint="default" w:ascii="Times New Roman" w:hAnsi="Times New Roman" w:eastAsia="仿宋_GB2312" w:cs="Times New Roman"/>
          <w:color w:val="auto"/>
        </w:rPr>
        <w:t>hm</w:t>
      </w:r>
      <w:r>
        <w:rPr>
          <w:rFonts w:hint="default" w:ascii="Times New Roman" w:hAnsi="Times New Roman" w:eastAsia="仿宋_GB2312" w:cs="Times New Roman"/>
          <w:color w:val="auto"/>
          <w:vertAlign w:val="superscript"/>
        </w:rPr>
        <w:t>2</w:t>
      </w:r>
      <w:r>
        <w:rPr>
          <w:rFonts w:hint="default" w:ascii="Times New Roman" w:hAnsi="Times New Roman" w:eastAsia="仿宋_GB2312" w:cs="Times New Roman"/>
          <w:color w:val="auto"/>
          <w:kern w:val="0"/>
          <w:sz w:val="24"/>
          <w:szCs w:val="24"/>
          <w:lang w:val="en-US" w:eastAsia="zh-CN" w:bidi="ar"/>
        </w:rPr>
        <w:t>。</w:t>
      </w:r>
    </w:p>
    <w:p w14:paraId="022169D7">
      <w:pPr>
        <w:keepNext w:val="0"/>
        <w:keepLines w:val="0"/>
        <w:widowControl/>
        <w:suppressLineNumbers w:val="0"/>
        <w:spacing w:line="360" w:lineRule="auto"/>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表1.4-1  水土流失防治责任范围面积统计表</w:t>
      </w:r>
    </w:p>
    <w:tbl>
      <w:tblPr>
        <w:tblStyle w:val="18"/>
        <w:tblW w:w="88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500"/>
        <w:gridCol w:w="1320"/>
        <w:gridCol w:w="5135"/>
      </w:tblGrid>
      <w:tr w14:paraId="35D340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tcBorders>
              <w:tl2br w:val="nil"/>
              <w:tr2bl w:val="nil"/>
            </w:tcBorders>
            <w:noWrap w:val="0"/>
            <w:vAlign w:val="center"/>
          </w:tcPr>
          <w:p w14:paraId="2F04C0ED">
            <w:pPr>
              <w:widowControl/>
              <w:jc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rPr>
              <w:t>项目名称</w:t>
            </w:r>
          </w:p>
        </w:tc>
        <w:tc>
          <w:tcPr>
            <w:tcW w:w="1500" w:type="dxa"/>
            <w:tcBorders>
              <w:tl2br w:val="nil"/>
              <w:tr2bl w:val="nil"/>
            </w:tcBorders>
            <w:noWrap w:val="0"/>
            <w:vAlign w:val="center"/>
          </w:tcPr>
          <w:p w14:paraId="309B25C5">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bidi="ar"/>
              </w:rPr>
              <w:t>防治分区名称</w:t>
            </w:r>
          </w:p>
        </w:tc>
        <w:tc>
          <w:tcPr>
            <w:tcW w:w="1320" w:type="dxa"/>
            <w:tcBorders>
              <w:tl2br w:val="nil"/>
              <w:tr2bl w:val="nil"/>
            </w:tcBorders>
            <w:noWrap w:val="0"/>
            <w:vAlign w:val="center"/>
          </w:tcPr>
          <w:p w14:paraId="578B056A">
            <w:pPr>
              <w:jc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rPr>
              <w:t>防治责任面积</w:t>
            </w:r>
          </w:p>
        </w:tc>
        <w:tc>
          <w:tcPr>
            <w:tcW w:w="5135" w:type="dxa"/>
            <w:tcBorders>
              <w:tl2br w:val="nil"/>
              <w:tr2bl w:val="nil"/>
            </w:tcBorders>
            <w:noWrap w:val="0"/>
            <w:vAlign w:val="center"/>
          </w:tcPr>
          <w:p w14:paraId="1EB9BA3F">
            <w:pPr>
              <w:widowControl/>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sz w:val="18"/>
                <w:szCs w:val="18"/>
              </w:rPr>
              <w:t>防治责任范围说明</w:t>
            </w:r>
          </w:p>
        </w:tc>
      </w:tr>
      <w:tr w14:paraId="0AE56C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restart"/>
            <w:tcBorders>
              <w:tl2br w:val="nil"/>
              <w:tr2bl w:val="nil"/>
            </w:tcBorders>
            <w:noWrap w:val="0"/>
            <w:vAlign w:val="center"/>
          </w:tcPr>
          <w:p w14:paraId="15BD7837">
            <w:pPr>
              <w:widowControl/>
              <w:spacing w:line="240" w:lineRule="auto"/>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en-US" w:eastAsia="zh-CN"/>
              </w:rPr>
              <w:t xml:space="preserve"> </w:t>
            </w:r>
            <w:r>
              <w:rPr>
                <w:rFonts w:hint="default" w:ascii="Times New Roman" w:hAnsi="Times New Roman" w:eastAsia="仿宋_GB2312" w:cs="Times New Roman"/>
                <w:color w:val="auto"/>
                <w:kern w:val="0"/>
                <w:sz w:val="18"/>
                <w:szCs w:val="18"/>
                <w:lang w:eastAsia="zh-CN"/>
              </w:rPr>
              <w:t>剑阁县王河镇干部周转房建设项目</w:t>
            </w:r>
          </w:p>
        </w:tc>
        <w:tc>
          <w:tcPr>
            <w:tcW w:w="1500" w:type="dxa"/>
            <w:tcBorders>
              <w:tl2br w:val="nil"/>
              <w:tr2bl w:val="nil"/>
            </w:tcBorders>
            <w:noWrap w:val="0"/>
            <w:vAlign w:val="center"/>
          </w:tcPr>
          <w:p w14:paraId="220075A3">
            <w:pPr>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kern w:val="0"/>
                <w:sz w:val="18"/>
                <w:szCs w:val="18"/>
                <w:lang w:eastAsia="zh-CN"/>
              </w:rPr>
              <w:t>建构筑物</w:t>
            </w:r>
            <w:r>
              <w:rPr>
                <w:rFonts w:hint="default" w:ascii="Times New Roman" w:hAnsi="Times New Roman" w:eastAsia="仿宋_GB2312" w:cs="Times New Roman"/>
                <w:color w:val="auto"/>
                <w:kern w:val="0"/>
                <w:sz w:val="18"/>
                <w:szCs w:val="18"/>
              </w:rPr>
              <w:t>工程区</w:t>
            </w:r>
          </w:p>
        </w:tc>
        <w:tc>
          <w:tcPr>
            <w:tcW w:w="1320" w:type="dxa"/>
            <w:tcBorders>
              <w:tl2br w:val="nil"/>
              <w:tr2bl w:val="nil"/>
            </w:tcBorders>
            <w:noWrap w:val="0"/>
            <w:vAlign w:val="center"/>
          </w:tcPr>
          <w:p w14:paraId="131E3CA5">
            <w:pPr>
              <w:numPr>
                <w:ilvl w:val="0"/>
                <w:numId w:val="0"/>
              </w:numPr>
              <w:spacing w:line="360" w:lineRule="auto"/>
              <w:ind w:left="0" w:leftChars="0"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vertAlign w:val="baseline"/>
                <w:lang w:val="en-US" w:eastAsia="zh-CN"/>
              </w:rPr>
              <w:t>0.04</w:t>
            </w:r>
          </w:p>
        </w:tc>
        <w:tc>
          <w:tcPr>
            <w:tcW w:w="5135" w:type="dxa"/>
            <w:tcBorders>
              <w:tl2br w:val="nil"/>
              <w:tr2bl w:val="nil"/>
            </w:tcBorders>
            <w:noWrap w:val="0"/>
            <w:vAlign w:val="center"/>
          </w:tcPr>
          <w:p w14:paraId="5402734D">
            <w:pPr>
              <w:numPr>
                <w:ilvl w:val="0"/>
                <w:numId w:val="0"/>
              </w:numPr>
              <w:spacing w:line="360" w:lineRule="auto"/>
              <w:ind w:left="0" w:leftChars="0"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sz w:val="18"/>
                <w:szCs w:val="18"/>
                <w:vertAlign w:val="baseline"/>
                <w:lang w:val="en-US" w:eastAsia="zh-CN"/>
              </w:rPr>
              <w:t>干部周转房 1 栋</w:t>
            </w:r>
          </w:p>
        </w:tc>
      </w:tr>
      <w:tr w14:paraId="1C691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tcBorders>
              <w:tl2br w:val="nil"/>
              <w:tr2bl w:val="nil"/>
            </w:tcBorders>
            <w:noWrap w:val="0"/>
            <w:vAlign w:val="center"/>
          </w:tcPr>
          <w:p w14:paraId="36D1F2AC">
            <w:pPr>
              <w:widowControl/>
              <w:spacing w:line="240" w:lineRule="auto"/>
              <w:ind w:firstLine="0" w:firstLineChars="0"/>
              <w:jc w:val="center"/>
              <w:rPr>
                <w:rFonts w:hint="default" w:ascii="Times New Roman" w:hAnsi="Times New Roman" w:eastAsia="仿宋_GB2312" w:cs="Times New Roman"/>
                <w:color w:val="auto"/>
                <w:sz w:val="18"/>
                <w:szCs w:val="18"/>
                <w:lang w:val="en-US" w:eastAsia="zh-CN"/>
              </w:rPr>
            </w:pPr>
          </w:p>
        </w:tc>
        <w:tc>
          <w:tcPr>
            <w:tcW w:w="1500" w:type="dxa"/>
            <w:tcBorders>
              <w:tl2br w:val="nil"/>
              <w:tr2bl w:val="nil"/>
            </w:tcBorders>
            <w:noWrap w:val="0"/>
            <w:vAlign w:val="center"/>
          </w:tcPr>
          <w:p w14:paraId="011D9B14">
            <w:pPr>
              <w:ind w:firstLine="0" w:firstLineChars="0"/>
              <w:jc w:val="center"/>
              <w:rPr>
                <w:rFonts w:hint="default" w:ascii="Times New Roman" w:hAnsi="Times New Roman" w:eastAsia="仿宋_GB2312" w:cs="Times New Roman"/>
                <w:color w:val="auto"/>
                <w:kern w:val="0"/>
                <w:sz w:val="18"/>
                <w:szCs w:val="18"/>
                <w:lang w:eastAsia="zh-CN" w:bidi="ar"/>
              </w:rPr>
            </w:pPr>
            <w:r>
              <w:rPr>
                <w:rFonts w:hint="default" w:ascii="Times New Roman" w:hAnsi="Times New Roman" w:eastAsia="仿宋_GB2312" w:cs="Times New Roman"/>
                <w:color w:val="auto"/>
                <w:kern w:val="0"/>
                <w:sz w:val="18"/>
                <w:szCs w:val="18"/>
                <w:lang w:eastAsia="zh-CN"/>
              </w:rPr>
              <w:t>硬化工程区</w:t>
            </w:r>
          </w:p>
        </w:tc>
        <w:tc>
          <w:tcPr>
            <w:tcW w:w="1320" w:type="dxa"/>
            <w:tcBorders>
              <w:tl2br w:val="nil"/>
              <w:tr2bl w:val="nil"/>
            </w:tcBorders>
            <w:noWrap w:val="0"/>
            <w:vAlign w:val="center"/>
          </w:tcPr>
          <w:p w14:paraId="5112D1FC">
            <w:pPr>
              <w:numPr>
                <w:ilvl w:val="0"/>
                <w:numId w:val="0"/>
              </w:numPr>
              <w:spacing w:line="360" w:lineRule="auto"/>
              <w:ind w:left="0" w:leftChars="0"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vertAlign w:val="baseline"/>
                <w:lang w:val="en-US" w:eastAsia="zh-CN"/>
              </w:rPr>
              <w:t>0.17</w:t>
            </w:r>
          </w:p>
        </w:tc>
        <w:tc>
          <w:tcPr>
            <w:tcW w:w="5135" w:type="dxa"/>
            <w:tcBorders>
              <w:tl2br w:val="nil"/>
              <w:tr2bl w:val="nil"/>
            </w:tcBorders>
            <w:noWrap w:val="0"/>
            <w:vAlign w:val="center"/>
          </w:tcPr>
          <w:p w14:paraId="416EE022">
            <w:pPr>
              <w:numPr>
                <w:ilvl w:val="0"/>
                <w:numId w:val="0"/>
              </w:numPr>
              <w:spacing w:line="360" w:lineRule="auto"/>
              <w:ind w:left="0" w:leftChars="0" w:firstLine="0" w:firstLineChars="0"/>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硬化道路及停车场等硬化场地</w:t>
            </w:r>
          </w:p>
        </w:tc>
      </w:tr>
      <w:tr w14:paraId="31896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tcBorders>
              <w:tl2br w:val="nil"/>
              <w:tr2bl w:val="nil"/>
            </w:tcBorders>
            <w:noWrap w:val="0"/>
            <w:vAlign w:val="center"/>
          </w:tcPr>
          <w:p w14:paraId="489186EB">
            <w:pPr>
              <w:widowControl/>
              <w:spacing w:line="240" w:lineRule="auto"/>
              <w:ind w:firstLine="0" w:firstLineChars="0"/>
              <w:jc w:val="center"/>
              <w:rPr>
                <w:rFonts w:hint="default" w:ascii="Times New Roman" w:hAnsi="Times New Roman" w:eastAsia="仿宋_GB2312" w:cs="Times New Roman"/>
                <w:color w:val="auto"/>
                <w:sz w:val="18"/>
                <w:szCs w:val="18"/>
                <w:lang w:val="en-US" w:eastAsia="zh-CN"/>
              </w:rPr>
            </w:pPr>
          </w:p>
        </w:tc>
        <w:tc>
          <w:tcPr>
            <w:tcW w:w="1500" w:type="dxa"/>
            <w:tcBorders>
              <w:tl2br w:val="nil"/>
              <w:tr2bl w:val="nil"/>
            </w:tcBorders>
            <w:noWrap w:val="0"/>
            <w:vAlign w:val="center"/>
          </w:tcPr>
          <w:p w14:paraId="7F21F2F1">
            <w:pPr>
              <w:ind w:firstLine="0" w:firstLineChars="0"/>
              <w:jc w:val="center"/>
              <w:rPr>
                <w:rFonts w:hint="default" w:ascii="Times New Roman" w:hAnsi="Times New Roman" w:eastAsia="仿宋_GB2312" w:cs="Times New Roman"/>
                <w:color w:val="auto"/>
                <w:kern w:val="0"/>
                <w:sz w:val="18"/>
                <w:szCs w:val="18"/>
                <w:lang w:eastAsia="zh-CN" w:bidi="ar"/>
              </w:rPr>
            </w:pPr>
            <w:r>
              <w:rPr>
                <w:rFonts w:hint="default" w:ascii="Times New Roman" w:hAnsi="Times New Roman" w:eastAsia="仿宋_GB2312" w:cs="Times New Roman"/>
                <w:color w:val="auto"/>
                <w:kern w:val="0"/>
                <w:sz w:val="18"/>
                <w:szCs w:val="18"/>
                <w:lang w:eastAsia="zh-CN"/>
              </w:rPr>
              <w:t>绿化工程区</w:t>
            </w:r>
          </w:p>
        </w:tc>
        <w:tc>
          <w:tcPr>
            <w:tcW w:w="1320" w:type="dxa"/>
            <w:tcBorders>
              <w:tl2br w:val="nil"/>
              <w:tr2bl w:val="nil"/>
            </w:tcBorders>
            <w:noWrap w:val="0"/>
            <w:vAlign w:val="center"/>
          </w:tcPr>
          <w:p w14:paraId="47BBBC3C">
            <w:pPr>
              <w:numPr>
                <w:ilvl w:val="0"/>
                <w:numId w:val="0"/>
              </w:numPr>
              <w:spacing w:line="360" w:lineRule="auto"/>
              <w:ind w:left="0" w:leftChars="0"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vertAlign w:val="baseline"/>
                <w:lang w:val="en-US" w:eastAsia="zh-CN"/>
              </w:rPr>
              <w:t>0.12</w:t>
            </w:r>
          </w:p>
        </w:tc>
        <w:tc>
          <w:tcPr>
            <w:tcW w:w="5135" w:type="dxa"/>
            <w:tcBorders>
              <w:tl2br w:val="nil"/>
              <w:tr2bl w:val="nil"/>
            </w:tcBorders>
            <w:noWrap w:val="0"/>
            <w:vAlign w:val="center"/>
          </w:tcPr>
          <w:p w14:paraId="604CA462">
            <w:pPr>
              <w:numPr>
                <w:ilvl w:val="0"/>
                <w:numId w:val="0"/>
              </w:numPr>
              <w:spacing w:line="360" w:lineRule="auto"/>
              <w:ind w:left="0" w:leftChars="0" w:firstLine="0" w:firstLineChars="0"/>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lang w:val="en-US" w:eastAsia="zh-CN" w:bidi="ar"/>
              </w:rPr>
              <w:t>主体建筑周围及道路等硬化区域周围绿化区域</w:t>
            </w:r>
          </w:p>
        </w:tc>
      </w:tr>
      <w:tr w14:paraId="30B024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436" w:type="dxa"/>
            <w:gridSpan w:val="2"/>
            <w:tcBorders>
              <w:tl2br w:val="nil"/>
              <w:tr2bl w:val="nil"/>
            </w:tcBorders>
            <w:noWrap w:val="0"/>
            <w:vAlign w:val="center"/>
          </w:tcPr>
          <w:p w14:paraId="5B7819F9">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w:t>
            </w:r>
          </w:p>
        </w:tc>
        <w:tc>
          <w:tcPr>
            <w:tcW w:w="1320" w:type="dxa"/>
            <w:tcBorders>
              <w:tl2br w:val="nil"/>
              <w:tr2bl w:val="nil"/>
            </w:tcBorders>
            <w:noWrap w:val="0"/>
            <w:vAlign w:val="center"/>
          </w:tcPr>
          <w:p w14:paraId="6E8D6EA9">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both"/>
              <w:textAlignment w:val="auto"/>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b w:val="0"/>
                <w:bCs w:val="0"/>
                <w:color w:val="auto"/>
                <w:kern w:val="2"/>
                <w:sz w:val="18"/>
                <w:szCs w:val="18"/>
                <w:lang w:val="en-US" w:eastAsia="zh-CN" w:bidi="ar"/>
              </w:rPr>
              <w:t>0.33</w:t>
            </w:r>
          </w:p>
        </w:tc>
        <w:tc>
          <w:tcPr>
            <w:tcW w:w="5135" w:type="dxa"/>
            <w:tcBorders>
              <w:tl2br w:val="nil"/>
              <w:tr2bl w:val="nil"/>
            </w:tcBorders>
            <w:noWrap w:val="0"/>
            <w:vAlign w:val="center"/>
          </w:tcPr>
          <w:p w14:paraId="6499FDFD">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项目建设区</w:t>
            </w:r>
          </w:p>
        </w:tc>
      </w:tr>
    </w:tbl>
    <w:p w14:paraId="6E023D3F">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eastAsia="ar"/>
        </w:rPr>
      </w:pPr>
      <w:bookmarkStart w:id="57" w:name="_Toc20217"/>
      <w:bookmarkStart w:id="58" w:name="_Toc19625"/>
      <w:r>
        <w:rPr>
          <w:rFonts w:hint="default" w:ascii="Times New Roman" w:hAnsi="Times New Roman" w:eastAsia="仿宋_GB2312" w:cs="Times New Roman"/>
          <w:b/>
          <w:bCs/>
          <w:color w:val="auto"/>
          <w:szCs w:val="24"/>
          <w:lang w:eastAsia="ar"/>
        </w:rPr>
        <w:t>1.5水土流失防治目标</w:t>
      </w:r>
      <w:bookmarkEnd w:id="57"/>
      <w:bookmarkEnd w:id="58"/>
    </w:p>
    <w:p w14:paraId="60D1316F">
      <w:pPr>
        <w:pStyle w:val="4"/>
        <w:keepNext/>
        <w:keepLines/>
        <w:pageBreakBefore w:val="0"/>
        <w:widowControl/>
        <w:kinsoku/>
        <w:wordWrap/>
        <w:overflowPunct/>
        <w:topLinePunct w:val="0"/>
        <w:autoSpaceDE/>
        <w:autoSpaceDN/>
        <w:bidi w:val="0"/>
        <w:adjustRightInd/>
        <w:snapToGrid/>
        <w:spacing w:after="120" w:afterLines="50"/>
        <w:textAlignment w:val="auto"/>
        <w:outlineLvl w:val="2"/>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1.5.1执行标准等级</w:t>
      </w:r>
    </w:p>
    <w:p w14:paraId="72E0C0C9">
      <w:pPr>
        <w:shd w:val="clear" w:color="auto" w:fill="FFFFFF"/>
        <w:spacing w:line="360" w:lineRule="auto"/>
        <w:ind w:firstLine="480" w:firstLineChars="200"/>
        <w:textAlignment w:val="baseline"/>
        <w:rPr>
          <w:rFonts w:hint="default" w:ascii="Times New Roman" w:hAnsi="Times New Roman" w:eastAsia="仿宋_GB2312" w:cs="Times New Roman"/>
          <w:color w:val="auto"/>
          <w:sz w:val="24"/>
          <w:szCs w:val="24"/>
        </w:rPr>
      </w:pPr>
      <w:bookmarkStart w:id="59" w:name="_Toc24641"/>
      <w:r>
        <w:rPr>
          <w:rFonts w:hint="default" w:ascii="Times New Roman" w:hAnsi="Times New Roman" w:eastAsia="仿宋_GB2312" w:cs="Times New Roman"/>
          <w:color w:val="auto"/>
          <w:kern w:val="2"/>
          <w:sz w:val="24"/>
          <w:szCs w:val="24"/>
          <w:lang w:val="en-US" w:eastAsia="zh-CN" w:bidi="ar-SA"/>
        </w:rPr>
        <w:t>根据</w:t>
      </w:r>
      <w:r>
        <w:rPr>
          <w:rFonts w:hint="default" w:ascii="Times New Roman" w:hAnsi="Times New Roman" w:eastAsia="仿宋_GB2312" w:cs="Times New Roman"/>
          <w:color w:val="auto"/>
          <w:kern w:val="2"/>
          <w:sz w:val="24"/>
          <w:szCs w:val="24"/>
          <w:lang w:val="zh-CN" w:eastAsia="zh-CN" w:bidi="ar-SA"/>
        </w:rPr>
        <w:t>《全国水土保持规划国家级水土流失重点预防区和重点治理区复核划分成果》（办水保</w:t>
      </w:r>
      <w:r>
        <w:rPr>
          <w:rFonts w:hint="default" w:ascii="Times New Roman" w:hAnsi="Times New Roman" w:eastAsia="仿宋_GB2312" w:cs="Times New Roman"/>
          <w:b w:val="0"/>
          <w:bCs/>
          <w:color w:val="auto"/>
          <w:sz w:val="24"/>
          <w:szCs w:val="24"/>
          <w:lang w:val="en-US" w:eastAsia="zh-CN"/>
        </w:rPr>
        <w:t>〔2013〕</w:t>
      </w:r>
      <w:r>
        <w:rPr>
          <w:rFonts w:hint="default" w:ascii="Times New Roman" w:hAnsi="Times New Roman" w:eastAsia="仿宋_GB2312" w:cs="Times New Roman"/>
          <w:color w:val="auto"/>
          <w:kern w:val="2"/>
          <w:sz w:val="24"/>
          <w:szCs w:val="24"/>
          <w:lang w:val="zh-CN" w:eastAsia="zh-CN" w:bidi="ar-SA"/>
        </w:rPr>
        <w:t>188号）</w:t>
      </w:r>
      <w:r>
        <w:rPr>
          <w:rFonts w:hint="default" w:ascii="Times New Roman" w:hAnsi="Times New Roman" w:eastAsia="仿宋_GB2312" w:cs="Times New Roman"/>
          <w:color w:val="auto"/>
          <w:kern w:val="2"/>
          <w:sz w:val="24"/>
          <w:szCs w:val="24"/>
          <w:lang w:val="en-US" w:eastAsia="zh-CN" w:bidi="ar-SA"/>
        </w:rPr>
        <w:t>，项目区属于嘉陵江及沱江中下游国家级水土流失重点治理区</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根据水利部办公厅关于印发《全国水土保持区划（试行）的通知》（办水保〔2012〕512号）确定项目区属</w:t>
      </w:r>
      <w:r>
        <w:rPr>
          <w:rFonts w:hint="default" w:ascii="Times New Roman" w:hAnsi="Times New Roman" w:eastAsia="仿宋_GB2312" w:cs="Times New Roman"/>
          <w:color w:val="auto"/>
          <w:sz w:val="24"/>
          <w:szCs w:val="24"/>
          <w:lang w:val="en-US" w:eastAsia="zh-CN"/>
        </w:rPr>
        <w:t>西南紫色土</w:t>
      </w:r>
      <w:r>
        <w:rPr>
          <w:rFonts w:hint="default" w:ascii="Times New Roman" w:hAnsi="Times New Roman" w:eastAsia="仿宋_GB2312" w:cs="Times New Roman"/>
          <w:color w:val="auto"/>
          <w:sz w:val="24"/>
          <w:szCs w:val="24"/>
        </w:rPr>
        <w:t>区</w:t>
      </w:r>
      <w:r>
        <w:rPr>
          <w:rFonts w:hint="default" w:ascii="Times New Roman" w:hAnsi="Times New Roman" w:eastAsia="仿宋_GB2312" w:cs="Times New Roman"/>
          <w:bCs/>
          <w:color w:val="auto"/>
          <w:kern w:val="0"/>
          <w:sz w:val="24"/>
          <w:szCs w:val="24"/>
          <w:lang w:eastAsia="zh-CN"/>
        </w:rPr>
        <w:t>；</w:t>
      </w:r>
      <w:r>
        <w:rPr>
          <w:rFonts w:hint="default" w:ascii="Times New Roman" w:hAnsi="Times New Roman" w:eastAsia="仿宋_GB2312" w:cs="Times New Roman"/>
          <w:color w:val="auto"/>
          <w:sz w:val="24"/>
          <w:szCs w:val="24"/>
        </w:rPr>
        <w:t>根据《生产建设项目水土流失防治标准》（GB/T50434-2018）和《生产建设项目水土保持技术标准》（GB50433-2018）的有关规定，</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kern w:val="0"/>
          <w:sz w:val="24"/>
          <w:szCs w:val="24"/>
          <w:lang w:val="en-US" w:eastAsia="zh-CN"/>
        </w:rPr>
        <w:t>项目位于各级人民政府和相关机构确定的水土流失重点预防区和重点治理区、饮用水水源保护区、水功能一级区的保护区和保留区、自然保护区、世界文化和自然遗产地、风景名胜区、地质公园、森林公园、重要湿地，且不能避让的，以及位于县级及以上城市区域的，应执行一级标准</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因此</w:t>
      </w:r>
      <w:r>
        <w:rPr>
          <w:rFonts w:hint="default" w:ascii="Times New Roman" w:hAnsi="Times New Roman" w:eastAsia="仿宋_GB2312" w:cs="Times New Roman"/>
          <w:color w:val="auto"/>
          <w:sz w:val="24"/>
          <w:szCs w:val="24"/>
        </w:rPr>
        <w:t>本项目水土流失防治指标执行建设类项目</w:t>
      </w:r>
      <w:r>
        <w:rPr>
          <w:rFonts w:hint="default" w:ascii="Times New Roman" w:hAnsi="Times New Roman" w:eastAsia="仿宋_GB2312" w:cs="Times New Roman"/>
          <w:color w:val="auto"/>
          <w:sz w:val="24"/>
          <w:szCs w:val="24"/>
          <w:lang w:val="en-US" w:eastAsia="zh-CN"/>
        </w:rPr>
        <w:t>西南紫色土</w:t>
      </w:r>
      <w:r>
        <w:rPr>
          <w:rFonts w:hint="default" w:ascii="Times New Roman" w:hAnsi="Times New Roman" w:eastAsia="仿宋_GB2312" w:cs="Times New Roman"/>
          <w:color w:val="auto"/>
          <w:sz w:val="24"/>
          <w:szCs w:val="24"/>
        </w:rPr>
        <w:t>区一级标准</w:t>
      </w:r>
      <w:r>
        <w:rPr>
          <w:rFonts w:hint="default" w:ascii="Times New Roman" w:hAnsi="Times New Roman" w:eastAsia="仿宋_GB2312" w:cs="Times New Roman"/>
          <w:bCs/>
          <w:color w:val="auto"/>
          <w:kern w:val="0"/>
          <w:sz w:val="24"/>
          <w:szCs w:val="24"/>
        </w:rPr>
        <w:t>。</w:t>
      </w:r>
    </w:p>
    <w:p w14:paraId="12EB26E8">
      <w:pPr>
        <w:keepNext/>
        <w:keepLines/>
        <w:spacing w:before="120" w:beforeLines="50" w:after="120" w:afterLines="50" w:line="360" w:lineRule="auto"/>
        <w:ind w:firstLine="0" w:firstLineChars="0"/>
        <w:outlineLvl w:val="2"/>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bCs/>
          <w:color w:val="auto"/>
          <w:sz w:val="28"/>
          <w:szCs w:val="28"/>
        </w:rPr>
        <w:t>1.5.2 防治目标</w:t>
      </w:r>
    </w:p>
    <w:p w14:paraId="50A1E435">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bidi="ar-SA"/>
        </w:rPr>
        <w:t>根据《生产建设项目水土流失防治标准》（GB/T50433-2018）及本项目的建设特点、环境现状等，明确本项目水土流失防治的基本目标为：</w:t>
      </w:r>
      <w:r>
        <w:rPr>
          <w:rFonts w:hint="default" w:ascii="Times New Roman" w:hAnsi="Times New Roman" w:eastAsia="仿宋_GB2312" w:cs="Times New Roman"/>
          <w:color w:val="auto"/>
          <w:kern w:val="0"/>
          <w:sz w:val="24"/>
          <w:szCs w:val="24"/>
          <w:highlight w:val="none"/>
        </w:rPr>
        <w:t>项目建设范围内的新增水土流失应得到有效控制，原有水土流失得到治理；水土保持设施应安全有效；水土资源、林草植被应得到最大限度的保护与恢复；</w:t>
      </w:r>
      <w:r>
        <w:rPr>
          <w:rFonts w:hint="default" w:ascii="Times New Roman" w:hAnsi="Times New Roman" w:eastAsia="仿宋_GB2312" w:cs="Times New Roman"/>
          <w:color w:val="auto"/>
          <w:kern w:val="0"/>
          <w:sz w:val="24"/>
          <w:szCs w:val="24"/>
          <w:highlight w:val="none"/>
          <w:lang w:val="en-US" w:eastAsia="zh-CN"/>
        </w:rPr>
        <w:t>水土流失防治目标值六项指标达到</w:t>
      </w:r>
      <w:r>
        <w:rPr>
          <w:rFonts w:hint="default" w:ascii="Times New Roman" w:hAnsi="Times New Roman" w:eastAsia="仿宋_GB2312" w:cs="Times New Roman"/>
          <w:color w:val="auto"/>
          <w:sz w:val="24"/>
          <w:szCs w:val="24"/>
          <w:lang w:val="en-US" w:eastAsia="zh-CN"/>
        </w:rPr>
        <w:t>西南紫色土</w:t>
      </w:r>
      <w:r>
        <w:rPr>
          <w:rFonts w:hint="default" w:ascii="Times New Roman" w:hAnsi="Times New Roman" w:eastAsia="仿宋_GB2312" w:cs="Times New Roman"/>
          <w:color w:val="auto"/>
          <w:kern w:val="0"/>
          <w:sz w:val="24"/>
          <w:szCs w:val="24"/>
          <w:highlight w:val="none"/>
          <w:lang w:val="en-US" w:eastAsia="zh-CN"/>
        </w:rPr>
        <w:t>区一</w:t>
      </w:r>
      <w:r>
        <w:rPr>
          <w:rFonts w:hint="default" w:ascii="Times New Roman" w:hAnsi="Times New Roman" w:eastAsia="仿宋_GB2312" w:cs="Times New Roman"/>
          <w:color w:val="auto"/>
          <w:kern w:val="0"/>
          <w:sz w:val="24"/>
          <w:szCs w:val="24"/>
          <w:highlight w:val="none"/>
        </w:rPr>
        <w:t>级标准</w:t>
      </w:r>
      <w:r>
        <w:rPr>
          <w:rFonts w:hint="default" w:ascii="Times New Roman" w:hAnsi="Times New Roman" w:eastAsia="仿宋_GB2312" w:cs="Times New Roman"/>
          <w:color w:val="auto"/>
          <w:kern w:val="0"/>
          <w:sz w:val="24"/>
          <w:szCs w:val="24"/>
          <w:highlight w:val="none"/>
          <w:lang w:eastAsia="zh-CN"/>
        </w:rPr>
        <w:t>。</w:t>
      </w:r>
    </w:p>
    <w:p w14:paraId="67FDA12C">
      <w:pPr>
        <w:widowControl w:val="0"/>
        <w:spacing w:line="360" w:lineRule="auto"/>
        <w:ind w:firstLine="480" w:firstLineChars="200"/>
        <w:jc w:val="both"/>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lang w:val="en-US" w:eastAsia="zh-CN"/>
        </w:rPr>
        <w:t>1、</w:t>
      </w:r>
      <w:r>
        <w:rPr>
          <w:rFonts w:hint="default" w:ascii="Times New Roman" w:hAnsi="Times New Roman" w:eastAsia="仿宋_GB2312" w:cs="Times New Roman"/>
          <w:color w:val="auto"/>
          <w:kern w:val="0"/>
          <w:sz w:val="24"/>
          <w:szCs w:val="24"/>
          <w:highlight w:val="none"/>
        </w:rPr>
        <w:t>根据《生产建设项目水土流失防治标准》（GB/T50434-2018），结合项目区气候类型、土壤侵蚀强度、地形、所处位置以及项目特性等对水土流失防治标准进行修正：</w:t>
      </w:r>
    </w:p>
    <w:p w14:paraId="0083906E">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水土流失治理度、林草植被恢复率、林草覆盖率可根据干旱程度按照下列原则进行调整：①位于极干旱地区的，林草植被恢复和林草覆盖率可不作定量要求，水土流失治理度可降低5%~8%</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②位于干旱地区的，水土流失治理度、林草植被恢复率、林草覆盖率可降低3%~5%。</w:t>
      </w:r>
    </w:p>
    <w:p w14:paraId="2BF7DFF9">
      <w:pPr>
        <w:widowControl w:val="0"/>
        <w:tabs>
          <w:tab w:val="left" w:pos="2304"/>
          <w:tab w:val="left" w:pos="2420"/>
          <w:tab w:val="center" w:pos="4308"/>
          <w:tab w:val="left" w:pos="6615"/>
        </w:tabs>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val="en-US" w:eastAsia="zh-CN"/>
        </w:rPr>
        <w:t>广元市剑阁县多年平均降水量1086.60mm，多年平均蒸发量1002.00mm，干燥度（最大可能蒸发量与降水量之比）采用近似估算为0.92，对比气候大区年干燥度指标，</w:t>
      </w:r>
      <w:r>
        <w:rPr>
          <w:rFonts w:hint="default" w:ascii="Times New Roman" w:hAnsi="Times New Roman" w:eastAsia="仿宋_GB2312" w:cs="Times New Roman"/>
          <w:color w:val="auto"/>
          <w:sz w:val="24"/>
          <w:szCs w:val="24"/>
          <w:lang w:eastAsia="zh-CN"/>
        </w:rPr>
        <w:t>本项目</w:t>
      </w:r>
      <w:r>
        <w:rPr>
          <w:rFonts w:hint="default" w:ascii="Times New Roman" w:hAnsi="Times New Roman" w:eastAsia="仿宋_GB2312" w:cs="Times New Roman"/>
          <w:color w:val="auto"/>
          <w:sz w:val="24"/>
          <w:szCs w:val="24"/>
          <w:lang w:val="en-US" w:eastAsia="zh-CN"/>
        </w:rPr>
        <w:t>位于湿润区</w:t>
      </w:r>
      <w:r>
        <w:rPr>
          <w:rFonts w:hint="default" w:ascii="Times New Roman" w:hAnsi="Times New Roman" w:eastAsia="仿宋_GB2312" w:cs="Times New Roman"/>
          <w:color w:val="auto"/>
          <w:sz w:val="24"/>
          <w:szCs w:val="24"/>
        </w:rPr>
        <w:t>，水土流失治理度、林草植被恢复率和林草覆盖率不调整</w:t>
      </w:r>
      <w:r>
        <w:rPr>
          <w:rFonts w:hint="default" w:ascii="Times New Roman" w:hAnsi="Times New Roman" w:eastAsia="仿宋_GB2312" w:cs="Times New Roman"/>
          <w:color w:val="auto"/>
          <w:sz w:val="24"/>
          <w:szCs w:val="24"/>
          <w:lang w:eastAsia="zh-CN"/>
        </w:rPr>
        <w:t>。</w:t>
      </w:r>
    </w:p>
    <w:p w14:paraId="4B6748AC">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（2）土壤流失控制比在轻度侵蚀为主的区域不应小于1，中度以上侵蚀为主的区域可降低0.1~0.2。</w:t>
      </w:r>
    </w:p>
    <w:p w14:paraId="44F7744D">
      <w:pPr>
        <w:widowControl w:val="0"/>
        <w:tabs>
          <w:tab w:val="left" w:pos="2304"/>
          <w:tab w:val="left" w:pos="2420"/>
          <w:tab w:val="center" w:pos="4308"/>
          <w:tab w:val="left" w:pos="6615"/>
        </w:tabs>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val="en-US" w:eastAsia="zh-CN"/>
        </w:rPr>
        <w:t>项目区</w:t>
      </w:r>
      <w:r>
        <w:rPr>
          <w:rFonts w:hint="default" w:ascii="Times New Roman" w:hAnsi="Times New Roman" w:eastAsia="仿宋_GB2312" w:cs="Times New Roman"/>
          <w:color w:val="auto"/>
          <w:sz w:val="24"/>
          <w:szCs w:val="24"/>
        </w:rPr>
        <w:t>土壤侵蚀强度以</w:t>
      </w:r>
      <w:r>
        <w:rPr>
          <w:rFonts w:hint="default" w:ascii="Times New Roman" w:hAnsi="Times New Roman" w:eastAsia="仿宋_GB2312" w:cs="Times New Roman"/>
          <w:color w:val="auto"/>
          <w:sz w:val="24"/>
          <w:szCs w:val="24"/>
          <w:lang w:eastAsia="zh-CN"/>
        </w:rPr>
        <w:t>轻</w:t>
      </w:r>
      <w:r>
        <w:rPr>
          <w:rFonts w:hint="default" w:ascii="Times New Roman" w:hAnsi="Times New Roman" w:eastAsia="仿宋_GB2312" w:cs="Times New Roman"/>
          <w:color w:val="auto"/>
          <w:sz w:val="24"/>
          <w:szCs w:val="24"/>
        </w:rPr>
        <w:t>度为主，土壤流失控制比不应小于1，本工程土壤流失控制比提高0.</w:t>
      </w:r>
      <w:r>
        <w:rPr>
          <w:rFonts w:hint="default" w:ascii="Times New Roman" w:hAnsi="Times New Roman" w:eastAsia="仿宋_GB2312" w:cs="Times New Roman"/>
          <w:color w:val="auto"/>
          <w:sz w:val="24"/>
          <w:szCs w:val="24"/>
          <w:lang w:val="en-US" w:eastAsia="zh-CN"/>
        </w:rPr>
        <w:t>15</w:t>
      </w:r>
      <w:r>
        <w:rPr>
          <w:rFonts w:hint="default" w:ascii="Times New Roman" w:hAnsi="Times New Roman" w:eastAsia="仿宋_GB2312" w:cs="Times New Roman"/>
          <w:color w:val="auto"/>
          <w:sz w:val="24"/>
          <w:szCs w:val="24"/>
          <w:lang w:eastAsia="zh-CN"/>
        </w:rPr>
        <w:t>。</w:t>
      </w:r>
    </w:p>
    <w:p w14:paraId="5E8760F3">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（3）在中山区的项目，渣土防护率可减少1%~3%；在极高山、高山区的项目渣土防护率可减少3%~5%。</w:t>
      </w:r>
    </w:p>
    <w:p w14:paraId="3FD18B62">
      <w:pPr>
        <w:widowControl w:val="0"/>
        <w:tabs>
          <w:tab w:val="left" w:pos="2304"/>
          <w:tab w:val="left" w:pos="2420"/>
          <w:tab w:val="center" w:pos="4308"/>
          <w:tab w:val="left" w:pos="6615"/>
        </w:tabs>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本项目位于海拔为</w:t>
      </w:r>
      <w:r>
        <w:rPr>
          <w:rFonts w:hint="default" w:ascii="Times New Roman" w:hAnsi="Times New Roman" w:eastAsia="仿宋_GB2312" w:cs="Times New Roman"/>
          <w:snapToGrid w:val="0"/>
          <w:color w:val="auto"/>
          <w:kern w:val="0"/>
          <w:sz w:val="24"/>
          <w:szCs w:val="24"/>
          <w:lang w:val="en-US" w:eastAsia="zh-CN"/>
        </w:rPr>
        <w:t>516.12m~518.79m</w:t>
      </w:r>
      <w:r>
        <w:rPr>
          <w:rFonts w:hint="default" w:ascii="Times New Roman" w:hAnsi="Times New Roman" w:eastAsia="仿宋_GB2312" w:cs="Times New Roman"/>
          <w:color w:val="auto"/>
          <w:sz w:val="24"/>
          <w:szCs w:val="24"/>
        </w:rPr>
        <w:t>左右的</w:t>
      </w:r>
      <w:r>
        <w:rPr>
          <w:rFonts w:hint="default" w:ascii="Times New Roman" w:hAnsi="Times New Roman" w:eastAsia="仿宋_GB2312" w:cs="Times New Roman"/>
          <w:color w:val="auto"/>
          <w:sz w:val="24"/>
          <w:szCs w:val="24"/>
          <w:lang w:val="en-US" w:eastAsia="zh-CN"/>
        </w:rPr>
        <w:t>低海拔</w:t>
      </w:r>
      <w:r>
        <w:rPr>
          <w:rFonts w:hint="default" w:ascii="Times New Roman" w:hAnsi="Times New Roman" w:eastAsia="仿宋_GB2312" w:cs="Times New Roman"/>
          <w:color w:val="auto"/>
          <w:sz w:val="24"/>
          <w:szCs w:val="24"/>
        </w:rPr>
        <w:t>区域，渣土防护率</w:t>
      </w:r>
      <w:r>
        <w:rPr>
          <w:rFonts w:hint="default" w:ascii="Times New Roman" w:hAnsi="Times New Roman" w:eastAsia="仿宋_GB2312" w:cs="Times New Roman"/>
          <w:color w:val="auto"/>
          <w:sz w:val="24"/>
          <w:szCs w:val="24"/>
          <w:lang w:val="en-US" w:eastAsia="zh-CN"/>
        </w:rPr>
        <w:t>不调整</w:t>
      </w:r>
      <w:r>
        <w:rPr>
          <w:rFonts w:hint="default" w:ascii="Times New Roman" w:hAnsi="Times New Roman" w:eastAsia="仿宋_GB2312" w:cs="Times New Roman"/>
          <w:color w:val="auto"/>
          <w:sz w:val="24"/>
          <w:szCs w:val="24"/>
          <w:lang w:eastAsia="zh-CN"/>
        </w:rPr>
        <w:t>。</w:t>
      </w:r>
    </w:p>
    <w:p w14:paraId="15BB2C34">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（4）位于城市区的项目渣土防护率和林草覆盖率可提高1%~2%。</w:t>
      </w:r>
    </w:p>
    <w:p w14:paraId="3B758603">
      <w:pPr>
        <w:widowControl w:val="0"/>
        <w:tabs>
          <w:tab w:val="left" w:pos="2304"/>
          <w:tab w:val="left" w:pos="2420"/>
          <w:tab w:val="center" w:pos="4308"/>
          <w:tab w:val="left" w:pos="6615"/>
        </w:tabs>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val="en-US" w:eastAsia="zh-CN"/>
        </w:rPr>
        <w:t>本</w:t>
      </w:r>
      <w:r>
        <w:rPr>
          <w:rFonts w:hint="default" w:ascii="Times New Roman" w:hAnsi="Times New Roman" w:eastAsia="仿宋_GB2312" w:cs="Times New Roman"/>
          <w:color w:val="auto"/>
          <w:sz w:val="24"/>
          <w:szCs w:val="24"/>
        </w:rPr>
        <w:t>项目</w:t>
      </w:r>
      <w:r>
        <w:rPr>
          <w:rFonts w:hint="default" w:ascii="Times New Roman" w:hAnsi="Times New Roman" w:eastAsia="仿宋_GB2312" w:cs="Times New Roman"/>
          <w:color w:val="auto"/>
          <w:sz w:val="24"/>
          <w:szCs w:val="24"/>
          <w:lang w:val="en-US" w:eastAsia="zh-CN"/>
        </w:rPr>
        <w:t>不</w:t>
      </w:r>
      <w:r>
        <w:rPr>
          <w:rFonts w:hint="default" w:ascii="Times New Roman" w:hAnsi="Times New Roman" w:eastAsia="仿宋_GB2312" w:cs="Times New Roman"/>
          <w:color w:val="auto"/>
          <w:sz w:val="24"/>
          <w:szCs w:val="24"/>
          <w:lang w:eastAsia="zh-CN"/>
        </w:rPr>
        <w:t>属于</w:t>
      </w:r>
      <w:r>
        <w:rPr>
          <w:rFonts w:hint="default" w:ascii="Times New Roman" w:hAnsi="Times New Roman" w:eastAsia="仿宋_GB2312" w:cs="Times New Roman"/>
          <w:color w:val="auto"/>
          <w:sz w:val="24"/>
          <w:szCs w:val="24"/>
        </w:rPr>
        <w:t>城市区，渣土防护率和林草覆盖率</w:t>
      </w:r>
      <w:r>
        <w:rPr>
          <w:rFonts w:hint="default" w:ascii="Times New Roman" w:hAnsi="Times New Roman" w:eastAsia="仿宋_GB2312" w:cs="Times New Roman"/>
          <w:color w:val="auto"/>
          <w:sz w:val="24"/>
          <w:szCs w:val="24"/>
          <w:lang w:val="en-US" w:eastAsia="zh-CN"/>
        </w:rPr>
        <w:t>不调整</w:t>
      </w:r>
      <w:r>
        <w:rPr>
          <w:rFonts w:hint="default" w:ascii="Times New Roman" w:hAnsi="Times New Roman" w:eastAsia="仿宋_GB2312" w:cs="Times New Roman"/>
          <w:color w:val="auto"/>
          <w:sz w:val="24"/>
          <w:szCs w:val="24"/>
          <w:lang w:eastAsia="zh-CN"/>
        </w:rPr>
        <w:t>；</w:t>
      </w:r>
    </w:p>
    <w:p w14:paraId="60EE324F">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5</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对林草植被有限制的项目，林草覆盖率可按相关规定适当调整。</w:t>
      </w:r>
    </w:p>
    <w:p w14:paraId="32993E6B">
      <w:pPr>
        <w:widowControl w:val="0"/>
        <w:tabs>
          <w:tab w:val="left" w:pos="2304"/>
          <w:tab w:val="left" w:pos="2420"/>
          <w:tab w:val="center" w:pos="4308"/>
          <w:tab w:val="left" w:pos="6615"/>
        </w:tabs>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bCs/>
          <w:color w:val="auto"/>
          <w:sz w:val="24"/>
          <w:lang w:val="zh-CN" w:bidi="ar"/>
        </w:rPr>
        <w:t>本项目</w:t>
      </w:r>
      <w:r>
        <w:rPr>
          <w:rFonts w:hint="default" w:ascii="Times New Roman" w:hAnsi="Times New Roman" w:eastAsia="仿宋_GB2312" w:cs="Times New Roman"/>
          <w:bCs/>
          <w:color w:val="auto"/>
          <w:sz w:val="24"/>
          <w:lang w:val="en-US" w:eastAsia="zh-CN" w:bidi="ar"/>
        </w:rPr>
        <w:t>不属于</w:t>
      </w:r>
      <w:r>
        <w:rPr>
          <w:rFonts w:hint="default" w:ascii="Times New Roman" w:hAnsi="Times New Roman" w:eastAsia="仿宋_GB2312" w:cs="Times New Roman"/>
          <w:color w:val="auto"/>
          <w:sz w:val="24"/>
          <w:szCs w:val="24"/>
        </w:rPr>
        <w:t>对林草植被有限制的项目</w:t>
      </w:r>
      <w:r>
        <w:rPr>
          <w:rFonts w:hint="default" w:ascii="Times New Roman" w:hAnsi="Times New Roman" w:eastAsia="仿宋_GB2312" w:cs="Times New Roman"/>
          <w:bCs/>
          <w:color w:val="auto"/>
          <w:sz w:val="24"/>
          <w:lang w:val="zh-CN" w:eastAsia="zh-CN" w:bidi="ar"/>
        </w:rPr>
        <w:t>，</w:t>
      </w:r>
      <w:r>
        <w:rPr>
          <w:rFonts w:hint="default" w:ascii="Times New Roman" w:hAnsi="Times New Roman" w:eastAsia="仿宋_GB2312" w:cs="Times New Roman"/>
          <w:color w:val="auto"/>
          <w:sz w:val="24"/>
          <w:szCs w:val="24"/>
        </w:rPr>
        <w:t>林草覆盖率</w:t>
      </w:r>
      <w:r>
        <w:rPr>
          <w:rFonts w:hint="default" w:ascii="Times New Roman" w:hAnsi="Times New Roman" w:eastAsia="仿宋_GB2312" w:cs="Times New Roman"/>
          <w:color w:val="auto"/>
          <w:sz w:val="24"/>
          <w:szCs w:val="24"/>
          <w:lang w:val="en-US" w:eastAsia="zh-CN"/>
        </w:rPr>
        <w:t>不调整</w:t>
      </w:r>
      <w:r>
        <w:rPr>
          <w:rFonts w:hint="default" w:ascii="Times New Roman" w:hAnsi="Times New Roman" w:eastAsia="仿宋_GB2312" w:cs="Times New Roman"/>
          <w:color w:val="auto"/>
          <w:sz w:val="24"/>
          <w:szCs w:val="24"/>
          <w:lang w:eastAsia="zh-CN"/>
        </w:rPr>
        <w:t>。</w:t>
      </w:r>
    </w:p>
    <w:p w14:paraId="7CFB0058">
      <w:pPr>
        <w:numPr>
          <w:ilvl w:val="0"/>
          <w:numId w:val="0"/>
        </w:numPr>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lang w:eastAsia="zh-CN"/>
        </w:rPr>
        <w:t>根据</w:t>
      </w:r>
      <w:r>
        <w:rPr>
          <w:rFonts w:hint="default" w:ascii="Times New Roman" w:hAnsi="Times New Roman" w:eastAsia="仿宋_GB2312" w:cs="Times New Roman"/>
          <w:color w:val="auto"/>
          <w:sz w:val="24"/>
          <w:szCs w:val="24"/>
          <w:lang w:val="en-US" w:eastAsia="zh-CN"/>
        </w:rPr>
        <w:t>《生产建设项目水土流失防治标准》（GB/T 50433-2018）第3.2.2条规定</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对无法避让水土流失重点预防区和重点治理区的生产建设项目应提高植物措施标准，林草覆盖率应提高1个~2个百分点。</w:t>
      </w:r>
    </w:p>
    <w:p w14:paraId="243D81EB">
      <w:pPr>
        <w:numPr>
          <w:ilvl w:val="0"/>
          <w:numId w:val="0"/>
        </w:numPr>
        <w:spacing w:line="360" w:lineRule="auto"/>
        <w:ind w:firstLine="480" w:firstLineChars="200"/>
        <w:rPr>
          <w:rFonts w:hint="default" w:ascii="Times New Roman" w:hAnsi="Times New Roman" w:eastAsia="仿宋_GB2312" w:cs="Times New Roman"/>
          <w:color w:val="auto"/>
          <w:sz w:val="24"/>
          <w:szCs w:val="24"/>
          <w:lang w:val="en-US" w:eastAsia="zh-CN"/>
        </w:rPr>
        <w:sectPr>
          <w:headerReference r:id="rId20" w:type="default"/>
          <w:footerReference r:id="rId21" w:type="default"/>
          <w:pgSz w:w="11906" w:h="16838"/>
          <w:pgMar w:top="1327" w:right="1514" w:bottom="1327" w:left="1514" w:header="851" w:footer="992" w:gutter="0"/>
          <w:pgBorders>
            <w:top w:val="none" w:sz="0" w:space="0"/>
            <w:left w:val="none" w:sz="0" w:space="0"/>
            <w:bottom w:val="none" w:sz="0" w:space="0"/>
            <w:right w:val="none" w:sz="0" w:space="0"/>
          </w:pgBorders>
          <w:pgNumType w:fmt="decimal" w:start="1"/>
          <w:cols w:space="720" w:num="1"/>
          <w:docGrid w:linePitch="312" w:charSpace="0"/>
        </w:sectPr>
      </w:pPr>
      <w:r>
        <w:rPr>
          <w:rFonts w:hint="default" w:ascii="Times New Roman" w:hAnsi="Times New Roman" w:eastAsia="仿宋_GB2312" w:cs="Times New Roman"/>
          <w:color w:val="auto"/>
          <w:sz w:val="24"/>
          <w:szCs w:val="24"/>
          <w:lang w:val="en-US" w:eastAsia="zh-CN"/>
        </w:rPr>
        <w:t>本项目位于</w:t>
      </w:r>
      <w:r>
        <w:rPr>
          <w:rFonts w:hint="default" w:ascii="Times New Roman" w:hAnsi="Times New Roman" w:eastAsia="仿宋_GB2312" w:cs="Times New Roman"/>
          <w:color w:val="auto"/>
          <w:kern w:val="2"/>
          <w:sz w:val="24"/>
          <w:szCs w:val="24"/>
          <w:lang w:val="en-US" w:eastAsia="zh-CN" w:bidi="ar-SA"/>
        </w:rPr>
        <w:t>嘉陵江及沱江中下游国家级水土流失重点治理区</w:t>
      </w:r>
      <w:r>
        <w:rPr>
          <w:rFonts w:hint="default"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rPr>
        <w:t>林草覆盖率</w:t>
      </w:r>
      <w:r>
        <w:rPr>
          <w:rFonts w:hint="default" w:ascii="Times New Roman" w:hAnsi="Times New Roman" w:eastAsia="仿宋_GB2312" w:cs="Times New Roman"/>
          <w:color w:val="auto"/>
          <w:sz w:val="24"/>
          <w:szCs w:val="24"/>
          <w:lang w:val="en-US" w:eastAsia="zh-CN"/>
        </w:rPr>
        <w:t>提高2%。</w:t>
      </w:r>
    </w:p>
    <w:p w14:paraId="16C6A799">
      <w:pPr>
        <w:widowControl w:val="0"/>
        <w:tabs>
          <w:tab w:val="left" w:pos="2304"/>
          <w:tab w:val="left" w:pos="2420"/>
          <w:tab w:val="center" w:pos="4308"/>
          <w:tab w:val="left" w:pos="6615"/>
        </w:tabs>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val="en-US" w:eastAsia="zh-CN"/>
        </w:rPr>
        <w:t>本项目</w:t>
      </w:r>
      <w:r>
        <w:rPr>
          <w:rFonts w:hint="default" w:ascii="Times New Roman" w:hAnsi="Times New Roman" w:eastAsia="仿宋_GB2312" w:cs="Times New Roman"/>
          <w:color w:val="auto"/>
          <w:kern w:val="0"/>
          <w:sz w:val="24"/>
          <w:szCs w:val="24"/>
          <w:highlight w:val="none"/>
        </w:rPr>
        <w:t>水土流失防治指标见表</w:t>
      </w:r>
      <w:r>
        <w:rPr>
          <w:rFonts w:hint="default" w:ascii="Times New Roman" w:hAnsi="Times New Roman" w:eastAsia="仿宋_GB2312" w:cs="Times New Roman"/>
          <w:color w:val="auto"/>
          <w:kern w:val="0"/>
          <w:sz w:val="24"/>
          <w:szCs w:val="24"/>
          <w:highlight w:val="none"/>
          <w:lang w:val="en-US" w:eastAsia="zh-CN"/>
        </w:rPr>
        <w:t>1.5</w:t>
      </w:r>
      <w:r>
        <w:rPr>
          <w:rFonts w:hint="default" w:ascii="Times New Roman" w:hAnsi="Times New Roman" w:eastAsia="仿宋_GB2312" w:cs="Times New Roman"/>
          <w:color w:val="auto"/>
          <w:kern w:val="0"/>
          <w:sz w:val="24"/>
          <w:szCs w:val="24"/>
          <w:highlight w:val="none"/>
        </w:rPr>
        <w:t>-1</w:t>
      </w:r>
      <w:r>
        <w:rPr>
          <w:rFonts w:hint="default" w:ascii="Times New Roman" w:hAnsi="Times New Roman" w:eastAsia="仿宋_GB2312" w:cs="Times New Roman"/>
          <w:color w:val="auto"/>
          <w:sz w:val="24"/>
          <w:szCs w:val="24"/>
          <w:lang w:eastAsia="zh-CN"/>
        </w:rPr>
        <w:t>。</w:t>
      </w:r>
    </w:p>
    <w:p w14:paraId="20FC85C3">
      <w:pPr>
        <w:spacing w:line="240" w:lineRule="auto"/>
        <w:ind w:firstLine="0" w:firstLineChars="0"/>
        <w:jc w:val="center"/>
        <w:rPr>
          <w:rFonts w:hint="default" w:ascii="Times New Roman" w:hAnsi="Times New Roman" w:eastAsia="仿宋_GB2312" w:cs="Times New Roman"/>
          <w:color w:val="auto"/>
          <w:kern w:val="0"/>
          <w:sz w:val="24"/>
          <w:szCs w:val="22"/>
        </w:rPr>
      </w:pPr>
      <w:r>
        <w:rPr>
          <w:rFonts w:hint="default" w:ascii="Times New Roman" w:hAnsi="Times New Roman" w:eastAsia="仿宋_GB2312" w:cs="Times New Roman"/>
          <w:b/>
          <w:bCs/>
          <w:color w:val="auto"/>
          <w:sz w:val="21"/>
          <w:szCs w:val="21"/>
        </w:rPr>
        <w:t>表1.5-1  水土流失防治指标修正表</w:t>
      </w:r>
    </w:p>
    <w:tbl>
      <w:tblPr>
        <w:tblStyle w:val="18"/>
        <w:tblpPr w:leftFromText="180" w:rightFromText="180" w:vertAnchor="text" w:horzAnchor="page" w:tblpXSpec="center" w:tblpY="397"/>
        <w:tblOverlap w:val="never"/>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604"/>
        <w:gridCol w:w="865"/>
        <w:gridCol w:w="1024"/>
        <w:gridCol w:w="1233"/>
        <w:gridCol w:w="934"/>
        <w:gridCol w:w="1203"/>
        <w:gridCol w:w="1383"/>
        <w:gridCol w:w="1389"/>
        <w:gridCol w:w="575"/>
        <w:gridCol w:w="755"/>
        <w:gridCol w:w="3321"/>
      </w:tblGrid>
      <w:tr w14:paraId="10A813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tcBorders>
              <w:tl2br w:val="nil"/>
              <w:tr2bl w:val="nil"/>
            </w:tcBorders>
            <w:vAlign w:val="center"/>
          </w:tcPr>
          <w:p w14:paraId="67ABC10B">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防治目标</w:t>
            </w:r>
          </w:p>
        </w:tc>
        <w:tc>
          <w:tcPr>
            <w:tcW w:w="0" w:type="auto"/>
            <w:gridSpan w:val="2"/>
            <w:tcBorders>
              <w:tl2br w:val="nil"/>
              <w:tr2bl w:val="nil"/>
            </w:tcBorders>
            <w:vAlign w:val="center"/>
          </w:tcPr>
          <w:p w14:paraId="4D2B2057">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标准规定（二级标准）</w:t>
            </w:r>
          </w:p>
        </w:tc>
        <w:tc>
          <w:tcPr>
            <w:tcW w:w="0" w:type="auto"/>
            <w:gridSpan w:val="6"/>
            <w:tcBorders>
              <w:tl2br w:val="nil"/>
              <w:tr2bl w:val="nil"/>
            </w:tcBorders>
            <w:vAlign w:val="center"/>
          </w:tcPr>
          <w:p w14:paraId="6CA85E87">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标准修正</w:t>
            </w:r>
          </w:p>
        </w:tc>
        <w:tc>
          <w:tcPr>
            <w:tcW w:w="0" w:type="auto"/>
            <w:gridSpan w:val="2"/>
            <w:tcBorders>
              <w:tl2br w:val="nil"/>
              <w:tr2bl w:val="nil"/>
            </w:tcBorders>
            <w:vAlign w:val="center"/>
          </w:tcPr>
          <w:p w14:paraId="368B1401">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采用标准</w:t>
            </w:r>
          </w:p>
        </w:tc>
        <w:tc>
          <w:tcPr>
            <w:tcW w:w="0" w:type="auto"/>
            <w:vMerge w:val="restart"/>
            <w:tcBorders>
              <w:tl2br w:val="nil"/>
              <w:tr2bl w:val="nil"/>
            </w:tcBorders>
            <w:vAlign w:val="center"/>
          </w:tcPr>
          <w:p w14:paraId="729FF9CD">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备注</w:t>
            </w:r>
          </w:p>
        </w:tc>
      </w:tr>
      <w:tr w14:paraId="7763F7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vAlign w:val="center"/>
          </w:tcPr>
          <w:p w14:paraId="1EFA4681">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655D34EE">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施工期</w:t>
            </w:r>
          </w:p>
        </w:tc>
        <w:tc>
          <w:tcPr>
            <w:tcW w:w="0" w:type="auto"/>
            <w:tcBorders>
              <w:tl2br w:val="nil"/>
              <w:tr2bl w:val="nil"/>
            </w:tcBorders>
            <w:vAlign w:val="center"/>
          </w:tcPr>
          <w:p w14:paraId="0B019EB8">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设计水平年</w:t>
            </w:r>
          </w:p>
        </w:tc>
        <w:tc>
          <w:tcPr>
            <w:tcW w:w="0" w:type="auto"/>
            <w:tcBorders>
              <w:tl2br w:val="nil"/>
              <w:tr2bl w:val="nil"/>
            </w:tcBorders>
            <w:vAlign w:val="center"/>
          </w:tcPr>
          <w:p w14:paraId="00FFE46C">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按干燥度进行修正</w:t>
            </w:r>
          </w:p>
        </w:tc>
        <w:tc>
          <w:tcPr>
            <w:tcW w:w="0" w:type="auto"/>
            <w:tcBorders>
              <w:tl2br w:val="nil"/>
              <w:tr2bl w:val="nil"/>
            </w:tcBorders>
            <w:vAlign w:val="center"/>
          </w:tcPr>
          <w:p w14:paraId="4FC25AED">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按土壤侵蚀强度修正</w:t>
            </w:r>
          </w:p>
        </w:tc>
        <w:tc>
          <w:tcPr>
            <w:tcW w:w="0" w:type="auto"/>
            <w:tcBorders>
              <w:tl2br w:val="nil"/>
              <w:tr2bl w:val="nil"/>
            </w:tcBorders>
            <w:vAlign w:val="center"/>
          </w:tcPr>
          <w:p w14:paraId="489DC9EB">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按地形条件修正</w:t>
            </w:r>
          </w:p>
        </w:tc>
        <w:tc>
          <w:tcPr>
            <w:tcW w:w="0" w:type="auto"/>
            <w:tcBorders>
              <w:tl2br w:val="nil"/>
              <w:tr2bl w:val="nil"/>
            </w:tcBorders>
            <w:vAlign w:val="center"/>
          </w:tcPr>
          <w:p w14:paraId="0CFDA784">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按是否涉及城市区修正</w:t>
            </w:r>
          </w:p>
        </w:tc>
        <w:tc>
          <w:tcPr>
            <w:tcW w:w="0" w:type="auto"/>
            <w:tcBorders>
              <w:tl2br w:val="nil"/>
              <w:tr2bl w:val="nil"/>
            </w:tcBorders>
            <w:vAlign w:val="center"/>
          </w:tcPr>
          <w:p w14:paraId="5EB8AFF5">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其他（林草植被有限制）</w:t>
            </w:r>
          </w:p>
        </w:tc>
        <w:tc>
          <w:tcPr>
            <w:tcW w:w="0" w:type="auto"/>
            <w:tcBorders>
              <w:tl2br w:val="nil"/>
              <w:tr2bl w:val="nil"/>
            </w:tcBorders>
            <w:vAlign w:val="center"/>
          </w:tcPr>
          <w:p w14:paraId="6C1821FA">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按是否避让重点防治区修正</w:t>
            </w:r>
          </w:p>
        </w:tc>
        <w:tc>
          <w:tcPr>
            <w:tcW w:w="0" w:type="auto"/>
            <w:tcBorders>
              <w:tl2br w:val="nil"/>
              <w:tr2bl w:val="nil"/>
            </w:tcBorders>
            <w:vAlign w:val="center"/>
          </w:tcPr>
          <w:p w14:paraId="74B3AAEC">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施工期</w:t>
            </w:r>
          </w:p>
        </w:tc>
        <w:tc>
          <w:tcPr>
            <w:tcW w:w="0" w:type="auto"/>
            <w:tcBorders>
              <w:tl2br w:val="nil"/>
              <w:tr2bl w:val="nil"/>
            </w:tcBorders>
            <w:vAlign w:val="center"/>
          </w:tcPr>
          <w:p w14:paraId="37F9B452">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设计水平年</w:t>
            </w:r>
          </w:p>
        </w:tc>
        <w:tc>
          <w:tcPr>
            <w:tcW w:w="0" w:type="auto"/>
            <w:vMerge w:val="continue"/>
            <w:tcBorders>
              <w:tl2br w:val="nil"/>
              <w:tr2bl w:val="nil"/>
            </w:tcBorders>
            <w:vAlign w:val="center"/>
          </w:tcPr>
          <w:p w14:paraId="65033336">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r>
      <w:tr w14:paraId="2ED28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08087291">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水土流失治理度(%)</w:t>
            </w:r>
          </w:p>
        </w:tc>
        <w:tc>
          <w:tcPr>
            <w:tcW w:w="0" w:type="auto"/>
            <w:tcBorders>
              <w:tl2br w:val="nil"/>
              <w:tr2bl w:val="nil"/>
            </w:tcBorders>
            <w:vAlign w:val="center"/>
          </w:tcPr>
          <w:p w14:paraId="7EFC4FF9">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w:t>
            </w:r>
          </w:p>
        </w:tc>
        <w:tc>
          <w:tcPr>
            <w:tcW w:w="0" w:type="auto"/>
            <w:tcBorders>
              <w:tl2br w:val="nil"/>
              <w:tr2bl w:val="nil"/>
            </w:tcBorders>
            <w:vAlign w:val="center"/>
          </w:tcPr>
          <w:p w14:paraId="62B5202A">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97</w:t>
            </w:r>
          </w:p>
        </w:tc>
        <w:tc>
          <w:tcPr>
            <w:tcW w:w="0" w:type="auto"/>
            <w:tcBorders>
              <w:tl2br w:val="nil"/>
              <w:tr2bl w:val="nil"/>
            </w:tcBorders>
            <w:vAlign w:val="center"/>
          </w:tcPr>
          <w:p w14:paraId="55F6B97A">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36412EE6">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w:t>
            </w:r>
          </w:p>
        </w:tc>
        <w:tc>
          <w:tcPr>
            <w:tcW w:w="0" w:type="auto"/>
            <w:tcBorders>
              <w:tl2br w:val="nil"/>
              <w:tr2bl w:val="nil"/>
            </w:tcBorders>
            <w:vAlign w:val="center"/>
          </w:tcPr>
          <w:p w14:paraId="24F4D069">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3B66F816">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1487B3A6">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07360915">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21500672">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2CD36219">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97</w:t>
            </w:r>
          </w:p>
        </w:tc>
        <w:tc>
          <w:tcPr>
            <w:tcW w:w="0" w:type="auto"/>
            <w:tcBorders>
              <w:tl2br w:val="nil"/>
              <w:tr2bl w:val="nil"/>
            </w:tcBorders>
            <w:vAlign w:val="center"/>
          </w:tcPr>
          <w:p w14:paraId="56FF5B97">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r>
      <w:tr w14:paraId="06C6E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007B95B9">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土壤流失控制比</w:t>
            </w:r>
          </w:p>
        </w:tc>
        <w:tc>
          <w:tcPr>
            <w:tcW w:w="0" w:type="auto"/>
            <w:tcBorders>
              <w:tl2br w:val="nil"/>
              <w:tr2bl w:val="nil"/>
            </w:tcBorders>
            <w:vAlign w:val="center"/>
          </w:tcPr>
          <w:p w14:paraId="4451B3E1">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w:t>
            </w:r>
          </w:p>
        </w:tc>
        <w:tc>
          <w:tcPr>
            <w:tcW w:w="0" w:type="auto"/>
            <w:tcBorders>
              <w:tl2br w:val="nil"/>
              <w:tr2bl w:val="nil"/>
            </w:tcBorders>
            <w:vAlign w:val="center"/>
          </w:tcPr>
          <w:p w14:paraId="2C00F653">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0.85</w:t>
            </w:r>
          </w:p>
        </w:tc>
        <w:tc>
          <w:tcPr>
            <w:tcW w:w="0" w:type="auto"/>
            <w:tcBorders>
              <w:tl2br w:val="nil"/>
              <w:tr2bl w:val="nil"/>
            </w:tcBorders>
            <w:vAlign w:val="center"/>
          </w:tcPr>
          <w:p w14:paraId="5AF5C6D4">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04693546">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+0.15</w:t>
            </w:r>
          </w:p>
        </w:tc>
        <w:tc>
          <w:tcPr>
            <w:tcW w:w="0" w:type="auto"/>
            <w:tcBorders>
              <w:tl2br w:val="nil"/>
              <w:tr2bl w:val="nil"/>
            </w:tcBorders>
            <w:vAlign w:val="center"/>
          </w:tcPr>
          <w:p w14:paraId="0B85C759">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56ED2B26">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016BDC1D">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5A93BD2C">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622DDB70">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37EBC575">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1</w:t>
            </w:r>
          </w:p>
        </w:tc>
        <w:tc>
          <w:tcPr>
            <w:tcW w:w="0" w:type="auto"/>
            <w:tcBorders>
              <w:tl2br w:val="nil"/>
              <w:tr2bl w:val="nil"/>
            </w:tcBorders>
            <w:vAlign w:val="center"/>
          </w:tcPr>
          <w:p w14:paraId="5A8A3161">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项目区土壤侵蚀强度以轻度为主，土壤流失控制比提高0.15</w:t>
            </w:r>
          </w:p>
        </w:tc>
      </w:tr>
      <w:tr w14:paraId="7E67A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448DB09D">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渣土防护率(%)</w:t>
            </w:r>
          </w:p>
        </w:tc>
        <w:tc>
          <w:tcPr>
            <w:tcW w:w="0" w:type="auto"/>
            <w:tcBorders>
              <w:tl2br w:val="nil"/>
              <w:tr2bl w:val="nil"/>
            </w:tcBorders>
            <w:vAlign w:val="center"/>
          </w:tcPr>
          <w:p w14:paraId="25EDA10C">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90</w:t>
            </w:r>
          </w:p>
        </w:tc>
        <w:tc>
          <w:tcPr>
            <w:tcW w:w="0" w:type="auto"/>
            <w:tcBorders>
              <w:tl2br w:val="nil"/>
              <w:tr2bl w:val="nil"/>
            </w:tcBorders>
            <w:vAlign w:val="center"/>
          </w:tcPr>
          <w:p w14:paraId="39C82BE2">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92</w:t>
            </w:r>
          </w:p>
        </w:tc>
        <w:tc>
          <w:tcPr>
            <w:tcW w:w="0" w:type="auto"/>
            <w:tcBorders>
              <w:tl2br w:val="nil"/>
              <w:tr2bl w:val="nil"/>
            </w:tcBorders>
            <w:vAlign w:val="center"/>
          </w:tcPr>
          <w:p w14:paraId="50E99506">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0609E227">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7932FC0B">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7778B812">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32DC6ABE">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56E963DD">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014AF957">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90</w:t>
            </w:r>
          </w:p>
        </w:tc>
        <w:tc>
          <w:tcPr>
            <w:tcW w:w="0" w:type="auto"/>
            <w:tcBorders>
              <w:tl2br w:val="nil"/>
              <w:tr2bl w:val="nil"/>
            </w:tcBorders>
            <w:vAlign w:val="center"/>
          </w:tcPr>
          <w:p w14:paraId="322CE05F">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92</w:t>
            </w:r>
          </w:p>
        </w:tc>
        <w:tc>
          <w:tcPr>
            <w:tcW w:w="0" w:type="auto"/>
            <w:tcBorders>
              <w:tl2br w:val="nil"/>
              <w:tr2bl w:val="nil"/>
            </w:tcBorders>
            <w:vAlign w:val="center"/>
          </w:tcPr>
          <w:p w14:paraId="4F6DF87A">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r>
      <w:tr w14:paraId="632D9E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0" w:type="auto"/>
            <w:tcBorders>
              <w:tl2br w:val="nil"/>
              <w:tr2bl w:val="nil"/>
            </w:tcBorders>
            <w:vAlign w:val="center"/>
          </w:tcPr>
          <w:p w14:paraId="5F573D26">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表土保护率(%)</w:t>
            </w:r>
          </w:p>
        </w:tc>
        <w:tc>
          <w:tcPr>
            <w:tcW w:w="0" w:type="auto"/>
            <w:tcBorders>
              <w:tl2br w:val="nil"/>
              <w:tr2bl w:val="nil"/>
            </w:tcBorders>
            <w:vAlign w:val="center"/>
          </w:tcPr>
          <w:p w14:paraId="1BCB8B9E">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92</w:t>
            </w:r>
          </w:p>
        </w:tc>
        <w:tc>
          <w:tcPr>
            <w:tcW w:w="0" w:type="auto"/>
            <w:tcBorders>
              <w:tl2br w:val="nil"/>
              <w:tr2bl w:val="nil"/>
            </w:tcBorders>
            <w:vAlign w:val="center"/>
          </w:tcPr>
          <w:p w14:paraId="505541DD">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92</w:t>
            </w:r>
          </w:p>
        </w:tc>
        <w:tc>
          <w:tcPr>
            <w:tcW w:w="0" w:type="auto"/>
            <w:tcBorders>
              <w:tl2br w:val="nil"/>
              <w:tr2bl w:val="nil"/>
            </w:tcBorders>
            <w:vAlign w:val="center"/>
          </w:tcPr>
          <w:p w14:paraId="27A82448">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7CCBE651">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4AAADA64">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5F7B825A">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5C501800">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3E33D98C">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1E8D38C8">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92</w:t>
            </w:r>
          </w:p>
        </w:tc>
        <w:tc>
          <w:tcPr>
            <w:tcW w:w="0" w:type="auto"/>
            <w:tcBorders>
              <w:tl2br w:val="nil"/>
              <w:tr2bl w:val="nil"/>
            </w:tcBorders>
            <w:vAlign w:val="center"/>
          </w:tcPr>
          <w:p w14:paraId="447C04C3">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92</w:t>
            </w:r>
          </w:p>
        </w:tc>
        <w:tc>
          <w:tcPr>
            <w:tcW w:w="0" w:type="auto"/>
            <w:tcBorders>
              <w:tl2br w:val="nil"/>
              <w:tr2bl w:val="nil"/>
            </w:tcBorders>
            <w:vAlign w:val="center"/>
          </w:tcPr>
          <w:p w14:paraId="73FE733B">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r>
      <w:tr w14:paraId="01F625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74BDF401">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林草植被恢复率(%)</w:t>
            </w:r>
          </w:p>
        </w:tc>
        <w:tc>
          <w:tcPr>
            <w:tcW w:w="0" w:type="auto"/>
            <w:tcBorders>
              <w:tl2br w:val="nil"/>
              <w:tr2bl w:val="nil"/>
            </w:tcBorders>
            <w:vAlign w:val="center"/>
          </w:tcPr>
          <w:p w14:paraId="60ED8AB2">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w:t>
            </w:r>
          </w:p>
        </w:tc>
        <w:tc>
          <w:tcPr>
            <w:tcW w:w="0" w:type="auto"/>
            <w:tcBorders>
              <w:tl2br w:val="nil"/>
              <w:tr2bl w:val="nil"/>
            </w:tcBorders>
            <w:vAlign w:val="center"/>
          </w:tcPr>
          <w:p w14:paraId="47491F24">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97</w:t>
            </w:r>
          </w:p>
        </w:tc>
        <w:tc>
          <w:tcPr>
            <w:tcW w:w="0" w:type="auto"/>
            <w:tcBorders>
              <w:tl2br w:val="nil"/>
              <w:tr2bl w:val="nil"/>
            </w:tcBorders>
            <w:vAlign w:val="center"/>
          </w:tcPr>
          <w:p w14:paraId="0B8F702D">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0EDAA331">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1B1C72F4">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7FA6A3CB">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18FBB87A">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75410F54">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0AFE2BDF">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41E65334">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97</w:t>
            </w:r>
          </w:p>
        </w:tc>
        <w:tc>
          <w:tcPr>
            <w:tcW w:w="0" w:type="auto"/>
            <w:tcBorders>
              <w:tl2br w:val="nil"/>
              <w:tr2bl w:val="nil"/>
            </w:tcBorders>
            <w:vAlign w:val="center"/>
          </w:tcPr>
          <w:p w14:paraId="14314399">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r>
      <w:tr w14:paraId="47394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4BBD4CB5">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林草覆盖率(%)</w:t>
            </w:r>
          </w:p>
        </w:tc>
        <w:tc>
          <w:tcPr>
            <w:tcW w:w="0" w:type="auto"/>
            <w:tcBorders>
              <w:tl2br w:val="nil"/>
              <w:tr2bl w:val="nil"/>
            </w:tcBorders>
            <w:vAlign w:val="center"/>
          </w:tcPr>
          <w:p w14:paraId="122304D9">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w:t>
            </w:r>
          </w:p>
        </w:tc>
        <w:tc>
          <w:tcPr>
            <w:tcW w:w="0" w:type="auto"/>
            <w:tcBorders>
              <w:tl2br w:val="nil"/>
              <w:tr2bl w:val="nil"/>
            </w:tcBorders>
            <w:vAlign w:val="center"/>
          </w:tcPr>
          <w:p w14:paraId="4DE51E2E">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23</w:t>
            </w:r>
          </w:p>
        </w:tc>
        <w:tc>
          <w:tcPr>
            <w:tcW w:w="0" w:type="auto"/>
            <w:tcBorders>
              <w:tl2br w:val="nil"/>
              <w:tr2bl w:val="nil"/>
            </w:tcBorders>
            <w:vAlign w:val="center"/>
          </w:tcPr>
          <w:p w14:paraId="34A1224A">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69633157">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3775617B">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16E466BF">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14915DB1">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31F617D1">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+2</w:t>
            </w:r>
          </w:p>
        </w:tc>
        <w:tc>
          <w:tcPr>
            <w:tcW w:w="0" w:type="auto"/>
            <w:tcBorders>
              <w:tl2br w:val="nil"/>
              <w:tr2bl w:val="nil"/>
            </w:tcBorders>
            <w:vAlign w:val="center"/>
          </w:tcPr>
          <w:p w14:paraId="3393D7C7">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14:paraId="00FF6DFE">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25</w:t>
            </w:r>
          </w:p>
        </w:tc>
        <w:tc>
          <w:tcPr>
            <w:tcW w:w="0" w:type="auto"/>
            <w:tcBorders>
              <w:tl2br w:val="nil"/>
              <w:tr2bl w:val="nil"/>
            </w:tcBorders>
            <w:vAlign w:val="center"/>
          </w:tcPr>
          <w:p w14:paraId="6D812951">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位于嘉陵江及沱江中下游国家级水土流失重点治理区，林草覆盖率提高2%</w:t>
            </w:r>
          </w:p>
        </w:tc>
      </w:tr>
    </w:tbl>
    <w:p w14:paraId="69B499AC">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val="en-US" w:eastAsia="zh-CN"/>
        </w:rPr>
        <w:sectPr>
          <w:headerReference r:id="rId22" w:type="default"/>
          <w:footerReference r:id="rId23" w:type="default"/>
          <w:pgSz w:w="16838" w:h="11906" w:orient="landscape"/>
          <w:pgMar w:top="1514" w:right="1327" w:bottom="1514" w:left="1327" w:header="851" w:footer="992" w:gutter="0"/>
          <w:pgBorders>
            <w:top w:val="none" w:sz="0" w:space="0"/>
            <w:left w:val="none" w:sz="0" w:space="0"/>
            <w:bottom w:val="none" w:sz="0" w:space="0"/>
            <w:right w:val="none" w:sz="0" w:space="0"/>
          </w:pgBorders>
          <w:pgNumType w:fmt="decimal"/>
          <w:cols w:space="720" w:num="1"/>
          <w:docGrid w:linePitch="312" w:charSpace="0"/>
        </w:sectPr>
      </w:pPr>
    </w:p>
    <w:p w14:paraId="0321CBF5">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val="en-US" w:eastAsia="zh-CN"/>
        </w:rPr>
      </w:pPr>
      <w:bookmarkStart w:id="60" w:name="_Toc5151"/>
      <w:r>
        <w:rPr>
          <w:rFonts w:hint="default" w:ascii="Times New Roman" w:hAnsi="Times New Roman" w:eastAsia="仿宋_GB2312" w:cs="Times New Roman"/>
          <w:b/>
          <w:bCs/>
          <w:color w:val="auto"/>
          <w:szCs w:val="24"/>
          <w:lang w:val="en-US" w:eastAsia="zh-CN"/>
        </w:rPr>
        <w:t>1.6项目水土保持评价结论</w:t>
      </w:r>
      <w:bookmarkEnd w:id="60"/>
    </w:p>
    <w:p w14:paraId="22D9B75D">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lang w:eastAsia="zh-CN"/>
        </w:rPr>
        <w:t>本项目</w:t>
      </w:r>
      <w:r>
        <w:rPr>
          <w:rFonts w:hint="default" w:ascii="Times New Roman" w:hAnsi="Times New Roman" w:eastAsia="仿宋_GB2312" w:cs="Times New Roman"/>
          <w:bCs/>
          <w:color w:val="auto"/>
          <w:kern w:val="0"/>
          <w:sz w:val="24"/>
          <w:szCs w:val="24"/>
          <w:lang w:val="zh-CN"/>
        </w:rPr>
        <w:t>无法避让</w:t>
      </w:r>
      <w:r>
        <w:rPr>
          <w:rFonts w:hint="default" w:ascii="Times New Roman" w:hAnsi="Times New Roman" w:eastAsia="仿宋_GB2312" w:cs="Times New Roman"/>
          <w:bCs/>
          <w:color w:val="auto"/>
          <w:kern w:val="0"/>
          <w:sz w:val="24"/>
          <w:szCs w:val="24"/>
          <w:lang w:val="zh-CN" w:eastAsia="zh-CN"/>
        </w:rPr>
        <w:t>国家</w:t>
      </w:r>
      <w:r>
        <w:rPr>
          <w:rFonts w:hint="default" w:ascii="Times New Roman" w:hAnsi="Times New Roman" w:eastAsia="仿宋_GB2312" w:cs="Times New Roman"/>
          <w:bCs/>
          <w:color w:val="auto"/>
          <w:kern w:val="0"/>
          <w:sz w:val="24"/>
          <w:szCs w:val="24"/>
          <w:lang w:val="zh-CN"/>
        </w:rPr>
        <w:t>级水土流失重点治理区</w:t>
      </w:r>
      <w:r>
        <w:rPr>
          <w:rFonts w:hint="default" w:ascii="Times New Roman" w:hAnsi="Times New Roman" w:eastAsia="仿宋_GB2312" w:cs="Times New Roman"/>
          <w:bCs/>
          <w:color w:val="auto"/>
          <w:kern w:val="0"/>
          <w:sz w:val="24"/>
          <w:szCs w:val="24"/>
          <w:lang w:eastAsia="zh-CN"/>
        </w:rPr>
        <w:t>，</w:t>
      </w:r>
      <w:r>
        <w:rPr>
          <w:rFonts w:hint="default" w:ascii="Times New Roman" w:hAnsi="Times New Roman" w:eastAsia="仿宋_GB2312" w:cs="Times New Roman"/>
          <w:color w:val="auto"/>
          <w:kern w:val="0"/>
          <w:sz w:val="24"/>
          <w:szCs w:val="24"/>
          <w:lang w:val="en-US" w:eastAsia="zh-CN" w:bidi="ar"/>
        </w:rPr>
        <w:t xml:space="preserve">因此存在一定的制约性因素。通过优化施工工艺，减少地表扰动和植被损坏范围，在有效控制可能造成的水土流失的前提下，工程建设不存在重大水土保持制约性因素，项目可行。 </w:t>
      </w:r>
    </w:p>
    <w:p w14:paraId="7E2653F7">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lang w:val="en-US" w:eastAsia="zh-CN" w:bidi="ar"/>
        </w:rPr>
        <w:t xml:space="preserve">1、工程选址无重大水土保持限制性因素。 </w:t>
      </w:r>
    </w:p>
    <w:p w14:paraId="795C422F">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lang w:val="en-US" w:eastAsia="zh-CN" w:bidi="ar"/>
        </w:rPr>
        <w:t xml:space="preserve">2、主体工程施工总布置符合水土保持的要求。 </w:t>
      </w:r>
    </w:p>
    <w:p w14:paraId="4232879B">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3、</w:t>
      </w:r>
      <w:r>
        <w:rPr>
          <w:rFonts w:hint="default" w:ascii="Times New Roman" w:hAnsi="Times New Roman" w:eastAsia="仿宋_GB2312" w:cs="Times New Roman"/>
          <w:b w:val="0"/>
          <w:bCs w:val="0"/>
          <w:color w:val="auto"/>
          <w:kern w:val="0"/>
          <w:sz w:val="24"/>
          <w:szCs w:val="24"/>
          <w:lang w:val="en-US" w:eastAsia="zh-CN" w:bidi="ar"/>
        </w:rPr>
        <w:t>主体工程占地数量、占地性质、占地类型和占地可恢复性等方面基本符合水土保持要求。</w:t>
      </w:r>
    </w:p>
    <w:p w14:paraId="7853367A">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仿宋_GB2312" w:cs="Times New Roman"/>
          <w:color w:val="auto"/>
          <w:sz w:val="24"/>
          <w:lang w:eastAsia="zh-CN" w:bidi="ar"/>
        </w:rPr>
      </w:pPr>
      <w:r>
        <w:rPr>
          <w:rFonts w:hint="default" w:ascii="Times New Roman" w:hAnsi="Times New Roman" w:eastAsia="仿宋_GB2312" w:cs="Times New Roman"/>
          <w:b w:val="0"/>
          <w:bCs w:val="0"/>
          <w:color w:val="auto"/>
          <w:kern w:val="0"/>
          <w:sz w:val="24"/>
          <w:szCs w:val="24"/>
          <w:lang w:val="en-US" w:eastAsia="zh-CN" w:bidi="ar"/>
        </w:rPr>
        <w:t>4、</w:t>
      </w:r>
      <w:r>
        <w:rPr>
          <w:rFonts w:hint="default" w:ascii="Times New Roman" w:hAnsi="Times New Roman" w:eastAsia="仿宋_GB2312" w:cs="Times New Roman"/>
          <w:color w:val="auto"/>
          <w:sz w:val="24"/>
          <w:lang w:eastAsia="zh-CN" w:bidi="ar"/>
        </w:rPr>
        <w:t>项目区土石方回填主要来源于前期</w:t>
      </w:r>
      <w:r>
        <w:rPr>
          <w:rFonts w:hint="default" w:ascii="Times New Roman" w:hAnsi="Times New Roman" w:eastAsia="仿宋_GB2312" w:cs="Times New Roman"/>
          <w:color w:val="auto"/>
          <w:sz w:val="24"/>
          <w:lang w:val="en-US" w:eastAsia="zh-CN" w:bidi="ar"/>
        </w:rPr>
        <w:t>表土剥离</w:t>
      </w:r>
      <w:r>
        <w:rPr>
          <w:rFonts w:hint="default" w:ascii="Times New Roman" w:hAnsi="Times New Roman" w:eastAsia="仿宋_GB2312" w:cs="Times New Roman"/>
          <w:color w:val="auto"/>
          <w:sz w:val="24"/>
          <w:lang w:eastAsia="zh-CN" w:bidi="ar"/>
        </w:rPr>
        <w:t>及基础开挖，尽量减少了土地扰动，符合水土保持要求。</w:t>
      </w:r>
    </w:p>
    <w:p w14:paraId="45F79A0A">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val="en-US" w:eastAsia="zh-CN" w:bidi="ar"/>
        </w:rPr>
        <w:t>5、本项目无取、弃土场。</w:t>
      </w:r>
    </w:p>
    <w:p w14:paraId="6379AEB9">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sz w:val="24"/>
          <w:lang w:val="en-US" w:eastAsia="zh-CN" w:bidi="ar"/>
        </w:rPr>
        <w:t>6、</w:t>
      </w:r>
      <w:r>
        <w:rPr>
          <w:rFonts w:hint="default" w:ascii="Times New Roman" w:hAnsi="Times New Roman" w:eastAsia="仿宋_GB2312" w:cs="Times New Roman"/>
          <w:color w:val="auto"/>
          <w:kern w:val="0"/>
          <w:sz w:val="24"/>
          <w:szCs w:val="24"/>
          <w:lang w:val="en-US" w:eastAsia="zh-CN" w:bidi="ar"/>
        </w:rPr>
        <w:t>主体工程施工组织设计中提出的施工用水、用电方案是可行的，满足施工要求；建筑材料采购方式基本合理。施工时已根据各项目分区具体的工程措施合理安排各施工工序，减少或避免了各工序间的相互干扰。</w:t>
      </w:r>
    </w:p>
    <w:p w14:paraId="7953DC75">
      <w:pPr>
        <w:keepNext w:val="0"/>
        <w:keepLines w:val="0"/>
        <w:widowControl/>
        <w:suppressLineNumbers w:val="0"/>
        <w:spacing w:line="360" w:lineRule="auto"/>
        <w:ind w:firstLine="480" w:firstLineChars="200"/>
        <w:jc w:val="left"/>
        <w:rPr>
          <w:rFonts w:hint="default" w:ascii="Times New Roman" w:hAnsi="Times New Roman" w:eastAsia="仿宋_GB2312" w:cs="Times New Roman"/>
          <w:b/>
          <w:bCs/>
          <w:color w:val="auto"/>
          <w:sz w:val="24"/>
          <w:szCs w:val="24"/>
          <w:lang w:val="en-US"/>
        </w:rPr>
      </w:pPr>
      <w:r>
        <w:rPr>
          <w:rFonts w:hint="default" w:ascii="Times New Roman" w:hAnsi="Times New Roman" w:eastAsia="仿宋_GB2312" w:cs="Times New Roman"/>
          <w:color w:val="auto"/>
          <w:kern w:val="0"/>
          <w:sz w:val="24"/>
          <w:szCs w:val="24"/>
          <w:lang w:val="en-US" w:eastAsia="zh-CN" w:bidi="ar"/>
        </w:rPr>
        <w:t>7、本项目的</w:t>
      </w:r>
      <w:r>
        <w:rPr>
          <w:rFonts w:hint="default" w:ascii="Times New Roman" w:hAnsi="Times New Roman" w:eastAsia="仿宋_GB2312" w:cs="Times New Roman"/>
          <w:color w:val="auto"/>
          <w:sz w:val="24"/>
          <w:highlight w:val="none"/>
          <w:lang w:val="en-US" w:eastAsia="zh-CN" w:bidi="ar"/>
        </w:rPr>
        <w:t>水土保持措施有</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硬化工程：表土剥离、排水管、雨水井、雨水口；绿化工程：表土剥离、表土回覆、撒播草籽</w:t>
      </w:r>
      <w:r>
        <w:rPr>
          <w:rFonts w:hint="default" w:ascii="Times New Roman" w:hAnsi="Times New Roman" w:eastAsia="仿宋_GB2312" w:cs="Times New Roman"/>
          <w:color w:val="auto"/>
          <w:sz w:val="24"/>
          <w:szCs w:val="24"/>
          <w:lang w:eastAsia="zh-CN"/>
        </w:rPr>
        <w:t>。水土保持措施布设合理，基本符合水土保持要求。</w:t>
      </w:r>
    </w:p>
    <w:p w14:paraId="07CB7255">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val="en-US" w:eastAsia="ar"/>
        </w:rPr>
      </w:pPr>
      <w:bookmarkStart w:id="61" w:name="_Toc22877"/>
      <w:r>
        <w:rPr>
          <w:rFonts w:hint="default" w:ascii="Times New Roman" w:hAnsi="Times New Roman" w:eastAsia="仿宋_GB2312" w:cs="Times New Roman"/>
          <w:b/>
          <w:bCs/>
          <w:color w:val="auto"/>
          <w:szCs w:val="24"/>
          <w:lang w:val="en-US" w:eastAsia="zh-CN"/>
        </w:rPr>
        <w:t>1.7 水土流失</w:t>
      </w:r>
      <w:r>
        <w:rPr>
          <w:rFonts w:hint="default" w:ascii="Times New Roman" w:hAnsi="Times New Roman" w:cs="Times New Roman"/>
          <w:b/>
          <w:bCs/>
          <w:color w:val="auto"/>
          <w:szCs w:val="24"/>
          <w:lang w:val="en-US" w:eastAsia="zh-CN"/>
        </w:rPr>
        <w:t>调查</w:t>
      </w:r>
      <w:r>
        <w:rPr>
          <w:rFonts w:hint="default" w:ascii="Times New Roman" w:hAnsi="Times New Roman" w:eastAsia="仿宋_GB2312" w:cs="Times New Roman"/>
          <w:b/>
          <w:bCs/>
          <w:color w:val="auto"/>
          <w:szCs w:val="24"/>
          <w:lang w:val="en-US" w:eastAsia="zh-CN"/>
        </w:rPr>
        <w:t>结果</w:t>
      </w:r>
      <w:bookmarkEnd w:id="61"/>
      <w:r>
        <w:rPr>
          <w:rFonts w:hint="default" w:ascii="Times New Roman" w:hAnsi="Times New Roman" w:eastAsia="仿宋_GB2312" w:cs="Times New Roman"/>
          <w:b/>
          <w:bCs/>
          <w:color w:val="auto"/>
          <w:szCs w:val="24"/>
          <w:lang w:val="en-US" w:eastAsia="zh-CN"/>
        </w:rPr>
        <w:t xml:space="preserve"> </w:t>
      </w:r>
    </w:p>
    <w:p w14:paraId="0A95CBD9">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sz w:val="24"/>
          <w:highlight w:val="none"/>
          <w:lang w:val="en-US" w:eastAsia="zh-CN" w:bidi="ar"/>
        </w:rPr>
      </w:pPr>
      <w:r>
        <w:rPr>
          <w:rFonts w:hint="default" w:ascii="Times New Roman" w:hAnsi="Times New Roman" w:eastAsia="仿宋_GB2312" w:cs="Times New Roman"/>
          <w:color w:val="auto"/>
          <w:sz w:val="24"/>
          <w:highlight w:val="none"/>
          <w:lang w:val="en-US" w:eastAsia="zh-CN" w:bidi="ar"/>
        </w:rPr>
        <w:t>1、本项目从开工建设到自然恢复期结束，产生的土壤流失总量为14.52t，新增土壤流失量为8.27t。</w:t>
      </w:r>
    </w:p>
    <w:p w14:paraId="373447B3">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sz w:val="24"/>
          <w:highlight w:val="none"/>
          <w:lang w:val="zh-CN" w:eastAsia="zh-CN" w:bidi="ar"/>
        </w:rPr>
      </w:pPr>
      <w:r>
        <w:rPr>
          <w:rFonts w:hint="default" w:ascii="Times New Roman" w:hAnsi="Times New Roman" w:eastAsia="仿宋_GB2312" w:cs="Times New Roman"/>
          <w:color w:val="auto"/>
          <w:sz w:val="24"/>
          <w:highlight w:val="none"/>
          <w:lang w:val="en-US" w:eastAsia="zh-CN" w:bidi="ar"/>
        </w:rPr>
        <w:t>2</w:t>
      </w:r>
      <w:r>
        <w:rPr>
          <w:rFonts w:hint="default" w:ascii="Times New Roman" w:hAnsi="Times New Roman" w:eastAsia="仿宋_GB2312" w:cs="Times New Roman"/>
          <w:color w:val="auto"/>
          <w:sz w:val="24"/>
          <w:highlight w:val="none"/>
          <w:lang w:val="zh-CN" w:eastAsia="zh-CN" w:bidi="ar"/>
        </w:rPr>
        <w:t>、</w:t>
      </w:r>
      <w:r>
        <w:rPr>
          <w:rFonts w:hint="default" w:ascii="Times New Roman" w:hAnsi="Times New Roman" w:eastAsia="仿宋_GB2312" w:cs="Times New Roman"/>
          <w:color w:val="auto"/>
          <w:sz w:val="24"/>
          <w:highlight w:val="none"/>
          <w:lang w:val="en-US" w:eastAsia="zh-CN" w:bidi="ar"/>
        </w:rPr>
        <w:t>本项目产生水土流失重点部位为绿化工程单元。</w:t>
      </w:r>
    </w:p>
    <w:p w14:paraId="7BAE1919">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sz w:val="24"/>
          <w:highlight w:val="none"/>
          <w:lang w:val="en-US" w:eastAsia="zh-CN" w:bidi="ar"/>
        </w:rPr>
      </w:pPr>
      <w:r>
        <w:rPr>
          <w:rFonts w:hint="default" w:ascii="Times New Roman" w:hAnsi="Times New Roman" w:eastAsia="仿宋_GB2312" w:cs="Times New Roman"/>
          <w:color w:val="auto"/>
          <w:sz w:val="24"/>
          <w:highlight w:val="none"/>
          <w:lang w:val="en-US" w:eastAsia="zh-CN" w:bidi="ar"/>
        </w:rPr>
        <w:t>3、水土流失主要危害：本项目建设生产过程中，工程占地区内的地表将遭受不同程度的扰动、破坏，局部地貌将发生较大的改变，如果不采取有效的措施，建设和运行过程中产生的水土流失（尤其是土石方处置不当）进入项目区下游沟道，易造成泥沙淤积，影响防洪安全。</w:t>
      </w:r>
    </w:p>
    <w:p w14:paraId="6AB29F9C">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eastAsia="ar"/>
        </w:rPr>
      </w:pPr>
      <w:bookmarkStart w:id="62" w:name="_Toc3315"/>
      <w:r>
        <w:rPr>
          <w:rFonts w:hint="default" w:ascii="Times New Roman" w:hAnsi="Times New Roman" w:eastAsia="仿宋_GB2312" w:cs="Times New Roman"/>
          <w:b/>
          <w:bCs/>
          <w:color w:val="auto"/>
          <w:szCs w:val="24"/>
          <w:lang w:val="en-US" w:eastAsia="zh-CN"/>
        </w:rPr>
        <w:t>1.8 水土保持措施布设成果</w:t>
      </w:r>
      <w:bookmarkEnd w:id="62"/>
      <w:r>
        <w:rPr>
          <w:rFonts w:hint="default" w:ascii="Times New Roman" w:hAnsi="Times New Roman" w:eastAsia="仿宋_GB2312" w:cs="Times New Roman"/>
          <w:b/>
          <w:bCs/>
          <w:color w:val="auto"/>
          <w:szCs w:val="24"/>
          <w:lang w:val="en-US" w:eastAsia="zh-CN"/>
        </w:rPr>
        <w:t xml:space="preserve"> </w:t>
      </w:r>
    </w:p>
    <w:p w14:paraId="7C71E3B9">
      <w:pPr>
        <w:pStyle w:val="35"/>
        <w:spacing w:line="360" w:lineRule="auto"/>
        <w:ind w:left="0" w:leftChars="0" w:firstLine="480" w:firstLineChars="200"/>
        <w:jc w:val="left"/>
        <w:outlineLvl w:val="9"/>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lang w:val="en-US" w:eastAsia="zh-CN"/>
        </w:rPr>
        <w:t>本项目已于2022年7月开工，2023年8月完工。</w:t>
      </w:r>
      <w:r>
        <w:rPr>
          <w:rFonts w:hint="default" w:ascii="Times New Roman" w:hAnsi="Times New Roman" w:eastAsia="仿宋_GB2312" w:cs="Times New Roman"/>
          <w:color w:val="auto"/>
          <w:sz w:val="24"/>
          <w:szCs w:val="24"/>
          <w:highlight w:val="none"/>
          <w:lang w:val="en-US" w:eastAsia="zh-CN"/>
        </w:rPr>
        <w:t>主体工程实施的水土保持措施较为完善且已完工，不再新增水土保持措施。</w:t>
      </w:r>
    </w:p>
    <w:p w14:paraId="624EA46F">
      <w:pPr>
        <w:adjustRightInd w:val="0"/>
        <w:snapToGrid w:val="0"/>
        <w:spacing w:line="360" w:lineRule="auto"/>
        <w:ind w:firstLine="480" w:firstLineChars="200"/>
        <w:outlineLvl w:val="9"/>
        <w:rPr>
          <w:rFonts w:hint="default" w:ascii="Times New Roman" w:hAnsi="Times New Roman" w:eastAsia="仿宋_GB2312" w:cs="Times New Roman"/>
          <w:snapToGrid w:val="0"/>
          <w:color w:val="auto"/>
          <w:sz w:val="24"/>
          <w:szCs w:val="24"/>
          <w:lang w:val="en-US" w:eastAsia="zh-CN"/>
        </w:rPr>
      </w:pPr>
      <w:r>
        <w:rPr>
          <w:rFonts w:hint="default" w:ascii="Times New Roman" w:hAnsi="Times New Roman" w:eastAsia="仿宋_GB2312" w:cs="Times New Roman"/>
          <w:color w:val="auto"/>
          <w:sz w:val="24"/>
          <w:szCs w:val="24"/>
        </w:rPr>
        <w:t>根据项目组成及施工特点，水土流失防治分区分为</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kern w:val="0"/>
          <w:sz w:val="24"/>
          <w:szCs w:val="22"/>
          <w:lang w:eastAsia="zh-CN"/>
        </w:rPr>
        <w:t>建构筑物</w:t>
      </w:r>
      <w:r>
        <w:rPr>
          <w:rFonts w:hint="default" w:ascii="Times New Roman" w:hAnsi="Times New Roman" w:eastAsia="仿宋_GB2312" w:cs="Times New Roman"/>
          <w:kern w:val="0"/>
          <w:sz w:val="24"/>
          <w:szCs w:val="22"/>
        </w:rPr>
        <w:t>工程</w:t>
      </w:r>
      <w:r>
        <w:rPr>
          <w:rFonts w:hint="default" w:ascii="Times New Roman" w:hAnsi="Times New Roman" w:eastAsia="仿宋_GB2312" w:cs="Times New Roman"/>
          <w:kern w:val="0"/>
          <w:sz w:val="24"/>
          <w:szCs w:val="22"/>
          <w:lang w:eastAsia="zh-CN"/>
        </w:rPr>
        <w:t>区、硬化工程区、绿化工程区</w:t>
      </w:r>
      <w:r>
        <w:rPr>
          <w:rFonts w:hint="default" w:ascii="Times New Roman" w:hAnsi="Times New Roman" w:eastAsia="仿宋_GB2312" w:cs="Times New Roman"/>
          <w:snapToGrid w:val="0"/>
          <w:color w:val="auto"/>
          <w:sz w:val="24"/>
          <w:szCs w:val="24"/>
          <w:lang w:val="en-US" w:eastAsia="zh-CN"/>
        </w:rPr>
        <w:t>。</w:t>
      </w:r>
    </w:p>
    <w:p w14:paraId="715E19B9">
      <w:pPr>
        <w:numPr>
          <w:ilvl w:val="0"/>
          <w:numId w:val="0"/>
        </w:numPr>
        <w:adjustRightInd w:val="0"/>
        <w:snapToGrid w:val="0"/>
        <w:spacing w:line="360" w:lineRule="auto"/>
        <w:ind w:leftChars="200"/>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1、建构筑物工程区</w:t>
      </w:r>
    </w:p>
    <w:p w14:paraId="268044B3">
      <w:pPr>
        <w:numPr>
          <w:ilvl w:val="0"/>
          <w:numId w:val="0"/>
        </w:numPr>
        <w:adjustRightInd w:val="0"/>
        <w:snapToGrid w:val="0"/>
        <w:spacing w:line="360" w:lineRule="auto"/>
        <w:ind w:leftChars="200"/>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该区域未实施水土保持措施。</w:t>
      </w:r>
    </w:p>
    <w:p w14:paraId="1C5EA01B">
      <w:pPr>
        <w:numPr>
          <w:ilvl w:val="0"/>
          <w:numId w:val="0"/>
        </w:numPr>
        <w:adjustRightInd w:val="0"/>
        <w:snapToGrid w:val="0"/>
        <w:spacing w:line="360" w:lineRule="auto"/>
        <w:ind w:leftChars="200"/>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2、硬化工程区</w:t>
      </w:r>
    </w:p>
    <w:p w14:paraId="6413C57F">
      <w:pPr>
        <w:numPr>
          <w:ilvl w:val="0"/>
          <w:numId w:val="0"/>
        </w:numPr>
        <w:adjustRightInd w:val="0"/>
        <w:snapToGrid w:val="0"/>
        <w:spacing w:line="360" w:lineRule="auto"/>
        <w:ind w:firstLine="480" w:firstLineChars="200"/>
        <w:outlineLvl w:val="9"/>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sz w:val="24"/>
          <w:lang w:val="en-US" w:eastAsia="zh-CN" w:bidi="ar"/>
        </w:rPr>
        <w:t>建设前期，对该区域所占0.02</w:t>
      </w:r>
      <w:r>
        <w:rPr>
          <w:rFonts w:hint="default" w:ascii="Times New Roman" w:hAnsi="Times New Roman" w:eastAsia="仿宋_GB2312" w:cs="Times New Roman"/>
          <w:color w:val="auto"/>
          <w:sz w:val="24"/>
          <w:szCs w:val="24"/>
          <w:lang w:val="en-US" w:eastAsia="zh-CN"/>
        </w:rPr>
        <w:t>hm</w:t>
      </w:r>
      <w:r>
        <w:rPr>
          <w:rFonts w:hint="default" w:ascii="Times New Roman" w:hAnsi="Times New Roman" w:eastAsia="仿宋_GB2312" w:cs="Times New Roman"/>
          <w:color w:val="auto"/>
          <w:sz w:val="24"/>
          <w:szCs w:val="24"/>
          <w:vertAlign w:val="superscript"/>
          <w:lang w:val="en-US" w:eastAsia="zh-CN"/>
        </w:rPr>
        <w:t>2</w:t>
      </w:r>
      <w:r>
        <w:rPr>
          <w:rFonts w:hint="default" w:ascii="Times New Roman" w:hAnsi="Times New Roman" w:eastAsia="仿宋_GB2312" w:cs="Times New Roman"/>
          <w:color w:val="auto"/>
          <w:sz w:val="24"/>
          <w:lang w:val="en-US" w:eastAsia="zh-CN" w:bidi="ar"/>
        </w:rPr>
        <w:t>林地进行表土剥离</w:t>
      </w:r>
      <w:r>
        <w:rPr>
          <w:rFonts w:hint="default" w:ascii="Times New Roman" w:hAnsi="Times New Roman" w:eastAsia="仿宋_GB2312" w:cs="Times New Roman"/>
          <w:color w:val="auto"/>
          <w:kern w:val="0"/>
          <w:sz w:val="24"/>
          <w:szCs w:val="24"/>
          <w:lang w:val="en-US" w:eastAsia="zh-CN" w:bidi="ar"/>
        </w:rPr>
        <w:t>，剥离厚度为0.20m；建设期间，</w:t>
      </w:r>
      <w:r>
        <w:rPr>
          <w:rFonts w:hint="default" w:ascii="Times New Roman" w:hAnsi="Times New Roman" w:eastAsia="仿宋_GB2312" w:cs="Times New Roman"/>
          <w:color w:val="auto"/>
          <w:sz w:val="24"/>
          <w:lang w:val="en-US" w:eastAsia="zh-CN" w:bidi="ar"/>
        </w:rPr>
        <w:t>在硬化工程区设置DN300排水管、雨水井、雨水口。</w:t>
      </w:r>
    </w:p>
    <w:p w14:paraId="0BA9ADCC">
      <w:pPr>
        <w:numPr>
          <w:ilvl w:val="0"/>
          <w:numId w:val="0"/>
        </w:numPr>
        <w:adjustRightInd w:val="0"/>
        <w:snapToGrid w:val="0"/>
        <w:spacing w:line="360" w:lineRule="auto"/>
        <w:ind w:firstLine="480" w:firstLineChars="200"/>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工程措施（已实施）：表土剥离0.01万m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color w:val="auto"/>
          <w:sz w:val="24"/>
          <w:szCs w:val="24"/>
          <w:lang w:val="en-US" w:eastAsia="zh-CN"/>
        </w:rPr>
        <w:t>/0.02hm</w:t>
      </w:r>
      <w:r>
        <w:rPr>
          <w:rFonts w:hint="default" w:ascii="Times New Roman" w:hAnsi="Times New Roman" w:eastAsia="仿宋_GB2312" w:cs="Times New Roman"/>
          <w:color w:val="auto"/>
          <w:sz w:val="24"/>
          <w:szCs w:val="24"/>
          <w:vertAlign w:val="superscript"/>
          <w:lang w:val="en-US" w:eastAsia="zh-CN"/>
        </w:rPr>
        <w:t>2</w:t>
      </w:r>
      <w:r>
        <w:rPr>
          <w:rFonts w:hint="default"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lang w:val="en-US" w:eastAsia="zh-CN" w:bidi="ar"/>
        </w:rPr>
        <w:t>排水管720m、雨水井20座、雨水口15座</w:t>
      </w:r>
      <w:r>
        <w:rPr>
          <w:rFonts w:hint="default" w:ascii="Times New Roman" w:hAnsi="Times New Roman" w:eastAsia="仿宋_GB2312" w:cs="Times New Roman"/>
          <w:color w:val="auto"/>
          <w:sz w:val="24"/>
          <w:szCs w:val="24"/>
          <w:lang w:val="en-US" w:eastAsia="zh-CN"/>
        </w:rPr>
        <w:t>。</w:t>
      </w:r>
    </w:p>
    <w:p w14:paraId="5B7D3234">
      <w:pPr>
        <w:numPr>
          <w:ilvl w:val="0"/>
          <w:numId w:val="0"/>
        </w:numPr>
        <w:adjustRightInd w:val="0"/>
        <w:snapToGrid w:val="0"/>
        <w:spacing w:line="360" w:lineRule="auto"/>
        <w:ind w:leftChars="200"/>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3、绿化工程区</w:t>
      </w:r>
    </w:p>
    <w:p w14:paraId="676FC2F9">
      <w:pPr>
        <w:numPr>
          <w:ilvl w:val="0"/>
          <w:numId w:val="0"/>
        </w:numPr>
        <w:adjustRightInd w:val="0"/>
        <w:snapToGrid w:val="0"/>
        <w:spacing w:line="360" w:lineRule="auto"/>
        <w:ind w:firstLine="480" w:firstLineChars="200"/>
        <w:outlineLvl w:val="9"/>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sz w:val="24"/>
          <w:lang w:val="en-US" w:eastAsia="zh-CN" w:bidi="ar"/>
        </w:rPr>
        <w:t>建设前期，对该区域所占0.06</w:t>
      </w:r>
      <w:r>
        <w:rPr>
          <w:rFonts w:hint="default" w:ascii="Times New Roman" w:hAnsi="Times New Roman" w:eastAsia="仿宋_GB2312" w:cs="Times New Roman"/>
          <w:color w:val="auto"/>
          <w:sz w:val="24"/>
          <w:szCs w:val="24"/>
          <w:lang w:val="en-US" w:eastAsia="zh-CN"/>
        </w:rPr>
        <w:t>hm</w:t>
      </w:r>
      <w:r>
        <w:rPr>
          <w:rFonts w:hint="default" w:ascii="Times New Roman" w:hAnsi="Times New Roman" w:eastAsia="仿宋_GB2312" w:cs="Times New Roman"/>
          <w:color w:val="auto"/>
          <w:sz w:val="24"/>
          <w:szCs w:val="24"/>
          <w:vertAlign w:val="superscript"/>
          <w:lang w:val="en-US" w:eastAsia="zh-CN"/>
        </w:rPr>
        <w:t>2</w:t>
      </w:r>
      <w:r>
        <w:rPr>
          <w:rFonts w:hint="default" w:ascii="Times New Roman" w:hAnsi="Times New Roman" w:eastAsia="仿宋_GB2312" w:cs="Times New Roman"/>
          <w:color w:val="auto"/>
          <w:sz w:val="24"/>
          <w:lang w:val="en-US" w:eastAsia="zh-CN" w:bidi="ar"/>
        </w:rPr>
        <w:t>林地进行表土剥离</w:t>
      </w:r>
      <w:r>
        <w:rPr>
          <w:rFonts w:hint="default" w:ascii="Times New Roman" w:hAnsi="Times New Roman" w:eastAsia="仿宋_GB2312" w:cs="Times New Roman"/>
          <w:color w:val="auto"/>
          <w:kern w:val="0"/>
          <w:sz w:val="24"/>
          <w:szCs w:val="24"/>
          <w:lang w:val="en-US" w:eastAsia="zh-CN" w:bidi="ar"/>
        </w:rPr>
        <w:t>，剥离厚度为0.20m；</w:t>
      </w:r>
      <w:r>
        <w:rPr>
          <w:rFonts w:hint="default" w:ascii="Times New Roman" w:hAnsi="Times New Roman" w:eastAsia="仿宋_GB2312" w:cs="Times New Roman"/>
          <w:color w:val="auto"/>
          <w:sz w:val="24"/>
          <w:lang w:val="en-US" w:eastAsia="zh-CN" w:bidi="ar"/>
        </w:rPr>
        <w:t>建设后期，对0.12</w:t>
      </w:r>
      <w:r>
        <w:rPr>
          <w:rFonts w:hint="default" w:ascii="Times New Roman" w:hAnsi="Times New Roman" w:eastAsia="仿宋_GB2312" w:cs="Times New Roman"/>
          <w:color w:val="auto"/>
          <w:sz w:val="24"/>
          <w:szCs w:val="24"/>
          <w:lang w:val="en-US" w:eastAsia="zh-CN"/>
        </w:rPr>
        <w:t>hm</w:t>
      </w:r>
      <w:r>
        <w:rPr>
          <w:rFonts w:hint="default" w:ascii="Times New Roman" w:hAnsi="Times New Roman" w:eastAsia="仿宋_GB2312" w:cs="Times New Roman"/>
          <w:color w:val="auto"/>
          <w:sz w:val="24"/>
          <w:szCs w:val="24"/>
          <w:vertAlign w:val="superscript"/>
          <w:lang w:val="en-US" w:eastAsia="zh-CN"/>
        </w:rPr>
        <w:t>2</w:t>
      </w:r>
      <w:r>
        <w:rPr>
          <w:rFonts w:hint="default" w:ascii="Times New Roman" w:hAnsi="Times New Roman" w:eastAsia="仿宋_GB2312" w:cs="Times New Roman"/>
          <w:color w:val="auto"/>
          <w:sz w:val="24"/>
          <w:lang w:val="en-US" w:eastAsia="zh-CN" w:bidi="ar"/>
        </w:rPr>
        <w:t>绿化区域进行表土回覆，覆土厚度0.17m，然后</w:t>
      </w:r>
      <w:r>
        <w:rPr>
          <w:rFonts w:hint="default" w:ascii="Times New Roman" w:hAnsi="Times New Roman" w:eastAsia="仿宋_GB2312" w:cs="Times New Roman"/>
          <w:color w:val="auto"/>
          <w:kern w:val="0"/>
          <w:sz w:val="24"/>
          <w:szCs w:val="24"/>
          <w:lang w:val="en-US" w:eastAsia="zh-CN" w:bidi="ar"/>
        </w:rPr>
        <w:t>对</w:t>
      </w:r>
      <w:r>
        <w:rPr>
          <w:rFonts w:hint="default" w:ascii="Times New Roman" w:hAnsi="Times New Roman" w:eastAsia="仿宋_GB2312" w:cs="Times New Roman"/>
          <w:color w:val="auto"/>
          <w:sz w:val="24"/>
          <w:szCs w:val="24"/>
          <w:lang w:val="en-US" w:eastAsia="zh-CN"/>
        </w:rPr>
        <w:t>绿化工程区保留部分树种的同时进行撒播草籽（100kg/hm</w:t>
      </w:r>
      <w:r>
        <w:rPr>
          <w:rFonts w:hint="default" w:ascii="Times New Roman" w:hAnsi="Times New Roman" w:eastAsia="仿宋_GB2312" w:cs="Times New Roman"/>
          <w:color w:val="auto"/>
          <w:sz w:val="24"/>
          <w:szCs w:val="24"/>
          <w:vertAlign w:val="superscript"/>
          <w:lang w:val="en-US" w:eastAsia="zh-CN"/>
        </w:rPr>
        <w:t>2</w:t>
      </w:r>
      <w:r>
        <w:rPr>
          <w:rFonts w:hint="default"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kern w:val="0"/>
          <w:sz w:val="24"/>
          <w:szCs w:val="24"/>
          <w:lang w:val="en-US" w:eastAsia="zh-CN" w:bidi="ar"/>
        </w:rPr>
        <w:t>。</w:t>
      </w:r>
      <w:r>
        <w:rPr>
          <w:rFonts w:hint="default" w:ascii="Times New Roman" w:hAnsi="Times New Roman" w:eastAsia="仿宋_GB2312" w:cs="Times New Roman"/>
          <w:color w:val="auto"/>
          <w:sz w:val="24"/>
          <w:lang w:val="en-US" w:eastAsia="zh-CN" w:bidi="ar"/>
        </w:rPr>
        <w:t>草种主要选择小麦冬等，</w:t>
      </w:r>
      <w:r>
        <w:rPr>
          <w:rFonts w:hint="default" w:ascii="Times New Roman" w:hAnsi="Times New Roman" w:eastAsia="仿宋_GB2312" w:cs="Times New Roman"/>
          <w:color w:val="auto"/>
          <w:kern w:val="0"/>
          <w:sz w:val="24"/>
          <w:szCs w:val="24"/>
          <w:highlight w:val="none"/>
          <w:lang w:val="en-US" w:eastAsia="zh-CN"/>
        </w:rPr>
        <w:t>草种采用人工撒播的方式进行种植</w:t>
      </w:r>
      <w:r>
        <w:rPr>
          <w:rFonts w:hint="default" w:ascii="Times New Roman" w:hAnsi="Times New Roman" w:eastAsia="仿宋_GB2312" w:cs="Times New Roman"/>
          <w:color w:val="auto"/>
          <w:sz w:val="24"/>
          <w:lang w:val="en-US" w:eastAsia="zh-CN" w:bidi="ar"/>
        </w:rPr>
        <w:t>。</w:t>
      </w:r>
    </w:p>
    <w:p w14:paraId="1701046B">
      <w:pPr>
        <w:numPr>
          <w:ilvl w:val="0"/>
          <w:numId w:val="0"/>
        </w:numPr>
        <w:adjustRightInd w:val="0"/>
        <w:snapToGrid w:val="0"/>
        <w:spacing w:line="360" w:lineRule="auto"/>
        <w:ind w:firstLine="480" w:firstLineChars="200"/>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工程措施（已实施）：表土剥离0.01万m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color w:val="auto"/>
          <w:sz w:val="24"/>
          <w:szCs w:val="24"/>
          <w:lang w:val="en-US" w:eastAsia="zh-CN"/>
        </w:rPr>
        <w:t>/0.06hm</w:t>
      </w:r>
      <w:r>
        <w:rPr>
          <w:rFonts w:hint="default" w:ascii="Times New Roman" w:hAnsi="Times New Roman" w:eastAsia="仿宋_GB2312" w:cs="Times New Roman"/>
          <w:color w:val="auto"/>
          <w:sz w:val="24"/>
          <w:szCs w:val="24"/>
          <w:vertAlign w:val="superscript"/>
          <w:lang w:val="en-US" w:eastAsia="zh-CN"/>
        </w:rPr>
        <w:t>2</w:t>
      </w:r>
      <w:r>
        <w:rPr>
          <w:rFonts w:hint="default" w:ascii="Times New Roman" w:hAnsi="Times New Roman" w:eastAsia="仿宋_GB2312" w:cs="Times New Roman"/>
          <w:color w:val="auto"/>
          <w:sz w:val="24"/>
          <w:szCs w:val="24"/>
          <w:lang w:val="en-US" w:eastAsia="zh-CN"/>
        </w:rPr>
        <w:t>、表土回覆0.02万m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color w:val="auto"/>
          <w:sz w:val="24"/>
          <w:szCs w:val="24"/>
          <w:lang w:val="en-US" w:eastAsia="zh-CN"/>
        </w:rPr>
        <w:t>。</w:t>
      </w:r>
    </w:p>
    <w:p w14:paraId="29193676">
      <w:pPr>
        <w:numPr>
          <w:ilvl w:val="0"/>
          <w:numId w:val="0"/>
        </w:numPr>
        <w:adjustRightInd w:val="0"/>
        <w:snapToGrid w:val="0"/>
        <w:spacing w:line="360" w:lineRule="auto"/>
        <w:ind w:firstLine="480" w:firstLineChars="200"/>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植物措施（已实施）：</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撒播草籽0.12hm</w:t>
      </w:r>
      <w:r>
        <w:rPr>
          <w:rFonts w:hint="default" w:ascii="Times New Roman" w:hAnsi="Times New Roman" w:eastAsia="仿宋_GB2312" w:cs="Times New Roman"/>
          <w:b w:val="0"/>
          <w:bCs w:val="0"/>
          <w:color w:val="000000" w:themeColor="text1"/>
          <w:kern w:val="2"/>
          <w:sz w:val="24"/>
          <w:szCs w:val="24"/>
          <w:vertAlign w:val="superscript"/>
          <w:lang w:val="en-US" w:eastAsia="zh-CN" w:bidi="ar"/>
          <w14:textFill>
            <w14:solidFill>
              <w14:schemeClr w14:val="tx1"/>
            </w14:solidFill>
          </w14:textFill>
        </w:rPr>
        <w:t>2</w:t>
      </w:r>
      <w:r>
        <w:rPr>
          <w:rFonts w:hint="default" w:ascii="Times New Roman" w:hAnsi="Times New Roman" w:eastAsia="仿宋_GB2312" w:cs="Times New Roman"/>
          <w:color w:val="auto"/>
          <w:sz w:val="24"/>
          <w:szCs w:val="24"/>
          <w:lang w:val="en-US" w:eastAsia="zh-CN"/>
        </w:rPr>
        <w:t>。</w:t>
      </w:r>
    </w:p>
    <w:p w14:paraId="7B73DBDE">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val="en-US" w:eastAsia="zh-CN"/>
        </w:rPr>
      </w:pPr>
      <w:bookmarkStart w:id="63" w:name="_Toc9646"/>
      <w:r>
        <w:rPr>
          <w:rFonts w:hint="default" w:ascii="Times New Roman" w:hAnsi="Times New Roman" w:eastAsia="仿宋_GB2312" w:cs="Times New Roman"/>
          <w:b/>
          <w:bCs/>
          <w:color w:val="auto"/>
          <w:szCs w:val="24"/>
          <w:lang w:val="en-US" w:eastAsia="zh-CN"/>
        </w:rPr>
        <w:t>1.9 水土保持监测方案</w:t>
      </w:r>
      <w:bookmarkEnd w:id="63"/>
      <w:r>
        <w:rPr>
          <w:rFonts w:hint="default" w:ascii="Times New Roman" w:hAnsi="Times New Roman" w:eastAsia="仿宋_GB2312" w:cs="Times New Roman"/>
          <w:b/>
          <w:bCs/>
          <w:color w:val="auto"/>
          <w:szCs w:val="24"/>
          <w:lang w:val="en-US" w:eastAsia="zh-CN"/>
        </w:rPr>
        <w:t xml:space="preserve"> </w:t>
      </w:r>
    </w:p>
    <w:p w14:paraId="061D417F">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根据《水利部关于进一步深化“放管服”改革全面加强水土保持监督的意见》（水保[2019]160号）、《水利部办公厅关于进一步加强生产建设项目水土保持监测工作的通知》（办水保[2020]161号）等文件要求，项目编制水土保持方案为报告表，可不开展水土保持专项监测，但建设单位应当依法履行水土流失防治责任和义务。</w:t>
      </w:r>
    </w:p>
    <w:p w14:paraId="0A1E87A6">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val="en-US" w:eastAsia="zh-CN"/>
        </w:rPr>
      </w:pPr>
      <w:bookmarkStart w:id="64" w:name="_Toc18612"/>
      <w:r>
        <w:rPr>
          <w:rFonts w:hint="default" w:ascii="Times New Roman" w:hAnsi="Times New Roman" w:eastAsia="仿宋_GB2312" w:cs="Times New Roman"/>
          <w:b/>
          <w:bCs/>
          <w:color w:val="auto"/>
          <w:szCs w:val="24"/>
          <w:lang w:val="en-US" w:eastAsia="zh-CN"/>
        </w:rPr>
        <w:t>1.10 水土保持投资及效益分析成果</w:t>
      </w:r>
      <w:bookmarkEnd w:id="64"/>
      <w:r>
        <w:rPr>
          <w:rFonts w:hint="default" w:ascii="Times New Roman" w:hAnsi="Times New Roman" w:eastAsia="仿宋_GB2312" w:cs="Times New Roman"/>
          <w:b/>
          <w:bCs/>
          <w:color w:val="auto"/>
          <w:szCs w:val="24"/>
          <w:lang w:val="en-US" w:eastAsia="zh-CN"/>
        </w:rPr>
        <w:t xml:space="preserve"> </w:t>
      </w:r>
    </w:p>
    <w:p w14:paraId="59E27BF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snapToGrid w:val="0"/>
          <w:color w:val="auto"/>
          <w:sz w:val="24"/>
          <w:szCs w:val="24"/>
          <w:lang w:val="en-US" w:eastAsia="zh-CN" w:bidi="ar-SA"/>
        </w:rPr>
      </w:pPr>
      <w:r>
        <w:rPr>
          <w:rFonts w:hint="default" w:ascii="Times New Roman" w:hAnsi="Times New Roman" w:eastAsia="仿宋_GB2312" w:cs="Times New Roman"/>
          <w:color w:val="auto"/>
          <w:kern w:val="0"/>
          <w:sz w:val="24"/>
          <w:szCs w:val="24"/>
        </w:rPr>
        <w:t>本项目水土保持</w:t>
      </w:r>
      <w:r>
        <w:rPr>
          <w:rFonts w:hint="default" w:ascii="Times New Roman" w:hAnsi="Times New Roman" w:eastAsia="仿宋_GB2312" w:cs="Times New Roman"/>
          <w:color w:val="auto"/>
          <w:kern w:val="0"/>
          <w:sz w:val="24"/>
          <w:szCs w:val="24"/>
          <w:lang w:val="en-US" w:eastAsia="zh-CN"/>
        </w:rPr>
        <w:t>概</w:t>
      </w:r>
      <w:r>
        <w:rPr>
          <w:rFonts w:hint="default" w:ascii="Times New Roman" w:hAnsi="Times New Roman" w:eastAsia="仿宋_GB2312" w:cs="Times New Roman"/>
          <w:color w:val="auto"/>
          <w:kern w:val="0"/>
          <w:sz w:val="24"/>
          <w:szCs w:val="24"/>
        </w:rPr>
        <w:t>算总投资为</w:t>
      </w:r>
      <w:r>
        <w:rPr>
          <w:rFonts w:hint="default" w:ascii="Times New Roman" w:hAnsi="Times New Roman" w:eastAsia="仿宋_GB2312" w:cs="Times New Roman"/>
          <w:b w:val="0"/>
          <w:snapToGrid w:val="0"/>
          <w:color w:val="auto"/>
          <w:kern w:val="2"/>
          <w:sz w:val="24"/>
          <w:szCs w:val="24"/>
          <w:lang w:val="en-US" w:eastAsia="zh-CN" w:bidi="ar-SA"/>
        </w:rPr>
        <w:t>37.60万元，其中工程措施费为20.92万元，植物措施费为0.13万元，监测措施费0万元，施工临时工程费0.42万元，独立费用15.70万元，预备费0万元，水土保持补偿费</w:t>
      </w:r>
      <w:r>
        <w:rPr>
          <w:rFonts w:hint="default" w:ascii="Times New Roman" w:hAnsi="Times New Roman" w:eastAsia="仿宋_GB2312" w:cs="Times New Roman"/>
          <w:color w:val="auto"/>
          <w:sz w:val="24"/>
          <w:szCs w:val="24"/>
          <w:lang w:val="en-US" w:eastAsia="zh-CN"/>
        </w:rPr>
        <w:t>0.43万元</w:t>
      </w:r>
      <w:r>
        <w:rPr>
          <w:rFonts w:hint="default" w:ascii="Times New Roman" w:hAnsi="Times New Roman" w:eastAsia="仿宋_GB2312" w:cs="Times New Roman"/>
          <w:color w:val="auto"/>
          <w:kern w:val="0"/>
          <w:sz w:val="24"/>
          <w:szCs w:val="24"/>
          <w:lang w:eastAsia="zh-CN"/>
        </w:rPr>
        <w:t>（</w:t>
      </w:r>
      <w:r>
        <w:rPr>
          <w:rFonts w:hint="default" w:ascii="Times New Roman" w:hAnsi="Times New Roman" w:eastAsia="仿宋_GB2312" w:cs="Times New Roman"/>
          <w:color w:val="auto"/>
          <w:kern w:val="0"/>
          <w:sz w:val="24"/>
          <w:szCs w:val="24"/>
          <w:lang w:val="en-US" w:eastAsia="zh-CN"/>
        </w:rPr>
        <w:t>4251.00元</w:t>
      </w:r>
      <w:r>
        <w:rPr>
          <w:rFonts w:hint="default" w:ascii="Times New Roman" w:hAnsi="Times New Roman" w:eastAsia="仿宋_GB2312" w:cs="Times New Roman"/>
          <w:color w:val="auto"/>
          <w:kern w:val="0"/>
          <w:sz w:val="24"/>
          <w:szCs w:val="24"/>
          <w:lang w:eastAsia="zh-CN"/>
        </w:rPr>
        <w:t>）</w:t>
      </w:r>
      <w:r>
        <w:rPr>
          <w:rFonts w:hint="default" w:ascii="Times New Roman" w:hAnsi="Times New Roman" w:eastAsia="仿宋_GB2312" w:cs="Times New Roman"/>
          <w:b w:val="0"/>
          <w:snapToGrid w:val="0"/>
          <w:color w:val="auto"/>
          <w:kern w:val="2"/>
          <w:sz w:val="24"/>
          <w:szCs w:val="24"/>
          <w:lang w:val="en-US" w:eastAsia="zh-CN" w:bidi="ar-SA"/>
        </w:rPr>
        <w:t>。独立费用中建设管理费0.42万元（其中项目经常费/水土保持设施验收费0.20万元、技术咨询费0.22万元）、科研勘测设计费15.28万元（含水土保持方案编制费1.00万元）、水土保持监理费0万元</w:t>
      </w:r>
      <w:r>
        <w:rPr>
          <w:rFonts w:hint="default" w:ascii="Times New Roman" w:hAnsi="Times New Roman" w:eastAsia="仿宋_GB2312" w:cs="Times New Roman"/>
          <w:color w:val="auto"/>
          <w:szCs w:val="24"/>
        </w:rPr>
        <w:t>。</w:t>
      </w:r>
    </w:p>
    <w:p w14:paraId="3E7CD46A">
      <w:pPr>
        <w:pStyle w:val="6"/>
        <w:spacing w:line="360" w:lineRule="auto"/>
        <w:ind w:firstLine="480" w:firstLineChars="200"/>
        <w:rPr>
          <w:rFonts w:hint="default" w:ascii="Times New Roman" w:hAnsi="Times New Roman" w:eastAsia="仿宋_GB2312" w:cs="Times New Roman"/>
          <w:snapToGrid w:val="0"/>
          <w:color w:val="auto"/>
          <w:sz w:val="24"/>
          <w:szCs w:val="24"/>
          <w:lang w:val="en-US" w:eastAsia="zh-CN" w:bidi="ar-SA"/>
        </w:rPr>
      </w:pPr>
      <w:r>
        <w:rPr>
          <w:rFonts w:hint="default" w:ascii="Times New Roman" w:hAnsi="Times New Roman" w:eastAsia="仿宋_GB2312" w:cs="Times New Roman"/>
          <w:snapToGrid w:val="0"/>
          <w:color w:val="auto"/>
          <w:sz w:val="24"/>
          <w:szCs w:val="24"/>
          <w:lang w:val="en-US" w:eastAsia="zh-CN" w:bidi="ar-SA"/>
        </w:rPr>
        <w:t>通过实施本方案各项水土保持措施后，治理水土流失面积0.33hm</w:t>
      </w:r>
      <w:r>
        <w:rPr>
          <w:rFonts w:hint="default" w:ascii="Times New Roman" w:hAnsi="Times New Roman" w:eastAsia="仿宋_GB2312" w:cs="Times New Roman"/>
          <w:snapToGrid w:val="0"/>
          <w:color w:val="auto"/>
          <w:sz w:val="24"/>
          <w:szCs w:val="24"/>
          <w:vertAlign w:val="superscript"/>
          <w:lang w:val="en-US" w:eastAsia="zh-CN" w:bidi="ar-SA"/>
        </w:rPr>
        <w:t>2</w:t>
      </w:r>
      <w:r>
        <w:rPr>
          <w:rFonts w:hint="default" w:ascii="Times New Roman" w:hAnsi="Times New Roman" w:eastAsia="仿宋_GB2312" w:cs="Times New Roman"/>
          <w:snapToGrid w:val="0"/>
          <w:color w:val="auto"/>
          <w:sz w:val="24"/>
          <w:szCs w:val="24"/>
          <w:lang w:val="en-US" w:eastAsia="zh-CN" w:bidi="ar-SA"/>
        </w:rPr>
        <w:t>，实现林草植被建设面积0.12hm</w:t>
      </w:r>
      <w:r>
        <w:rPr>
          <w:rFonts w:hint="default" w:ascii="Times New Roman" w:hAnsi="Times New Roman" w:eastAsia="仿宋_GB2312" w:cs="Times New Roman"/>
          <w:snapToGrid w:val="0"/>
          <w:color w:val="auto"/>
          <w:sz w:val="24"/>
          <w:szCs w:val="24"/>
          <w:vertAlign w:val="superscript"/>
          <w:lang w:val="en-US" w:eastAsia="zh-CN" w:bidi="ar-SA"/>
        </w:rPr>
        <w:t>2</w:t>
      </w:r>
      <w:r>
        <w:rPr>
          <w:rFonts w:hint="default" w:ascii="Times New Roman" w:hAnsi="Times New Roman" w:eastAsia="仿宋_GB2312" w:cs="Times New Roman"/>
          <w:snapToGrid w:val="0"/>
          <w:color w:val="auto"/>
          <w:sz w:val="24"/>
          <w:szCs w:val="24"/>
          <w:lang w:val="en-US" w:eastAsia="zh-CN" w:bidi="ar-SA"/>
        </w:rPr>
        <w:t>，减少土壤流失量6.62t。至设计水平年，水土流失总治理度达到100%、土壤流失控制比为1.25、渣土防护率达到100%、表土保护率达到100%、林草植被恢复率达到100%、林草覆盖率为36.36%。以上水土流失治理度、土壤流失控制比、渣土防护率、表土保护率、林草植被恢复率、林草覆盖率达均能够达到本方案提出的防治目标要求，符合水土保持相关要求。</w:t>
      </w:r>
    </w:p>
    <w:p w14:paraId="48FFE470">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val="en-US" w:eastAsia="zh-CN"/>
        </w:rPr>
      </w:pPr>
      <w:bookmarkStart w:id="65" w:name="_Toc16625"/>
      <w:r>
        <w:rPr>
          <w:rFonts w:hint="default" w:ascii="Times New Roman" w:hAnsi="Times New Roman" w:eastAsia="仿宋_GB2312" w:cs="Times New Roman"/>
          <w:b/>
          <w:bCs/>
          <w:color w:val="auto"/>
          <w:szCs w:val="24"/>
          <w:lang w:val="en-US" w:eastAsia="zh-CN"/>
        </w:rPr>
        <w:t>1.11 结论</w:t>
      </w:r>
      <w:bookmarkEnd w:id="65"/>
      <w:r>
        <w:rPr>
          <w:rFonts w:hint="default" w:ascii="Times New Roman" w:hAnsi="Times New Roman" w:eastAsia="仿宋_GB2312" w:cs="Times New Roman"/>
          <w:b/>
          <w:bCs/>
          <w:color w:val="auto"/>
          <w:szCs w:val="24"/>
          <w:lang w:val="en-US" w:eastAsia="zh-CN"/>
        </w:rPr>
        <w:t xml:space="preserve"> </w:t>
      </w:r>
    </w:p>
    <w:bookmarkEnd w:id="59"/>
    <w:p w14:paraId="55974D38">
      <w:pPr>
        <w:widowControl w:val="0"/>
        <w:spacing w:line="360" w:lineRule="auto"/>
        <w:ind w:firstLine="480" w:firstLineChars="200"/>
        <w:jc w:val="both"/>
        <w:rPr>
          <w:rFonts w:hint="default" w:ascii="Times New Roman" w:hAnsi="Times New Roman" w:eastAsia="仿宋_GB2312" w:cs="Times New Roman"/>
          <w:color w:val="auto"/>
          <w:sz w:val="24"/>
          <w:szCs w:val="24"/>
        </w:rPr>
      </w:pPr>
      <w:bookmarkStart w:id="66" w:name="_Toc19196"/>
      <w:r>
        <w:rPr>
          <w:rFonts w:hint="default" w:ascii="Times New Roman" w:hAnsi="Times New Roman" w:eastAsia="仿宋_GB2312" w:cs="Times New Roman"/>
          <w:color w:val="auto"/>
          <w:sz w:val="24"/>
          <w:szCs w:val="24"/>
        </w:rPr>
        <w:t>1、结论</w:t>
      </w:r>
    </w:p>
    <w:p w14:paraId="5B3F7E80">
      <w:pPr>
        <w:widowControl w:val="0"/>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本项目在建设过程中不可避免地扰动原地貌、损坏土地和植被，产生水土流失。水土流失主要发生在施工期，在建设过程中全面落实提出的各项水土保持措施，加强施工管理，建设过程中的水土流失</w:t>
      </w:r>
      <w:r>
        <w:rPr>
          <w:rFonts w:hint="default" w:ascii="Times New Roman" w:hAnsi="Times New Roman" w:eastAsia="仿宋_GB2312" w:cs="Times New Roman"/>
          <w:color w:val="auto"/>
          <w:sz w:val="24"/>
          <w:szCs w:val="24"/>
          <w:lang w:val="en-US" w:eastAsia="zh-CN"/>
        </w:rPr>
        <w:t>已</w:t>
      </w:r>
      <w:r>
        <w:rPr>
          <w:rFonts w:hint="default" w:ascii="Times New Roman" w:hAnsi="Times New Roman" w:eastAsia="仿宋_GB2312" w:cs="Times New Roman"/>
          <w:color w:val="auto"/>
          <w:sz w:val="24"/>
          <w:szCs w:val="24"/>
        </w:rPr>
        <w:t>降到容许范围。</w:t>
      </w:r>
    </w:p>
    <w:p w14:paraId="62A31F64">
      <w:pPr>
        <w:widowControl w:val="0"/>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本项目建设符合国家产业政策的要求；项目选址、建设方案、水土流失防治等方面符合水土保持法律法规、技术标准的规定，实施水土保持措施后，能够达到控制水土流失、保护生态环境的目的，实现生态效益、经济效益和社会效益的统一，项目建设可行。</w:t>
      </w:r>
    </w:p>
    <w:p w14:paraId="67D6AD20">
      <w:pPr>
        <w:widowControl w:val="0"/>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2、</w:t>
      </w:r>
      <w:r>
        <w:rPr>
          <w:rFonts w:hint="default" w:ascii="Times New Roman" w:hAnsi="Times New Roman" w:eastAsia="仿宋_GB2312" w:cs="Times New Roman"/>
          <w:color w:val="auto"/>
          <w:sz w:val="24"/>
          <w:szCs w:val="24"/>
          <w:lang w:eastAsia="zh-CN"/>
        </w:rPr>
        <w:t>要求</w:t>
      </w:r>
    </w:p>
    <w:p w14:paraId="34BD902A">
      <w:pPr>
        <w:widowControl w:val="0"/>
        <w:spacing w:line="360" w:lineRule="auto"/>
        <w:ind w:firstLine="480" w:firstLineChars="200"/>
        <w:jc w:val="both"/>
        <w:rPr>
          <w:rFonts w:hint="default" w:ascii="Times New Roman" w:hAnsi="Times New Roman" w:eastAsia="仿宋_GB2312" w:cs="Times New Roman"/>
          <w:bCs/>
          <w:color w:val="auto"/>
          <w:kern w:val="0"/>
          <w:sz w:val="24"/>
          <w:szCs w:val="24"/>
          <w:lang w:val="en-US" w:eastAsia="zh-CN"/>
        </w:rPr>
      </w:pP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建设单位应充分重视水土保持工作，</w:t>
      </w:r>
      <w:r>
        <w:rPr>
          <w:rFonts w:hint="default" w:ascii="Times New Roman" w:hAnsi="Times New Roman" w:eastAsia="仿宋_GB2312" w:cs="Times New Roman"/>
          <w:color w:val="auto"/>
          <w:sz w:val="24"/>
          <w:szCs w:val="24"/>
          <w:lang w:eastAsia="zh-CN"/>
        </w:rPr>
        <w:t>方案批复后，建设单位应</w:t>
      </w:r>
      <w:r>
        <w:rPr>
          <w:rFonts w:hint="default" w:ascii="Times New Roman" w:hAnsi="Times New Roman" w:eastAsia="仿宋_GB2312" w:cs="Times New Roman"/>
          <w:color w:val="auto"/>
          <w:sz w:val="24"/>
          <w:szCs w:val="24"/>
          <w:lang w:val="en-US" w:eastAsia="zh-CN"/>
        </w:rPr>
        <w:t>按照要求尽快上报资料并归档。</w:t>
      </w:r>
    </w:p>
    <w:p w14:paraId="20BC51CA">
      <w:pPr>
        <w:widowControl w:val="0"/>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val="en-US" w:eastAsia="zh-CN"/>
        </w:rPr>
        <w:t>（2）项目未开展水土保持专项监测，但建设单位应依法履行水土流失防治责任和义务</w:t>
      </w:r>
      <w:r>
        <w:rPr>
          <w:rFonts w:hint="default" w:ascii="Times New Roman" w:hAnsi="Times New Roman" w:eastAsia="仿宋_GB2312" w:cs="Times New Roman"/>
          <w:color w:val="auto"/>
          <w:sz w:val="24"/>
          <w:szCs w:val="24"/>
          <w:lang w:eastAsia="zh-CN"/>
        </w:rPr>
        <w:t>。</w:t>
      </w:r>
    </w:p>
    <w:p w14:paraId="6363ABEA">
      <w:pPr>
        <w:widowControl w:val="0"/>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（3）建设单位已把水土保持措施落实到施工合同，并且施工单位已按照设计实施水土保持措施。</w:t>
      </w:r>
    </w:p>
    <w:p w14:paraId="5631B717">
      <w:pPr>
        <w:widowControl w:val="0"/>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5）生产建设单位应当根据水土保持方案及其审批决定等，开展对水土保持设施验收工作，形成水土保持设施验收鉴定书，明确水土保持设施验收合格结论。生产建设单位应当在向社会公开水土保持设施验收材料至少20个工作日，然后按照规定向水土保持设施验收报备机关报备水土保持设施验收材料。</w:t>
      </w:r>
    </w:p>
    <w:p w14:paraId="5E6B6FC7">
      <w:pPr>
        <w:rPr>
          <w:rFonts w:hint="default" w:ascii="Times New Roman" w:hAnsi="Times New Roman" w:eastAsia="仿宋_GB2312" w:cs="Times New Roman"/>
          <w:color w:val="auto"/>
        </w:rPr>
        <w:sectPr>
          <w:headerReference r:id="rId24" w:type="default"/>
          <w:pgSz w:w="11906" w:h="16838"/>
          <w:pgMar w:top="1327" w:right="1514" w:bottom="1327" w:left="1514"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仿宋_GB2312" w:cs="Times New Roman"/>
          <w:color w:val="auto"/>
        </w:rPr>
        <w:br w:type="page"/>
      </w:r>
    </w:p>
    <w:p w14:paraId="646925F7">
      <w:pPr>
        <w:pStyle w:val="2"/>
        <w:keepNext/>
        <w:keepLines/>
        <w:pageBreakBefore w:val="0"/>
        <w:widowControl w:val="0"/>
        <w:kinsoku/>
        <w:wordWrap/>
        <w:overflowPunct/>
        <w:topLinePunct w:val="0"/>
        <w:autoSpaceDE/>
        <w:autoSpaceDN/>
        <w:bidi w:val="0"/>
        <w:adjustRightInd/>
        <w:snapToGrid/>
        <w:spacing w:before="313" w:beforeLines="100" w:after="313" w:afterLines="100"/>
        <w:textAlignment w:val="auto"/>
        <w:rPr>
          <w:rFonts w:hint="default" w:ascii="Times New Roman" w:hAnsi="Times New Roman" w:eastAsia="仿宋_GB2312" w:cs="Times New Roman"/>
          <w:color w:val="auto"/>
        </w:rPr>
      </w:pPr>
      <w:bookmarkStart w:id="67" w:name="_Toc31099"/>
      <w:r>
        <w:rPr>
          <w:rFonts w:hint="default" w:ascii="Times New Roman" w:hAnsi="Times New Roman" w:eastAsia="仿宋_GB2312" w:cs="Times New Roman"/>
          <w:color w:val="auto"/>
        </w:rPr>
        <w:t>2 项目概况</w:t>
      </w:r>
      <w:bookmarkEnd w:id="66"/>
      <w:bookmarkEnd w:id="67"/>
    </w:p>
    <w:p w14:paraId="453C5982">
      <w:pPr>
        <w:numPr>
          <w:ilvl w:val="0"/>
          <w:numId w:val="0"/>
        </w:numPr>
        <w:spacing w:line="360" w:lineRule="auto"/>
        <w:ind w:firstLine="480" w:firstLineChars="200"/>
        <w:jc w:val="left"/>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eastAsia="zh-CN" w:bidi="ar"/>
        </w:rPr>
        <w:t>本项目</w:t>
      </w:r>
      <w:r>
        <w:rPr>
          <w:rFonts w:hint="default" w:ascii="Times New Roman" w:hAnsi="Times New Roman" w:eastAsia="仿宋_GB2312" w:cs="Times New Roman"/>
          <w:color w:val="auto"/>
          <w:sz w:val="24"/>
          <w:lang w:bidi="ar"/>
        </w:rPr>
        <w:t>位于</w:t>
      </w:r>
      <w:r>
        <w:rPr>
          <w:rFonts w:hint="default" w:ascii="Times New Roman" w:hAnsi="Times New Roman" w:eastAsia="仿宋_GB2312" w:cs="Times New Roman"/>
          <w:color w:val="auto"/>
          <w:sz w:val="24"/>
          <w:lang w:eastAsia="zh-CN" w:bidi="ar"/>
        </w:rPr>
        <w:t>四川省广元市剑阁县王河镇</w:t>
      </w:r>
      <w:r>
        <w:rPr>
          <w:rFonts w:hint="default" w:ascii="Times New Roman" w:hAnsi="Times New Roman" w:eastAsia="仿宋_GB2312" w:cs="Times New Roman"/>
          <w:color w:val="auto"/>
          <w:sz w:val="24"/>
          <w:lang w:val="en-US" w:eastAsia="zh-CN" w:bidi="ar"/>
        </w:rPr>
        <w:t>原粮站。</w:t>
      </w:r>
      <w:r>
        <w:rPr>
          <w:rFonts w:hint="default" w:ascii="Times New Roman" w:hAnsi="Times New Roman" w:eastAsia="仿宋_GB2312" w:cs="Times New Roman"/>
          <w:color w:val="auto"/>
          <w:sz w:val="24"/>
          <w:lang w:eastAsia="zh-CN" w:bidi="ar"/>
        </w:rPr>
        <w:t>项目区地理位置图见图</w:t>
      </w:r>
      <w:r>
        <w:rPr>
          <w:rFonts w:hint="default" w:ascii="Times New Roman" w:hAnsi="Times New Roman" w:eastAsia="仿宋_GB2312" w:cs="Times New Roman"/>
          <w:color w:val="auto"/>
          <w:sz w:val="24"/>
          <w:lang w:val="en-US" w:eastAsia="zh-CN" w:bidi="ar"/>
        </w:rPr>
        <w:t xml:space="preserve">2-1。 </w:t>
      </w:r>
      <w:r>
        <w:rPr>
          <w:rFonts w:hint="default" w:ascii="Times New Roman" w:hAnsi="Times New Roman" w:cs="Times New Roman"/>
        </w:rPr>
        <w:drawing>
          <wp:inline distT="0" distB="0" distL="114300" distR="114300">
            <wp:extent cx="5637530" cy="3737610"/>
            <wp:effectExtent l="0" t="0" r="1270" b="1143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42"/>
                    <a:stretch>
                      <a:fillRect/>
                    </a:stretch>
                  </pic:blipFill>
                  <pic:spPr>
                    <a:xfrm>
                      <a:off x="0" y="0"/>
                      <a:ext cx="5637530" cy="3737610"/>
                    </a:xfrm>
                    <a:prstGeom prst="rect">
                      <a:avLst/>
                    </a:prstGeom>
                    <a:noFill/>
                    <a:ln>
                      <a:noFill/>
                    </a:ln>
                  </pic:spPr>
                </pic:pic>
              </a:graphicData>
            </a:graphic>
          </wp:inline>
        </w:drawing>
      </w:r>
      <w:r>
        <w:rPr>
          <w:rFonts w:hint="default" w:ascii="Times New Roman" w:hAnsi="Times New Roman" w:eastAsia="宋体" w:cs="Times New Roman"/>
          <w:color w:val="auto"/>
          <w:lang w:val="en-US" w:eastAsia="zh-CN"/>
        </w:rPr>
        <w:t xml:space="preserve">                           </w:t>
      </w:r>
      <w:r>
        <w:rPr>
          <w:rFonts w:hint="default" w:ascii="Times New Roman" w:hAnsi="Times New Roman" w:cs="Times New Roman"/>
          <w:color w:val="auto"/>
          <w:lang w:val="en-US" w:eastAsia="zh-CN"/>
        </w:rPr>
        <w:t xml:space="preserve"> </w:t>
      </w:r>
      <w:r>
        <w:rPr>
          <w:rFonts w:hint="default" w:ascii="Times New Roman" w:hAnsi="Times New Roman" w:cs="Times New Roman"/>
          <w:color w:val="FF0000"/>
          <w:lang w:val="en-US" w:eastAsia="zh-CN"/>
        </w:rPr>
        <w:t xml:space="preserve"> </w:t>
      </w:r>
      <w:r>
        <w:rPr>
          <w:rFonts w:hint="default" w:ascii="Times New Roman" w:hAnsi="Times New Roman" w:eastAsia="宋体" w:cs="Times New Roman"/>
          <w:color w:val="auto"/>
          <w:lang w:val="en-US" w:eastAsia="zh-CN"/>
        </w:rPr>
        <w:t xml:space="preserve"> </w:t>
      </w:r>
      <w:r>
        <w:rPr>
          <w:rFonts w:hint="default" w:ascii="Times New Roman" w:hAnsi="Times New Roman" w:eastAsia="仿宋" w:cs="Times New Roman"/>
          <w:b/>
          <w:bCs/>
          <w:color w:val="auto"/>
          <w:lang w:eastAsia="zh-CN"/>
        </w:rPr>
        <w:t>图</w:t>
      </w:r>
      <w:r>
        <w:rPr>
          <w:rFonts w:hint="default" w:ascii="Times New Roman" w:hAnsi="Times New Roman" w:eastAsia="仿宋" w:cs="Times New Roman"/>
          <w:b/>
          <w:bCs/>
          <w:color w:val="auto"/>
          <w:lang w:val="en-US" w:eastAsia="zh-CN"/>
        </w:rPr>
        <w:t>2-1</w:t>
      </w:r>
      <w:r>
        <w:rPr>
          <w:rFonts w:hint="default" w:ascii="Times New Roman" w:hAnsi="Times New Roman" w:eastAsia="宋体" w:cs="Times New Roman"/>
          <w:color w:val="auto"/>
          <w:lang w:val="en-US" w:eastAsia="zh-CN"/>
        </w:rPr>
        <w:t xml:space="preserve">  </w:t>
      </w:r>
      <w:r>
        <w:rPr>
          <w:rFonts w:hint="default" w:ascii="Times New Roman" w:hAnsi="Times New Roman" w:eastAsia="仿宋" w:cs="Times New Roman"/>
          <w:b/>
          <w:bCs/>
          <w:color w:val="auto"/>
          <w:lang w:eastAsia="zh-CN"/>
        </w:rPr>
        <w:t>项目区地理位置图</w:t>
      </w:r>
    </w:p>
    <w:p w14:paraId="3AC77EEE">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bookmarkStart w:id="68" w:name="_Toc24509"/>
      <w:r>
        <w:rPr>
          <w:rFonts w:hint="default" w:ascii="Times New Roman" w:hAnsi="Times New Roman" w:eastAsia="仿宋_GB2312" w:cs="Times New Roman"/>
          <w:b w:val="0"/>
          <w:bCs w:val="0"/>
          <w:color w:val="auto"/>
          <w:kern w:val="2"/>
          <w:sz w:val="24"/>
          <w:szCs w:val="24"/>
          <w:lang w:val="en-US" w:eastAsia="zh-CN" w:bidi="ar"/>
        </w:rPr>
        <w:t>项目名称：剑阁县王河镇干部周转房建设项目</w:t>
      </w:r>
    </w:p>
    <w:p w14:paraId="47CD484F">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 xml:space="preserve">建设单位：剑阁县王河镇人民政府 </w:t>
      </w:r>
    </w:p>
    <w:p w14:paraId="553A0C5C">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地理位置：四川省广元市剑阁县王河镇</w:t>
      </w:r>
    </w:p>
    <w:p w14:paraId="520E58C7">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 xml:space="preserve">建设性质：新建、建设类 </w:t>
      </w:r>
    </w:p>
    <w:p w14:paraId="0A008662">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建设内容及规模：总用地面积0.33hm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（3270.00m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），建筑面积2800m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，均为地上建筑面积，容积率0.86，建筑密度17.13%，绿地率36.36%。建设内容包括新建干部周转房 1 栋（80套），配套附属设施建设及居住设备购置。</w:t>
      </w:r>
    </w:p>
    <w:p w14:paraId="3FDFEE6E">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根据项目可行性研究报告的批复、施工图及现场踏勘，本项目总占地面积为0.33hm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（3270.00m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），均为永久占地。其中建构筑物工程区0.04</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，硬化工程区0.17</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，绿化工程区0.12</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，占地类型为工矿仓储用用地、林地。</w:t>
      </w:r>
    </w:p>
    <w:p w14:paraId="579D4767">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color w:val="auto"/>
          <w:kern w:val="0"/>
          <w:sz w:val="24"/>
          <w:szCs w:val="24"/>
          <w:lang w:val="en-US" w:eastAsia="zh-CN" w:bidi="ar"/>
        </w:rPr>
        <w:t>根据现场调查及业主介绍，项目建设前已基本场平，</w:t>
      </w:r>
      <w:r>
        <w:rPr>
          <w:rFonts w:hint="default" w:ascii="Times New Roman" w:hAnsi="Times New Roman" w:eastAsia="仿宋_GB2312" w:cs="Times New Roman"/>
          <w:b w:val="0"/>
          <w:bCs w:val="0"/>
          <w:color w:val="auto"/>
          <w:kern w:val="2"/>
          <w:sz w:val="24"/>
          <w:szCs w:val="24"/>
          <w:lang w:val="en-US" w:eastAsia="zh-CN" w:bidi="ar"/>
        </w:rPr>
        <w:t>本项目挖方总量为0.36万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auto"/>
          <w:kern w:val="0"/>
          <w:sz w:val="24"/>
          <w:szCs w:val="24"/>
          <w:lang w:val="en-US" w:eastAsia="zh-CN" w:bidi="ar"/>
        </w:rPr>
        <w:t>其中表土剥离0.02</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），填方总量为0.36万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auto"/>
          <w:kern w:val="0"/>
          <w:sz w:val="24"/>
          <w:szCs w:val="24"/>
          <w:lang w:val="en-US" w:eastAsia="zh-CN" w:bidi="ar"/>
        </w:rPr>
        <w:t>其中表土回覆0.02</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），无借方，无余方。</w:t>
      </w:r>
    </w:p>
    <w:p w14:paraId="0B3A8FE3">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 xml:space="preserve">根据现场踏勘及查阅相关资料，本项目不涉及拆迁（移民）安置及专项设施改（迁）建。 </w:t>
      </w:r>
    </w:p>
    <w:p w14:paraId="1F72CF94">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工程总投资：本项目总投资1012万元，土建投资为798.32.00万元，资金来源为向上争取及县财政配套。</w:t>
      </w:r>
    </w:p>
    <w:p w14:paraId="3D6B4469">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pP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建设工期：本项目已于2022年7月开工建设，2023年8月竣工，建设总工期为14个月，本方案为补报方案。</w:t>
      </w:r>
    </w:p>
    <w:p w14:paraId="60BB9301">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val="en-US" w:eastAsia="zh-CN"/>
        </w:rPr>
      </w:pPr>
      <w:bookmarkStart w:id="69" w:name="_Toc23690"/>
      <w:r>
        <w:rPr>
          <w:rFonts w:hint="default" w:ascii="Times New Roman" w:hAnsi="Times New Roman" w:eastAsia="仿宋_GB2312" w:cs="Times New Roman"/>
          <w:b/>
          <w:bCs/>
          <w:color w:val="auto"/>
          <w:szCs w:val="24"/>
          <w:lang w:val="en-US" w:eastAsia="ar"/>
        </w:rPr>
        <w:t>2.1项目</w:t>
      </w:r>
      <w:r>
        <w:rPr>
          <w:rFonts w:hint="default" w:ascii="Times New Roman" w:hAnsi="Times New Roman" w:eastAsia="仿宋_GB2312" w:cs="Times New Roman"/>
          <w:b/>
          <w:bCs/>
          <w:color w:val="auto"/>
          <w:szCs w:val="24"/>
          <w:lang w:val="en-US" w:eastAsia="zh-CN"/>
        </w:rPr>
        <w:t>组成及工程布置</w:t>
      </w:r>
      <w:bookmarkEnd w:id="68"/>
      <w:bookmarkEnd w:id="69"/>
    </w:p>
    <w:p w14:paraId="6EAD9E00">
      <w:pPr>
        <w:numPr>
          <w:ilvl w:val="0"/>
          <w:numId w:val="0"/>
        </w:numPr>
        <w:spacing w:line="360" w:lineRule="auto"/>
        <w:ind w:firstLine="480" w:firstLineChars="200"/>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bidi="ar"/>
        </w:rPr>
        <w:t>根据该工程建设内容及总体布局，</w:t>
      </w:r>
      <w:r>
        <w:rPr>
          <w:rFonts w:hint="default" w:ascii="Times New Roman" w:hAnsi="Times New Roman" w:eastAsia="仿宋_GB2312" w:cs="Times New Roman"/>
          <w:color w:val="auto"/>
          <w:sz w:val="24"/>
          <w:lang w:eastAsia="zh-CN" w:bidi="ar"/>
        </w:rPr>
        <w:t>本项目主要由</w:t>
      </w:r>
      <w:r>
        <w:rPr>
          <w:rFonts w:hint="default" w:ascii="Times New Roman" w:hAnsi="Times New Roman" w:eastAsia="仿宋_GB2312" w:cs="Times New Roman"/>
          <w:b w:val="0"/>
          <w:bCs w:val="0"/>
          <w:color w:val="auto"/>
          <w:kern w:val="2"/>
          <w:sz w:val="24"/>
          <w:szCs w:val="24"/>
          <w:lang w:val="en-US" w:eastAsia="zh-CN" w:bidi="ar"/>
        </w:rPr>
        <w:t>建构筑物工程、硬化工程、绿化工程及附属设施</w:t>
      </w:r>
      <w:r>
        <w:rPr>
          <w:rFonts w:hint="default" w:ascii="Times New Roman" w:hAnsi="Times New Roman" w:eastAsia="仿宋_GB2312" w:cs="Times New Roman"/>
          <w:color w:val="auto"/>
          <w:sz w:val="24"/>
          <w:lang w:eastAsia="zh-CN" w:bidi="ar"/>
        </w:rPr>
        <w:t>等组成</w:t>
      </w:r>
      <w:r>
        <w:rPr>
          <w:rFonts w:hint="default" w:ascii="Times New Roman" w:hAnsi="Times New Roman" w:eastAsia="仿宋_GB2312" w:cs="Times New Roman"/>
          <w:color w:val="auto"/>
          <w:sz w:val="24"/>
          <w:lang w:bidi="ar"/>
        </w:rPr>
        <w:t>。</w:t>
      </w:r>
      <w:r>
        <w:rPr>
          <w:rFonts w:hint="default" w:ascii="Times New Roman" w:hAnsi="Times New Roman" w:eastAsia="仿宋_GB2312" w:cs="Times New Roman"/>
          <w:color w:val="auto"/>
          <w:sz w:val="24"/>
          <w:lang w:eastAsia="zh-CN" w:bidi="ar"/>
        </w:rPr>
        <w:t>本项目项目组成见下表</w:t>
      </w:r>
      <w:r>
        <w:rPr>
          <w:rFonts w:hint="default" w:ascii="Times New Roman" w:hAnsi="Times New Roman" w:eastAsia="仿宋_GB2312" w:cs="Times New Roman"/>
          <w:color w:val="auto"/>
          <w:sz w:val="24"/>
          <w:lang w:val="en-US" w:eastAsia="zh-CN" w:bidi="ar"/>
        </w:rPr>
        <w:t>2.1-1。</w:t>
      </w:r>
    </w:p>
    <w:p w14:paraId="29CA7847">
      <w:pPr>
        <w:numPr>
          <w:ilvl w:val="0"/>
          <w:numId w:val="0"/>
        </w:numPr>
        <w:spacing w:line="360" w:lineRule="auto"/>
        <w:ind w:firstLine="422" w:firstLineChars="200"/>
        <w:jc w:val="center"/>
        <w:rPr>
          <w:rFonts w:hint="default" w:ascii="Times New Roman" w:hAnsi="Times New Roman" w:eastAsia="仿宋_GB2312" w:cs="Times New Roman"/>
          <w:b/>
          <w:bCs/>
          <w:color w:val="auto"/>
          <w:vertAlign w:val="baseline"/>
          <w:lang w:val="en-US" w:eastAsia="zh-CN"/>
        </w:rPr>
      </w:pPr>
      <w:r>
        <w:rPr>
          <w:rFonts w:hint="default" w:ascii="Times New Roman" w:hAnsi="Times New Roman" w:eastAsia="仿宋_GB2312" w:cs="Times New Roman"/>
          <w:b/>
          <w:bCs/>
          <w:color w:val="auto"/>
          <w:sz w:val="21"/>
          <w:szCs w:val="21"/>
          <w:lang w:val="en-US" w:eastAsia="zh-CN" w:bidi="ar"/>
        </w:rPr>
        <w:t>表2.1-1  项目组成表</w:t>
      </w:r>
    </w:p>
    <w:tbl>
      <w:tblPr>
        <w:tblStyle w:val="19"/>
        <w:tblW w:w="909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1305"/>
        <w:gridCol w:w="6255"/>
      </w:tblGrid>
      <w:tr w14:paraId="0B37A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7" w:type="dxa"/>
            <w:gridSpan w:val="2"/>
            <w:tcBorders>
              <w:tl2br w:val="nil"/>
              <w:tr2bl w:val="nil"/>
            </w:tcBorders>
            <w:vAlign w:val="center"/>
          </w:tcPr>
          <w:p w14:paraId="419F755B">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项目名称</w:t>
            </w:r>
          </w:p>
        </w:tc>
        <w:tc>
          <w:tcPr>
            <w:tcW w:w="6255" w:type="dxa"/>
            <w:tcBorders>
              <w:tl2br w:val="nil"/>
              <w:tr2bl w:val="nil"/>
            </w:tcBorders>
            <w:vAlign w:val="center"/>
          </w:tcPr>
          <w:p w14:paraId="39E0CEEE">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项目组成</w:t>
            </w:r>
          </w:p>
        </w:tc>
      </w:tr>
      <w:tr w14:paraId="2053D4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2" w:type="dxa"/>
            <w:vMerge w:val="restart"/>
            <w:tcBorders>
              <w:tl2br w:val="nil"/>
              <w:tr2bl w:val="nil"/>
            </w:tcBorders>
            <w:vAlign w:val="center"/>
          </w:tcPr>
          <w:p w14:paraId="5E905ABE">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剑阁县王河镇干部周转房建设项目</w:t>
            </w:r>
          </w:p>
        </w:tc>
        <w:tc>
          <w:tcPr>
            <w:tcW w:w="1305" w:type="dxa"/>
            <w:tcBorders>
              <w:tl2br w:val="nil"/>
              <w:tr2bl w:val="nil"/>
            </w:tcBorders>
            <w:vAlign w:val="center"/>
          </w:tcPr>
          <w:p w14:paraId="357324D2">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建构筑物工程</w:t>
            </w:r>
          </w:p>
        </w:tc>
        <w:tc>
          <w:tcPr>
            <w:tcW w:w="6255" w:type="dxa"/>
            <w:tcBorders>
              <w:tl2br w:val="nil"/>
              <w:tr2bl w:val="nil"/>
            </w:tcBorders>
            <w:vAlign w:val="center"/>
          </w:tcPr>
          <w:p w14:paraId="104CBDFA">
            <w:pPr>
              <w:numPr>
                <w:ilvl w:val="0"/>
                <w:numId w:val="0"/>
              </w:numPr>
              <w:spacing w:line="360" w:lineRule="auto"/>
              <w:jc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干部周转房 1 栋</w:t>
            </w:r>
          </w:p>
        </w:tc>
      </w:tr>
      <w:tr w14:paraId="4524AB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2" w:type="dxa"/>
            <w:vMerge w:val="continue"/>
            <w:tcBorders>
              <w:tl2br w:val="nil"/>
              <w:tr2bl w:val="nil"/>
            </w:tcBorders>
            <w:vAlign w:val="center"/>
          </w:tcPr>
          <w:p w14:paraId="7DBF28A3">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1305" w:type="dxa"/>
            <w:tcBorders>
              <w:tl2br w:val="nil"/>
              <w:tr2bl w:val="nil"/>
            </w:tcBorders>
            <w:vAlign w:val="center"/>
          </w:tcPr>
          <w:p w14:paraId="76E6CA95">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硬化工程</w:t>
            </w:r>
          </w:p>
        </w:tc>
        <w:tc>
          <w:tcPr>
            <w:tcW w:w="6255" w:type="dxa"/>
            <w:tcBorders>
              <w:tl2br w:val="nil"/>
              <w:tr2bl w:val="nil"/>
            </w:tcBorders>
            <w:vAlign w:val="center"/>
          </w:tcPr>
          <w:p w14:paraId="72051437">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硬化道路及停车场等硬化场地</w:t>
            </w:r>
          </w:p>
        </w:tc>
      </w:tr>
      <w:tr w14:paraId="396122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2" w:type="dxa"/>
            <w:vMerge w:val="continue"/>
            <w:tcBorders>
              <w:tl2br w:val="nil"/>
              <w:tr2bl w:val="nil"/>
            </w:tcBorders>
            <w:vAlign w:val="center"/>
          </w:tcPr>
          <w:p w14:paraId="2A30FB9B">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1305" w:type="dxa"/>
            <w:tcBorders>
              <w:tl2br w:val="nil"/>
              <w:tr2bl w:val="nil"/>
            </w:tcBorders>
            <w:vAlign w:val="center"/>
          </w:tcPr>
          <w:p w14:paraId="4A601734">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绿化工程</w:t>
            </w:r>
          </w:p>
        </w:tc>
        <w:tc>
          <w:tcPr>
            <w:tcW w:w="6255" w:type="dxa"/>
            <w:tcBorders>
              <w:tl2br w:val="nil"/>
              <w:tr2bl w:val="nil"/>
            </w:tcBorders>
            <w:vAlign w:val="center"/>
          </w:tcPr>
          <w:p w14:paraId="15BD7447">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lang w:val="en-US" w:eastAsia="zh-CN" w:bidi="ar"/>
              </w:rPr>
              <w:t>主体建筑周围及道路等硬化区域周围绿化区域</w:t>
            </w:r>
          </w:p>
        </w:tc>
      </w:tr>
      <w:tr w14:paraId="100E77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2" w:type="dxa"/>
            <w:vMerge w:val="continue"/>
            <w:tcBorders>
              <w:tl2br w:val="nil"/>
              <w:tr2bl w:val="nil"/>
            </w:tcBorders>
            <w:vAlign w:val="center"/>
          </w:tcPr>
          <w:p w14:paraId="7862FADB">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1305" w:type="dxa"/>
            <w:tcBorders>
              <w:tl2br w:val="nil"/>
              <w:tr2bl w:val="nil"/>
            </w:tcBorders>
            <w:vAlign w:val="center"/>
          </w:tcPr>
          <w:p w14:paraId="3740D405">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附属设施</w:t>
            </w:r>
          </w:p>
        </w:tc>
        <w:tc>
          <w:tcPr>
            <w:tcW w:w="6255" w:type="dxa"/>
            <w:tcBorders>
              <w:tl2br w:val="nil"/>
              <w:tr2bl w:val="nil"/>
            </w:tcBorders>
            <w:vAlign w:val="center"/>
          </w:tcPr>
          <w:p w14:paraId="01AA3BDF">
            <w:pPr>
              <w:numPr>
                <w:ilvl w:val="0"/>
                <w:numId w:val="0"/>
              </w:numPr>
              <w:spacing w:line="360" w:lineRule="auto"/>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 xml:space="preserve"> 水电气相关基础设施及设备购置</w:t>
            </w:r>
          </w:p>
        </w:tc>
      </w:tr>
    </w:tbl>
    <w:p w14:paraId="1C386D93">
      <w:pPr>
        <w:numPr>
          <w:ilvl w:val="0"/>
          <w:numId w:val="0"/>
        </w:numPr>
        <w:spacing w:line="360" w:lineRule="auto"/>
        <w:ind w:firstLine="480" w:firstLineChars="200"/>
        <w:rPr>
          <w:rFonts w:hint="default" w:ascii="Times New Roman" w:hAnsi="Times New Roman" w:eastAsia="仿宋_GB2312" w:cs="Times New Roman"/>
          <w:b w:val="0"/>
          <w:bCs w:val="0"/>
          <w:color w:val="auto"/>
          <w:sz w:val="24"/>
          <w:lang w:val="en-US" w:eastAsia="zh-CN" w:bidi="ar"/>
        </w:rPr>
      </w:pPr>
      <w:r>
        <w:rPr>
          <w:rFonts w:hint="default" w:ascii="Times New Roman" w:hAnsi="Times New Roman" w:eastAsia="仿宋_GB2312" w:cs="Times New Roman"/>
          <w:b w:val="0"/>
          <w:bCs w:val="0"/>
          <w:color w:val="auto"/>
          <w:sz w:val="24"/>
          <w:lang w:val="en-US" w:eastAsia="zh-CN" w:bidi="ar"/>
        </w:rPr>
        <w:t>1、建构筑物工程</w:t>
      </w:r>
    </w:p>
    <w:p w14:paraId="002F8393">
      <w:pPr>
        <w:numPr>
          <w:ilvl w:val="0"/>
          <w:numId w:val="0"/>
        </w:numPr>
        <w:spacing w:line="360" w:lineRule="auto"/>
        <w:ind w:firstLine="480" w:firstLineChars="200"/>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b w:val="0"/>
          <w:bCs w:val="0"/>
          <w:color w:val="auto"/>
          <w:sz w:val="24"/>
          <w:lang w:val="en-US" w:eastAsia="zh-CN" w:bidi="ar"/>
        </w:rPr>
        <w:t>本项目建构筑物工程主要</w:t>
      </w:r>
      <w:r>
        <w:rPr>
          <w:rFonts w:hint="default" w:ascii="Times New Roman" w:hAnsi="Times New Roman" w:eastAsia="仿宋_GB2312" w:cs="Times New Roman"/>
          <w:color w:val="auto"/>
          <w:sz w:val="24"/>
          <w:lang w:eastAsia="zh-CN" w:bidi="ar"/>
        </w:rPr>
        <w:t>包</w:t>
      </w:r>
      <w:r>
        <w:rPr>
          <w:rFonts w:hint="default" w:ascii="Times New Roman" w:hAnsi="Times New Roman" w:eastAsia="仿宋_GB2312" w:cs="Times New Roman"/>
          <w:color w:val="auto"/>
          <w:sz w:val="24"/>
          <w:szCs w:val="24"/>
          <w:lang w:eastAsia="zh-CN" w:bidi="ar"/>
        </w:rPr>
        <w:t>括</w:t>
      </w:r>
      <w:r>
        <w:rPr>
          <w:rFonts w:hint="default" w:ascii="Times New Roman" w:hAnsi="Times New Roman" w:eastAsia="仿宋_GB2312" w:cs="Times New Roman"/>
          <w:b w:val="0"/>
          <w:bCs w:val="0"/>
          <w:color w:val="auto"/>
          <w:kern w:val="2"/>
          <w:sz w:val="24"/>
          <w:szCs w:val="24"/>
          <w:lang w:val="en-US" w:eastAsia="zh-CN" w:bidi="ar"/>
        </w:rPr>
        <w:t>新建干部周转房1栋，钢筋混凝土框架结构。建筑面积2800m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b w:val="0"/>
          <w:bCs w:val="0"/>
          <w:color w:val="auto"/>
          <w:sz w:val="24"/>
          <w:lang w:val="en-US" w:eastAsia="zh-CN" w:bidi="ar"/>
        </w:rPr>
        <w:t>为地上八层建筑，占地面积总计0.04h</w:t>
      </w:r>
      <w:r>
        <w:rPr>
          <w:rFonts w:hint="default" w:ascii="Times New Roman" w:hAnsi="Times New Roman" w:eastAsia="仿宋_GB2312" w:cs="Times New Roman"/>
          <w:color w:val="auto"/>
          <w:sz w:val="24"/>
          <w:szCs w:val="24"/>
          <w:lang w:val="en-US" w:eastAsia="zh-CN" w:bidi="ar"/>
        </w:rPr>
        <w:t>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b w:val="0"/>
          <w:bCs w:val="0"/>
          <w:color w:val="auto"/>
          <w:kern w:val="2"/>
          <w:sz w:val="24"/>
          <w:szCs w:val="24"/>
          <w:lang w:val="en-US" w:eastAsia="zh-CN" w:bidi="ar"/>
        </w:rPr>
        <w:t>容积率0.86，建筑密度17.13%。</w:t>
      </w:r>
    </w:p>
    <w:p w14:paraId="3E940D2F">
      <w:pPr>
        <w:widowControl/>
        <w:numPr>
          <w:ilvl w:val="0"/>
          <w:numId w:val="0"/>
        </w:numPr>
        <w:spacing w:line="360" w:lineRule="auto"/>
        <w:ind w:firstLine="480" w:firstLineChars="200"/>
        <w:rPr>
          <w:rFonts w:hint="default" w:ascii="Times New Roman" w:hAnsi="Times New Roman" w:eastAsia="仿宋_GB2312" w:cs="Times New Roman"/>
          <w:b w:val="0"/>
          <w:bCs w:val="0"/>
          <w:color w:val="auto"/>
          <w:sz w:val="24"/>
          <w:lang w:val="en-US" w:eastAsia="zh-CN" w:bidi="ar"/>
        </w:rPr>
      </w:pPr>
      <w:r>
        <w:rPr>
          <w:rFonts w:hint="default" w:ascii="Times New Roman" w:hAnsi="Times New Roman" w:eastAsia="仿宋_GB2312" w:cs="Times New Roman"/>
          <w:b w:val="0"/>
          <w:bCs w:val="0"/>
          <w:color w:val="auto"/>
          <w:sz w:val="24"/>
          <w:lang w:val="en-US" w:eastAsia="zh-CN" w:bidi="ar"/>
        </w:rPr>
        <w:t>2、硬化工程</w:t>
      </w:r>
    </w:p>
    <w:p w14:paraId="3DFBC2C0">
      <w:pPr>
        <w:widowControl/>
        <w:numPr>
          <w:ilvl w:val="0"/>
          <w:numId w:val="0"/>
        </w:numPr>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eastAsia="zh-CN"/>
        </w:rPr>
        <w:t>本项目硬化工程主要包括场内道路</w:t>
      </w:r>
      <w:r>
        <w:rPr>
          <w:rFonts w:hint="default" w:ascii="Times New Roman" w:hAnsi="Times New Roman" w:eastAsia="仿宋_GB2312" w:cs="Times New Roman"/>
          <w:color w:val="auto"/>
          <w:sz w:val="24"/>
          <w:szCs w:val="24"/>
          <w:lang w:val="en-US" w:eastAsia="zh-CN"/>
        </w:rPr>
        <w:t>及硬化场地，硬化面积总计0.17h</w:t>
      </w:r>
      <w:r>
        <w:rPr>
          <w:rFonts w:hint="default" w:ascii="Times New Roman" w:hAnsi="Times New Roman" w:eastAsia="仿宋_GB2312" w:cs="Times New Roman"/>
          <w:color w:val="auto"/>
          <w:sz w:val="24"/>
          <w:szCs w:val="24"/>
          <w:lang w:val="en-US" w:eastAsia="zh-CN" w:bidi="ar"/>
        </w:rPr>
        <w:t>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sz w:val="24"/>
          <w:lang w:val="en-US" w:eastAsia="zh-CN" w:bidi="ar"/>
        </w:rPr>
        <w:t>。其中</w:t>
      </w:r>
      <w:r>
        <w:rPr>
          <w:rFonts w:hint="default" w:ascii="Times New Roman" w:hAnsi="Times New Roman" w:eastAsia="仿宋_GB2312" w:cs="Times New Roman"/>
          <w:color w:val="auto"/>
          <w:sz w:val="24"/>
          <w:szCs w:val="24"/>
          <w:lang w:val="en-US" w:eastAsia="zh-CN"/>
        </w:rPr>
        <w:t>场内道路宽度4m，道路及场内停车位等硬化场地均采用C25砼面层</w:t>
      </w:r>
      <w:r>
        <w:rPr>
          <w:rFonts w:hint="default" w:ascii="Times New Roman" w:hAnsi="Times New Roman" w:eastAsia="仿宋_GB2312" w:cs="Times New Roman"/>
          <w:b w:val="0"/>
          <w:bCs w:val="0"/>
          <w:color w:val="auto"/>
          <w:sz w:val="24"/>
          <w:lang w:val="en-US" w:eastAsia="zh-CN" w:bidi="ar"/>
        </w:rPr>
        <w:t>。</w:t>
      </w:r>
    </w:p>
    <w:p w14:paraId="09B0661C">
      <w:pPr>
        <w:numPr>
          <w:ilvl w:val="0"/>
          <w:numId w:val="0"/>
        </w:numPr>
        <w:spacing w:line="360" w:lineRule="auto"/>
        <w:ind w:firstLine="480" w:firstLineChars="200"/>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val="en-US" w:eastAsia="zh-CN" w:bidi="ar"/>
        </w:rPr>
        <w:t>3、绿化工程</w:t>
      </w:r>
    </w:p>
    <w:p w14:paraId="129B440B">
      <w:pPr>
        <w:numPr>
          <w:ilvl w:val="0"/>
          <w:numId w:val="0"/>
        </w:numPr>
        <w:spacing w:line="360" w:lineRule="auto"/>
        <w:ind w:firstLine="480" w:firstLineChars="200"/>
        <w:rPr>
          <w:rFonts w:hint="default" w:ascii="Times New Roman" w:hAnsi="Times New Roman" w:eastAsia="仿宋_GB2312" w:cs="Times New Roman"/>
          <w:color w:val="FF0000"/>
          <w:sz w:val="24"/>
          <w:lang w:val="en-US" w:eastAsia="zh-CN" w:bidi="ar"/>
        </w:rPr>
      </w:pPr>
      <w:r>
        <w:rPr>
          <w:rFonts w:hint="default" w:ascii="Times New Roman" w:hAnsi="Times New Roman" w:eastAsia="仿宋_GB2312" w:cs="Times New Roman"/>
          <w:color w:val="auto"/>
          <w:sz w:val="24"/>
          <w:lang w:val="en-US" w:eastAsia="zh-CN" w:bidi="ar"/>
        </w:rPr>
        <w:t>本项目绿化工程主要布置在主体建筑周围、道路及广场等硬化区域周围，</w:t>
      </w:r>
      <w:r>
        <w:rPr>
          <w:rFonts w:hint="default" w:ascii="Times New Roman" w:hAnsi="Times New Roman" w:eastAsia="仿宋_GB2312" w:cs="Times New Roman"/>
          <w:color w:val="auto"/>
          <w:sz w:val="24"/>
          <w:lang w:eastAsia="zh-CN" w:bidi="ar"/>
        </w:rPr>
        <w:t>绿化面积总计</w:t>
      </w:r>
      <w:r>
        <w:rPr>
          <w:rFonts w:hint="default" w:ascii="Times New Roman" w:hAnsi="Times New Roman" w:eastAsia="仿宋_GB2312" w:cs="Times New Roman"/>
          <w:color w:val="auto"/>
          <w:sz w:val="24"/>
          <w:lang w:val="en-US" w:eastAsia="zh-CN" w:bidi="ar"/>
        </w:rPr>
        <w:t>0.12h</w:t>
      </w:r>
      <w:r>
        <w:rPr>
          <w:rFonts w:hint="default" w:ascii="Times New Roman" w:hAnsi="Times New Roman" w:eastAsia="仿宋_GB2312" w:cs="Times New Roman"/>
          <w:bCs/>
          <w:color w:val="auto"/>
          <w:sz w:val="24"/>
          <w:lang w:val="zh-CN" w:bidi="ar"/>
        </w:rPr>
        <w:t>m</w:t>
      </w:r>
      <w:r>
        <w:rPr>
          <w:rFonts w:hint="default" w:ascii="Times New Roman" w:hAnsi="Times New Roman" w:eastAsia="仿宋_GB2312" w:cs="Times New Roman"/>
          <w:bCs/>
          <w:color w:val="auto"/>
          <w:sz w:val="24"/>
          <w:vertAlign w:val="superscript"/>
          <w:lang w:val="zh-CN" w:bidi="ar"/>
        </w:rPr>
        <w:t>2</w:t>
      </w:r>
      <w:r>
        <w:rPr>
          <w:rFonts w:hint="default" w:ascii="Times New Roman" w:hAnsi="Times New Roman" w:eastAsia="仿宋_GB2312" w:cs="Times New Roman"/>
          <w:color w:val="auto"/>
          <w:sz w:val="24"/>
          <w:lang w:val="en-US" w:eastAsia="zh-CN" w:bidi="ar"/>
        </w:rPr>
        <w:t>，对原有部分树种进行保留的同时，对项目区进行撒播草籽，草种采用小麦冬等。</w:t>
      </w:r>
    </w:p>
    <w:p w14:paraId="6B095EC4">
      <w:pPr>
        <w:numPr>
          <w:ilvl w:val="0"/>
          <w:numId w:val="0"/>
        </w:numPr>
        <w:spacing w:line="360" w:lineRule="auto"/>
        <w:ind w:firstLine="480" w:firstLineChars="200"/>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val="en-US" w:eastAsia="zh-CN" w:bidi="ar"/>
        </w:rPr>
        <w:t>4、附属设施</w:t>
      </w:r>
    </w:p>
    <w:p w14:paraId="64385799">
      <w:pPr>
        <w:numPr>
          <w:ilvl w:val="0"/>
          <w:numId w:val="0"/>
        </w:numPr>
        <w:spacing w:line="360" w:lineRule="auto"/>
        <w:ind w:firstLine="480" w:firstLineChars="200"/>
        <w:rPr>
          <w:rFonts w:hint="default" w:ascii="Times New Roman" w:hAnsi="Times New Roman" w:eastAsia="仿宋_GB2312" w:cs="Times New Roman"/>
          <w:color w:val="FF0000"/>
          <w:sz w:val="24"/>
          <w:lang w:val="en-US" w:eastAsia="zh-CN" w:bidi="ar"/>
        </w:rPr>
      </w:pPr>
      <w:r>
        <w:rPr>
          <w:rFonts w:hint="default" w:ascii="Times New Roman" w:hAnsi="Times New Roman" w:eastAsia="仿宋_GB2312" w:cs="Times New Roman"/>
          <w:color w:val="auto"/>
          <w:sz w:val="24"/>
          <w:lang w:val="en-US" w:eastAsia="zh-CN" w:bidi="ar"/>
        </w:rPr>
        <w:t>本项目附属设施主要包括供电系统、给排水系统及设备购置。</w:t>
      </w:r>
    </w:p>
    <w:p w14:paraId="3C152491">
      <w:pPr>
        <w:numPr>
          <w:ilvl w:val="0"/>
          <w:numId w:val="0"/>
        </w:numPr>
        <w:spacing w:line="360" w:lineRule="auto"/>
        <w:ind w:firstLine="480" w:firstLineChars="200"/>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val="en-US" w:eastAsia="zh-CN" w:bidi="ar"/>
        </w:rPr>
        <w:t>供电系统：直接接入附近电网供电。</w:t>
      </w:r>
    </w:p>
    <w:p w14:paraId="62A4A888">
      <w:pPr>
        <w:numPr>
          <w:ilvl w:val="0"/>
          <w:numId w:val="0"/>
        </w:numPr>
        <w:spacing w:line="360" w:lineRule="auto"/>
        <w:ind w:firstLine="480" w:firstLineChars="200"/>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val="en-US" w:eastAsia="zh-CN" w:bidi="ar"/>
        </w:rPr>
        <w:t>给排水系统</w:t>
      </w:r>
      <w:r>
        <w:rPr>
          <w:rFonts w:hint="default" w:ascii="Times New Roman" w:hAnsi="Times New Roman" w:eastAsia="仿宋_GB2312" w:cs="Times New Roman"/>
          <w:color w:val="auto"/>
          <w:sz w:val="24"/>
          <w:szCs w:val="24"/>
          <w:lang w:val="en-US" w:eastAsia="zh-CN" w:bidi="ar"/>
        </w:rPr>
        <w:t>：生活用水由市政管网供给；生产用水采用附近水流，不足部分采用生活用水水源。</w:t>
      </w:r>
      <w:r>
        <w:rPr>
          <w:rFonts w:hint="default" w:ascii="Times New Roman" w:hAnsi="Times New Roman" w:eastAsia="仿宋_GB2312" w:cs="Times New Roman"/>
          <w:color w:val="auto"/>
          <w:sz w:val="24"/>
          <w:szCs w:val="24"/>
          <w:highlight w:val="none"/>
          <w:lang w:val="en-US" w:eastAsia="zh-CN"/>
        </w:rPr>
        <w:t>排水系统采用雨污分流，排水通过施工建设的排水系统可排出项目区水流</w:t>
      </w:r>
      <w:r>
        <w:rPr>
          <w:rFonts w:hint="default" w:ascii="Times New Roman" w:hAnsi="Times New Roman" w:eastAsia="仿宋_GB2312" w:cs="Times New Roman"/>
          <w:color w:val="auto"/>
          <w:sz w:val="24"/>
          <w:szCs w:val="24"/>
          <w:lang w:val="en-US" w:eastAsia="zh-CN" w:bidi="ar"/>
        </w:rPr>
        <w:t>。</w:t>
      </w:r>
      <w:r>
        <w:rPr>
          <w:rFonts w:hint="default" w:ascii="Times New Roman" w:hAnsi="Times New Roman" w:eastAsia="仿宋_GB2312" w:cs="Times New Roman"/>
          <w:color w:val="auto"/>
          <w:sz w:val="24"/>
          <w:lang w:val="en-US" w:eastAsia="zh-CN" w:bidi="ar"/>
        </w:rPr>
        <w:t>据统计，场地内设置DN300排水管720m、雨水井20座、雨水口15座。</w:t>
      </w:r>
    </w:p>
    <w:p w14:paraId="05F19E09">
      <w:pPr>
        <w:numPr>
          <w:ilvl w:val="0"/>
          <w:numId w:val="0"/>
        </w:numPr>
        <w:spacing w:line="360" w:lineRule="auto"/>
        <w:ind w:firstLine="480" w:firstLineChars="200"/>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val="en-US" w:eastAsia="zh-CN" w:bidi="ar"/>
        </w:rPr>
        <w:t>设备购置主要包括床、衣柜、桌椅等生活用具。</w:t>
      </w:r>
    </w:p>
    <w:p w14:paraId="11ECC1C1">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val="en-US" w:eastAsia="zh-CN"/>
        </w:rPr>
      </w:pPr>
      <w:bookmarkStart w:id="70" w:name="_Toc31752"/>
      <w:r>
        <w:rPr>
          <w:rFonts w:hint="default" w:ascii="Times New Roman" w:hAnsi="Times New Roman" w:eastAsia="仿宋_GB2312" w:cs="Times New Roman"/>
          <w:b/>
          <w:bCs/>
          <w:color w:val="auto"/>
          <w:szCs w:val="24"/>
          <w:lang w:val="en-US" w:eastAsia="zh-CN"/>
        </w:rPr>
        <w:t>2.2施工组织</w:t>
      </w:r>
      <w:bookmarkEnd w:id="70"/>
      <w:bookmarkStart w:id="210" w:name="_GoBack"/>
      <w:bookmarkEnd w:id="210"/>
    </w:p>
    <w:p w14:paraId="1DD5B8DC">
      <w:pPr>
        <w:numPr>
          <w:ilvl w:val="0"/>
          <w:numId w:val="0"/>
        </w:numPr>
        <w:spacing w:line="360" w:lineRule="auto"/>
        <w:outlineLvl w:val="2"/>
        <w:rPr>
          <w:rFonts w:hint="default" w:ascii="Times New Roman" w:hAnsi="Times New Roman" w:eastAsia="仿宋_GB2312" w:cs="Times New Roman"/>
          <w:b/>
          <w:color w:val="auto"/>
          <w:kern w:val="0"/>
          <w:sz w:val="24"/>
          <w:szCs w:val="24"/>
          <w:lang w:val="en-US" w:eastAsia="zh-CN" w:bidi="ar"/>
        </w:rPr>
      </w:pPr>
      <w:r>
        <w:rPr>
          <w:rFonts w:hint="default" w:ascii="Times New Roman" w:hAnsi="Times New Roman" w:eastAsia="仿宋_GB2312" w:cs="Times New Roman"/>
          <w:b/>
          <w:color w:val="auto"/>
          <w:kern w:val="0"/>
          <w:sz w:val="28"/>
          <w:szCs w:val="28"/>
          <w:lang w:val="en-US" w:eastAsia="zh-CN" w:bidi="ar"/>
        </w:rPr>
        <w:t>2.2.1施工条件</w:t>
      </w:r>
    </w:p>
    <w:p w14:paraId="5D64939F">
      <w:pPr>
        <w:numPr>
          <w:ilvl w:val="0"/>
          <w:numId w:val="1"/>
        </w:numPr>
        <w:spacing w:line="360" w:lineRule="auto"/>
        <w:ind w:firstLine="480" w:firstLineChars="200"/>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val="0"/>
          <w:bCs/>
          <w:color w:val="auto"/>
          <w:kern w:val="0"/>
          <w:sz w:val="24"/>
          <w:szCs w:val="24"/>
          <w:lang w:val="en-US" w:eastAsia="zh-CN" w:bidi="ar"/>
        </w:rPr>
        <w:t>供电：</w:t>
      </w:r>
      <w:r>
        <w:rPr>
          <w:rFonts w:hint="default" w:ascii="Times New Roman" w:hAnsi="Times New Roman" w:eastAsia="仿宋_GB2312" w:cs="Times New Roman"/>
          <w:color w:val="auto"/>
          <w:sz w:val="24"/>
        </w:rPr>
        <w:t>项目区施工用</w:t>
      </w:r>
      <w:r>
        <w:rPr>
          <w:rFonts w:hint="default" w:ascii="Times New Roman" w:hAnsi="Times New Roman" w:eastAsia="仿宋_GB2312" w:cs="Times New Roman"/>
          <w:color w:val="auto"/>
          <w:sz w:val="24"/>
          <w:lang w:eastAsia="zh-CN"/>
        </w:rPr>
        <w:t>电</w:t>
      </w:r>
      <w:r>
        <w:rPr>
          <w:rFonts w:hint="default" w:ascii="Times New Roman" w:hAnsi="Times New Roman" w:eastAsia="仿宋_GB2312" w:cs="Times New Roman"/>
          <w:color w:val="auto"/>
          <w:sz w:val="24"/>
        </w:rPr>
        <w:t>接</w:t>
      </w:r>
      <w:r>
        <w:rPr>
          <w:rFonts w:hint="default" w:ascii="Times New Roman" w:hAnsi="Times New Roman" w:eastAsia="仿宋_GB2312" w:cs="Times New Roman"/>
          <w:color w:val="auto"/>
          <w:sz w:val="24"/>
          <w:lang w:eastAsia="zh-CN"/>
        </w:rPr>
        <w:t>周边电</w:t>
      </w:r>
      <w:r>
        <w:rPr>
          <w:rFonts w:hint="default" w:ascii="Times New Roman" w:hAnsi="Times New Roman" w:eastAsia="仿宋_GB2312" w:cs="Times New Roman"/>
          <w:color w:val="auto"/>
          <w:sz w:val="24"/>
        </w:rPr>
        <w:t>网供</w:t>
      </w:r>
      <w:r>
        <w:rPr>
          <w:rFonts w:hint="default" w:ascii="Times New Roman" w:hAnsi="Times New Roman" w:eastAsia="仿宋_GB2312" w:cs="Times New Roman"/>
          <w:color w:val="auto"/>
          <w:sz w:val="24"/>
          <w:lang w:eastAsia="zh-CN"/>
        </w:rPr>
        <w:t>电。</w:t>
      </w:r>
    </w:p>
    <w:p w14:paraId="695F75A5">
      <w:pPr>
        <w:numPr>
          <w:ilvl w:val="0"/>
          <w:numId w:val="0"/>
        </w:numPr>
        <w:spacing w:line="360" w:lineRule="auto"/>
        <w:ind w:firstLine="480" w:firstLineChars="200"/>
        <w:rPr>
          <w:rFonts w:hint="default" w:ascii="Times New Roman" w:hAnsi="Times New Roman" w:eastAsia="仿宋_GB2312" w:cs="Times New Roman"/>
          <w:b/>
          <w:color w:val="auto"/>
          <w:kern w:val="0"/>
          <w:sz w:val="24"/>
          <w:szCs w:val="24"/>
          <w:lang w:val="en-US" w:eastAsia="zh-CN" w:bidi="ar"/>
        </w:rPr>
      </w:pPr>
      <w:r>
        <w:rPr>
          <w:rFonts w:hint="default" w:ascii="Times New Roman" w:hAnsi="Times New Roman" w:eastAsia="仿宋_GB2312" w:cs="Times New Roman"/>
          <w:b w:val="0"/>
          <w:bCs/>
          <w:color w:val="auto"/>
          <w:kern w:val="0"/>
          <w:sz w:val="24"/>
          <w:szCs w:val="24"/>
          <w:lang w:val="en-US" w:eastAsia="zh-CN" w:bidi="ar"/>
        </w:rPr>
        <w:t>2、供水：</w:t>
      </w:r>
      <w:r>
        <w:rPr>
          <w:rFonts w:hint="default" w:ascii="Times New Roman" w:hAnsi="Times New Roman" w:eastAsia="仿宋_GB2312" w:cs="Times New Roman"/>
          <w:color w:val="auto"/>
          <w:sz w:val="24"/>
        </w:rPr>
        <w:t>项目区</w:t>
      </w:r>
      <w:r>
        <w:rPr>
          <w:rFonts w:hint="default" w:ascii="Times New Roman" w:hAnsi="Times New Roman" w:eastAsia="仿宋_GB2312" w:cs="Times New Roman"/>
          <w:color w:val="auto"/>
          <w:sz w:val="24"/>
          <w:lang w:val="en-US" w:eastAsia="zh-CN" w:bidi="ar"/>
        </w:rPr>
        <w:t>生活用水由市政管网供给，生产用水采用附近水流，不足部分采用生活用水水源。</w:t>
      </w:r>
    </w:p>
    <w:p w14:paraId="5C94AFB0">
      <w:pPr>
        <w:numPr>
          <w:ilvl w:val="0"/>
          <w:numId w:val="0"/>
        </w:numPr>
        <w:spacing w:line="360" w:lineRule="auto"/>
        <w:ind w:firstLine="480" w:firstLineChars="200"/>
        <w:rPr>
          <w:rFonts w:hint="default" w:ascii="Times New Roman" w:hAnsi="Times New Roman" w:eastAsia="仿宋_GB2312" w:cs="Times New Roman"/>
          <w:b w:val="0"/>
          <w:bCs/>
          <w:color w:val="auto"/>
          <w:kern w:val="0"/>
          <w:sz w:val="24"/>
          <w:szCs w:val="24"/>
          <w:lang w:val="en-US" w:eastAsia="zh-CN" w:bidi="ar"/>
        </w:rPr>
      </w:pPr>
      <w:r>
        <w:rPr>
          <w:rFonts w:hint="default" w:ascii="Times New Roman" w:hAnsi="Times New Roman" w:eastAsia="仿宋_GB2312" w:cs="Times New Roman"/>
          <w:b w:val="0"/>
          <w:bCs/>
          <w:color w:val="auto"/>
          <w:kern w:val="0"/>
          <w:sz w:val="24"/>
          <w:szCs w:val="24"/>
          <w:lang w:val="en-US" w:eastAsia="zh-CN" w:bidi="ar"/>
        </w:rPr>
        <w:t>3、施工道路：已有硬化道路连接至项目区。</w:t>
      </w:r>
    </w:p>
    <w:p w14:paraId="27BBDA78">
      <w:pPr>
        <w:numPr>
          <w:ilvl w:val="0"/>
          <w:numId w:val="0"/>
        </w:numPr>
        <w:spacing w:line="360" w:lineRule="auto"/>
        <w:ind w:firstLine="480" w:firstLineChars="200"/>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b w:val="0"/>
          <w:bCs/>
          <w:color w:val="auto"/>
          <w:kern w:val="0"/>
          <w:sz w:val="24"/>
          <w:szCs w:val="24"/>
          <w:lang w:val="en-US" w:eastAsia="zh-CN" w:bidi="ar"/>
        </w:rPr>
        <w:t>4、施工材料：</w:t>
      </w:r>
      <w:r>
        <w:rPr>
          <w:rFonts w:hint="default" w:ascii="Times New Roman" w:hAnsi="Times New Roman" w:eastAsia="仿宋_GB2312" w:cs="Times New Roman"/>
          <w:color w:val="auto"/>
          <w:kern w:val="0"/>
          <w:sz w:val="24"/>
        </w:rPr>
        <w:t>本项目所需的砖、水泥、砂及其他建筑材料等均从</w:t>
      </w:r>
      <w:r>
        <w:rPr>
          <w:rFonts w:hint="default" w:ascii="Times New Roman" w:hAnsi="Times New Roman" w:eastAsia="仿宋_GB2312" w:cs="Times New Roman"/>
          <w:color w:val="auto"/>
          <w:kern w:val="0"/>
          <w:sz w:val="24"/>
          <w:lang w:eastAsia="zh-CN"/>
        </w:rPr>
        <w:t>附近</w:t>
      </w:r>
      <w:r>
        <w:rPr>
          <w:rFonts w:hint="default" w:ascii="Times New Roman" w:hAnsi="Times New Roman" w:eastAsia="仿宋_GB2312" w:cs="Times New Roman"/>
          <w:color w:val="auto"/>
          <w:kern w:val="0"/>
          <w:sz w:val="24"/>
        </w:rPr>
        <w:t>材料市场就近购买，混凝土全部购买商品混凝土，</w:t>
      </w:r>
      <w:r>
        <w:rPr>
          <w:rFonts w:hint="default" w:ascii="Times New Roman" w:hAnsi="Times New Roman" w:eastAsia="仿宋_GB2312" w:cs="Times New Roman"/>
          <w:color w:val="auto"/>
          <w:kern w:val="0"/>
          <w:sz w:val="24"/>
          <w:lang w:eastAsia="zh-CN"/>
        </w:rPr>
        <w:t>由此产生的水土流失由供货商负责，并在购买合同中明确</w:t>
      </w:r>
      <w:r>
        <w:rPr>
          <w:rFonts w:hint="default" w:ascii="Times New Roman" w:hAnsi="Times New Roman" w:eastAsia="仿宋_GB2312" w:cs="Times New Roman"/>
          <w:color w:val="auto"/>
          <w:kern w:val="0"/>
          <w:sz w:val="24"/>
        </w:rPr>
        <w:t>。</w:t>
      </w:r>
    </w:p>
    <w:p w14:paraId="0B66D7D9">
      <w:pPr>
        <w:spacing w:line="360" w:lineRule="auto"/>
        <w:outlineLvl w:val="2"/>
        <w:rPr>
          <w:rFonts w:hint="default" w:ascii="Times New Roman" w:hAnsi="Times New Roman" w:eastAsia="仿宋_GB2312" w:cs="Times New Roman"/>
          <w:b/>
          <w:color w:val="auto"/>
          <w:kern w:val="0"/>
          <w:sz w:val="28"/>
          <w:szCs w:val="28"/>
          <w:lang w:val="en-US" w:eastAsia="zh-CN" w:bidi="ar"/>
        </w:rPr>
      </w:pPr>
      <w:bookmarkStart w:id="71" w:name="_Toc32673"/>
      <w:bookmarkStart w:id="72" w:name="_Toc30942"/>
      <w:bookmarkStart w:id="73" w:name="_Toc29747"/>
      <w:r>
        <w:rPr>
          <w:rFonts w:hint="default" w:ascii="Times New Roman" w:hAnsi="Times New Roman" w:eastAsia="仿宋_GB2312" w:cs="Times New Roman"/>
          <w:b/>
          <w:color w:val="auto"/>
          <w:kern w:val="0"/>
          <w:sz w:val="28"/>
          <w:szCs w:val="28"/>
          <w:lang w:val="en-US" w:eastAsia="zh-CN" w:bidi="ar"/>
        </w:rPr>
        <w:t>2.2.2施工</w:t>
      </w:r>
      <w:bookmarkEnd w:id="71"/>
      <w:bookmarkEnd w:id="72"/>
      <w:bookmarkEnd w:id="73"/>
      <w:r>
        <w:rPr>
          <w:rFonts w:hint="default" w:ascii="Times New Roman" w:hAnsi="Times New Roman" w:eastAsia="仿宋_GB2312" w:cs="Times New Roman"/>
          <w:b/>
          <w:color w:val="auto"/>
          <w:kern w:val="0"/>
          <w:sz w:val="28"/>
          <w:szCs w:val="28"/>
          <w:lang w:val="en-US" w:eastAsia="zh-CN" w:bidi="ar"/>
        </w:rPr>
        <w:t>布置</w:t>
      </w:r>
    </w:p>
    <w:p w14:paraId="39A6A4C8">
      <w:pPr>
        <w:spacing w:line="360" w:lineRule="auto"/>
        <w:ind w:firstLine="472" w:firstLineChars="197"/>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1、</w:t>
      </w:r>
      <w:r>
        <w:rPr>
          <w:rFonts w:hint="default" w:ascii="Times New Roman" w:hAnsi="Times New Roman" w:eastAsia="仿宋_GB2312" w:cs="Times New Roman"/>
          <w:color w:val="auto"/>
          <w:sz w:val="24"/>
        </w:rPr>
        <w:t>施工</w:t>
      </w:r>
      <w:r>
        <w:rPr>
          <w:rFonts w:hint="default" w:ascii="Times New Roman" w:hAnsi="Times New Roman" w:eastAsia="仿宋_GB2312" w:cs="Times New Roman"/>
          <w:color w:val="auto"/>
          <w:sz w:val="24"/>
          <w:lang w:val="en-US" w:eastAsia="zh-CN"/>
        </w:rPr>
        <w:t>生产生活区</w:t>
      </w:r>
    </w:p>
    <w:p w14:paraId="0DB47DAE">
      <w:pPr>
        <w:spacing w:line="360" w:lineRule="auto"/>
        <w:ind w:firstLine="468" w:firstLineChars="195"/>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lang w:val="en-US" w:eastAsia="zh-CN"/>
        </w:rPr>
        <w:t>本项目施工作业较为简单，施工生产利用红线范围内现有场地灵活安排施工作业，不再单独布设施工生产区；另外</w:t>
      </w:r>
      <w:r>
        <w:rPr>
          <w:rFonts w:hint="default" w:ascii="Times New Roman" w:hAnsi="Times New Roman" w:eastAsia="仿宋_GB2312" w:cs="Times New Roman"/>
          <w:color w:val="auto"/>
          <w:kern w:val="0"/>
          <w:sz w:val="24"/>
        </w:rPr>
        <w:t>本项目附近居民分布比较密集，因此施工办公室及住宿</w:t>
      </w:r>
      <w:r>
        <w:rPr>
          <w:rFonts w:hint="default" w:ascii="Times New Roman" w:hAnsi="Times New Roman" w:eastAsia="仿宋_GB2312" w:cs="Times New Roman"/>
          <w:color w:val="auto"/>
          <w:kern w:val="0"/>
          <w:sz w:val="24"/>
          <w:lang w:eastAsia="zh-CN"/>
        </w:rPr>
        <w:t>采用</w:t>
      </w:r>
      <w:r>
        <w:rPr>
          <w:rFonts w:hint="default" w:ascii="Times New Roman" w:hAnsi="Times New Roman" w:eastAsia="仿宋_GB2312" w:cs="Times New Roman"/>
          <w:color w:val="auto"/>
          <w:kern w:val="0"/>
          <w:sz w:val="24"/>
        </w:rPr>
        <w:t>就近租房，</w:t>
      </w:r>
      <w:r>
        <w:rPr>
          <w:rFonts w:hint="default" w:ascii="Times New Roman" w:hAnsi="Times New Roman" w:eastAsia="仿宋_GB2312" w:cs="Times New Roman"/>
          <w:color w:val="auto"/>
          <w:kern w:val="0"/>
          <w:sz w:val="24"/>
          <w:lang w:val="en-US" w:eastAsia="zh-CN"/>
        </w:rPr>
        <w:t>不再单独布设施工生活区</w:t>
      </w:r>
      <w:r>
        <w:rPr>
          <w:rFonts w:hint="default" w:ascii="Times New Roman" w:hAnsi="Times New Roman" w:eastAsia="仿宋_GB2312" w:cs="Times New Roman"/>
          <w:color w:val="auto"/>
          <w:kern w:val="0"/>
          <w:sz w:val="24"/>
        </w:rPr>
        <w:t>。</w:t>
      </w:r>
    </w:p>
    <w:p w14:paraId="1B85F116">
      <w:pPr>
        <w:spacing w:line="360" w:lineRule="auto"/>
        <w:ind w:firstLine="472" w:firstLineChars="197"/>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val="en-US" w:eastAsia="zh-CN"/>
        </w:rPr>
        <w:t>2、</w:t>
      </w:r>
      <w:r>
        <w:rPr>
          <w:rFonts w:hint="default" w:ascii="Times New Roman" w:hAnsi="Times New Roman" w:eastAsia="仿宋_GB2312" w:cs="Times New Roman"/>
          <w:color w:val="auto"/>
          <w:sz w:val="24"/>
        </w:rPr>
        <w:t>临时堆土</w:t>
      </w:r>
      <w:r>
        <w:rPr>
          <w:rFonts w:hint="default" w:ascii="Times New Roman" w:hAnsi="Times New Roman" w:eastAsia="仿宋_GB2312" w:cs="Times New Roman"/>
          <w:color w:val="auto"/>
          <w:sz w:val="24"/>
          <w:lang w:eastAsia="zh-CN"/>
        </w:rPr>
        <w:t>场</w:t>
      </w:r>
    </w:p>
    <w:p w14:paraId="581C55E7">
      <w:pPr>
        <w:widowControl w:val="0"/>
        <w:suppressAutoHyphens/>
        <w:wordWrap/>
        <w:topLinePunct/>
        <w:spacing w:line="360" w:lineRule="auto"/>
        <w:ind w:firstLine="480" w:firstLineChars="200"/>
        <w:jc w:val="both"/>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根据现场踏勘，项目占地中绿化工程占地面积较大且剥离表土较少，表土剥离后已及时回覆在绿化工程内并进行绿化，临时堆土占地为本项目红线内占地，不新增临时用地。开挖土石方及时回填，区内基本场平后，及时对绿化区进行绿化。</w:t>
      </w:r>
    </w:p>
    <w:p w14:paraId="6E06E44A">
      <w:pPr>
        <w:pStyle w:val="4"/>
        <w:widowControl/>
        <w:spacing w:after="120" w:afterLines="50"/>
        <w:rPr>
          <w:rFonts w:hint="default" w:ascii="Times New Roman" w:hAnsi="Times New Roman" w:eastAsia="仿宋_GB2312" w:cs="Times New Roman"/>
          <w:b/>
          <w:color w:val="auto"/>
          <w:szCs w:val="24"/>
          <w:lang w:val="en-US" w:eastAsia="zh-CN"/>
        </w:rPr>
      </w:pPr>
      <w:r>
        <w:rPr>
          <w:rFonts w:hint="default" w:ascii="Times New Roman" w:hAnsi="Times New Roman" w:eastAsia="仿宋_GB2312" w:cs="Times New Roman"/>
          <w:b/>
          <w:color w:val="auto"/>
          <w:szCs w:val="24"/>
          <w:lang w:val="en-US" w:eastAsia="zh-CN"/>
        </w:rPr>
        <w:t>2.2.3施工工艺</w:t>
      </w:r>
    </w:p>
    <w:p w14:paraId="2E47D6E4">
      <w:pPr>
        <w:spacing w:line="360" w:lineRule="auto"/>
        <w:ind w:firstLine="480" w:firstLineChars="200"/>
        <w:rPr>
          <w:rFonts w:hint="default" w:ascii="Times New Roman" w:hAnsi="Times New Roman" w:eastAsia="仿宋_GB2312" w:cs="Times New Roman"/>
          <w:color w:val="auto"/>
          <w:kern w:val="0"/>
          <w:sz w:val="24"/>
          <w:lang w:eastAsia="zh-CN"/>
        </w:rPr>
      </w:pPr>
      <w:r>
        <w:rPr>
          <w:rFonts w:hint="default" w:ascii="Times New Roman" w:hAnsi="Times New Roman" w:eastAsia="仿宋_GB2312" w:cs="Times New Roman"/>
          <w:color w:val="auto"/>
          <w:kern w:val="0"/>
          <w:sz w:val="24"/>
        </w:rPr>
        <w:t>本项目施工时序为：场地场平→</w:t>
      </w:r>
      <w:r>
        <w:rPr>
          <w:rFonts w:hint="default" w:ascii="Times New Roman" w:hAnsi="Times New Roman" w:eastAsia="仿宋_GB2312" w:cs="Times New Roman"/>
          <w:color w:val="auto"/>
          <w:kern w:val="0"/>
          <w:sz w:val="24"/>
          <w:lang w:eastAsia="zh-CN"/>
        </w:rPr>
        <w:t>建构筑物</w:t>
      </w:r>
      <w:r>
        <w:rPr>
          <w:rFonts w:hint="default" w:ascii="Times New Roman" w:hAnsi="Times New Roman" w:eastAsia="仿宋_GB2312" w:cs="Times New Roman"/>
          <w:color w:val="auto"/>
          <w:kern w:val="0"/>
          <w:sz w:val="24"/>
        </w:rPr>
        <w:t>施工→</w:t>
      </w:r>
      <w:r>
        <w:rPr>
          <w:rFonts w:hint="default" w:ascii="Times New Roman" w:hAnsi="Times New Roman" w:eastAsia="仿宋_GB2312" w:cs="Times New Roman"/>
          <w:color w:val="auto"/>
          <w:kern w:val="0"/>
          <w:sz w:val="24"/>
          <w:lang w:eastAsia="zh-CN"/>
        </w:rPr>
        <w:t>场地硬化</w:t>
      </w:r>
      <w:r>
        <w:rPr>
          <w:rFonts w:hint="default" w:ascii="Times New Roman" w:hAnsi="Times New Roman" w:eastAsia="仿宋_GB2312" w:cs="Times New Roman"/>
          <w:color w:val="auto"/>
          <w:kern w:val="0"/>
          <w:sz w:val="24"/>
        </w:rPr>
        <w:t>施工→绿化工程→清理收尾。</w:t>
      </w:r>
      <w:r>
        <w:rPr>
          <w:rFonts w:hint="default" w:ascii="Times New Roman" w:hAnsi="Times New Roman" w:eastAsia="仿宋_GB2312" w:cs="Times New Roman"/>
          <w:color w:val="auto"/>
          <w:kern w:val="0"/>
          <w:sz w:val="24"/>
          <w:lang w:val="en-US" w:eastAsia="zh-CN"/>
        </w:rPr>
        <w:t>与水土保持相关的施工工艺主要包括</w:t>
      </w:r>
      <w:r>
        <w:rPr>
          <w:rFonts w:hint="default" w:ascii="Times New Roman" w:hAnsi="Times New Roman" w:eastAsia="仿宋_GB2312" w:cs="Times New Roman"/>
          <w:color w:val="auto"/>
          <w:kern w:val="0"/>
          <w:sz w:val="24"/>
          <w:lang w:eastAsia="zh-CN"/>
        </w:rPr>
        <w:t>：</w:t>
      </w:r>
    </w:p>
    <w:p w14:paraId="012ED4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outlineLvl w:val="9"/>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1、表土施工</w:t>
      </w:r>
    </w:p>
    <w:p w14:paraId="02D416C6">
      <w:pPr>
        <w:spacing w:line="360" w:lineRule="auto"/>
        <w:ind w:firstLine="468" w:firstLineChars="195"/>
        <w:rPr>
          <w:rFonts w:hint="default" w:ascii="Times New Roman" w:hAnsi="Times New Roman" w:eastAsia="仿宋_GB2312" w:cs="Times New Roman"/>
          <w:color w:val="auto"/>
          <w:kern w:val="0"/>
          <w:sz w:val="24"/>
          <w:lang w:val="en-US" w:eastAsia="zh-CN"/>
        </w:rPr>
      </w:pPr>
      <w:r>
        <w:rPr>
          <w:rFonts w:hint="default" w:ascii="Times New Roman" w:hAnsi="Times New Roman" w:eastAsia="仿宋_GB2312" w:cs="Times New Roman"/>
          <w:color w:val="auto"/>
          <w:kern w:val="0"/>
          <w:sz w:val="24"/>
          <w:lang w:val="en-US" w:eastAsia="zh-CN"/>
        </w:rPr>
        <w:t>表土剥离采用机械与人工相结合的剥离方式，首先对地表植被进行清除，然后采用推土机结合挖掘机或采用人工铲除的方式，借鉴“条带表土外移剥离法”、“梯田模式表土剥离法”等表土剥离工艺进行表土剥离后紧接下道工序，减少地表裸露时间，剥离表土及时运往临时堆土场，同时对剥离表土进行临时苫盖以减少降雨冲刷造成的水土流失。后期绿化时，对绿化区域进行表土回覆，表土回覆均匀平铺，并及时进行绿化措施的实施以减少水土流失。</w:t>
      </w:r>
    </w:p>
    <w:p w14:paraId="59A90DFB">
      <w:pPr>
        <w:spacing w:line="360" w:lineRule="auto"/>
        <w:ind w:firstLine="468" w:firstLineChars="195"/>
        <w:rPr>
          <w:rFonts w:hint="default" w:ascii="Times New Roman" w:hAnsi="Times New Roman" w:eastAsia="仿宋_GB2312" w:cs="Times New Roman"/>
          <w:color w:val="auto"/>
          <w:kern w:val="0"/>
          <w:sz w:val="24"/>
          <w:lang w:val="en-US" w:eastAsia="zh-CN"/>
        </w:rPr>
      </w:pPr>
      <w:r>
        <w:rPr>
          <w:rFonts w:hint="default" w:ascii="Times New Roman" w:hAnsi="Times New Roman" w:eastAsia="仿宋_GB2312" w:cs="Times New Roman"/>
          <w:color w:val="auto"/>
          <w:kern w:val="0"/>
          <w:sz w:val="24"/>
          <w:lang w:val="en-US" w:eastAsia="zh-CN"/>
        </w:rPr>
        <w:t>2、土石方开挖</w:t>
      </w:r>
    </w:p>
    <w:p w14:paraId="1417F69E">
      <w:pPr>
        <w:spacing w:line="360" w:lineRule="auto"/>
        <w:ind w:firstLine="468" w:firstLineChars="195"/>
        <w:rPr>
          <w:rFonts w:hint="default" w:ascii="Times New Roman" w:hAnsi="Times New Roman" w:eastAsia="仿宋_GB2312" w:cs="Times New Roman"/>
          <w:color w:val="auto"/>
          <w:kern w:val="0"/>
          <w:sz w:val="24"/>
          <w:lang w:val="en-US" w:eastAsia="zh-CN"/>
        </w:rPr>
      </w:pPr>
      <w:r>
        <w:rPr>
          <w:rFonts w:hint="default" w:ascii="Times New Roman" w:hAnsi="Times New Roman" w:eastAsia="仿宋_GB2312" w:cs="Times New Roman"/>
          <w:color w:val="auto"/>
          <w:kern w:val="0"/>
          <w:sz w:val="24"/>
          <w:lang w:val="en-US" w:eastAsia="zh-CN"/>
        </w:rPr>
        <w:t>土方开挖：</w:t>
      </w:r>
      <w:r>
        <w:rPr>
          <w:rFonts w:hint="default" w:ascii="Times New Roman" w:hAnsi="Times New Roman" w:eastAsia="仿宋_GB2312" w:cs="Times New Roman"/>
          <w:color w:val="auto"/>
          <w:kern w:val="0"/>
          <w:sz w:val="24"/>
          <w:lang w:eastAsia="zh-CN"/>
        </w:rPr>
        <w:t>采用0.6～1.0m³挖掘机辅以人工开挖，就近堆放在工作面附近作为回填施工土料。</w:t>
      </w:r>
      <w:r>
        <w:rPr>
          <w:rFonts w:hint="default" w:ascii="Times New Roman" w:hAnsi="Times New Roman" w:eastAsia="仿宋_GB2312" w:cs="Times New Roman"/>
          <w:color w:val="auto"/>
          <w:kern w:val="0"/>
          <w:sz w:val="24"/>
          <w:lang w:val="en-US" w:eastAsia="zh-CN"/>
        </w:rPr>
        <w:t>对开挖区域开挖至设计高程即可，再采用人工进行局部修整。</w:t>
      </w:r>
    </w:p>
    <w:p w14:paraId="7AC1614A">
      <w:pPr>
        <w:spacing w:line="360" w:lineRule="auto"/>
        <w:ind w:firstLine="468" w:firstLineChars="195"/>
        <w:rPr>
          <w:rFonts w:hint="default" w:ascii="Times New Roman" w:hAnsi="Times New Roman" w:eastAsia="仿宋_GB2312" w:cs="Times New Roman"/>
          <w:color w:val="auto"/>
          <w:kern w:val="0"/>
          <w:sz w:val="24"/>
          <w:lang w:eastAsia="zh-CN"/>
        </w:rPr>
      </w:pPr>
      <w:r>
        <w:rPr>
          <w:rFonts w:hint="default" w:ascii="Times New Roman" w:hAnsi="Times New Roman" w:eastAsia="仿宋_GB2312" w:cs="Times New Roman"/>
          <w:color w:val="auto"/>
          <w:kern w:val="0"/>
          <w:sz w:val="24"/>
          <w:lang w:val="en-US" w:eastAsia="zh-CN"/>
        </w:rPr>
        <w:t>石方开挖：</w:t>
      </w:r>
      <w:r>
        <w:rPr>
          <w:rFonts w:hint="default" w:ascii="Times New Roman" w:hAnsi="Times New Roman" w:eastAsia="仿宋_GB2312" w:cs="Times New Roman"/>
          <w:color w:val="auto"/>
          <w:kern w:val="0"/>
          <w:sz w:val="24"/>
          <w:lang w:eastAsia="zh-CN"/>
        </w:rPr>
        <w:t>采用液压岩石破碎机破碎岩石，采用1m³单斗液压挖掘机开挖，就近堆存。开挖过程中应注意防止杂填土或其他杂物混杂，待石渣填筑时将其利用。</w:t>
      </w:r>
    </w:p>
    <w:p w14:paraId="5302043D">
      <w:pPr>
        <w:spacing w:line="360" w:lineRule="auto"/>
        <w:ind w:firstLine="468" w:firstLineChars="195"/>
        <w:rPr>
          <w:rFonts w:hint="default" w:ascii="Times New Roman" w:hAnsi="Times New Roman" w:eastAsia="仿宋_GB2312" w:cs="Times New Roman"/>
          <w:color w:val="auto"/>
          <w:kern w:val="0"/>
          <w:sz w:val="24"/>
          <w:lang w:val="en-US" w:eastAsia="zh-CN"/>
        </w:rPr>
      </w:pPr>
      <w:r>
        <w:rPr>
          <w:rFonts w:hint="default" w:ascii="Times New Roman" w:hAnsi="Times New Roman" w:eastAsia="仿宋_GB2312" w:cs="Times New Roman"/>
          <w:color w:val="auto"/>
          <w:kern w:val="0"/>
          <w:sz w:val="24"/>
          <w:lang w:val="en-US" w:eastAsia="zh-CN"/>
        </w:rPr>
        <w:t>3、土石方回填</w:t>
      </w:r>
      <w:bookmarkStart w:id="74" w:name="_Toc229823628"/>
      <w:bookmarkStart w:id="75" w:name="_Toc230077613"/>
      <w:bookmarkStart w:id="76" w:name="_Toc252999385"/>
      <w:bookmarkStart w:id="77" w:name="_Toc256026554"/>
      <w:bookmarkStart w:id="78" w:name="_Toc256368350"/>
      <w:bookmarkStart w:id="79" w:name="_Toc230149084"/>
    </w:p>
    <w:p w14:paraId="3ADCE81E">
      <w:pPr>
        <w:spacing w:line="360" w:lineRule="auto"/>
        <w:ind w:firstLine="468" w:firstLineChars="195"/>
        <w:rPr>
          <w:rFonts w:hint="default" w:ascii="Times New Roman" w:hAnsi="Times New Roman" w:eastAsia="仿宋_GB2312" w:cs="Times New Roman"/>
          <w:color w:val="auto"/>
          <w:kern w:val="0"/>
          <w:sz w:val="24"/>
          <w:lang w:eastAsia="zh-CN"/>
        </w:rPr>
      </w:pPr>
      <w:r>
        <w:rPr>
          <w:rFonts w:hint="default" w:ascii="Times New Roman" w:hAnsi="Times New Roman" w:eastAsia="仿宋_GB2312" w:cs="Times New Roman"/>
          <w:color w:val="auto"/>
          <w:kern w:val="0"/>
          <w:sz w:val="24"/>
          <w:lang w:val="en-US" w:eastAsia="zh-CN"/>
        </w:rPr>
        <w:t>土石方回填</w:t>
      </w:r>
      <w:r>
        <w:rPr>
          <w:rFonts w:hint="default" w:ascii="Times New Roman" w:hAnsi="Times New Roman" w:eastAsia="仿宋_GB2312" w:cs="Times New Roman"/>
          <w:color w:val="auto"/>
          <w:kern w:val="0"/>
          <w:sz w:val="24"/>
          <w:lang w:eastAsia="zh-CN"/>
        </w:rPr>
        <w:t>前，应先清除范围内需清除的表层覆盖土，再回填</w:t>
      </w:r>
      <w:r>
        <w:rPr>
          <w:rFonts w:hint="default" w:ascii="Times New Roman" w:hAnsi="Times New Roman" w:eastAsia="仿宋_GB2312" w:cs="Times New Roman"/>
          <w:color w:val="auto"/>
          <w:kern w:val="0"/>
          <w:sz w:val="24"/>
          <w:lang w:val="en-US" w:eastAsia="zh-CN"/>
        </w:rPr>
        <w:t>土石方</w:t>
      </w:r>
      <w:r>
        <w:rPr>
          <w:rFonts w:hint="default" w:ascii="Times New Roman" w:hAnsi="Times New Roman" w:eastAsia="仿宋_GB2312" w:cs="Times New Roman"/>
          <w:color w:val="auto"/>
          <w:kern w:val="0"/>
          <w:sz w:val="24"/>
          <w:lang w:eastAsia="zh-CN"/>
        </w:rPr>
        <w:t>碾压密实。</w:t>
      </w:r>
      <w:bookmarkEnd w:id="74"/>
      <w:bookmarkEnd w:id="75"/>
      <w:bookmarkEnd w:id="76"/>
      <w:bookmarkEnd w:id="77"/>
      <w:bookmarkEnd w:id="78"/>
      <w:bookmarkEnd w:id="79"/>
    </w:p>
    <w:p w14:paraId="446D1A3E">
      <w:pPr>
        <w:spacing w:line="360" w:lineRule="auto"/>
        <w:ind w:firstLine="468" w:firstLineChars="195"/>
        <w:rPr>
          <w:rFonts w:hint="default" w:ascii="Times New Roman" w:hAnsi="Times New Roman" w:eastAsia="仿宋_GB2312" w:cs="Times New Roman"/>
          <w:color w:val="auto"/>
          <w:kern w:val="0"/>
          <w:sz w:val="24"/>
          <w:lang w:val="en-US" w:eastAsia="zh-CN"/>
        </w:rPr>
      </w:pPr>
      <w:r>
        <w:rPr>
          <w:rFonts w:hint="default" w:ascii="Times New Roman" w:hAnsi="Times New Roman" w:eastAsia="仿宋_GB2312" w:cs="Times New Roman"/>
          <w:color w:val="auto"/>
          <w:kern w:val="0"/>
          <w:sz w:val="24"/>
          <w:lang w:val="en-US" w:eastAsia="zh-CN"/>
        </w:rPr>
        <w:t>4、场地平整</w:t>
      </w:r>
    </w:p>
    <w:p w14:paraId="2F8D796C">
      <w:pPr>
        <w:spacing w:line="360" w:lineRule="auto"/>
        <w:ind w:firstLine="468" w:firstLineChars="195"/>
        <w:rPr>
          <w:rFonts w:hint="default" w:ascii="Times New Roman" w:hAnsi="Times New Roman" w:eastAsia="仿宋_GB2312" w:cs="Times New Roman"/>
          <w:color w:val="auto"/>
          <w:kern w:val="0"/>
          <w:sz w:val="24"/>
          <w:lang w:eastAsia="zh-CN"/>
        </w:rPr>
      </w:pPr>
      <w:r>
        <w:rPr>
          <w:rFonts w:hint="default" w:ascii="Times New Roman" w:hAnsi="Times New Roman" w:eastAsia="仿宋_GB2312" w:cs="Times New Roman"/>
          <w:color w:val="auto"/>
          <w:kern w:val="0"/>
          <w:sz w:val="24"/>
          <w:lang w:eastAsia="zh-CN"/>
        </w:rPr>
        <w:t>场地平场合理安排平整时间和工序，采取半挖半填、移挖作填形式，挖方及时运至填方区回填，回填遵循“先挡后填”的原则，填方区进行压实处理。平场施工采用推土机推土，挖掘机挖装，自卸汽车运输；回填采用机械和人工相结合的施工方法，由挖掘机装土，自卸汽车运土，推土机铺土、摊平，用振动碾压机碾压，边缘压实辅以人工和电动冲击夯实。</w:t>
      </w:r>
    </w:p>
    <w:p w14:paraId="1155FC1E">
      <w:pPr>
        <w:spacing w:line="360" w:lineRule="auto"/>
        <w:ind w:firstLine="468" w:firstLineChars="195"/>
        <w:rPr>
          <w:rFonts w:hint="default" w:ascii="Times New Roman" w:hAnsi="Times New Roman" w:eastAsia="仿宋_GB2312" w:cs="Times New Roman"/>
          <w:color w:val="auto"/>
          <w:kern w:val="0"/>
          <w:sz w:val="24"/>
          <w:lang w:val="en-US" w:eastAsia="zh-CN"/>
        </w:rPr>
      </w:pPr>
      <w:r>
        <w:rPr>
          <w:rFonts w:hint="default" w:ascii="Times New Roman" w:hAnsi="Times New Roman" w:eastAsia="仿宋_GB2312" w:cs="Times New Roman"/>
          <w:color w:val="auto"/>
          <w:kern w:val="0"/>
          <w:sz w:val="24"/>
          <w:lang w:val="en-US" w:eastAsia="zh-CN"/>
        </w:rPr>
        <w:t>5、管沟挖填</w:t>
      </w:r>
    </w:p>
    <w:p w14:paraId="0B6D07F8">
      <w:pPr>
        <w:spacing w:line="360" w:lineRule="auto"/>
        <w:ind w:firstLine="468" w:firstLineChars="195"/>
        <w:rPr>
          <w:rFonts w:hint="default" w:ascii="Times New Roman" w:hAnsi="Times New Roman" w:eastAsia="仿宋_GB2312" w:cs="Times New Roman"/>
          <w:color w:val="auto"/>
          <w:kern w:val="0"/>
          <w:sz w:val="24"/>
          <w:lang w:val="en-US" w:eastAsia="zh-CN"/>
        </w:rPr>
      </w:pPr>
      <w:r>
        <w:rPr>
          <w:rFonts w:hint="default" w:ascii="Times New Roman" w:hAnsi="Times New Roman" w:eastAsia="仿宋_GB2312" w:cs="Times New Roman"/>
          <w:color w:val="auto"/>
          <w:kern w:val="0"/>
          <w:sz w:val="24"/>
          <w:lang w:eastAsia="zh-CN"/>
        </w:rPr>
        <w:t>本</w:t>
      </w:r>
      <w:r>
        <w:rPr>
          <w:rFonts w:hint="default" w:ascii="Times New Roman" w:hAnsi="Times New Roman" w:eastAsia="仿宋_GB2312" w:cs="Times New Roman"/>
          <w:color w:val="auto"/>
          <w:kern w:val="0"/>
          <w:sz w:val="24"/>
          <w:lang w:val="en-US" w:eastAsia="zh-CN"/>
        </w:rPr>
        <w:t>项目</w:t>
      </w:r>
      <w:r>
        <w:rPr>
          <w:rFonts w:hint="default" w:ascii="Times New Roman" w:hAnsi="Times New Roman" w:eastAsia="仿宋_GB2312" w:cs="Times New Roman"/>
          <w:color w:val="auto"/>
          <w:kern w:val="0"/>
          <w:sz w:val="24"/>
          <w:lang w:eastAsia="zh-CN"/>
        </w:rPr>
        <w:t>管线等基础设施均埋于地下，管线工程全部采用开槽施工。槽开挖采用人工辅以小型机械进行施工，</w:t>
      </w:r>
      <w:r>
        <w:rPr>
          <w:rFonts w:hint="default" w:ascii="Times New Roman" w:hAnsi="Times New Roman" w:eastAsia="仿宋_GB2312" w:cs="Times New Roman"/>
          <w:color w:val="auto"/>
          <w:kern w:val="0"/>
          <w:sz w:val="24"/>
          <w:lang w:val="en-US" w:eastAsia="zh-CN"/>
        </w:rPr>
        <w:t>开挖控制设计开挖线，</w:t>
      </w:r>
      <w:r>
        <w:rPr>
          <w:rFonts w:hint="default" w:ascii="Times New Roman" w:hAnsi="Times New Roman" w:eastAsia="仿宋_GB2312" w:cs="Times New Roman"/>
          <w:color w:val="auto"/>
          <w:kern w:val="0"/>
          <w:sz w:val="24"/>
          <w:lang w:eastAsia="zh-CN"/>
        </w:rPr>
        <w:t>沟槽开挖预留</w:t>
      </w:r>
      <w:r>
        <w:rPr>
          <w:rFonts w:hint="default" w:ascii="Times New Roman" w:hAnsi="Times New Roman" w:eastAsia="仿宋_GB2312" w:cs="Times New Roman"/>
          <w:color w:val="auto"/>
          <w:kern w:val="0"/>
          <w:sz w:val="24"/>
          <w:lang w:val="en-US" w:eastAsia="zh-CN"/>
        </w:rPr>
        <w:t>0.20</w:t>
      </w:r>
      <w:r>
        <w:rPr>
          <w:rFonts w:hint="default" w:ascii="Times New Roman" w:hAnsi="Times New Roman" w:eastAsia="仿宋_GB2312" w:cs="Times New Roman"/>
          <w:color w:val="auto"/>
          <w:kern w:val="0"/>
          <w:sz w:val="24"/>
          <w:lang w:eastAsia="zh-CN"/>
        </w:rPr>
        <w:t>m左右保护层，用人工清理。管</w:t>
      </w:r>
      <w:r>
        <w:rPr>
          <w:rFonts w:hint="default" w:ascii="Times New Roman" w:hAnsi="Times New Roman" w:eastAsia="仿宋_GB2312" w:cs="Times New Roman"/>
          <w:color w:val="auto"/>
          <w:kern w:val="0"/>
          <w:sz w:val="24"/>
          <w:lang w:val="en-US" w:eastAsia="zh-CN"/>
        </w:rPr>
        <w:t>沟</w:t>
      </w:r>
      <w:r>
        <w:rPr>
          <w:rFonts w:hint="default" w:ascii="Times New Roman" w:hAnsi="Times New Roman" w:eastAsia="仿宋_GB2312" w:cs="Times New Roman"/>
          <w:color w:val="auto"/>
          <w:kern w:val="0"/>
          <w:sz w:val="24"/>
          <w:lang w:eastAsia="zh-CN"/>
        </w:rPr>
        <w:t>开挖出的</w:t>
      </w:r>
      <w:r>
        <w:rPr>
          <w:rFonts w:hint="default" w:ascii="Times New Roman" w:hAnsi="Times New Roman" w:eastAsia="仿宋_GB2312" w:cs="Times New Roman"/>
          <w:color w:val="auto"/>
          <w:kern w:val="0"/>
          <w:sz w:val="24"/>
          <w:lang w:val="en-US" w:eastAsia="zh-CN"/>
        </w:rPr>
        <w:t>土</w:t>
      </w:r>
      <w:r>
        <w:rPr>
          <w:rFonts w:hint="default" w:ascii="Times New Roman" w:hAnsi="Times New Roman" w:eastAsia="仿宋_GB2312" w:cs="Times New Roman"/>
          <w:color w:val="auto"/>
          <w:kern w:val="0"/>
          <w:sz w:val="24"/>
          <w:lang w:eastAsia="zh-CN"/>
        </w:rPr>
        <w:t>方及时苫盖，</w:t>
      </w:r>
      <w:r>
        <w:rPr>
          <w:rFonts w:hint="default" w:ascii="Times New Roman" w:hAnsi="Times New Roman" w:eastAsia="仿宋_GB2312" w:cs="Times New Roman"/>
          <w:color w:val="auto"/>
          <w:kern w:val="0"/>
          <w:sz w:val="24"/>
          <w:lang w:val="en-US" w:eastAsia="zh-CN"/>
        </w:rPr>
        <w:t>开挖沟槽夯实后进行浇筑或布置管道，</w:t>
      </w:r>
      <w:r>
        <w:rPr>
          <w:rFonts w:hint="default" w:ascii="Times New Roman" w:hAnsi="Times New Roman" w:eastAsia="仿宋_GB2312" w:cs="Times New Roman"/>
          <w:color w:val="auto"/>
          <w:kern w:val="0"/>
          <w:sz w:val="24"/>
          <w:lang w:eastAsia="zh-CN"/>
        </w:rPr>
        <w:t>管线埋设完毕后及时进行回填，</w:t>
      </w:r>
      <w:r>
        <w:rPr>
          <w:rFonts w:hint="default" w:ascii="Times New Roman" w:hAnsi="Times New Roman" w:eastAsia="仿宋_GB2312" w:cs="Times New Roman"/>
          <w:color w:val="auto"/>
          <w:kern w:val="0"/>
          <w:sz w:val="24"/>
          <w:lang w:val="en-US" w:eastAsia="zh-CN"/>
        </w:rPr>
        <w:t>并进行表土回覆及绿化</w:t>
      </w:r>
      <w:r>
        <w:rPr>
          <w:rFonts w:hint="default" w:ascii="Times New Roman" w:hAnsi="Times New Roman" w:eastAsia="仿宋_GB2312" w:cs="Times New Roman"/>
          <w:color w:val="auto"/>
          <w:kern w:val="0"/>
          <w:sz w:val="24"/>
          <w:lang w:eastAsia="zh-CN"/>
        </w:rPr>
        <w:t>。</w:t>
      </w:r>
    </w:p>
    <w:p w14:paraId="7E320C71">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val="en-US" w:eastAsia="zh-CN"/>
        </w:rPr>
      </w:pPr>
      <w:bookmarkStart w:id="80" w:name="_Toc14201"/>
      <w:r>
        <w:rPr>
          <w:rFonts w:hint="default" w:ascii="Times New Roman" w:hAnsi="Times New Roman" w:eastAsia="仿宋_GB2312" w:cs="Times New Roman"/>
          <w:b/>
          <w:bCs/>
          <w:color w:val="auto"/>
          <w:szCs w:val="24"/>
          <w:lang w:val="en-US" w:eastAsia="zh-CN"/>
        </w:rPr>
        <w:t>2.3工程占地</w:t>
      </w:r>
      <w:bookmarkEnd w:id="80"/>
    </w:p>
    <w:p w14:paraId="158604A6">
      <w:pPr>
        <w:spacing w:line="360" w:lineRule="auto"/>
        <w:ind w:firstLine="468" w:firstLineChars="195"/>
        <w:rPr>
          <w:rFonts w:hint="default" w:ascii="Times New Roman" w:hAnsi="Times New Roman" w:eastAsia="仿宋_GB2312" w:cs="Times New Roman"/>
          <w:b/>
          <w:bCs/>
          <w:color w:val="auto"/>
          <w:kern w:val="0"/>
          <w:sz w:val="21"/>
          <w:szCs w:val="21"/>
          <w:lang w:val="en-US" w:eastAsia="zh-CN" w:bidi="ar"/>
        </w:rPr>
      </w:pPr>
      <w:r>
        <w:rPr>
          <w:rFonts w:hint="default" w:ascii="Times New Roman" w:hAnsi="Times New Roman" w:eastAsia="仿宋_GB2312" w:cs="Times New Roman"/>
          <w:color w:val="auto"/>
          <w:kern w:val="0"/>
          <w:sz w:val="24"/>
          <w:lang w:val="en-US" w:eastAsia="zh-CN"/>
        </w:rPr>
        <w:t>根据</w:t>
      </w:r>
      <w:r>
        <w:rPr>
          <w:rFonts w:hint="default" w:ascii="Times New Roman" w:hAnsi="Times New Roman" w:eastAsia="仿宋_GB2312" w:cs="Times New Roman"/>
          <w:b w:val="0"/>
          <w:bCs w:val="0"/>
          <w:color w:val="auto"/>
          <w:kern w:val="2"/>
          <w:sz w:val="24"/>
          <w:szCs w:val="24"/>
          <w:lang w:val="en-US" w:eastAsia="zh-CN" w:bidi="ar"/>
        </w:rPr>
        <w:t>项目可行性研究报告的批复、施工图及现场踏勘</w:t>
      </w:r>
      <w:r>
        <w:rPr>
          <w:rFonts w:hint="default" w:ascii="Times New Roman" w:hAnsi="Times New Roman" w:eastAsia="仿宋_GB2312" w:cs="Times New Roman"/>
          <w:color w:val="auto"/>
          <w:kern w:val="0"/>
          <w:sz w:val="24"/>
          <w:lang w:val="en-US" w:eastAsia="zh-CN"/>
        </w:rPr>
        <w:t>，本项目总占地面积为</w:t>
      </w:r>
      <w:r>
        <w:rPr>
          <w:rFonts w:hint="default" w:ascii="Times New Roman" w:hAnsi="Times New Roman" w:eastAsia="仿宋_GB2312" w:cs="Times New Roman"/>
          <w:b w:val="0"/>
          <w:bCs w:val="0"/>
          <w:color w:val="auto"/>
          <w:kern w:val="2"/>
          <w:sz w:val="24"/>
          <w:szCs w:val="24"/>
          <w:lang w:val="en-US" w:eastAsia="zh-CN" w:bidi="ar"/>
        </w:rPr>
        <w:t>0.33hm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（3270.00m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），均为永久占地。其中建构筑物工程区0.04</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，硬化工程区0.17</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，绿化工程区0.12</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，占地类型为工矿仓储用用地、林地。</w:t>
      </w:r>
      <w:r>
        <w:rPr>
          <w:rFonts w:hint="default" w:ascii="Times New Roman" w:hAnsi="Times New Roman" w:eastAsia="仿宋_GB2312" w:cs="Times New Roman"/>
          <w:color w:val="auto"/>
          <w:kern w:val="0"/>
          <w:sz w:val="24"/>
          <w:lang w:eastAsia="zh-CN" w:bidi="ar"/>
        </w:rPr>
        <w:t>工程占地情况见下表</w:t>
      </w:r>
      <w:r>
        <w:rPr>
          <w:rFonts w:hint="default" w:ascii="Times New Roman" w:hAnsi="Times New Roman" w:eastAsia="仿宋_GB2312" w:cs="Times New Roman"/>
          <w:color w:val="auto"/>
          <w:kern w:val="0"/>
          <w:sz w:val="24"/>
          <w:lang w:val="en-US" w:eastAsia="zh-CN" w:bidi="ar"/>
        </w:rPr>
        <w:t>2.3-1。</w:t>
      </w:r>
    </w:p>
    <w:p w14:paraId="1B18AB6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仿宋_GB2312" w:cs="Times New Roman"/>
          <w:b/>
          <w:bCs/>
          <w:color w:val="auto"/>
          <w:kern w:val="0"/>
          <w:sz w:val="21"/>
          <w:szCs w:val="21"/>
          <w:lang w:val="en-US" w:eastAsia="zh-CN" w:bidi="ar"/>
        </w:rPr>
      </w:pPr>
      <w:r>
        <w:rPr>
          <w:rFonts w:hint="default" w:ascii="Times New Roman" w:hAnsi="Times New Roman" w:eastAsia="仿宋_GB2312" w:cs="Times New Roman"/>
          <w:b/>
          <w:bCs/>
          <w:color w:val="auto"/>
          <w:kern w:val="0"/>
          <w:sz w:val="21"/>
          <w:szCs w:val="21"/>
          <w:lang w:val="en-US" w:eastAsia="zh-CN" w:bidi="ar"/>
        </w:rPr>
        <w:t>表2.3-1工程占地情况一览表</w:t>
      </w:r>
      <w:bookmarkStart w:id="81" w:name="_Toc21199"/>
    </w:p>
    <w:tbl>
      <w:tblPr>
        <w:tblStyle w:val="18"/>
        <w:tblW w:w="48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68"/>
        <w:gridCol w:w="1819"/>
        <w:gridCol w:w="1780"/>
        <w:gridCol w:w="1782"/>
        <w:gridCol w:w="1958"/>
      </w:tblGrid>
      <w:tr w14:paraId="2CE70B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80" w:type="pct"/>
            <w:vMerge w:val="restart"/>
            <w:tcBorders>
              <w:tl2br w:val="nil"/>
              <w:tr2bl w:val="nil"/>
            </w:tcBorders>
            <w:vAlign w:val="center"/>
          </w:tcPr>
          <w:p w14:paraId="0FBDB2D7">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项目组成</w:t>
            </w:r>
          </w:p>
        </w:tc>
        <w:tc>
          <w:tcPr>
            <w:tcW w:w="3020" w:type="pct"/>
            <w:gridSpan w:val="3"/>
            <w:tcBorders>
              <w:tl2br w:val="nil"/>
              <w:tr2bl w:val="nil"/>
            </w:tcBorders>
            <w:vAlign w:val="center"/>
          </w:tcPr>
          <w:p w14:paraId="2FE52FA0">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占地类型及面积（hm2）</w:t>
            </w:r>
          </w:p>
        </w:tc>
        <w:tc>
          <w:tcPr>
            <w:tcW w:w="1099" w:type="pct"/>
            <w:vMerge w:val="restart"/>
            <w:tcBorders>
              <w:tl2br w:val="nil"/>
              <w:tr2bl w:val="nil"/>
            </w:tcBorders>
            <w:vAlign w:val="center"/>
          </w:tcPr>
          <w:p w14:paraId="6179B680">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备注</w:t>
            </w:r>
          </w:p>
        </w:tc>
      </w:tr>
      <w:tr w14:paraId="4964CE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80" w:type="pct"/>
            <w:vMerge w:val="continue"/>
            <w:tcBorders>
              <w:tl2br w:val="nil"/>
              <w:tr2bl w:val="nil"/>
            </w:tcBorders>
            <w:vAlign w:val="center"/>
          </w:tcPr>
          <w:p w14:paraId="6C1CE686">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1021" w:type="pct"/>
            <w:tcBorders>
              <w:tl2br w:val="nil"/>
              <w:tr2bl w:val="nil"/>
            </w:tcBorders>
            <w:vAlign w:val="center"/>
          </w:tcPr>
          <w:p w14:paraId="5FDD8AB6">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工矿仓储用用地</w:t>
            </w:r>
          </w:p>
        </w:tc>
        <w:tc>
          <w:tcPr>
            <w:tcW w:w="999" w:type="pct"/>
            <w:tcBorders>
              <w:tl2br w:val="nil"/>
              <w:tr2bl w:val="nil"/>
            </w:tcBorders>
            <w:vAlign w:val="center"/>
          </w:tcPr>
          <w:p w14:paraId="6E8F2375">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林地</w:t>
            </w:r>
          </w:p>
        </w:tc>
        <w:tc>
          <w:tcPr>
            <w:tcW w:w="999" w:type="pct"/>
            <w:tcBorders>
              <w:tl2br w:val="nil"/>
              <w:tr2bl w:val="nil"/>
            </w:tcBorders>
            <w:vAlign w:val="center"/>
          </w:tcPr>
          <w:p w14:paraId="194DE259">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小计</w:t>
            </w:r>
          </w:p>
        </w:tc>
        <w:tc>
          <w:tcPr>
            <w:tcW w:w="1099" w:type="pct"/>
            <w:vMerge w:val="continue"/>
            <w:tcBorders>
              <w:tl2br w:val="nil"/>
              <w:tr2bl w:val="nil"/>
            </w:tcBorders>
            <w:vAlign w:val="center"/>
          </w:tcPr>
          <w:p w14:paraId="1C2694D3">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r>
      <w:tr w14:paraId="1D3C1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exact"/>
          <w:jc w:val="center"/>
        </w:trPr>
        <w:tc>
          <w:tcPr>
            <w:tcW w:w="880" w:type="pct"/>
            <w:tcBorders>
              <w:tl2br w:val="nil"/>
              <w:tr2bl w:val="nil"/>
            </w:tcBorders>
            <w:vAlign w:val="center"/>
          </w:tcPr>
          <w:p w14:paraId="39595E52">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建构筑物工程</w:t>
            </w:r>
          </w:p>
        </w:tc>
        <w:tc>
          <w:tcPr>
            <w:tcW w:w="1021" w:type="pct"/>
            <w:tcBorders>
              <w:tl2br w:val="nil"/>
              <w:tr2bl w:val="nil"/>
            </w:tcBorders>
            <w:vAlign w:val="center"/>
          </w:tcPr>
          <w:p w14:paraId="1AF29F00">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0.04</w:t>
            </w:r>
          </w:p>
        </w:tc>
        <w:tc>
          <w:tcPr>
            <w:tcW w:w="999" w:type="pct"/>
            <w:tcBorders>
              <w:tl2br w:val="nil"/>
              <w:tr2bl w:val="nil"/>
            </w:tcBorders>
            <w:vAlign w:val="center"/>
          </w:tcPr>
          <w:p w14:paraId="22A993C1">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999" w:type="pct"/>
            <w:tcBorders>
              <w:tl2br w:val="nil"/>
              <w:tr2bl w:val="nil"/>
            </w:tcBorders>
            <w:vAlign w:val="center"/>
          </w:tcPr>
          <w:p w14:paraId="43556FA2">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0.04</w:t>
            </w:r>
          </w:p>
        </w:tc>
        <w:tc>
          <w:tcPr>
            <w:tcW w:w="1099" w:type="pct"/>
            <w:tcBorders>
              <w:tl2br w:val="nil"/>
              <w:tr2bl w:val="nil"/>
            </w:tcBorders>
            <w:vAlign w:val="center"/>
          </w:tcPr>
          <w:p w14:paraId="3727560E">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永久占地</w:t>
            </w:r>
          </w:p>
        </w:tc>
      </w:tr>
      <w:tr w14:paraId="230BE9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80" w:type="pct"/>
            <w:tcBorders>
              <w:tl2br w:val="nil"/>
              <w:tr2bl w:val="nil"/>
            </w:tcBorders>
            <w:vAlign w:val="center"/>
          </w:tcPr>
          <w:p w14:paraId="1655F96B">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硬化工程</w:t>
            </w:r>
          </w:p>
        </w:tc>
        <w:tc>
          <w:tcPr>
            <w:tcW w:w="1021" w:type="pct"/>
            <w:tcBorders>
              <w:tl2br w:val="nil"/>
              <w:tr2bl w:val="nil"/>
            </w:tcBorders>
            <w:vAlign w:val="center"/>
          </w:tcPr>
          <w:p w14:paraId="3ABA4732">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0.15</w:t>
            </w:r>
          </w:p>
        </w:tc>
        <w:tc>
          <w:tcPr>
            <w:tcW w:w="999" w:type="pct"/>
            <w:tcBorders>
              <w:tl2br w:val="nil"/>
              <w:tr2bl w:val="nil"/>
            </w:tcBorders>
            <w:vAlign w:val="center"/>
          </w:tcPr>
          <w:p w14:paraId="5AD3EBDA">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0.02</w:t>
            </w:r>
          </w:p>
        </w:tc>
        <w:tc>
          <w:tcPr>
            <w:tcW w:w="999" w:type="pct"/>
            <w:tcBorders>
              <w:tl2br w:val="nil"/>
              <w:tr2bl w:val="nil"/>
            </w:tcBorders>
            <w:vAlign w:val="center"/>
          </w:tcPr>
          <w:p w14:paraId="637B3C52">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0.17</w:t>
            </w:r>
          </w:p>
        </w:tc>
        <w:tc>
          <w:tcPr>
            <w:tcW w:w="1099" w:type="pct"/>
            <w:tcBorders>
              <w:tl2br w:val="nil"/>
              <w:tr2bl w:val="nil"/>
            </w:tcBorders>
            <w:vAlign w:val="center"/>
          </w:tcPr>
          <w:p w14:paraId="4B300F13">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永久占地</w:t>
            </w:r>
          </w:p>
        </w:tc>
      </w:tr>
      <w:tr w14:paraId="17140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80" w:type="pct"/>
            <w:tcBorders>
              <w:tl2br w:val="nil"/>
              <w:tr2bl w:val="nil"/>
            </w:tcBorders>
            <w:vAlign w:val="center"/>
          </w:tcPr>
          <w:p w14:paraId="3566F1CD">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绿化工程</w:t>
            </w:r>
          </w:p>
        </w:tc>
        <w:tc>
          <w:tcPr>
            <w:tcW w:w="1021" w:type="pct"/>
            <w:tcBorders>
              <w:tl2br w:val="nil"/>
              <w:tr2bl w:val="nil"/>
            </w:tcBorders>
            <w:vAlign w:val="center"/>
          </w:tcPr>
          <w:p w14:paraId="3E84241C">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0.06</w:t>
            </w:r>
          </w:p>
        </w:tc>
        <w:tc>
          <w:tcPr>
            <w:tcW w:w="999" w:type="pct"/>
            <w:tcBorders>
              <w:tl2br w:val="nil"/>
              <w:tr2bl w:val="nil"/>
            </w:tcBorders>
            <w:vAlign w:val="center"/>
          </w:tcPr>
          <w:p w14:paraId="2EADEE75">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0.06</w:t>
            </w:r>
          </w:p>
        </w:tc>
        <w:tc>
          <w:tcPr>
            <w:tcW w:w="999" w:type="pct"/>
            <w:tcBorders>
              <w:tl2br w:val="nil"/>
              <w:tr2bl w:val="nil"/>
            </w:tcBorders>
            <w:vAlign w:val="center"/>
          </w:tcPr>
          <w:p w14:paraId="0D04CBAC">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0.12</w:t>
            </w:r>
          </w:p>
        </w:tc>
        <w:tc>
          <w:tcPr>
            <w:tcW w:w="1099" w:type="pct"/>
            <w:tcBorders>
              <w:tl2br w:val="nil"/>
              <w:tr2bl w:val="nil"/>
            </w:tcBorders>
            <w:vAlign w:val="center"/>
          </w:tcPr>
          <w:p w14:paraId="01D54FED">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永久占地</w:t>
            </w:r>
          </w:p>
        </w:tc>
      </w:tr>
      <w:tr w14:paraId="086AC0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80" w:type="pct"/>
            <w:tcBorders>
              <w:tl2br w:val="nil"/>
              <w:tr2bl w:val="nil"/>
            </w:tcBorders>
            <w:vAlign w:val="center"/>
          </w:tcPr>
          <w:p w14:paraId="091747CE">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合计</w:t>
            </w:r>
          </w:p>
        </w:tc>
        <w:tc>
          <w:tcPr>
            <w:tcW w:w="1021" w:type="pct"/>
            <w:tcBorders>
              <w:tl2br w:val="nil"/>
              <w:tr2bl w:val="nil"/>
            </w:tcBorders>
            <w:vAlign w:val="center"/>
          </w:tcPr>
          <w:p w14:paraId="22036D39">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0.25</w:t>
            </w:r>
          </w:p>
        </w:tc>
        <w:tc>
          <w:tcPr>
            <w:tcW w:w="999" w:type="pct"/>
            <w:tcBorders>
              <w:tl2br w:val="nil"/>
              <w:tr2bl w:val="nil"/>
            </w:tcBorders>
            <w:vAlign w:val="center"/>
          </w:tcPr>
          <w:p w14:paraId="0D93D57B">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0.08</w:t>
            </w:r>
          </w:p>
        </w:tc>
        <w:tc>
          <w:tcPr>
            <w:tcW w:w="999" w:type="pct"/>
            <w:tcBorders>
              <w:tl2br w:val="nil"/>
              <w:tr2bl w:val="nil"/>
            </w:tcBorders>
            <w:vAlign w:val="center"/>
          </w:tcPr>
          <w:p w14:paraId="09209533">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0.33</w:t>
            </w:r>
          </w:p>
        </w:tc>
        <w:tc>
          <w:tcPr>
            <w:tcW w:w="1099" w:type="pct"/>
            <w:tcBorders>
              <w:tl2br w:val="nil"/>
              <w:tr2bl w:val="nil"/>
            </w:tcBorders>
            <w:vAlign w:val="center"/>
          </w:tcPr>
          <w:p w14:paraId="56D82E1D">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永久占地</w:t>
            </w:r>
          </w:p>
        </w:tc>
      </w:tr>
      <w:bookmarkEnd w:id="81"/>
    </w:tbl>
    <w:p w14:paraId="5C606AD9">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val="en-US" w:eastAsia="ar"/>
        </w:rPr>
      </w:pPr>
      <w:bookmarkStart w:id="82" w:name="_Toc20558"/>
      <w:bookmarkStart w:id="83" w:name="_Toc7060"/>
      <w:r>
        <w:rPr>
          <w:rFonts w:hint="default" w:ascii="Times New Roman" w:hAnsi="Times New Roman" w:eastAsia="仿宋_GB2312" w:cs="Times New Roman"/>
          <w:b/>
          <w:bCs/>
          <w:color w:val="auto"/>
          <w:szCs w:val="24"/>
          <w:lang w:val="en-US" w:eastAsia="ar"/>
        </w:rPr>
        <w:t>2.</w:t>
      </w:r>
      <w:r>
        <w:rPr>
          <w:rFonts w:hint="default" w:ascii="Times New Roman" w:hAnsi="Times New Roman" w:eastAsia="仿宋_GB2312" w:cs="Times New Roman"/>
          <w:b/>
          <w:bCs/>
          <w:color w:val="auto"/>
          <w:szCs w:val="24"/>
          <w:lang w:val="en-US" w:eastAsia="zh-CN"/>
        </w:rPr>
        <w:t>4</w:t>
      </w:r>
      <w:r>
        <w:rPr>
          <w:rFonts w:hint="default" w:ascii="Times New Roman" w:hAnsi="Times New Roman" w:eastAsia="仿宋_GB2312" w:cs="Times New Roman"/>
          <w:b/>
          <w:bCs/>
          <w:color w:val="auto"/>
          <w:szCs w:val="24"/>
          <w:lang w:val="en-US" w:eastAsia="ar"/>
        </w:rPr>
        <w:t>土石方平衡</w:t>
      </w:r>
      <w:bookmarkEnd w:id="82"/>
      <w:bookmarkEnd w:id="83"/>
    </w:p>
    <w:p w14:paraId="7680FE40">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color w:val="auto"/>
          <w:kern w:val="0"/>
          <w:sz w:val="24"/>
          <w:szCs w:val="24"/>
          <w:lang w:val="en-US" w:eastAsia="zh-CN" w:bidi="ar"/>
        </w:rPr>
        <w:t>根据现场调查及业主介绍，项目建设前已基本场平，</w:t>
      </w:r>
      <w:r>
        <w:rPr>
          <w:rFonts w:hint="default" w:ascii="Times New Roman" w:hAnsi="Times New Roman" w:eastAsia="仿宋_GB2312" w:cs="Times New Roman"/>
          <w:b w:val="0"/>
          <w:bCs w:val="0"/>
          <w:color w:val="auto"/>
          <w:kern w:val="2"/>
          <w:sz w:val="24"/>
          <w:szCs w:val="24"/>
          <w:lang w:val="en-US" w:eastAsia="zh-CN" w:bidi="ar"/>
        </w:rPr>
        <w:t>本项目挖方总量为0.36万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auto"/>
          <w:kern w:val="0"/>
          <w:sz w:val="24"/>
          <w:szCs w:val="24"/>
          <w:lang w:val="en-US" w:eastAsia="zh-CN" w:bidi="ar"/>
        </w:rPr>
        <w:t>其中表土剥离0.02</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），填方总量为0.36万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auto"/>
          <w:kern w:val="0"/>
          <w:sz w:val="24"/>
          <w:szCs w:val="24"/>
          <w:lang w:val="en-US" w:eastAsia="zh-CN" w:bidi="ar"/>
        </w:rPr>
        <w:t>其中表土回覆0.02</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），无借方，无余方。</w:t>
      </w:r>
    </w:p>
    <w:p w14:paraId="2CD752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sz w:val="24"/>
          <w:lang w:val="en-US" w:eastAsia="zh-CN" w:bidi="ar"/>
        </w:rPr>
        <w:t>1、表土剥离与回覆：根据现场踏勘及业主介绍，本项目占地类型为</w:t>
      </w:r>
      <w:r>
        <w:rPr>
          <w:rFonts w:hint="default" w:ascii="Times New Roman" w:hAnsi="Times New Roman" w:eastAsia="仿宋_GB2312" w:cs="Times New Roman"/>
          <w:b w:val="0"/>
          <w:bCs w:val="0"/>
          <w:color w:val="auto"/>
          <w:kern w:val="2"/>
          <w:sz w:val="24"/>
          <w:szCs w:val="24"/>
          <w:lang w:val="en-US" w:eastAsia="zh-CN" w:bidi="ar"/>
        </w:rPr>
        <w:t>工矿仓储用用地、林地，项目前期已对项目所占林地进行表土剥离，厚度为0.20m，项目区剥离表土共计0.02万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auto"/>
          <w:sz w:val="24"/>
          <w:lang w:val="en-US" w:eastAsia="zh-CN" w:bidi="ar"/>
        </w:rPr>
        <w:t>项目后期绿化面积为0.12hm</w:t>
      </w:r>
      <w:r>
        <w:rPr>
          <w:rFonts w:hint="default" w:ascii="Times New Roman" w:hAnsi="Times New Roman" w:eastAsia="仿宋_GB2312" w:cs="Times New Roman"/>
          <w:color w:val="auto"/>
          <w:sz w:val="24"/>
          <w:vertAlign w:val="superscript"/>
          <w:lang w:val="en-US" w:eastAsia="zh-CN" w:bidi="ar"/>
        </w:rPr>
        <w:t>2</w:t>
      </w:r>
      <w:r>
        <w:rPr>
          <w:rFonts w:hint="default" w:ascii="Times New Roman" w:hAnsi="Times New Roman" w:eastAsia="仿宋_GB2312" w:cs="Times New Roman"/>
          <w:color w:val="auto"/>
          <w:sz w:val="24"/>
          <w:lang w:val="en-US" w:eastAsia="zh-CN" w:bidi="ar"/>
        </w:rPr>
        <w:t>，对绿化区域进行回覆表土，平均厚度为0.17m，共需表土0.02万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color w:val="000000"/>
          <w:sz w:val="24"/>
          <w:szCs w:val="24"/>
          <w:lang w:eastAsia="zh-CN"/>
        </w:rPr>
        <w:t>，回覆表土全部来自前期表土剥离。</w:t>
      </w:r>
    </w:p>
    <w:p w14:paraId="55F1A0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
          <w:bCs/>
          <w:color w:val="auto"/>
        </w:rPr>
      </w:pPr>
      <w:r>
        <w:rPr>
          <w:rFonts w:hint="default" w:ascii="Times New Roman" w:hAnsi="Times New Roman" w:eastAsia="仿宋_GB2312" w:cs="Times New Roman"/>
          <w:color w:val="auto"/>
          <w:sz w:val="24"/>
          <w:lang w:val="en-US" w:eastAsia="zh-CN" w:bidi="ar"/>
        </w:rPr>
        <w:t>2、土石方平衡分析：</w:t>
      </w:r>
      <w:r>
        <w:rPr>
          <w:rFonts w:hint="default" w:ascii="Times New Roman" w:hAnsi="Times New Roman" w:eastAsia="仿宋_GB2312" w:cs="Times New Roman"/>
          <w:b w:val="0"/>
          <w:bCs w:val="0"/>
          <w:color w:val="auto"/>
          <w:kern w:val="2"/>
          <w:sz w:val="24"/>
          <w:szCs w:val="24"/>
          <w:lang w:val="en-US" w:eastAsia="zh-CN" w:bidi="ar"/>
        </w:rPr>
        <w:t>本项目挖方总量为0.36万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auto"/>
          <w:kern w:val="0"/>
          <w:sz w:val="24"/>
          <w:szCs w:val="24"/>
          <w:lang w:val="en-US" w:eastAsia="zh-CN" w:bidi="ar"/>
        </w:rPr>
        <w:t>其中表土剥离0.02</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），填方总量为0.36万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auto"/>
          <w:kern w:val="0"/>
          <w:sz w:val="24"/>
          <w:szCs w:val="24"/>
          <w:lang w:val="en-US" w:eastAsia="zh-CN" w:bidi="ar"/>
        </w:rPr>
        <w:t>其中表土回覆0.02</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），无借方，无余方。</w:t>
      </w:r>
      <w:r>
        <w:rPr>
          <w:rFonts w:hint="default" w:ascii="Times New Roman" w:hAnsi="Times New Roman" w:eastAsia="仿宋_GB2312" w:cs="Times New Roman"/>
          <w:color w:val="auto"/>
          <w:sz w:val="24"/>
          <w:lang w:eastAsia="zh-CN" w:bidi="ar"/>
        </w:rPr>
        <w:t>根据现场调查，各部分土石方平衡情况见表</w:t>
      </w:r>
      <w:r>
        <w:rPr>
          <w:rFonts w:hint="default" w:ascii="Times New Roman" w:hAnsi="Times New Roman" w:eastAsia="仿宋_GB2312" w:cs="Times New Roman"/>
          <w:color w:val="auto"/>
          <w:sz w:val="24"/>
          <w:lang w:val="en-US" w:eastAsia="zh-CN" w:bidi="ar"/>
        </w:rPr>
        <w:t>2.4-1、图2.4-1。</w:t>
      </w:r>
      <w:r>
        <w:rPr>
          <w:rFonts w:hint="default" w:ascii="Times New Roman" w:hAnsi="Times New Roman" w:eastAsia="仿宋_GB2312" w:cs="Times New Roman"/>
          <w:b/>
          <w:bCs/>
          <w:color w:val="auto"/>
          <w:kern w:val="0"/>
          <w:sz w:val="21"/>
          <w:szCs w:val="21"/>
        </w:rPr>
        <w:t xml:space="preserve">  </w:t>
      </w:r>
      <w:r>
        <w:rPr>
          <w:rFonts w:hint="default" w:ascii="Times New Roman" w:hAnsi="Times New Roman" w:eastAsia="仿宋_GB2312" w:cs="Times New Roman"/>
          <w:b/>
          <w:bCs/>
          <w:color w:val="auto"/>
          <w:kern w:val="0"/>
          <w:sz w:val="21"/>
          <w:szCs w:val="21"/>
          <w:lang w:val="en-US" w:eastAsia="zh-CN"/>
        </w:rPr>
        <w:t xml:space="preserve">   </w:t>
      </w:r>
      <w:r>
        <w:rPr>
          <w:rFonts w:hint="default" w:ascii="Times New Roman" w:hAnsi="Times New Roman" w:eastAsia="仿宋_GB2312" w:cs="Times New Roman"/>
          <w:b/>
          <w:bCs/>
          <w:color w:val="auto"/>
          <w:kern w:val="0"/>
          <w:sz w:val="21"/>
          <w:szCs w:val="21"/>
        </w:rPr>
        <w:t xml:space="preserve">                  </w:t>
      </w:r>
    </w:p>
    <w:p w14:paraId="6E3AE46F">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default" w:ascii="Times New Roman" w:hAnsi="Times New Roman" w:eastAsia="仿宋_GB2312" w:cs="Times New Roman"/>
          <w:b/>
          <w:bCs/>
          <w:color w:val="auto"/>
          <w:lang w:eastAsia="zh-CN"/>
        </w:rPr>
      </w:pPr>
      <w:r>
        <w:rPr>
          <w:rFonts w:hint="default" w:ascii="Times New Roman" w:hAnsi="Times New Roman" w:eastAsia="仿宋_GB2312" w:cs="Times New Roman"/>
          <w:b/>
          <w:bCs/>
          <w:color w:val="auto"/>
        </w:rPr>
        <w:t>表2.</w:t>
      </w:r>
      <w:r>
        <w:rPr>
          <w:rFonts w:hint="default" w:ascii="Times New Roman" w:hAnsi="Times New Roman" w:eastAsia="仿宋_GB2312" w:cs="Times New Roman"/>
          <w:b/>
          <w:bCs/>
          <w:color w:val="auto"/>
          <w:lang w:val="en-US" w:eastAsia="zh-CN"/>
        </w:rPr>
        <w:t xml:space="preserve">4-1  </w:t>
      </w:r>
      <w:r>
        <w:rPr>
          <w:rFonts w:hint="default" w:ascii="Times New Roman" w:hAnsi="Times New Roman" w:eastAsia="仿宋_GB2312" w:cs="Times New Roman"/>
          <w:b/>
          <w:bCs/>
          <w:color w:val="auto"/>
        </w:rPr>
        <w:t>土石方平衡分析表</w:t>
      </w:r>
      <w:r>
        <w:rPr>
          <w:rFonts w:hint="default" w:ascii="Times New Roman" w:hAnsi="Times New Roman" w:eastAsia="仿宋_GB2312" w:cs="Times New Roman"/>
          <w:b/>
          <w:bCs/>
          <w:color w:val="auto"/>
          <w:lang w:val="en-US" w:eastAsia="zh-CN"/>
        </w:rPr>
        <w:t xml:space="preserve">                 </w:t>
      </w:r>
      <w:r>
        <w:rPr>
          <w:rFonts w:hint="default" w:ascii="Times New Roman" w:hAnsi="Times New Roman" w:eastAsia="仿宋_GB2312" w:cs="Times New Roman"/>
          <w:b/>
          <w:bCs/>
          <w:color w:val="auto"/>
          <w:lang w:eastAsia="zh-CN"/>
        </w:rPr>
        <w:t>单位：</w:t>
      </w:r>
      <w:r>
        <w:rPr>
          <w:rFonts w:hint="default" w:ascii="Times New Roman" w:hAnsi="Times New Roman" w:eastAsia="仿宋_GB2312" w:cs="Times New Roman"/>
          <w:b/>
          <w:bCs/>
          <w:color w:val="auto"/>
          <w:lang w:val="en-US" w:eastAsia="zh-CN"/>
        </w:rPr>
        <w:t>万</w:t>
      </w:r>
      <w:r>
        <w:rPr>
          <w:rFonts w:hint="default" w:ascii="Times New Roman" w:hAnsi="Times New Roman" w:eastAsia="仿宋_GB2312" w:cs="Times New Roman"/>
          <w:b/>
          <w:bCs/>
          <w:color w:val="auto"/>
          <w:sz w:val="24"/>
          <w:szCs w:val="24"/>
          <w:lang w:val="en-US" w:eastAsia="zh-CN"/>
        </w:rPr>
        <w:t>m</w:t>
      </w:r>
      <w:r>
        <w:rPr>
          <w:rFonts w:hint="default" w:ascii="Times New Roman" w:hAnsi="Times New Roman" w:eastAsia="仿宋_GB2312" w:cs="Times New Roman"/>
          <w:b/>
          <w:bCs/>
          <w:color w:val="auto"/>
          <w:sz w:val="24"/>
          <w:szCs w:val="24"/>
          <w:vertAlign w:val="superscript"/>
          <w:lang w:val="en-US" w:eastAsia="zh-CN"/>
        </w:rPr>
        <w:t>3</w:t>
      </w:r>
    </w:p>
    <w:tbl>
      <w:tblPr>
        <w:tblStyle w:val="1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531"/>
        <w:gridCol w:w="809"/>
        <w:gridCol w:w="616"/>
        <w:gridCol w:w="600"/>
        <w:gridCol w:w="555"/>
        <w:gridCol w:w="570"/>
        <w:gridCol w:w="740"/>
        <w:gridCol w:w="740"/>
        <w:gridCol w:w="740"/>
        <w:gridCol w:w="639"/>
      </w:tblGrid>
      <w:tr w14:paraId="6D618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52" w:type="pct"/>
            <w:tcBorders>
              <w:tl2br w:val="nil"/>
              <w:tr2bl w:val="nil"/>
            </w:tcBorders>
            <w:noWrap w:val="0"/>
            <w:vAlign w:val="center"/>
          </w:tcPr>
          <w:p w14:paraId="64A6425B">
            <w:pPr>
              <w:widowControl/>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rPr>
              <w:t>项目</w:t>
            </w:r>
            <w:r>
              <w:rPr>
                <w:rFonts w:hint="default" w:ascii="Times New Roman" w:hAnsi="Times New Roman" w:eastAsia="仿宋_GB2312" w:cs="Times New Roman"/>
                <w:color w:val="auto"/>
                <w:kern w:val="0"/>
                <w:sz w:val="18"/>
                <w:szCs w:val="18"/>
                <w:lang w:eastAsia="zh-CN"/>
              </w:rPr>
              <w:t>名称</w:t>
            </w:r>
          </w:p>
        </w:tc>
        <w:tc>
          <w:tcPr>
            <w:tcW w:w="1287" w:type="pct"/>
            <w:gridSpan w:val="2"/>
            <w:tcBorders>
              <w:tl2br w:val="nil"/>
              <w:tr2bl w:val="nil"/>
            </w:tcBorders>
            <w:noWrap w:val="0"/>
            <w:vAlign w:val="center"/>
          </w:tcPr>
          <w:p w14:paraId="0B7D6CBE">
            <w:pPr>
              <w:widowControl/>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eastAsia="zh-CN"/>
              </w:rPr>
              <w:t>项目</w:t>
            </w:r>
            <w:r>
              <w:rPr>
                <w:rFonts w:hint="default" w:ascii="Times New Roman" w:hAnsi="Times New Roman" w:eastAsia="仿宋_GB2312" w:cs="Times New Roman"/>
                <w:color w:val="auto"/>
                <w:kern w:val="0"/>
                <w:sz w:val="18"/>
                <w:szCs w:val="18"/>
                <w:lang w:val="en-US" w:eastAsia="zh-CN"/>
              </w:rPr>
              <w:t>组成</w:t>
            </w:r>
          </w:p>
        </w:tc>
        <w:tc>
          <w:tcPr>
            <w:tcW w:w="668" w:type="pct"/>
            <w:gridSpan w:val="2"/>
            <w:tcBorders>
              <w:tl2br w:val="nil"/>
              <w:tr2bl w:val="nil"/>
            </w:tcBorders>
            <w:noWrap w:val="0"/>
            <w:vAlign w:val="center"/>
          </w:tcPr>
          <w:p w14:paraId="578480CD">
            <w:pPr>
              <w:widowControl/>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挖方</w:t>
            </w:r>
          </w:p>
        </w:tc>
        <w:tc>
          <w:tcPr>
            <w:tcW w:w="618" w:type="pct"/>
            <w:gridSpan w:val="2"/>
            <w:tcBorders>
              <w:tl2br w:val="nil"/>
              <w:tr2bl w:val="nil"/>
            </w:tcBorders>
            <w:noWrap w:val="0"/>
            <w:vAlign w:val="center"/>
          </w:tcPr>
          <w:p w14:paraId="0B001CBC">
            <w:pPr>
              <w:widowControl/>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填方</w:t>
            </w:r>
          </w:p>
        </w:tc>
        <w:tc>
          <w:tcPr>
            <w:tcW w:w="407" w:type="pct"/>
            <w:tcBorders>
              <w:tl2br w:val="nil"/>
              <w:tr2bl w:val="nil"/>
            </w:tcBorders>
            <w:noWrap w:val="0"/>
            <w:vAlign w:val="center"/>
          </w:tcPr>
          <w:p w14:paraId="556BEA4C">
            <w:pPr>
              <w:widowControl/>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调入</w:t>
            </w:r>
          </w:p>
        </w:tc>
        <w:tc>
          <w:tcPr>
            <w:tcW w:w="407" w:type="pct"/>
            <w:tcBorders>
              <w:tl2br w:val="nil"/>
              <w:tr2bl w:val="nil"/>
            </w:tcBorders>
            <w:noWrap w:val="0"/>
            <w:vAlign w:val="center"/>
          </w:tcPr>
          <w:p w14:paraId="4F12A52D">
            <w:pPr>
              <w:widowControl/>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调出</w:t>
            </w:r>
          </w:p>
        </w:tc>
        <w:tc>
          <w:tcPr>
            <w:tcW w:w="407" w:type="pct"/>
            <w:tcBorders>
              <w:tl2br w:val="nil"/>
              <w:tr2bl w:val="nil"/>
            </w:tcBorders>
            <w:noWrap w:val="0"/>
            <w:vAlign w:val="center"/>
          </w:tcPr>
          <w:p w14:paraId="4D4DFBD9">
            <w:pPr>
              <w:widowControl/>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借方</w:t>
            </w:r>
          </w:p>
        </w:tc>
        <w:tc>
          <w:tcPr>
            <w:tcW w:w="351" w:type="pct"/>
            <w:tcBorders>
              <w:tl2br w:val="nil"/>
              <w:tr2bl w:val="nil"/>
            </w:tcBorders>
            <w:noWrap w:val="0"/>
            <w:vAlign w:val="center"/>
          </w:tcPr>
          <w:p w14:paraId="72DC597C">
            <w:pPr>
              <w:widowControl/>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余方</w:t>
            </w:r>
          </w:p>
        </w:tc>
      </w:tr>
      <w:tr w14:paraId="72772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52" w:type="pct"/>
            <w:vMerge w:val="restart"/>
            <w:tcBorders>
              <w:tl2br w:val="nil"/>
              <w:tr2bl w:val="nil"/>
            </w:tcBorders>
            <w:noWrap w:val="0"/>
            <w:vAlign w:val="center"/>
          </w:tcPr>
          <w:p w14:paraId="040B1982">
            <w:pPr>
              <w:widowControl/>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剑阁县王河镇干部周转房建设项目</w:t>
            </w:r>
          </w:p>
          <w:p w14:paraId="38C3B8A7">
            <w:pPr>
              <w:widowControl/>
              <w:jc w:val="center"/>
              <w:rPr>
                <w:rFonts w:hint="default" w:ascii="Times New Roman" w:hAnsi="Times New Roman" w:eastAsia="仿宋_GB2312" w:cs="Times New Roman"/>
                <w:color w:val="auto"/>
                <w:kern w:val="0"/>
                <w:sz w:val="18"/>
                <w:szCs w:val="18"/>
              </w:rPr>
            </w:pPr>
          </w:p>
        </w:tc>
        <w:tc>
          <w:tcPr>
            <w:tcW w:w="842" w:type="pct"/>
            <w:vMerge w:val="restart"/>
            <w:tcBorders>
              <w:tl2br w:val="nil"/>
              <w:tr2bl w:val="nil"/>
            </w:tcBorders>
            <w:noWrap w:val="0"/>
            <w:vAlign w:val="center"/>
          </w:tcPr>
          <w:p w14:paraId="61C5E989">
            <w:pPr>
              <w:ind w:firstLine="0" w:firstLineChars="0"/>
              <w:jc w:val="center"/>
              <w:rPr>
                <w:rFonts w:hint="default" w:ascii="Times New Roman" w:hAnsi="Times New Roman" w:eastAsia="仿宋_GB2312" w:cs="Times New Roman"/>
                <w:color w:val="auto"/>
                <w:kern w:val="0"/>
                <w:sz w:val="18"/>
                <w:szCs w:val="18"/>
                <w:lang w:eastAsia="zh-CN" w:bidi="ar"/>
              </w:rPr>
            </w:pPr>
            <w:r>
              <w:rPr>
                <w:rFonts w:hint="default" w:ascii="Times New Roman" w:hAnsi="Times New Roman" w:eastAsia="仿宋_GB2312" w:cs="Times New Roman"/>
                <w:color w:val="auto"/>
                <w:kern w:val="0"/>
                <w:sz w:val="18"/>
                <w:szCs w:val="18"/>
                <w:lang w:eastAsia="zh-CN"/>
              </w:rPr>
              <w:t>建构筑物</w:t>
            </w:r>
            <w:r>
              <w:rPr>
                <w:rFonts w:hint="default" w:ascii="Times New Roman" w:hAnsi="Times New Roman" w:eastAsia="仿宋_GB2312" w:cs="Times New Roman"/>
                <w:color w:val="auto"/>
                <w:kern w:val="0"/>
                <w:sz w:val="18"/>
                <w:szCs w:val="18"/>
              </w:rPr>
              <w:t>工程</w:t>
            </w:r>
          </w:p>
        </w:tc>
        <w:tc>
          <w:tcPr>
            <w:tcW w:w="445" w:type="pct"/>
            <w:tcBorders>
              <w:tl2br w:val="nil"/>
              <w:tr2bl w:val="nil"/>
            </w:tcBorders>
            <w:noWrap w:val="0"/>
            <w:vAlign w:val="center"/>
          </w:tcPr>
          <w:p w14:paraId="3F36D58E">
            <w:pPr>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表土</w:t>
            </w:r>
          </w:p>
        </w:tc>
        <w:tc>
          <w:tcPr>
            <w:tcW w:w="338" w:type="pct"/>
            <w:tcBorders>
              <w:tl2br w:val="nil"/>
              <w:tr2bl w:val="nil"/>
            </w:tcBorders>
            <w:noWrap w:val="0"/>
            <w:vAlign w:val="center"/>
          </w:tcPr>
          <w:p w14:paraId="4F2A5561">
            <w:pPr>
              <w:widowControl/>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w:t>
            </w:r>
          </w:p>
        </w:tc>
        <w:tc>
          <w:tcPr>
            <w:tcW w:w="330" w:type="pct"/>
            <w:vMerge w:val="restart"/>
            <w:tcBorders>
              <w:tl2br w:val="nil"/>
              <w:tr2bl w:val="nil"/>
            </w:tcBorders>
            <w:noWrap w:val="0"/>
            <w:vAlign w:val="center"/>
          </w:tcPr>
          <w:p w14:paraId="4F91F0B8">
            <w:pPr>
              <w:widowControl/>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0.05</w:t>
            </w:r>
          </w:p>
        </w:tc>
        <w:tc>
          <w:tcPr>
            <w:tcW w:w="305" w:type="pct"/>
            <w:tcBorders>
              <w:tl2br w:val="nil"/>
              <w:tr2bl w:val="nil"/>
            </w:tcBorders>
            <w:noWrap w:val="0"/>
            <w:vAlign w:val="center"/>
          </w:tcPr>
          <w:p w14:paraId="4A62C96C">
            <w:pPr>
              <w:widowControl/>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w:t>
            </w:r>
          </w:p>
        </w:tc>
        <w:tc>
          <w:tcPr>
            <w:tcW w:w="313" w:type="pct"/>
            <w:vMerge w:val="restart"/>
            <w:tcBorders>
              <w:tl2br w:val="nil"/>
              <w:tr2bl w:val="nil"/>
            </w:tcBorders>
            <w:noWrap w:val="0"/>
            <w:vAlign w:val="center"/>
          </w:tcPr>
          <w:p w14:paraId="1ECD1C68">
            <w:pPr>
              <w:widowControl/>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0.05</w:t>
            </w:r>
          </w:p>
        </w:tc>
        <w:tc>
          <w:tcPr>
            <w:tcW w:w="407" w:type="pct"/>
            <w:tcBorders>
              <w:tl2br w:val="nil"/>
              <w:tr2bl w:val="nil"/>
            </w:tcBorders>
            <w:noWrap w:val="0"/>
            <w:vAlign w:val="center"/>
          </w:tcPr>
          <w:p w14:paraId="51DD05CB">
            <w:pPr>
              <w:widowControl/>
              <w:jc w:val="center"/>
              <w:rPr>
                <w:rFonts w:hint="default" w:ascii="Times New Roman" w:hAnsi="Times New Roman" w:eastAsia="仿宋_GB2312" w:cs="Times New Roman"/>
                <w:color w:val="auto"/>
                <w:kern w:val="0"/>
                <w:sz w:val="18"/>
                <w:szCs w:val="18"/>
                <w:lang w:eastAsia="zh-CN"/>
              </w:rPr>
            </w:pPr>
          </w:p>
        </w:tc>
        <w:tc>
          <w:tcPr>
            <w:tcW w:w="407" w:type="pct"/>
            <w:tcBorders>
              <w:tl2br w:val="nil"/>
              <w:tr2bl w:val="nil"/>
            </w:tcBorders>
            <w:noWrap w:val="0"/>
            <w:vAlign w:val="center"/>
          </w:tcPr>
          <w:p w14:paraId="5CE5523C">
            <w:pPr>
              <w:widowControl/>
              <w:jc w:val="center"/>
              <w:rPr>
                <w:rFonts w:hint="default" w:ascii="Times New Roman" w:hAnsi="Times New Roman" w:eastAsia="仿宋_GB2312" w:cs="Times New Roman"/>
                <w:color w:val="auto"/>
                <w:kern w:val="0"/>
                <w:sz w:val="18"/>
                <w:szCs w:val="18"/>
                <w:lang w:val="en-US" w:eastAsia="zh-CN"/>
              </w:rPr>
            </w:pPr>
          </w:p>
        </w:tc>
        <w:tc>
          <w:tcPr>
            <w:tcW w:w="407" w:type="pct"/>
            <w:tcBorders>
              <w:tl2br w:val="nil"/>
              <w:tr2bl w:val="nil"/>
            </w:tcBorders>
            <w:noWrap w:val="0"/>
            <w:vAlign w:val="center"/>
          </w:tcPr>
          <w:p w14:paraId="03DC18A9">
            <w:pPr>
              <w:widowControl/>
              <w:jc w:val="center"/>
              <w:rPr>
                <w:rFonts w:hint="default" w:ascii="Times New Roman" w:hAnsi="Times New Roman" w:eastAsia="仿宋_GB2312" w:cs="Times New Roman"/>
                <w:color w:val="auto"/>
                <w:kern w:val="0"/>
                <w:sz w:val="18"/>
                <w:szCs w:val="18"/>
                <w:lang w:eastAsia="zh-CN"/>
              </w:rPr>
            </w:pPr>
          </w:p>
        </w:tc>
        <w:tc>
          <w:tcPr>
            <w:tcW w:w="351" w:type="pct"/>
            <w:tcBorders>
              <w:tl2br w:val="nil"/>
              <w:tr2bl w:val="nil"/>
            </w:tcBorders>
            <w:noWrap w:val="0"/>
            <w:vAlign w:val="center"/>
          </w:tcPr>
          <w:p w14:paraId="18056FFB">
            <w:pPr>
              <w:widowControl/>
              <w:jc w:val="center"/>
              <w:rPr>
                <w:rFonts w:hint="default" w:ascii="Times New Roman" w:hAnsi="Times New Roman" w:eastAsia="仿宋_GB2312" w:cs="Times New Roman"/>
                <w:color w:val="auto"/>
                <w:kern w:val="0"/>
                <w:sz w:val="18"/>
                <w:szCs w:val="18"/>
                <w:lang w:val="en-US" w:eastAsia="zh-CN"/>
              </w:rPr>
            </w:pPr>
          </w:p>
        </w:tc>
      </w:tr>
      <w:tr w14:paraId="23E18A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52" w:type="pct"/>
            <w:vMerge w:val="continue"/>
            <w:tcBorders>
              <w:tl2br w:val="nil"/>
              <w:tr2bl w:val="nil"/>
            </w:tcBorders>
            <w:noWrap w:val="0"/>
            <w:vAlign w:val="center"/>
          </w:tcPr>
          <w:p w14:paraId="03AE11C2">
            <w:pPr>
              <w:widowControl/>
              <w:jc w:val="center"/>
              <w:rPr>
                <w:rFonts w:hint="default" w:ascii="Times New Roman" w:hAnsi="Times New Roman" w:eastAsia="仿宋_GB2312" w:cs="Times New Roman"/>
                <w:color w:val="auto"/>
                <w:kern w:val="0"/>
                <w:sz w:val="18"/>
                <w:szCs w:val="18"/>
              </w:rPr>
            </w:pPr>
          </w:p>
        </w:tc>
        <w:tc>
          <w:tcPr>
            <w:tcW w:w="842" w:type="pct"/>
            <w:vMerge w:val="continue"/>
            <w:tcBorders>
              <w:tl2br w:val="nil"/>
              <w:tr2bl w:val="nil"/>
            </w:tcBorders>
            <w:noWrap w:val="0"/>
            <w:vAlign w:val="center"/>
          </w:tcPr>
          <w:p w14:paraId="55430008">
            <w:pPr>
              <w:ind w:firstLine="0" w:firstLineChars="0"/>
              <w:jc w:val="center"/>
              <w:rPr>
                <w:rFonts w:hint="default" w:ascii="Times New Roman" w:hAnsi="Times New Roman" w:eastAsia="仿宋_GB2312" w:cs="Times New Roman"/>
                <w:color w:val="auto"/>
                <w:kern w:val="0"/>
                <w:sz w:val="18"/>
                <w:szCs w:val="18"/>
                <w:lang w:eastAsia="zh-CN"/>
              </w:rPr>
            </w:pPr>
          </w:p>
        </w:tc>
        <w:tc>
          <w:tcPr>
            <w:tcW w:w="445" w:type="pct"/>
            <w:tcBorders>
              <w:tl2br w:val="nil"/>
              <w:tr2bl w:val="nil"/>
            </w:tcBorders>
            <w:noWrap w:val="0"/>
            <w:vAlign w:val="center"/>
          </w:tcPr>
          <w:p w14:paraId="427BD5FC">
            <w:pPr>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eastAsia="zh-CN"/>
              </w:rPr>
              <w:t>土石方</w:t>
            </w:r>
            <w:r>
              <w:rPr>
                <w:rFonts w:hint="default" w:ascii="Times New Roman" w:hAnsi="Times New Roman" w:eastAsia="仿宋_GB2312" w:cs="Times New Roman"/>
                <w:color w:val="auto"/>
                <w:kern w:val="0"/>
                <w:sz w:val="18"/>
                <w:szCs w:val="18"/>
                <w:lang w:val="en-US" w:eastAsia="zh-CN"/>
              </w:rPr>
              <w:t xml:space="preserve"> </w:t>
            </w:r>
          </w:p>
        </w:tc>
        <w:tc>
          <w:tcPr>
            <w:tcW w:w="338" w:type="pct"/>
            <w:tcBorders>
              <w:tl2br w:val="nil"/>
              <w:tr2bl w:val="nil"/>
            </w:tcBorders>
            <w:noWrap w:val="0"/>
            <w:vAlign w:val="center"/>
          </w:tcPr>
          <w:p w14:paraId="1A0AD600">
            <w:pPr>
              <w:widowControl/>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0.05</w:t>
            </w:r>
          </w:p>
        </w:tc>
        <w:tc>
          <w:tcPr>
            <w:tcW w:w="330" w:type="pct"/>
            <w:vMerge w:val="continue"/>
            <w:tcBorders>
              <w:tl2br w:val="nil"/>
              <w:tr2bl w:val="nil"/>
            </w:tcBorders>
            <w:noWrap w:val="0"/>
            <w:vAlign w:val="center"/>
          </w:tcPr>
          <w:p w14:paraId="0AB8A9AD">
            <w:pPr>
              <w:widowControl/>
              <w:jc w:val="center"/>
              <w:rPr>
                <w:rFonts w:hint="default" w:ascii="Times New Roman" w:hAnsi="Times New Roman" w:eastAsia="仿宋_GB2312" w:cs="Times New Roman"/>
                <w:color w:val="auto"/>
                <w:kern w:val="0"/>
                <w:sz w:val="18"/>
                <w:szCs w:val="18"/>
                <w:lang w:val="en-US" w:eastAsia="zh-CN"/>
              </w:rPr>
            </w:pPr>
          </w:p>
        </w:tc>
        <w:tc>
          <w:tcPr>
            <w:tcW w:w="305" w:type="pct"/>
            <w:tcBorders>
              <w:tl2br w:val="nil"/>
              <w:tr2bl w:val="nil"/>
            </w:tcBorders>
            <w:noWrap w:val="0"/>
            <w:vAlign w:val="center"/>
          </w:tcPr>
          <w:p w14:paraId="42E57FB7">
            <w:pPr>
              <w:widowControl/>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0.05</w:t>
            </w:r>
          </w:p>
        </w:tc>
        <w:tc>
          <w:tcPr>
            <w:tcW w:w="313" w:type="pct"/>
            <w:vMerge w:val="continue"/>
            <w:tcBorders>
              <w:tl2br w:val="nil"/>
              <w:tr2bl w:val="nil"/>
            </w:tcBorders>
            <w:noWrap w:val="0"/>
            <w:vAlign w:val="center"/>
          </w:tcPr>
          <w:p w14:paraId="1CF09A2C">
            <w:pPr>
              <w:widowControl/>
              <w:jc w:val="center"/>
              <w:rPr>
                <w:rFonts w:hint="default" w:ascii="Times New Roman" w:hAnsi="Times New Roman" w:eastAsia="仿宋_GB2312" w:cs="Times New Roman"/>
                <w:color w:val="auto"/>
                <w:kern w:val="0"/>
                <w:sz w:val="18"/>
                <w:szCs w:val="18"/>
                <w:lang w:val="en-US" w:eastAsia="zh-CN"/>
              </w:rPr>
            </w:pPr>
          </w:p>
        </w:tc>
        <w:tc>
          <w:tcPr>
            <w:tcW w:w="407" w:type="pct"/>
            <w:tcBorders>
              <w:tl2br w:val="nil"/>
              <w:tr2bl w:val="nil"/>
            </w:tcBorders>
            <w:noWrap w:val="0"/>
            <w:vAlign w:val="center"/>
          </w:tcPr>
          <w:p w14:paraId="5F440030">
            <w:pPr>
              <w:widowControl/>
              <w:jc w:val="center"/>
              <w:rPr>
                <w:rFonts w:hint="default" w:ascii="Times New Roman" w:hAnsi="Times New Roman" w:eastAsia="仿宋_GB2312" w:cs="Times New Roman"/>
                <w:color w:val="auto"/>
                <w:kern w:val="0"/>
                <w:sz w:val="18"/>
                <w:szCs w:val="18"/>
                <w:lang w:eastAsia="zh-CN"/>
              </w:rPr>
            </w:pPr>
          </w:p>
        </w:tc>
        <w:tc>
          <w:tcPr>
            <w:tcW w:w="407" w:type="pct"/>
            <w:tcBorders>
              <w:tl2br w:val="nil"/>
              <w:tr2bl w:val="nil"/>
            </w:tcBorders>
            <w:noWrap w:val="0"/>
            <w:vAlign w:val="center"/>
          </w:tcPr>
          <w:p w14:paraId="3872B981">
            <w:pPr>
              <w:widowControl/>
              <w:jc w:val="center"/>
              <w:rPr>
                <w:rFonts w:hint="default" w:ascii="Times New Roman" w:hAnsi="Times New Roman" w:eastAsia="仿宋_GB2312" w:cs="Times New Roman"/>
                <w:color w:val="auto"/>
                <w:kern w:val="0"/>
                <w:sz w:val="18"/>
                <w:szCs w:val="18"/>
                <w:lang w:val="en-US" w:eastAsia="zh-CN"/>
              </w:rPr>
            </w:pPr>
          </w:p>
        </w:tc>
        <w:tc>
          <w:tcPr>
            <w:tcW w:w="407" w:type="pct"/>
            <w:tcBorders>
              <w:tl2br w:val="nil"/>
              <w:tr2bl w:val="nil"/>
            </w:tcBorders>
            <w:noWrap w:val="0"/>
            <w:vAlign w:val="center"/>
          </w:tcPr>
          <w:p w14:paraId="3F88E439">
            <w:pPr>
              <w:widowControl/>
              <w:jc w:val="center"/>
              <w:rPr>
                <w:rFonts w:hint="default" w:ascii="Times New Roman" w:hAnsi="Times New Roman" w:eastAsia="仿宋_GB2312" w:cs="Times New Roman"/>
                <w:color w:val="auto"/>
                <w:kern w:val="0"/>
                <w:sz w:val="18"/>
                <w:szCs w:val="18"/>
                <w:lang w:eastAsia="zh-CN"/>
              </w:rPr>
            </w:pPr>
          </w:p>
        </w:tc>
        <w:tc>
          <w:tcPr>
            <w:tcW w:w="351" w:type="pct"/>
            <w:tcBorders>
              <w:tl2br w:val="nil"/>
              <w:tr2bl w:val="nil"/>
            </w:tcBorders>
            <w:noWrap w:val="0"/>
            <w:vAlign w:val="center"/>
          </w:tcPr>
          <w:p w14:paraId="788CCA7F">
            <w:pPr>
              <w:widowControl/>
              <w:jc w:val="center"/>
              <w:rPr>
                <w:rFonts w:hint="default" w:ascii="Times New Roman" w:hAnsi="Times New Roman" w:eastAsia="仿宋_GB2312" w:cs="Times New Roman"/>
                <w:color w:val="auto"/>
                <w:kern w:val="0"/>
                <w:sz w:val="18"/>
                <w:szCs w:val="18"/>
                <w:lang w:val="en-US" w:eastAsia="zh-CN"/>
              </w:rPr>
            </w:pPr>
          </w:p>
        </w:tc>
      </w:tr>
      <w:tr w14:paraId="51563F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52" w:type="pct"/>
            <w:vMerge w:val="continue"/>
            <w:tcBorders>
              <w:tl2br w:val="nil"/>
              <w:tr2bl w:val="nil"/>
            </w:tcBorders>
            <w:noWrap w:val="0"/>
            <w:vAlign w:val="center"/>
          </w:tcPr>
          <w:p w14:paraId="1B11C57D">
            <w:pPr>
              <w:widowControl/>
              <w:jc w:val="center"/>
              <w:rPr>
                <w:rFonts w:hint="default" w:ascii="Times New Roman" w:hAnsi="Times New Roman" w:eastAsia="仿宋_GB2312" w:cs="Times New Roman"/>
                <w:color w:val="auto"/>
              </w:rPr>
            </w:pPr>
          </w:p>
        </w:tc>
        <w:tc>
          <w:tcPr>
            <w:tcW w:w="842" w:type="pct"/>
            <w:vMerge w:val="restart"/>
            <w:tcBorders>
              <w:tl2br w:val="nil"/>
              <w:tr2bl w:val="nil"/>
            </w:tcBorders>
            <w:noWrap w:val="0"/>
            <w:vAlign w:val="center"/>
          </w:tcPr>
          <w:p w14:paraId="092ABFF2">
            <w:pPr>
              <w:ind w:firstLine="0" w:firstLineChars="0"/>
              <w:jc w:val="center"/>
              <w:rPr>
                <w:rFonts w:hint="default" w:ascii="Times New Roman" w:hAnsi="Times New Roman" w:eastAsia="仿宋_GB2312" w:cs="Times New Roman"/>
                <w:color w:val="auto"/>
                <w:kern w:val="0"/>
                <w:sz w:val="18"/>
                <w:szCs w:val="18"/>
                <w:lang w:eastAsia="zh-CN" w:bidi="ar"/>
              </w:rPr>
            </w:pPr>
            <w:r>
              <w:rPr>
                <w:rFonts w:hint="default" w:ascii="Times New Roman" w:hAnsi="Times New Roman" w:eastAsia="仿宋_GB2312" w:cs="Times New Roman"/>
                <w:color w:val="auto"/>
                <w:kern w:val="0"/>
                <w:sz w:val="18"/>
                <w:szCs w:val="18"/>
                <w:lang w:eastAsia="zh-CN"/>
              </w:rPr>
              <w:t>硬化工程</w:t>
            </w:r>
          </w:p>
        </w:tc>
        <w:tc>
          <w:tcPr>
            <w:tcW w:w="445" w:type="pct"/>
            <w:tcBorders>
              <w:tl2br w:val="nil"/>
              <w:tr2bl w:val="nil"/>
            </w:tcBorders>
            <w:noWrap w:val="0"/>
            <w:vAlign w:val="center"/>
          </w:tcPr>
          <w:p w14:paraId="4D8AAF94">
            <w:pPr>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表土</w:t>
            </w:r>
          </w:p>
        </w:tc>
        <w:tc>
          <w:tcPr>
            <w:tcW w:w="338" w:type="pct"/>
            <w:tcBorders>
              <w:tl2br w:val="nil"/>
              <w:tr2bl w:val="nil"/>
            </w:tcBorders>
            <w:noWrap w:val="0"/>
            <w:vAlign w:val="center"/>
          </w:tcPr>
          <w:p w14:paraId="28746F4F">
            <w:pPr>
              <w:widowControl/>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0.01</w:t>
            </w:r>
          </w:p>
        </w:tc>
        <w:tc>
          <w:tcPr>
            <w:tcW w:w="330" w:type="pct"/>
            <w:vMerge w:val="restart"/>
            <w:tcBorders>
              <w:tl2br w:val="nil"/>
              <w:tr2bl w:val="nil"/>
            </w:tcBorders>
            <w:noWrap w:val="0"/>
            <w:vAlign w:val="center"/>
          </w:tcPr>
          <w:p w14:paraId="135EEA60">
            <w:pPr>
              <w:widowControl/>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0.15</w:t>
            </w:r>
          </w:p>
        </w:tc>
        <w:tc>
          <w:tcPr>
            <w:tcW w:w="305" w:type="pct"/>
            <w:tcBorders>
              <w:tl2br w:val="nil"/>
              <w:tr2bl w:val="nil"/>
            </w:tcBorders>
            <w:noWrap w:val="0"/>
            <w:vAlign w:val="center"/>
          </w:tcPr>
          <w:p w14:paraId="0A07A714">
            <w:pPr>
              <w:widowControl/>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0</w:t>
            </w:r>
          </w:p>
        </w:tc>
        <w:tc>
          <w:tcPr>
            <w:tcW w:w="313" w:type="pct"/>
            <w:vMerge w:val="restart"/>
            <w:tcBorders>
              <w:tl2br w:val="nil"/>
              <w:tr2bl w:val="nil"/>
            </w:tcBorders>
            <w:noWrap w:val="0"/>
            <w:vAlign w:val="center"/>
          </w:tcPr>
          <w:p w14:paraId="650B41DE">
            <w:pPr>
              <w:widowControl/>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0.14</w:t>
            </w:r>
          </w:p>
        </w:tc>
        <w:tc>
          <w:tcPr>
            <w:tcW w:w="407" w:type="pct"/>
            <w:tcBorders>
              <w:tl2br w:val="nil"/>
              <w:tr2bl w:val="nil"/>
            </w:tcBorders>
            <w:noWrap w:val="0"/>
            <w:vAlign w:val="center"/>
          </w:tcPr>
          <w:p w14:paraId="0C6AC932">
            <w:pPr>
              <w:widowControl/>
              <w:jc w:val="center"/>
              <w:rPr>
                <w:rFonts w:hint="default" w:ascii="Times New Roman" w:hAnsi="Times New Roman" w:eastAsia="仿宋_GB2312" w:cs="Times New Roman"/>
                <w:color w:val="auto"/>
                <w:kern w:val="0"/>
                <w:sz w:val="18"/>
                <w:szCs w:val="18"/>
                <w:lang w:val="en-US" w:eastAsia="zh-CN" w:bidi="ar"/>
              </w:rPr>
            </w:pPr>
          </w:p>
        </w:tc>
        <w:tc>
          <w:tcPr>
            <w:tcW w:w="407" w:type="pct"/>
            <w:tcBorders>
              <w:tl2br w:val="nil"/>
              <w:tr2bl w:val="nil"/>
            </w:tcBorders>
            <w:noWrap w:val="0"/>
            <w:vAlign w:val="center"/>
          </w:tcPr>
          <w:p w14:paraId="45B56144">
            <w:pPr>
              <w:widowControl/>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0.01</w:t>
            </w:r>
          </w:p>
        </w:tc>
        <w:tc>
          <w:tcPr>
            <w:tcW w:w="407" w:type="pct"/>
            <w:tcBorders>
              <w:tl2br w:val="nil"/>
              <w:tr2bl w:val="nil"/>
            </w:tcBorders>
            <w:noWrap w:val="0"/>
            <w:vAlign w:val="center"/>
          </w:tcPr>
          <w:p w14:paraId="043D077C">
            <w:pPr>
              <w:widowControl/>
              <w:jc w:val="center"/>
              <w:rPr>
                <w:rFonts w:hint="default" w:ascii="Times New Roman" w:hAnsi="Times New Roman" w:eastAsia="仿宋_GB2312" w:cs="Times New Roman"/>
                <w:color w:val="auto"/>
                <w:kern w:val="0"/>
                <w:sz w:val="18"/>
                <w:szCs w:val="18"/>
                <w:lang w:val="en-US" w:eastAsia="zh-CN" w:bidi="ar"/>
              </w:rPr>
            </w:pPr>
          </w:p>
        </w:tc>
        <w:tc>
          <w:tcPr>
            <w:tcW w:w="351" w:type="pct"/>
            <w:tcBorders>
              <w:tl2br w:val="nil"/>
              <w:tr2bl w:val="nil"/>
            </w:tcBorders>
            <w:noWrap w:val="0"/>
            <w:vAlign w:val="center"/>
          </w:tcPr>
          <w:p w14:paraId="044639C7">
            <w:pPr>
              <w:widowControl/>
              <w:jc w:val="center"/>
              <w:rPr>
                <w:rFonts w:hint="default" w:ascii="Times New Roman" w:hAnsi="Times New Roman" w:eastAsia="仿宋_GB2312" w:cs="Times New Roman"/>
                <w:color w:val="auto"/>
                <w:kern w:val="0"/>
                <w:sz w:val="18"/>
                <w:szCs w:val="18"/>
                <w:lang w:val="en-US" w:eastAsia="zh-CN" w:bidi="ar"/>
              </w:rPr>
            </w:pPr>
          </w:p>
        </w:tc>
      </w:tr>
      <w:tr w14:paraId="1A0473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52" w:type="pct"/>
            <w:vMerge w:val="continue"/>
            <w:tcBorders>
              <w:tl2br w:val="nil"/>
              <w:tr2bl w:val="nil"/>
            </w:tcBorders>
            <w:noWrap w:val="0"/>
            <w:vAlign w:val="center"/>
          </w:tcPr>
          <w:p w14:paraId="0229AF52">
            <w:pPr>
              <w:widowControl/>
              <w:jc w:val="center"/>
              <w:rPr>
                <w:rFonts w:hint="default" w:ascii="Times New Roman" w:hAnsi="Times New Roman" w:eastAsia="仿宋_GB2312" w:cs="Times New Roman"/>
                <w:color w:val="auto"/>
              </w:rPr>
            </w:pPr>
          </w:p>
        </w:tc>
        <w:tc>
          <w:tcPr>
            <w:tcW w:w="842" w:type="pct"/>
            <w:vMerge w:val="continue"/>
            <w:tcBorders>
              <w:tl2br w:val="nil"/>
              <w:tr2bl w:val="nil"/>
            </w:tcBorders>
            <w:noWrap w:val="0"/>
            <w:vAlign w:val="center"/>
          </w:tcPr>
          <w:p w14:paraId="27876D74">
            <w:pPr>
              <w:ind w:firstLine="0" w:firstLineChars="0"/>
              <w:jc w:val="center"/>
              <w:rPr>
                <w:rFonts w:hint="default" w:ascii="Times New Roman" w:hAnsi="Times New Roman" w:eastAsia="仿宋_GB2312" w:cs="Times New Roman"/>
                <w:color w:val="auto"/>
                <w:kern w:val="0"/>
                <w:sz w:val="18"/>
                <w:szCs w:val="18"/>
                <w:lang w:eastAsia="zh-CN"/>
              </w:rPr>
            </w:pPr>
          </w:p>
        </w:tc>
        <w:tc>
          <w:tcPr>
            <w:tcW w:w="445" w:type="pct"/>
            <w:tcBorders>
              <w:tl2br w:val="nil"/>
              <w:tr2bl w:val="nil"/>
            </w:tcBorders>
            <w:noWrap w:val="0"/>
            <w:vAlign w:val="center"/>
          </w:tcPr>
          <w:p w14:paraId="37A7999B">
            <w:pPr>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土石方</w:t>
            </w:r>
            <w:r>
              <w:rPr>
                <w:rFonts w:hint="default" w:ascii="Times New Roman" w:hAnsi="Times New Roman" w:eastAsia="仿宋_GB2312" w:cs="Times New Roman"/>
                <w:color w:val="auto"/>
                <w:kern w:val="0"/>
                <w:sz w:val="18"/>
                <w:szCs w:val="18"/>
                <w:lang w:val="en-US" w:eastAsia="zh-CN"/>
              </w:rPr>
              <w:t xml:space="preserve"> </w:t>
            </w:r>
          </w:p>
        </w:tc>
        <w:tc>
          <w:tcPr>
            <w:tcW w:w="338" w:type="pct"/>
            <w:tcBorders>
              <w:tl2br w:val="nil"/>
              <w:tr2bl w:val="nil"/>
            </w:tcBorders>
            <w:noWrap w:val="0"/>
            <w:vAlign w:val="center"/>
          </w:tcPr>
          <w:p w14:paraId="4AFBB9CD">
            <w:pPr>
              <w:widowControl/>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0.14</w:t>
            </w:r>
          </w:p>
        </w:tc>
        <w:tc>
          <w:tcPr>
            <w:tcW w:w="330" w:type="pct"/>
            <w:vMerge w:val="continue"/>
            <w:tcBorders>
              <w:tl2br w:val="nil"/>
              <w:tr2bl w:val="nil"/>
            </w:tcBorders>
            <w:noWrap w:val="0"/>
            <w:vAlign w:val="center"/>
          </w:tcPr>
          <w:p w14:paraId="551DEF13">
            <w:pPr>
              <w:widowControl/>
              <w:jc w:val="center"/>
              <w:rPr>
                <w:rFonts w:hint="default" w:ascii="Times New Roman" w:hAnsi="Times New Roman" w:eastAsia="仿宋_GB2312" w:cs="Times New Roman"/>
                <w:color w:val="auto"/>
                <w:kern w:val="0"/>
                <w:sz w:val="18"/>
                <w:szCs w:val="18"/>
                <w:lang w:val="en-US" w:eastAsia="zh-CN" w:bidi="ar"/>
              </w:rPr>
            </w:pPr>
          </w:p>
        </w:tc>
        <w:tc>
          <w:tcPr>
            <w:tcW w:w="305" w:type="pct"/>
            <w:tcBorders>
              <w:tl2br w:val="nil"/>
              <w:tr2bl w:val="nil"/>
            </w:tcBorders>
            <w:noWrap w:val="0"/>
            <w:vAlign w:val="center"/>
          </w:tcPr>
          <w:p w14:paraId="0E9B75E4">
            <w:pPr>
              <w:widowControl/>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0.14</w:t>
            </w:r>
          </w:p>
        </w:tc>
        <w:tc>
          <w:tcPr>
            <w:tcW w:w="313" w:type="pct"/>
            <w:vMerge w:val="continue"/>
            <w:tcBorders>
              <w:tl2br w:val="nil"/>
              <w:tr2bl w:val="nil"/>
            </w:tcBorders>
            <w:noWrap w:val="0"/>
            <w:vAlign w:val="center"/>
          </w:tcPr>
          <w:p w14:paraId="121839FC">
            <w:pPr>
              <w:widowControl/>
              <w:jc w:val="center"/>
              <w:rPr>
                <w:rFonts w:hint="default" w:ascii="Times New Roman" w:hAnsi="Times New Roman" w:eastAsia="仿宋_GB2312" w:cs="Times New Roman"/>
                <w:color w:val="auto"/>
                <w:kern w:val="0"/>
                <w:sz w:val="18"/>
                <w:szCs w:val="18"/>
                <w:lang w:val="en-US" w:eastAsia="zh-CN" w:bidi="ar"/>
              </w:rPr>
            </w:pPr>
          </w:p>
        </w:tc>
        <w:tc>
          <w:tcPr>
            <w:tcW w:w="407" w:type="pct"/>
            <w:tcBorders>
              <w:tl2br w:val="nil"/>
              <w:tr2bl w:val="nil"/>
            </w:tcBorders>
            <w:noWrap w:val="0"/>
            <w:vAlign w:val="center"/>
          </w:tcPr>
          <w:p w14:paraId="44EA807E">
            <w:pPr>
              <w:widowControl/>
              <w:jc w:val="center"/>
              <w:rPr>
                <w:rFonts w:hint="default" w:ascii="Times New Roman" w:hAnsi="Times New Roman" w:eastAsia="仿宋_GB2312" w:cs="Times New Roman"/>
                <w:color w:val="auto"/>
                <w:kern w:val="0"/>
                <w:sz w:val="18"/>
                <w:szCs w:val="18"/>
                <w:lang w:val="en-US" w:eastAsia="zh-CN" w:bidi="ar"/>
              </w:rPr>
            </w:pPr>
          </w:p>
        </w:tc>
        <w:tc>
          <w:tcPr>
            <w:tcW w:w="407" w:type="pct"/>
            <w:tcBorders>
              <w:tl2br w:val="nil"/>
              <w:tr2bl w:val="nil"/>
            </w:tcBorders>
            <w:noWrap w:val="0"/>
            <w:vAlign w:val="center"/>
          </w:tcPr>
          <w:p w14:paraId="721459F0">
            <w:pPr>
              <w:widowControl/>
              <w:jc w:val="center"/>
              <w:rPr>
                <w:rFonts w:hint="default" w:ascii="Times New Roman" w:hAnsi="Times New Roman" w:eastAsia="仿宋_GB2312" w:cs="Times New Roman"/>
                <w:color w:val="auto"/>
                <w:kern w:val="0"/>
                <w:sz w:val="18"/>
                <w:szCs w:val="18"/>
                <w:lang w:val="en-US" w:eastAsia="zh-CN" w:bidi="ar"/>
              </w:rPr>
            </w:pPr>
          </w:p>
        </w:tc>
        <w:tc>
          <w:tcPr>
            <w:tcW w:w="407" w:type="pct"/>
            <w:tcBorders>
              <w:tl2br w:val="nil"/>
              <w:tr2bl w:val="nil"/>
            </w:tcBorders>
            <w:noWrap w:val="0"/>
            <w:vAlign w:val="center"/>
          </w:tcPr>
          <w:p w14:paraId="1C42DFED">
            <w:pPr>
              <w:widowControl/>
              <w:jc w:val="center"/>
              <w:rPr>
                <w:rFonts w:hint="default" w:ascii="Times New Roman" w:hAnsi="Times New Roman" w:eastAsia="仿宋_GB2312" w:cs="Times New Roman"/>
                <w:color w:val="auto"/>
                <w:kern w:val="0"/>
                <w:sz w:val="18"/>
                <w:szCs w:val="18"/>
                <w:lang w:val="en-US" w:eastAsia="zh-CN" w:bidi="ar"/>
              </w:rPr>
            </w:pPr>
          </w:p>
        </w:tc>
        <w:tc>
          <w:tcPr>
            <w:tcW w:w="351" w:type="pct"/>
            <w:tcBorders>
              <w:tl2br w:val="nil"/>
              <w:tr2bl w:val="nil"/>
            </w:tcBorders>
            <w:noWrap w:val="0"/>
            <w:vAlign w:val="center"/>
          </w:tcPr>
          <w:p w14:paraId="47C5EAFE">
            <w:pPr>
              <w:widowControl/>
              <w:jc w:val="center"/>
              <w:rPr>
                <w:rFonts w:hint="default" w:ascii="Times New Roman" w:hAnsi="Times New Roman" w:eastAsia="仿宋_GB2312" w:cs="Times New Roman"/>
                <w:color w:val="auto"/>
                <w:kern w:val="0"/>
                <w:sz w:val="18"/>
                <w:szCs w:val="18"/>
                <w:lang w:val="en-US" w:eastAsia="zh-CN" w:bidi="ar"/>
              </w:rPr>
            </w:pPr>
          </w:p>
        </w:tc>
      </w:tr>
      <w:tr w14:paraId="52ACE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52" w:type="pct"/>
            <w:vMerge w:val="continue"/>
            <w:tcBorders>
              <w:tl2br w:val="nil"/>
              <w:tr2bl w:val="nil"/>
            </w:tcBorders>
            <w:noWrap w:val="0"/>
            <w:vAlign w:val="center"/>
          </w:tcPr>
          <w:p w14:paraId="4C2428E4">
            <w:pPr>
              <w:widowControl/>
              <w:jc w:val="center"/>
              <w:rPr>
                <w:rFonts w:hint="default" w:ascii="Times New Roman" w:hAnsi="Times New Roman" w:eastAsia="仿宋_GB2312" w:cs="Times New Roman"/>
                <w:color w:val="auto"/>
              </w:rPr>
            </w:pPr>
          </w:p>
        </w:tc>
        <w:tc>
          <w:tcPr>
            <w:tcW w:w="842" w:type="pct"/>
            <w:vMerge w:val="restart"/>
            <w:tcBorders>
              <w:tl2br w:val="nil"/>
              <w:tr2bl w:val="nil"/>
            </w:tcBorders>
            <w:noWrap w:val="0"/>
            <w:vAlign w:val="center"/>
          </w:tcPr>
          <w:p w14:paraId="615BEE3E">
            <w:pPr>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绿化工程</w:t>
            </w:r>
          </w:p>
        </w:tc>
        <w:tc>
          <w:tcPr>
            <w:tcW w:w="445" w:type="pct"/>
            <w:tcBorders>
              <w:tl2br w:val="nil"/>
              <w:tr2bl w:val="nil"/>
            </w:tcBorders>
            <w:noWrap w:val="0"/>
            <w:vAlign w:val="center"/>
          </w:tcPr>
          <w:p w14:paraId="2F6C7F56">
            <w:pPr>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表土</w:t>
            </w:r>
          </w:p>
        </w:tc>
        <w:tc>
          <w:tcPr>
            <w:tcW w:w="338" w:type="pct"/>
            <w:tcBorders>
              <w:tl2br w:val="nil"/>
              <w:tr2bl w:val="nil"/>
            </w:tcBorders>
            <w:noWrap w:val="0"/>
            <w:vAlign w:val="center"/>
          </w:tcPr>
          <w:p w14:paraId="2854A6AA">
            <w:pPr>
              <w:widowControl/>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0.01</w:t>
            </w:r>
          </w:p>
        </w:tc>
        <w:tc>
          <w:tcPr>
            <w:tcW w:w="330" w:type="pct"/>
            <w:vMerge w:val="restart"/>
            <w:tcBorders>
              <w:tl2br w:val="nil"/>
              <w:tr2bl w:val="nil"/>
            </w:tcBorders>
            <w:noWrap w:val="0"/>
            <w:vAlign w:val="center"/>
          </w:tcPr>
          <w:p w14:paraId="46056E4E">
            <w:pPr>
              <w:widowControl/>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0.16</w:t>
            </w:r>
          </w:p>
        </w:tc>
        <w:tc>
          <w:tcPr>
            <w:tcW w:w="305" w:type="pct"/>
            <w:tcBorders>
              <w:tl2br w:val="nil"/>
              <w:tr2bl w:val="nil"/>
            </w:tcBorders>
            <w:noWrap w:val="0"/>
            <w:vAlign w:val="center"/>
          </w:tcPr>
          <w:p w14:paraId="7C57A511">
            <w:pPr>
              <w:widowControl/>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0.02</w:t>
            </w:r>
          </w:p>
        </w:tc>
        <w:tc>
          <w:tcPr>
            <w:tcW w:w="313" w:type="pct"/>
            <w:vMerge w:val="restart"/>
            <w:tcBorders>
              <w:tl2br w:val="nil"/>
              <w:tr2bl w:val="nil"/>
            </w:tcBorders>
            <w:noWrap w:val="0"/>
            <w:vAlign w:val="center"/>
          </w:tcPr>
          <w:p w14:paraId="5746BE44">
            <w:pPr>
              <w:widowControl/>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0.17</w:t>
            </w:r>
          </w:p>
        </w:tc>
        <w:tc>
          <w:tcPr>
            <w:tcW w:w="407" w:type="pct"/>
            <w:tcBorders>
              <w:tl2br w:val="nil"/>
              <w:tr2bl w:val="nil"/>
            </w:tcBorders>
            <w:noWrap w:val="0"/>
            <w:vAlign w:val="center"/>
          </w:tcPr>
          <w:p w14:paraId="664D9684">
            <w:pPr>
              <w:widowControl/>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0.01</w:t>
            </w:r>
          </w:p>
        </w:tc>
        <w:tc>
          <w:tcPr>
            <w:tcW w:w="407" w:type="pct"/>
            <w:tcBorders>
              <w:tl2br w:val="nil"/>
              <w:tr2bl w:val="nil"/>
            </w:tcBorders>
            <w:noWrap w:val="0"/>
            <w:vAlign w:val="center"/>
          </w:tcPr>
          <w:p w14:paraId="1797C8B2">
            <w:pPr>
              <w:widowControl/>
              <w:jc w:val="center"/>
              <w:rPr>
                <w:rFonts w:hint="default" w:ascii="Times New Roman" w:hAnsi="Times New Roman" w:eastAsia="仿宋_GB2312" w:cs="Times New Roman"/>
                <w:color w:val="auto"/>
                <w:kern w:val="0"/>
                <w:sz w:val="18"/>
                <w:szCs w:val="18"/>
                <w:lang w:val="en-US" w:eastAsia="zh-CN" w:bidi="ar"/>
              </w:rPr>
            </w:pPr>
          </w:p>
        </w:tc>
        <w:tc>
          <w:tcPr>
            <w:tcW w:w="407" w:type="pct"/>
            <w:tcBorders>
              <w:tl2br w:val="nil"/>
              <w:tr2bl w:val="nil"/>
            </w:tcBorders>
            <w:noWrap w:val="0"/>
            <w:vAlign w:val="center"/>
          </w:tcPr>
          <w:p w14:paraId="08C62323">
            <w:pPr>
              <w:widowControl/>
              <w:jc w:val="center"/>
              <w:rPr>
                <w:rFonts w:hint="default" w:ascii="Times New Roman" w:hAnsi="Times New Roman" w:eastAsia="仿宋_GB2312" w:cs="Times New Roman"/>
                <w:color w:val="auto"/>
                <w:kern w:val="0"/>
                <w:sz w:val="18"/>
                <w:szCs w:val="18"/>
                <w:lang w:val="en-US" w:eastAsia="zh-CN" w:bidi="ar"/>
              </w:rPr>
            </w:pPr>
          </w:p>
        </w:tc>
        <w:tc>
          <w:tcPr>
            <w:tcW w:w="351" w:type="pct"/>
            <w:tcBorders>
              <w:tl2br w:val="nil"/>
              <w:tr2bl w:val="nil"/>
            </w:tcBorders>
            <w:noWrap w:val="0"/>
            <w:vAlign w:val="center"/>
          </w:tcPr>
          <w:p w14:paraId="43AB8162">
            <w:pPr>
              <w:widowControl/>
              <w:jc w:val="center"/>
              <w:rPr>
                <w:rFonts w:hint="default" w:ascii="Times New Roman" w:hAnsi="Times New Roman" w:eastAsia="仿宋_GB2312" w:cs="Times New Roman"/>
                <w:color w:val="auto"/>
                <w:kern w:val="0"/>
                <w:sz w:val="18"/>
                <w:szCs w:val="18"/>
                <w:lang w:val="en-US" w:eastAsia="zh-CN" w:bidi="ar"/>
              </w:rPr>
            </w:pPr>
          </w:p>
        </w:tc>
      </w:tr>
      <w:tr w14:paraId="265DE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52" w:type="pct"/>
            <w:vMerge w:val="continue"/>
            <w:tcBorders>
              <w:tl2br w:val="nil"/>
              <w:tr2bl w:val="nil"/>
            </w:tcBorders>
            <w:noWrap w:val="0"/>
            <w:vAlign w:val="center"/>
          </w:tcPr>
          <w:p w14:paraId="481B91DB">
            <w:pPr>
              <w:widowControl/>
              <w:jc w:val="center"/>
              <w:rPr>
                <w:rFonts w:hint="default" w:ascii="Times New Roman" w:hAnsi="Times New Roman" w:eastAsia="仿宋_GB2312" w:cs="Times New Roman"/>
                <w:color w:val="auto"/>
              </w:rPr>
            </w:pPr>
          </w:p>
        </w:tc>
        <w:tc>
          <w:tcPr>
            <w:tcW w:w="842" w:type="pct"/>
            <w:vMerge w:val="continue"/>
            <w:tcBorders>
              <w:tl2br w:val="nil"/>
              <w:tr2bl w:val="nil"/>
            </w:tcBorders>
            <w:noWrap w:val="0"/>
            <w:vAlign w:val="center"/>
          </w:tcPr>
          <w:p w14:paraId="0FC62CE5">
            <w:pPr>
              <w:ind w:firstLine="0" w:firstLineChars="0"/>
              <w:jc w:val="center"/>
              <w:rPr>
                <w:rFonts w:hint="default" w:ascii="Times New Roman" w:hAnsi="Times New Roman" w:eastAsia="仿宋_GB2312" w:cs="Times New Roman"/>
                <w:color w:val="auto"/>
                <w:kern w:val="0"/>
                <w:sz w:val="18"/>
                <w:szCs w:val="18"/>
                <w:lang w:eastAsia="zh-CN"/>
              </w:rPr>
            </w:pPr>
          </w:p>
        </w:tc>
        <w:tc>
          <w:tcPr>
            <w:tcW w:w="445" w:type="pct"/>
            <w:tcBorders>
              <w:tl2br w:val="nil"/>
              <w:tr2bl w:val="nil"/>
            </w:tcBorders>
            <w:noWrap w:val="0"/>
            <w:vAlign w:val="center"/>
          </w:tcPr>
          <w:p w14:paraId="098E5236">
            <w:pPr>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土石方</w:t>
            </w:r>
            <w:r>
              <w:rPr>
                <w:rFonts w:hint="default" w:ascii="Times New Roman" w:hAnsi="Times New Roman" w:eastAsia="仿宋_GB2312" w:cs="Times New Roman"/>
                <w:color w:val="auto"/>
                <w:kern w:val="0"/>
                <w:sz w:val="18"/>
                <w:szCs w:val="18"/>
                <w:lang w:val="en-US" w:eastAsia="zh-CN"/>
              </w:rPr>
              <w:t xml:space="preserve"> </w:t>
            </w:r>
          </w:p>
        </w:tc>
        <w:tc>
          <w:tcPr>
            <w:tcW w:w="338" w:type="pct"/>
            <w:tcBorders>
              <w:tl2br w:val="nil"/>
              <w:tr2bl w:val="nil"/>
            </w:tcBorders>
            <w:noWrap w:val="0"/>
            <w:vAlign w:val="center"/>
          </w:tcPr>
          <w:p w14:paraId="0BD20392">
            <w:pPr>
              <w:widowControl/>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0.15</w:t>
            </w:r>
          </w:p>
        </w:tc>
        <w:tc>
          <w:tcPr>
            <w:tcW w:w="330" w:type="pct"/>
            <w:vMerge w:val="continue"/>
            <w:tcBorders>
              <w:tl2br w:val="nil"/>
              <w:tr2bl w:val="nil"/>
            </w:tcBorders>
            <w:noWrap w:val="0"/>
            <w:vAlign w:val="center"/>
          </w:tcPr>
          <w:p w14:paraId="71908E6A">
            <w:pPr>
              <w:widowControl/>
              <w:jc w:val="center"/>
              <w:rPr>
                <w:rFonts w:hint="default" w:ascii="Times New Roman" w:hAnsi="Times New Roman" w:eastAsia="仿宋_GB2312" w:cs="Times New Roman"/>
                <w:color w:val="auto"/>
                <w:kern w:val="0"/>
                <w:sz w:val="18"/>
                <w:szCs w:val="18"/>
                <w:lang w:val="en-US" w:eastAsia="zh-CN" w:bidi="ar"/>
              </w:rPr>
            </w:pPr>
          </w:p>
        </w:tc>
        <w:tc>
          <w:tcPr>
            <w:tcW w:w="305" w:type="pct"/>
            <w:tcBorders>
              <w:tl2br w:val="nil"/>
              <w:tr2bl w:val="nil"/>
            </w:tcBorders>
            <w:noWrap w:val="0"/>
            <w:vAlign w:val="center"/>
          </w:tcPr>
          <w:p w14:paraId="7AEE462B">
            <w:pPr>
              <w:widowControl/>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0.15</w:t>
            </w:r>
          </w:p>
        </w:tc>
        <w:tc>
          <w:tcPr>
            <w:tcW w:w="313" w:type="pct"/>
            <w:vMerge w:val="continue"/>
            <w:tcBorders>
              <w:tl2br w:val="nil"/>
              <w:tr2bl w:val="nil"/>
            </w:tcBorders>
            <w:noWrap w:val="0"/>
            <w:vAlign w:val="center"/>
          </w:tcPr>
          <w:p w14:paraId="379C3B4B">
            <w:pPr>
              <w:widowControl/>
              <w:jc w:val="center"/>
              <w:rPr>
                <w:rFonts w:hint="default" w:ascii="Times New Roman" w:hAnsi="Times New Roman" w:eastAsia="仿宋_GB2312" w:cs="Times New Roman"/>
                <w:color w:val="auto"/>
                <w:kern w:val="0"/>
                <w:sz w:val="18"/>
                <w:szCs w:val="18"/>
                <w:lang w:val="en-US" w:eastAsia="zh-CN" w:bidi="ar"/>
              </w:rPr>
            </w:pPr>
          </w:p>
        </w:tc>
        <w:tc>
          <w:tcPr>
            <w:tcW w:w="407" w:type="pct"/>
            <w:tcBorders>
              <w:tl2br w:val="nil"/>
              <w:tr2bl w:val="nil"/>
            </w:tcBorders>
            <w:noWrap w:val="0"/>
            <w:vAlign w:val="center"/>
          </w:tcPr>
          <w:p w14:paraId="67B22077">
            <w:pPr>
              <w:widowControl/>
              <w:jc w:val="center"/>
              <w:rPr>
                <w:rFonts w:hint="default" w:ascii="Times New Roman" w:hAnsi="Times New Roman" w:eastAsia="仿宋_GB2312" w:cs="Times New Roman"/>
                <w:color w:val="auto"/>
                <w:kern w:val="0"/>
                <w:sz w:val="18"/>
                <w:szCs w:val="18"/>
                <w:lang w:val="en-US" w:eastAsia="zh-CN" w:bidi="ar"/>
              </w:rPr>
            </w:pPr>
          </w:p>
        </w:tc>
        <w:tc>
          <w:tcPr>
            <w:tcW w:w="407" w:type="pct"/>
            <w:tcBorders>
              <w:tl2br w:val="nil"/>
              <w:tr2bl w:val="nil"/>
            </w:tcBorders>
            <w:noWrap w:val="0"/>
            <w:vAlign w:val="center"/>
          </w:tcPr>
          <w:p w14:paraId="4DCE7FDF">
            <w:pPr>
              <w:widowControl/>
              <w:jc w:val="center"/>
              <w:rPr>
                <w:rFonts w:hint="default" w:ascii="Times New Roman" w:hAnsi="Times New Roman" w:eastAsia="仿宋_GB2312" w:cs="Times New Roman"/>
                <w:color w:val="auto"/>
                <w:kern w:val="0"/>
                <w:sz w:val="18"/>
                <w:szCs w:val="18"/>
                <w:lang w:val="en-US" w:eastAsia="zh-CN" w:bidi="ar"/>
              </w:rPr>
            </w:pPr>
          </w:p>
        </w:tc>
        <w:tc>
          <w:tcPr>
            <w:tcW w:w="407" w:type="pct"/>
            <w:tcBorders>
              <w:tl2br w:val="nil"/>
              <w:tr2bl w:val="nil"/>
            </w:tcBorders>
            <w:noWrap w:val="0"/>
            <w:vAlign w:val="center"/>
          </w:tcPr>
          <w:p w14:paraId="5C462702">
            <w:pPr>
              <w:widowControl/>
              <w:jc w:val="center"/>
              <w:rPr>
                <w:rFonts w:hint="default" w:ascii="Times New Roman" w:hAnsi="Times New Roman" w:eastAsia="仿宋_GB2312" w:cs="Times New Roman"/>
                <w:color w:val="auto"/>
                <w:kern w:val="0"/>
                <w:sz w:val="18"/>
                <w:szCs w:val="18"/>
                <w:lang w:val="en-US" w:eastAsia="zh-CN" w:bidi="ar"/>
              </w:rPr>
            </w:pPr>
          </w:p>
        </w:tc>
        <w:tc>
          <w:tcPr>
            <w:tcW w:w="351" w:type="pct"/>
            <w:tcBorders>
              <w:tl2br w:val="nil"/>
              <w:tr2bl w:val="nil"/>
            </w:tcBorders>
            <w:noWrap w:val="0"/>
            <w:vAlign w:val="center"/>
          </w:tcPr>
          <w:p w14:paraId="0AC71856">
            <w:pPr>
              <w:widowControl/>
              <w:jc w:val="center"/>
              <w:rPr>
                <w:rFonts w:hint="default" w:ascii="Times New Roman" w:hAnsi="Times New Roman" w:eastAsia="仿宋_GB2312" w:cs="Times New Roman"/>
                <w:color w:val="auto"/>
                <w:kern w:val="0"/>
                <w:sz w:val="18"/>
                <w:szCs w:val="18"/>
                <w:lang w:val="en-US" w:eastAsia="zh-CN" w:bidi="ar"/>
              </w:rPr>
            </w:pPr>
          </w:p>
        </w:tc>
      </w:tr>
      <w:tr w14:paraId="3DDDD4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39" w:type="pct"/>
            <w:gridSpan w:val="3"/>
            <w:tcBorders>
              <w:tl2br w:val="nil"/>
              <w:tr2bl w:val="nil"/>
            </w:tcBorders>
            <w:noWrap w:val="0"/>
            <w:vAlign w:val="center"/>
          </w:tcPr>
          <w:p w14:paraId="0CAB4A93">
            <w:pPr>
              <w:widowControl/>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w:t>
            </w:r>
          </w:p>
        </w:tc>
        <w:tc>
          <w:tcPr>
            <w:tcW w:w="338" w:type="pct"/>
            <w:tcBorders>
              <w:tl2br w:val="nil"/>
              <w:tr2bl w:val="nil"/>
            </w:tcBorders>
            <w:noWrap w:val="0"/>
            <w:vAlign w:val="center"/>
          </w:tcPr>
          <w:p w14:paraId="2A06A75D">
            <w:pPr>
              <w:widowControl/>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0.36</w:t>
            </w:r>
          </w:p>
        </w:tc>
        <w:tc>
          <w:tcPr>
            <w:tcW w:w="330" w:type="pct"/>
            <w:tcBorders>
              <w:tl2br w:val="nil"/>
              <w:tr2bl w:val="nil"/>
            </w:tcBorders>
            <w:noWrap w:val="0"/>
            <w:vAlign w:val="center"/>
          </w:tcPr>
          <w:p w14:paraId="4D703E6F">
            <w:pPr>
              <w:widowControl/>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0.36</w:t>
            </w:r>
          </w:p>
        </w:tc>
        <w:tc>
          <w:tcPr>
            <w:tcW w:w="305" w:type="pct"/>
            <w:tcBorders>
              <w:tl2br w:val="nil"/>
              <w:tr2bl w:val="nil"/>
            </w:tcBorders>
            <w:noWrap w:val="0"/>
            <w:vAlign w:val="center"/>
          </w:tcPr>
          <w:p w14:paraId="267DFD1D">
            <w:pPr>
              <w:widowControl/>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0.36</w:t>
            </w:r>
          </w:p>
        </w:tc>
        <w:tc>
          <w:tcPr>
            <w:tcW w:w="313" w:type="pct"/>
            <w:tcBorders>
              <w:tl2br w:val="nil"/>
              <w:tr2bl w:val="nil"/>
            </w:tcBorders>
            <w:noWrap w:val="0"/>
            <w:vAlign w:val="center"/>
          </w:tcPr>
          <w:p w14:paraId="0518B911">
            <w:pPr>
              <w:widowControl/>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0.36</w:t>
            </w:r>
          </w:p>
        </w:tc>
        <w:tc>
          <w:tcPr>
            <w:tcW w:w="407" w:type="pct"/>
            <w:tcBorders>
              <w:tl2br w:val="nil"/>
              <w:tr2bl w:val="nil"/>
            </w:tcBorders>
            <w:noWrap w:val="0"/>
            <w:vAlign w:val="center"/>
          </w:tcPr>
          <w:p w14:paraId="2A4DDB4B">
            <w:pPr>
              <w:widowControl/>
              <w:jc w:val="center"/>
              <w:rPr>
                <w:rFonts w:hint="default" w:ascii="Times New Roman" w:hAnsi="Times New Roman" w:eastAsia="仿宋_GB2312" w:cs="Times New Roman"/>
                <w:color w:val="auto"/>
                <w:kern w:val="0"/>
                <w:sz w:val="18"/>
                <w:szCs w:val="18"/>
                <w:lang w:val="en-US" w:eastAsia="zh-CN"/>
              </w:rPr>
            </w:pPr>
          </w:p>
        </w:tc>
        <w:tc>
          <w:tcPr>
            <w:tcW w:w="407" w:type="pct"/>
            <w:tcBorders>
              <w:tl2br w:val="nil"/>
              <w:tr2bl w:val="nil"/>
            </w:tcBorders>
            <w:noWrap w:val="0"/>
            <w:vAlign w:val="center"/>
          </w:tcPr>
          <w:p w14:paraId="244E8FD1">
            <w:pPr>
              <w:widowControl/>
              <w:jc w:val="center"/>
              <w:rPr>
                <w:rFonts w:hint="default" w:ascii="Times New Roman" w:hAnsi="Times New Roman" w:eastAsia="仿宋_GB2312" w:cs="Times New Roman"/>
                <w:color w:val="auto"/>
                <w:kern w:val="0"/>
                <w:sz w:val="18"/>
                <w:szCs w:val="18"/>
                <w:lang w:val="en-US" w:eastAsia="zh-CN"/>
              </w:rPr>
            </w:pPr>
          </w:p>
        </w:tc>
        <w:tc>
          <w:tcPr>
            <w:tcW w:w="407" w:type="pct"/>
            <w:tcBorders>
              <w:tl2br w:val="nil"/>
              <w:tr2bl w:val="nil"/>
            </w:tcBorders>
            <w:noWrap w:val="0"/>
            <w:vAlign w:val="center"/>
          </w:tcPr>
          <w:p w14:paraId="563E8D2F">
            <w:pPr>
              <w:widowControl/>
              <w:jc w:val="center"/>
              <w:rPr>
                <w:rFonts w:hint="default" w:ascii="Times New Roman" w:hAnsi="Times New Roman" w:eastAsia="仿宋_GB2312" w:cs="Times New Roman"/>
                <w:color w:val="auto"/>
                <w:kern w:val="0"/>
                <w:sz w:val="18"/>
                <w:szCs w:val="18"/>
                <w:lang w:val="en-US" w:eastAsia="zh-CN"/>
              </w:rPr>
            </w:pPr>
          </w:p>
        </w:tc>
        <w:tc>
          <w:tcPr>
            <w:tcW w:w="351" w:type="pct"/>
            <w:tcBorders>
              <w:tl2br w:val="nil"/>
              <w:tr2bl w:val="nil"/>
            </w:tcBorders>
            <w:noWrap w:val="0"/>
            <w:vAlign w:val="center"/>
          </w:tcPr>
          <w:p w14:paraId="2BED57DD">
            <w:pPr>
              <w:widowControl/>
              <w:jc w:val="center"/>
              <w:rPr>
                <w:rFonts w:hint="default" w:ascii="Times New Roman" w:hAnsi="Times New Roman" w:eastAsia="仿宋_GB2312" w:cs="Times New Roman"/>
                <w:color w:val="auto"/>
                <w:kern w:val="0"/>
                <w:sz w:val="18"/>
                <w:szCs w:val="18"/>
                <w:lang w:val="en-US" w:eastAsia="zh-CN"/>
              </w:rPr>
            </w:pPr>
          </w:p>
        </w:tc>
      </w:tr>
    </w:tbl>
    <w:p w14:paraId="37DD6961">
      <w:pPr>
        <w:keepNext w:val="0"/>
        <w:keepLines w:val="0"/>
        <w:pageBreakBefore w:val="0"/>
        <w:widowControl w:val="0"/>
        <w:kinsoku/>
        <w:wordWrap/>
        <w:overflowPunct/>
        <w:topLinePunct w:val="0"/>
        <w:autoSpaceDE/>
        <w:autoSpaceDN/>
        <w:bidi w:val="0"/>
        <w:adjustRightInd/>
        <w:snapToGrid/>
        <w:spacing w:after="120" w:afterLines="50"/>
        <w:jc w:val="both"/>
        <w:textAlignment w:val="auto"/>
        <w:outlineLvl w:val="9"/>
        <w:rPr>
          <w:rFonts w:hint="default" w:ascii="Times New Roman" w:hAnsi="Times New Roman" w:cs="Times New Roman"/>
          <w:b/>
          <w:bCs/>
          <w:color w:val="auto"/>
          <w:sz w:val="21"/>
          <w:szCs w:val="21"/>
          <w:lang w:eastAsia="zh-CN"/>
        </w:rPr>
      </w:pPr>
      <w:bookmarkStart w:id="84" w:name="_Toc6585"/>
      <w:r>
        <w:rPr>
          <w:rFonts w:hint="default" w:ascii="Times New Roman" w:hAnsi="Times New Roman" w:cs="Times New Roman"/>
          <w:sz w:val="24"/>
        </w:rPr>
        <mc:AlternateContent>
          <mc:Choice Requires="wps">
            <w:drawing>
              <wp:anchor distT="0" distB="0" distL="114300" distR="114300" simplePos="0" relativeHeight="251660288" behindDoc="0" locked="0" layoutInCell="1" allowOverlap="1">
                <wp:simplePos x="0" y="0"/>
                <wp:positionH relativeFrom="column">
                  <wp:posOffset>4816475</wp:posOffset>
                </wp:positionH>
                <wp:positionV relativeFrom="paragraph">
                  <wp:posOffset>34290</wp:posOffset>
                </wp:positionV>
                <wp:extent cx="688975" cy="266065"/>
                <wp:effectExtent l="4445" t="4445" r="11430" b="15240"/>
                <wp:wrapNone/>
                <wp:docPr id="103" name="流程图: 可选过程 103"/>
                <wp:cNvGraphicFramePr/>
                <a:graphic xmlns:a="http://schemas.openxmlformats.org/drawingml/2006/main">
                  <a:graphicData uri="http://schemas.microsoft.com/office/word/2010/wordprocessingShape">
                    <wps:wsp>
                      <wps:cNvSpPr/>
                      <wps:spPr>
                        <a:xfrm>
                          <a:off x="0" y="0"/>
                          <a:ext cx="688975"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8881352">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余方</w:t>
                            </w:r>
                            <w:r>
                              <w:rPr>
                                <w:rFonts w:hint="eastAsia" w:eastAsia="仿宋_GB2312"/>
                                <w:w w:val="90"/>
                                <w:sz w:val="18"/>
                                <w:szCs w:val="18"/>
                                <w:lang w:val="en-US" w:eastAsia="zh-CN"/>
                              </w:rPr>
                              <w:t>/万</w:t>
                            </w:r>
                            <w:r>
                              <w:rPr>
                                <w:rFonts w:hint="default" w:ascii="Times New Roman" w:hAnsi="Times New Roman" w:eastAsia="仿宋_GB2312" w:cs="Times New Roman"/>
                                <w:color w:val="auto"/>
                                <w:sz w:val="18"/>
                                <w:szCs w:val="18"/>
                                <w:lang w:val="en-US" w:eastAsia="zh-CN"/>
                              </w:rPr>
                              <w:t>m</w:t>
                            </w:r>
                            <w:r>
                              <w:rPr>
                                <w:rFonts w:hint="default" w:ascii="Times New Roman" w:hAnsi="Times New Roman" w:eastAsia="仿宋_GB2312" w:cs="Times New Roman"/>
                                <w:color w:val="auto"/>
                                <w:sz w:val="18"/>
                                <w:szCs w:val="18"/>
                                <w:vertAlign w:val="superscript"/>
                                <w:lang w:val="en-US" w:eastAsia="zh-CN"/>
                              </w:rPr>
                              <w:t>3</w:t>
                            </w:r>
                          </w:p>
                        </w:txbxContent>
                      </wps:txbx>
                      <wps:bodyPr upright="1"/>
                    </wps:wsp>
                  </a:graphicData>
                </a:graphic>
              </wp:anchor>
            </w:drawing>
          </mc:Choice>
          <mc:Fallback>
            <w:pict>
              <v:shape id="_x0000_s1026" o:spid="_x0000_s1026" o:spt="176" type="#_x0000_t176" style="position:absolute;left:0pt;margin-left:379.25pt;margin-top:2.7pt;height:20.95pt;width:54.25pt;z-index:251660288;mso-width-relative:page;mso-height-relative:page;" fillcolor="#FFFFFF" filled="t" stroked="t" coordsize="21600,21600" o:gfxdata="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Ii1Jt1gAAAAgBAAAPAAAAAAAAAAEAIAAAACIAAABkcnMvZG93bnJldi54bWxQSwECFAAUAAAA&#10;CACHTuJAEYSjJykCAABSBAAADgAAAAAAAAABACAAAAAlAQAAZHJzL2Uyb0RvYy54bWxQSwUGAAAA&#10;AAYABgBZAQAAwAUAAAAA&#10;">
                <v:fill on="t" focussize="0,0"/>
                <v:stroke color="#000000" joinstyle="miter"/>
                <v:imagedata o:title=""/>
                <o:lock v:ext="edit" aspectratio="f"/>
                <v:textbox>
                  <w:txbxContent>
                    <w:p w14:paraId="08881352">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余方</w:t>
                      </w:r>
                      <w:r>
                        <w:rPr>
                          <w:rFonts w:hint="eastAsia" w:eastAsia="仿宋_GB2312"/>
                          <w:w w:val="90"/>
                          <w:sz w:val="18"/>
                          <w:szCs w:val="18"/>
                          <w:lang w:val="en-US" w:eastAsia="zh-CN"/>
                        </w:rPr>
                        <w:t>/万</w:t>
                      </w:r>
                      <w:r>
                        <w:rPr>
                          <w:rFonts w:hint="default" w:ascii="Times New Roman" w:hAnsi="Times New Roman" w:eastAsia="仿宋_GB2312" w:cs="Times New Roman"/>
                          <w:color w:val="auto"/>
                          <w:sz w:val="18"/>
                          <w:szCs w:val="18"/>
                          <w:lang w:val="en-US" w:eastAsia="zh-CN"/>
                        </w:rPr>
                        <w:t>m</w:t>
                      </w:r>
                      <w:r>
                        <w:rPr>
                          <w:rFonts w:hint="default" w:ascii="Times New Roman" w:hAnsi="Times New Roman" w:eastAsia="仿宋_GB2312" w:cs="Times New Roman"/>
                          <w:color w:val="auto"/>
                          <w:sz w:val="18"/>
                          <w:szCs w:val="18"/>
                          <w:vertAlign w:val="superscript"/>
                          <w:lang w:val="en-US" w:eastAsia="zh-CN"/>
                        </w:rPr>
                        <w:t>3</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59264" behindDoc="0" locked="0" layoutInCell="1" allowOverlap="1">
                <wp:simplePos x="0" y="0"/>
                <wp:positionH relativeFrom="column">
                  <wp:posOffset>42545</wp:posOffset>
                </wp:positionH>
                <wp:positionV relativeFrom="paragraph">
                  <wp:posOffset>60325</wp:posOffset>
                </wp:positionV>
                <wp:extent cx="631190" cy="266065"/>
                <wp:effectExtent l="4445" t="4445" r="12065" b="15240"/>
                <wp:wrapNone/>
                <wp:docPr id="115" name="流程图: 可选过程 115"/>
                <wp:cNvGraphicFramePr/>
                <a:graphic xmlns:a="http://schemas.openxmlformats.org/drawingml/2006/main">
                  <a:graphicData uri="http://schemas.microsoft.com/office/word/2010/wordprocessingShape">
                    <wps:wsp>
                      <wps:cNvSpPr/>
                      <wps:spPr>
                        <a:xfrm>
                          <a:off x="0" y="0"/>
                          <a:ext cx="631190"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16DB6CD">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项目名称</w:t>
                            </w:r>
                          </w:p>
                        </w:txbxContent>
                      </wps:txbx>
                      <wps:bodyPr upright="1"/>
                    </wps:wsp>
                  </a:graphicData>
                </a:graphic>
              </wp:anchor>
            </w:drawing>
          </mc:Choice>
          <mc:Fallback>
            <w:pict>
              <v:shape id="_x0000_s1026" o:spid="_x0000_s1026" o:spt="176" type="#_x0000_t176" style="position:absolute;left:0pt;margin-left:3.35pt;margin-top:4.75pt;height:20.95pt;width:49.7pt;z-index:251659264;mso-width-relative:page;mso-height-relative:page;" fillcolor="#FFFFFF" filled="t" stroked="t" coordsize="21600,21600" o:gfxdata="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Euz8XUAAAABgEAAA8AAAAAAAAAAQAgAAAAIgAAAGRycy9kb3ducmV2LnhtbFBLAQIUABQAAAAI&#10;AIdO4kD83YFkKgIAAFIEAAAOAAAAAAAAAAEAIAAAACMBAABkcnMvZTJvRG9jLnhtbFBLBQYAAAAA&#10;BgAGAFkBAAC/BQAAAAA=&#10;">
                <v:fill on="t" focussize="0,0"/>
                <v:stroke color="#000000" joinstyle="miter"/>
                <v:imagedata o:title=""/>
                <o:lock v:ext="edit" aspectratio="f"/>
                <v:textbox>
                  <w:txbxContent>
                    <w:p w14:paraId="516DB6CD">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项目名称</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4624" behindDoc="0" locked="0" layoutInCell="1" allowOverlap="1">
                <wp:simplePos x="0" y="0"/>
                <wp:positionH relativeFrom="column">
                  <wp:posOffset>922655</wp:posOffset>
                </wp:positionH>
                <wp:positionV relativeFrom="paragraph">
                  <wp:posOffset>60960</wp:posOffset>
                </wp:positionV>
                <wp:extent cx="631190" cy="266065"/>
                <wp:effectExtent l="4445" t="4445" r="12065" b="15240"/>
                <wp:wrapNone/>
                <wp:docPr id="86" name="流程图: 可选过程 86"/>
                <wp:cNvGraphicFramePr/>
                <a:graphic xmlns:a="http://schemas.openxmlformats.org/drawingml/2006/main">
                  <a:graphicData uri="http://schemas.microsoft.com/office/word/2010/wordprocessingShape">
                    <wps:wsp>
                      <wps:cNvSpPr/>
                      <wps:spPr>
                        <a:xfrm>
                          <a:off x="0" y="0"/>
                          <a:ext cx="631190"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EBF0942">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项目分区</w:t>
                            </w:r>
                          </w:p>
                        </w:txbxContent>
                      </wps:txbx>
                      <wps:bodyPr upright="1"/>
                    </wps:wsp>
                  </a:graphicData>
                </a:graphic>
              </wp:anchor>
            </w:drawing>
          </mc:Choice>
          <mc:Fallback>
            <w:pict>
              <v:shape id="_x0000_s1026" o:spid="_x0000_s1026" o:spt="176" type="#_x0000_t176" style="position:absolute;left:0pt;margin-left:72.65pt;margin-top:4.8pt;height:20.95pt;width:49.7pt;z-index:251674624;mso-width-relative:page;mso-height-relative:page;" fillcolor="#FFFFFF" filled="t" stroked="t" coordsize="21600,21600" o:gfxdata="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bpSx9cAAAAIAQAADwAAAAAAAAABACAAAAAiAAAAZHJzL2Rvd25yZXYueG1sUEsBAhQAFAAA&#10;AAgAh07iQPI85PgpAgAAUAQAAA4AAAAAAAAAAQAgAAAAJgEAAGRycy9lMm9Eb2MueG1sUEsFBgAA&#10;AAAGAAYAWQEAAMEFAAAAAA==&#10;">
                <v:fill on="t" focussize="0,0"/>
                <v:stroke color="#000000" joinstyle="miter"/>
                <v:imagedata o:title=""/>
                <o:lock v:ext="edit" aspectratio="f"/>
                <v:textbox>
                  <w:txbxContent>
                    <w:p w14:paraId="2EBF0942">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项目分区</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3360" behindDoc="0" locked="0" layoutInCell="1" allowOverlap="1">
                <wp:simplePos x="0" y="0"/>
                <wp:positionH relativeFrom="column">
                  <wp:posOffset>1862455</wp:posOffset>
                </wp:positionH>
                <wp:positionV relativeFrom="paragraph">
                  <wp:posOffset>70485</wp:posOffset>
                </wp:positionV>
                <wp:extent cx="688975" cy="266065"/>
                <wp:effectExtent l="4445" t="4445" r="11430" b="15240"/>
                <wp:wrapNone/>
                <wp:docPr id="92" name="流程图: 可选过程 92"/>
                <wp:cNvGraphicFramePr/>
                <a:graphic xmlns:a="http://schemas.openxmlformats.org/drawingml/2006/main">
                  <a:graphicData uri="http://schemas.microsoft.com/office/word/2010/wordprocessingShape">
                    <wps:wsp>
                      <wps:cNvSpPr/>
                      <wps:spPr>
                        <a:xfrm>
                          <a:off x="0" y="0"/>
                          <a:ext cx="688975"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6D51306">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挖方</w:t>
                            </w:r>
                            <w:r>
                              <w:rPr>
                                <w:rFonts w:hint="eastAsia" w:eastAsia="仿宋_GB2312"/>
                                <w:w w:val="90"/>
                                <w:sz w:val="18"/>
                                <w:szCs w:val="18"/>
                                <w:lang w:val="en-US" w:eastAsia="zh-CN"/>
                              </w:rPr>
                              <w:t>/万</w:t>
                            </w:r>
                            <w:r>
                              <w:rPr>
                                <w:rFonts w:hint="default" w:ascii="Times New Roman" w:hAnsi="Times New Roman" w:eastAsia="仿宋_GB2312" w:cs="Times New Roman"/>
                                <w:color w:val="auto"/>
                                <w:sz w:val="18"/>
                                <w:szCs w:val="18"/>
                                <w:lang w:val="en-US" w:eastAsia="zh-CN"/>
                              </w:rPr>
                              <w:t>m</w:t>
                            </w:r>
                            <w:r>
                              <w:rPr>
                                <w:rFonts w:hint="default" w:ascii="Times New Roman" w:hAnsi="Times New Roman" w:eastAsia="仿宋_GB2312" w:cs="Times New Roman"/>
                                <w:color w:val="auto"/>
                                <w:sz w:val="18"/>
                                <w:szCs w:val="18"/>
                                <w:vertAlign w:val="superscript"/>
                                <w:lang w:val="en-US" w:eastAsia="zh-CN"/>
                              </w:rPr>
                              <w:t>3</w:t>
                            </w:r>
                          </w:p>
                        </w:txbxContent>
                      </wps:txbx>
                      <wps:bodyPr upright="1"/>
                    </wps:wsp>
                  </a:graphicData>
                </a:graphic>
              </wp:anchor>
            </w:drawing>
          </mc:Choice>
          <mc:Fallback>
            <w:pict>
              <v:shape id="_x0000_s1026" o:spid="_x0000_s1026" o:spt="176" type="#_x0000_t176" style="position:absolute;left:0pt;margin-left:146.65pt;margin-top:5.55pt;height:20.95pt;width:54.25pt;z-index:251663360;mso-width-relative:page;mso-height-relative:page;" fillcolor="#FFFFFF" filled="t" stroked="t" coordsize="21600,21600" o:gfxdata="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MfvF1wAAAAkBAAAPAAAAAAAAAAEAIAAAACIAAABkcnMvZG93bnJldi54bWxQSwECFAAUAAAA&#10;CACHTuJA3SHZaSgCAABQBAAADgAAAAAAAAABACAAAAAmAQAAZHJzL2Uyb0RvYy54bWxQSwUGAAAA&#10;AAYABgBZAQAAwAUAAAAA&#10;">
                <v:fill on="t" focussize="0,0"/>
                <v:stroke color="#000000" joinstyle="miter"/>
                <v:imagedata o:title=""/>
                <o:lock v:ext="edit" aspectratio="f"/>
                <v:textbox>
                  <w:txbxContent>
                    <w:p w14:paraId="46D51306">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挖方</w:t>
                      </w:r>
                      <w:r>
                        <w:rPr>
                          <w:rFonts w:hint="eastAsia" w:eastAsia="仿宋_GB2312"/>
                          <w:w w:val="90"/>
                          <w:sz w:val="18"/>
                          <w:szCs w:val="18"/>
                          <w:lang w:val="en-US" w:eastAsia="zh-CN"/>
                        </w:rPr>
                        <w:t>/万</w:t>
                      </w:r>
                      <w:r>
                        <w:rPr>
                          <w:rFonts w:hint="default" w:ascii="Times New Roman" w:hAnsi="Times New Roman" w:eastAsia="仿宋_GB2312" w:cs="Times New Roman"/>
                          <w:color w:val="auto"/>
                          <w:sz w:val="18"/>
                          <w:szCs w:val="18"/>
                          <w:lang w:val="en-US" w:eastAsia="zh-CN"/>
                        </w:rPr>
                        <w:t>m</w:t>
                      </w:r>
                      <w:r>
                        <w:rPr>
                          <w:rFonts w:hint="default" w:ascii="Times New Roman" w:hAnsi="Times New Roman" w:eastAsia="仿宋_GB2312" w:cs="Times New Roman"/>
                          <w:color w:val="auto"/>
                          <w:sz w:val="18"/>
                          <w:szCs w:val="18"/>
                          <w:vertAlign w:val="superscript"/>
                          <w:lang w:val="en-US" w:eastAsia="zh-CN"/>
                        </w:rPr>
                        <w:t>3</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0288" behindDoc="0" locked="0" layoutInCell="1" allowOverlap="1">
                <wp:simplePos x="0" y="0"/>
                <wp:positionH relativeFrom="column">
                  <wp:posOffset>2854325</wp:posOffset>
                </wp:positionH>
                <wp:positionV relativeFrom="paragraph">
                  <wp:posOffset>53340</wp:posOffset>
                </wp:positionV>
                <wp:extent cx="688975" cy="266065"/>
                <wp:effectExtent l="4445" t="4445" r="11430" b="15240"/>
                <wp:wrapNone/>
                <wp:docPr id="101" name="流程图: 可选过程 101"/>
                <wp:cNvGraphicFramePr/>
                <a:graphic xmlns:a="http://schemas.openxmlformats.org/drawingml/2006/main">
                  <a:graphicData uri="http://schemas.microsoft.com/office/word/2010/wordprocessingShape">
                    <wps:wsp>
                      <wps:cNvSpPr/>
                      <wps:spPr>
                        <a:xfrm>
                          <a:off x="0" y="0"/>
                          <a:ext cx="688975"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DD98B7E">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填方</w:t>
                            </w:r>
                            <w:r>
                              <w:rPr>
                                <w:rFonts w:hint="eastAsia" w:eastAsia="仿宋_GB2312"/>
                                <w:w w:val="90"/>
                                <w:sz w:val="18"/>
                                <w:szCs w:val="18"/>
                                <w:lang w:val="en-US" w:eastAsia="zh-CN"/>
                              </w:rPr>
                              <w:t>/万</w:t>
                            </w:r>
                            <w:r>
                              <w:rPr>
                                <w:rFonts w:hint="default" w:ascii="Times New Roman" w:hAnsi="Times New Roman" w:eastAsia="仿宋_GB2312" w:cs="Times New Roman"/>
                                <w:color w:val="auto"/>
                                <w:sz w:val="18"/>
                                <w:szCs w:val="18"/>
                                <w:lang w:val="en-US" w:eastAsia="zh-CN"/>
                              </w:rPr>
                              <w:t>m</w:t>
                            </w:r>
                            <w:r>
                              <w:rPr>
                                <w:rFonts w:hint="default" w:ascii="Times New Roman" w:hAnsi="Times New Roman" w:eastAsia="仿宋_GB2312" w:cs="Times New Roman"/>
                                <w:color w:val="auto"/>
                                <w:sz w:val="18"/>
                                <w:szCs w:val="18"/>
                                <w:vertAlign w:val="superscript"/>
                                <w:lang w:val="en-US" w:eastAsia="zh-CN"/>
                              </w:rPr>
                              <w:t>3</w:t>
                            </w:r>
                          </w:p>
                        </w:txbxContent>
                      </wps:txbx>
                      <wps:bodyPr upright="1"/>
                    </wps:wsp>
                  </a:graphicData>
                </a:graphic>
              </wp:anchor>
            </w:drawing>
          </mc:Choice>
          <mc:Fallback>
            <w:pict>
              <v:shape id="_x0000_s1026" o:spid="_x0000_s1026" o:spt="176" type="#_x0000_t176" style="position:absolute;left:0pt;margin-left:224.75pt;margin-top:4.2pt;height:20.95pt;width:54.25pt;z-index:251660288;mso-width-relative:page;mso-height-relative:page;" fillcolor="#FFFFFF" filled="t" stroked="t" coordsize="21600,21600" o:gfxdata="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v8WcdcAAAAIAQAADwAAAAAAAAABACAAAAAiAAAAZHJzL2Rvd25yZXYueG1sUEsBAhQAFAAA&#10;AAgAh07iQNtK0H4pAgAAUgQAAA4AAAAAAAAAAQAgAAAAJgEAAGRycy9lMm9Eb2MueG1sUEsFBgAA&#10;AAAGAAYAWQEAAMEFAAAAAA==&#10;">
                <v:fill on="t" focussize="0,0"/>
                <v:stroke color="#000000" joinstyle="miter"/>
                <v:imagedata o:title=""/>
                <o:lock v:ext="edit" aspectratio="f"/>
                <v:textbox>
                  <w:txbxContent>
                    <w:p w14:paraId="7DD98B7E">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填方</w:t>
                      </w:r>
                      <w:r>
                        <w:rPr>
                          <w:rFonts w:hint="eastAsia" w:eastAsia="仿宋_GB2312"/>
                          <w:w w:val="90"/>
                          <w:sz w:val="18"/>
                          <w:szCs w:val="18"/>
                          <w:lang w:val="en-US" w:eastAsia="zh-CN"/>
                        </w:rPr>
                        <w:t>/万</w:t>
                      </w:r>
                      <w:r>
                        <w:rPr>
                          <w:rFonts w:hint="default" w:ascii="Times New Roman" w:hAnsi="Times New Roman" w:eastAsia="仿宋_GB2312" w:cs="Times New Roman"/>
                          <w:color w:val="auto"/>
                          <w:sz w:val="18"/>
                          <w:szCs w:val="18"/>
                          <w:lang w:val="en-US" w:eastAsia="zh-CN"/>
                        </w:rPr>
                        <w:t>m</w:t>
                      </w:r>
                      <w:r>
                        <w:rPr>
                          <w:rFonts w:hint="default" w:ascii="Times New Roman" w:hAnsi="Times New Roman" w:eastAsia="仿宋_GB2312" w:cs="Times New Roman"/>
                          <w:color w:val="auto"/>
                          <w:sz w:val="18"/>
                          <w:szCs w:val="18"/>
                          <w:vertAlign w:val="superscript"/>
                          <w:lang w:val="en-US" w:eastAsia="zh-CN"/>
                        </w:rPr>
                        <w:t>3</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0288" behindDoc="0" locked="0" layoutInCell="1" allowOverlap="1">
                <wp:simplePos x="0" y="0"/>
                <wp:positionH relativeFrom="column">
                  <wp:posOffset>3855720</wp:posOffset>
                </wp:positionH>
                <wp:positionV relativeFrom="paragraph">
                  <wp:posOffset>35560</wp:posOffset>
                </wp:positionV>
                <wp:extent cx="688975" cy="266065"/>
                <wp:effectExtent l="4445" t="4445" r="11430" b="15240"/>
                <wp:wrapNone/>
                <wp:docPr id="102" name="流程图: 可选过程 102"/>
                <wp:cNvGraphicFramePr/>
                <a:graphic xmlns:a="http://schemas.openxmlformats.org/drawingml/2006/main">
                  <a:graphicData uri="http://schemas.microsoft.com/office/word/2010/wordprocessingShape">
                    <wps:wsp>
                      <wps:cNvSpPr/>
                      <wps:spPr>
                        <a:xfrm>
                          <a:off x="0" y="0"/>
                          <a:ext cx="688975"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3DA86E6">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借方</w:t>
                            </w:r>
                            <w:r>
                              <w:rPr>
                                <w:rFonts w:hint="eastAsia" w:eastAsia="仿宋_GB2312"/>
                                <w:w w:val="90"/>
                                <w:sz w:val="18"/>
                                <w:szCs w:val="18"/>
                                <w:lang w:val="en-US" w:eastAsia="zh-CN"/>
                              </w:rPr>
                              <w:t>/万</w:t>
                            </w:r>
                            <w:r>
                              <w:rPr>
                                <w:rFonts w:hint="default" w:ascii="Times New Roman" w:hAnsi="Times New Roman" w:eastAsia="仿宋_GB2312" w:cs="Times New Roman"/>
                                <w:color w:val="auto"/>
                                <w:sz w:val="18"/>
                                <w:szCs w:val="18"/>
                                <w:lang w:val="en-US" w:eastAsia="zh-CN"/>
                              </w:rPr>
                              <w:t>m</w:t>
                            </w:r>
                            <w:r>
                              <w:rPr>
                                <w:rFonts w:hint="default" w:ascii="Times New Roman" w:hAnsi="Times New Roman" w:eastAsia="仿宋_GB2312" w:cs="Times New Roman"/>
                                <w:color w:val="auto"/>
                                <w:sz w:val="18"/>
                                <w:szCs w:val="18"/>
                                <w:vertAlign w:val="superscript"/>
                                <w:lang w:val="en-US" w:eastAsia="zh-CN"/>
                              </w:rPr>
                              <w:t>3</w:t>
                            </w:r>
                          </w:p>
                        </w:txbxContent>
                      </wps:txbx>
                      <wps:bodyPr upright="1"/>
                    </wps:wsp>
                  </a:graphicData>
                </a:graphic>
              </wp:anchor>
            </w:drawing>
          </mc:Choice>
          <mc:Fallback>
            <w:pict>
              <v:shape id="_x0000_s1026" o:spid="_x0000_s1026" o:spt="176" type="#_x0000_t176" style="position:absolute;left:0pt;margin-left:303.6pt;margin-top:2.8pt;height:20.95pt;width:54.25pt;z-index:251660288;mso-width-relative:page;mso-height-relative:page;" fillcolor="#FFFFFF" filled="t" stroked="t" coordsize="21600,21600" o:gfxdata="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5/kwtcAAAAIAQAADwAAAAAAAAABACAAAAAiAAAAZHJzL2Rvd25yZXYueG1sUEsBAhQAFAAA&#10;AAgAh07iQHRjGgspAgAAUgQAAA4AAAAAAAAAAQAgAAAAJgEAAGRycy9lMm9Eb2MueG1sUEsFBgAA&#10;AAAGAAYAWQEAAMEFAAAAAA==&#10;">
                <v:fill on="t" focussize="0,0"/>
                <v:stroke color="#000000" joinstyle="miter"/>
                <v:imagedata o:title=""/>
                <o:lock v:ext="edit" aspectratio="f"/>
                <v:textbox>
                  <w:txbxContent>
                    <w:p w14:paraId="13DA86E6">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借方</w:t>
                      </w:r>
                      <w:r>
                        <w:rPr>
                          <w:rFonts w:hint="eastAsia" w:eastAsia="仿宋_GB2312"/>
                          <w:w w:val="90"/>
                          <w:sz w:val="18"/>
                          <w:szCs w:val="18"/>
                          <w:lang w:val="en-US" w:eastAsia="zh-CN"/>
                        </w:rPr>
                        <w:t>/万</w:t>
                      </w:r>
                      <w:r>
                        <w:rPr>
                          <w:rFonts w:hint="default" w:ascii="Times New Roman" w:hAnsi="Times New Roman" w:eastAsia="仿宋_GB2312" w:cs="Times New Roman"/>
                          <w:color w:val="auto"/>
                          <w:sz w:val="18"/>
                          <w:szCs w:val="18"/>
                          <w:lang w:val="en-US" w:eastAsia="zh-CN"/>
                        </w:rPr>
                        <w:t>m</w:t>
                      </w:r>
                      <w:r>
                        <w:rPr>
                          <w:rFonts w:hint="default" w:ascii="Times New Roman" w:hAnsi="Times New Roman" w:eastAsia="仿宋_GB2312" w:cs="Times New Roman"/>
                          <w:color w:val="auto"/>
                          <w:sz w:val="18"/>
                          <w:szCs w:val="18"/>
                          <w:vertAlign w:val="superscript"/>
                          <w:lang w:val="en-US" w:eastAsia="zh-CN"/>
                        </w:rPr>
                        <w:t>3</w:t>
                      </w:r>
                    </w:p>
                  </w:txbxContent>
                </v:textbox>
              </v:shape>
            </w:pict>
          </mc:Fallback>
        </mc:AlternateContent>
      </w:r>
    </w:p>
    <w:p w14:paraId="7B51A7A9">
      <w:pPr>
        <w:keepNext w:val="0"/>
        <w:keepLines w:val="0"/>
        <w:pageBreakBefore w:val="0"/>
        <w:widowControl w:val="0"/>
        <w:kinsoku/>
        <w:wordWrap/>
        <w:overflowPunct/>
        <w:topLinePunct w:val="0"/>
        <w:autoSpaceDE/>
        <w:autoSpaceDN/>
        <w:bidi w:val="0"/>
        <w:adjustRightInd/>
        <w:snapToGrid/>
        <w:spacing w:after="120" w:afterLines="50"/>
        <w:jc w:val="both"/>
        <w:textAlignment w:val="auto"/>
        <w:outlineLvl w:val="9"/>
        <w:rPr>
          <w:rFonts w:hint="default" w:ascii="Times New Roman" w:hAnsi="Times New Roman" w:cs="Times New Roman"/>
          <w:b/>
          <w:bCs/>
          <w:color w:val="auto"/>
          <w:sz w:val="21"/>
          <w:szCs w:val="21"/>
          <w:lang w:eastAsia="zh-CN"/>
        </w:rPr>
      </w:pPr>
    </w:p>
    <w:p w14:paraId="7AF8B5A1">
      <w:pPr>
        <w:keepNext/>
        <w:keepLines/>
        <w:pageBreakBefore w:val="0"/>
        <w:widowControl/>
        <w:kinsoku/>
        <w:wordWrap/>
        <w:overflowPunct/>
        <w:topLinePunct w:val="0"/>
        <w:autoSpaceDE/>
        <w:autoSpaceDN/>
        <w:bidi w:val="0"/>
        <w:adjustRightInd/>
        <w:snapToGrid/>
        <w:spacing w:after="120" w:afterLines="50"/>
        <w:jc w:val="both"/>
        <w:textAlignment w:val="auto"/>
        <w:outlineLvl w:val="9"/>
        <w:rPr>
          <w:rFonts w:hint="default" w:ascii="Times New Roman" w:hAnsi="Times New Roman" w:cs="Times New Roman"/>
          <w:b/>
          <w:bCs/>
          <w:color w:val="auto"/>
          <w:sz w:val="21"/>
          <w:szCs w:val="21"/>
          <w:lang w:eastAsia="zh-CN"/>
        </w:rPr>
      </w:pPr>
      <w:r>
        <w:rPr>
          <w:rFonts w:hint="default" w:ascii="Times New Roman" w:hAnsi="Times New Roman" w:cs="Times New Roman"/>
          <w:sz w:val="24"/>
        </w:rPr>
        <mc:AlternateContent>
          <mc:Choice Requires="wps">
            <w:drawing>
              <wp:anchor distT="0" distB="0" distL="114300" distR="114300" simplePos="0" relativeHeight="251687936" behindDoc="0" locked="0" layoutInCell="1" allowOverlap="1">
                <wp:simplePos x="0" y="0"/>
                <wp:positionH relativeFrom="column">
                  <wp:posOffset>2850515</wp:posOffset>
                </wp:positionH>
                <wp:positionV relativeFrom="paragraph">
                  <wp:posOffset>142240</wp:posOffset>
                </wp:positionV>
                <wp:extent cx="646430" cy="266065"/>
                <wp:effectExtent l="4445" t="5080" r="15875" b="14605"/>
                <wp:wrapNone/>
                <wp:docPr id="90" name="流程图: 可选过程 90"/>
                <wp:cNvGraphicFramePr/>
                <a:graphic xmlns:a="http://schemas.openxmlformats.org/drawingml/2006/main">
                  <a:graphicData uri="http://schemas.microsoft.com/office/word/2010/wordprocessingShape">
                    <wps:wsp>
                      <wps:cNvSpPr/>
                      <wps:spPr>
                        <a:xfrm>
                          <a:off x="0" y="0"/>
                          <a:ext cx="646430"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C46BE60">
                            <w:pPr>
                              <w:keepNext w:val="0"/>
                              <w:keepLines w:val="0"/>
                              <w:pageBreakBefore w:val="0"/>
                              <w:widowControl/>
                              <w:kinsoku/>
                              <w:wordWrap/>
                              <w:overflowPunct/>
                              <w:topLinePunct w:val="0"/>
                              <w:autoSpaceDE/>
                              <w:autoSpaceDN/>
                              <w:bidi w:val="0"/>
                              <w:adjustRightInd/>
                              <w:snapToGrid/>
                              <w:ind w:left="0" w:leftChars="0"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0.05</w:t>
                            </w:r>
                          </w:p>
                        </w:txbxContent>
                      </wps:txbx>
                      <wps:bodyPr upright="1"/>
                    </wps:wsp>
                  </a:graphicData>
                </a:graphic>
              </wp:anchor>
            </w:drawing>
          </mc:Choice>
          <mc:Fallback>
            <w:pict>
              <v:shape id="_x0000_s1026" o:spid="_x0000_s1026" o:spt="176" type="#_x0000_t176" style="position:absolute;left:0pt;margin-left:224.45pt;margin-top:11.2pt;height:20.95pt;width:50.9pt;z-index:251687936;mso-width-relative:page;mso-height-relative:page;" fillcolor="#FFFFFF" filled="t" stroked="t" coordsize="21600,21600" o:gfxdata="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pGvHdgAAAAJAQAADwAAAAAAAAABACAAAAAiAAAAZHJzL2Rvd25yZXYueG1sUEsBAhQAFAAA&#10;AAgAh07iQFM5QBAoAgAAUAQAAA4AAAAAAAAAAQAgAAAAJwEAAGRycy9lMm9Eb2MueG1sUEsFBgAA&#10;AAAGAAYAWQEAAMEFAAAAAA==&#10;">
                <v:fill on="t" focussize="0,0"/>
                <v:stroke color="#000000" joinstyle="miter"/>
                <v:imagedata o:title=""/>
                <o:lock v:ext="edit" aspectratio="f"/>
                <v:textbox>
                  <w:txbxContent>
                    <w:p w14:paraId="1C46BE60">
                      <w:pPr>
                        <w:keepNext w:val="0"/>
                        <w:keepLines w:val="0"/>
                        <w:pageBreakBefore w:val="0"/>
                        <w:widowControl/>
                        <w:kinsoku/>
                        <w:wordWrap/>
                        <w:overflowPunct/>
                        <w:topLinePunct w:val="0"/>
                        <w:autoSpaceDE/>
                        <w:autoSpaceDN/>
                        <w:bidi w:val="0"/>
                        <w:adjustRightInd/>
                        <w:snapToGrid/>
                        <w:ind w:left="0" w:leftChars="0"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0.05</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2576" behindDoc="0" locked="0" layoutInCell="1" allowOverlap="1">
                <wp:simplePos x="0" y="0"/>
                <wp:positionH relativeFrom="column">
                  <wp:posOffset>74295</wp:posOffset>
                </wp:positionH>
                <wp:positionV relativeFrom="paragraph">
                  <wp:posOffset>107315</wp:posOffset>
                </wp:positionV>
                <wp:extent cx="469900" cy="1328420"/>
                <wp:effectExtent l="4445" t="4445" r="13335" b="8255"/>
                <wp:wrapNone/>
                <wp:docPr id="105" name="流程图: 可选过程 105"/>
                <wp:cNvGraphicFramePr/>
                <a:graphic xmlns:a="http://schemas.openxmlformats.org/drawingml/2006/main">
                  <a:graphicData uri="http://schemas.microsoft.com/office/word/2010/wordprocessingShape">
                    <wps:wsp>
                      <wps:cNvSpPr/>
                      <wps:spPr>
                        <a:xfrm>
                          <a:off x="0" y="0"/>
                          <a:ext cx="469900" cy="13284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C686D9A">
                            <w:pPr>
                              <w:rPr>
                                <w:rFonts w:hint="default"/>
                                <w:lang w:val="en-US" w:eastAsia="zh-CN"/>
                              </w:rPr>
                            </w:pPr>
                            <w:r>
                              <w:rPr>
                                <w:rFonts w:hint="eastAsia" w:eastAsia="仿宋_GB2312" w:cs="Times New Roman"/>
                                <w:color w:val="auto"/>
                                <w:kern w:val="0"/>
                                <w:sz w:val="18"/>
                                <w:szCs w:val="18"/>
                                <w:lang w:eastAsia="zh-CN"/>
                              </w:rPr>
                              <w:t>剑阁县王河镇干部周转房建设项目</w:t>
                            </w:r>
                          </w:p>
                        </w:txbxContent>
                      </wps:txbx>
                      <wps:bodyPr upright="1"/>
                    </wps:wsp>
                  </a:graphicData>
                </a:graphic>
              </wp:anchor>
            </w:drawing>
          </mc:Choice>
          <mc:Fallback>
            <w:pict>
              <v:shape id="_x0000_s1026" o:spid="_x0000_s1026" o:spt="176" type="#_x0000_t176" style="position:absolute;left:0pt;margin-left:5.85pt;margin-top:8.45pt;height:104.6pt;width:37pt;z-index:251672576;mso-width-relative:page;mso-height-relative:page;" fillcolor="#FFFFFF" filled="t" stroked="t" coordsize="21600,21600" o:gfxdata="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byhhNYAAAAIAQAADwAAAAAAAAABACAAAAAiAAAAZHJzL2Rvd25yZXYueG1sUEsBAhQA&#10;FAAAAAgAh07iQNbaCZMtAgAAUwQAAA4AAAAAAAAAAQAgAAAAJQEAAGRycy9lMm9Eb2MueG1sUEsF&#10;BgAAAAAGAAYAWQEAAMQFAAAAAA==&#10;">
                <v:fill on="t" focussize="0,0"/>
                <v:stroke color="#000000" joinstyle="miter"/>
                <v:imagedata o:title=""/>
                <o:lock v:ext="edit" aspectratio="f"/>
                <v:textbox>
                  <w:txbxContent>
                    <w:p w14:paraId="3C686D9A">
                      <w:pPr>
                        <w:rPr>
                          <w:rFonts w:hint="default"/>
                          <w:lang w:val="en-US" w:eastAsia="zh-CN"/>
                        </w:rPr>
                      </w:pPr>
                      <w:r>
                        <w:rPr>
                          <w:rFonts w:hint="eastAsia" w:eastAsia="仿宋_GB2312" w:cs="Times New Roman"/>
                          <w:color w:val="auto"/>
                          <w:kern w:val="0"/>
                          <w:sz w:val="18"/>
                          <w:szCs w:val="18"/>
                          <w:lang w:eastAsia="zh-CN"/>
                        </w:rPr>
                        <w:t>剑阁县王河镇干部周转房建设项目</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1552" behindDoc="0" locked="0" layoutInCell="1" allowOverlap="1">
                <wp:simplePos x="0" y="0"/>
                <wp:positionH relativeFrom="column">
                  <wp:posOffset>658495</wp:posOffset>
                </wp:positionH>
                <wp:positionV relativeFrom="paragraph">
                  <wp:posOffset>140335</wp:posOffset>
                </wp:positionV>
                <wp:extent cx="1069975" cy="274955"/>
                <wp:effectExtent l="4445" t="4445" r="11430" b="6350"/>
                <wp:wrapNone/>
                <wp:docPr id="100" name="流程图: 可选过程 100"/>
                <wp:cNvGraphicFramePr/>
                <a:graphic xmlns:a="http://schemas.openxmlformats.org/drawingml/2006/main">
                  <a:graphicData uri="http://schemas.microsoft.com/office/word/2010/wordprocessingShape">
                    <wps:wsp>
                      <wps:cNvSpPr/>
                      <wps:spPr>
                        <a:xfrm>
                          <a:off x="0" y="0"/>
                          <a:ext cx="1069975" cy="2749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29CBDD8">
                            <w:pPr>
                              <w:ind w:firstLine="180" w:firstLineChars="100"/>
                              <w:rPr>
                                <w:rFonts w:hint="default"/>
                                <w:lang w:val="en-US" w:eastAsia="zh-CN"/>
                              </w:rPr>
                            </w:pPr>
                            <w:r>
                              <w:rPr>
                                <w:rFonts w:hint="eastAsia" w:eastAsia="仿宋_GB2312" w:cs="Times New Roman"/>
                                <w:color w:val="auto"/>
                                <w:kern w:val="0"/>
                                <w:sz w:val="18"/>
                                <w:szCs w:val="18"/>
                                <w:lang w:eastAsia="zh-CN"/>
                              </w:rPr>
                              <w:t>建构筑物</w:t>
                            </w:r>
                            <w:r>
                              <w:rPr>
                                <w:rFonts w:hint="default" w:ascii="Times New Roman" w:hAnsi="Times New Roman" w:eastAsia="仿宋_GB2312" w:cs="Times New Roman"/>
                                <w:color w:val="auto"/>
                                <w:kern w:val="0"/>
                                <w:sz w:val="18"/>
                                <w:szCs w:val="18"/>
                              </w:rPr>
                              <w:t>工程</w:t>
                            </w:r>
                          </w:p>
                        </w:txbxContent>
                      </wps:txbx>
                      <wps:bodyPr upright="1"/>
                    </wps:wsp>
                  </a:graphicData>
                </a:graphic>
              </wp:anchor>
            </w:drawing>
          </mc:Choice>
          <mc:Fallback>
            <w:pict>
              <v:shape id="_x0000_s1026" o:spid="_x0000_s1026" o:spt="176" type="#_x0000_t176" style="position:absolute;left:0pt;margin-left:51.85pt;margin-top:11.05pt;height:21.65pt;width:84.25pt;z-index:251671552;mso-width-relative:page;mso-height-relative:page;" fillcolor="#FFFFFF" filled="t" stroked="t" coordsize="21600,21600" o:gfxdata="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EPC4bXAAAACQEAAA8AAAAAAAAAAQAgAAAAIgAAAGRycy9kb3ducmV2LnhtbFBLAQIUABQA&#10;AAAIAIdO4kAd/V5uKgIAAFMEAAAOAAAAAAAAAAEAIAAAACYBAABkcnMvZTJvRG9jLnhtbFBLBQYA&#10;AAAABgAGAFkBAADCBQAAAAA=&#10;">
                <v:fill on="t" focussize="0,0"/>
                <v:stroke color="#000000" joinstyle="miter"/>
                <v:imagedata o:title=""/>
                <o:lock v:ext="edit" aspectratio="f"/>
                <v:textbox>
                  <w:txbxContent>
                    <w:p w14:paraId="629CBDD8">
                      <w:pPr>
                        <w:ind w:firstLine="180" w:firstLineChars="100"/>
                        <w:rPr>
                          <w:rFonts w:hint="default"/>
                          <w:lang w:val="en-US" w:eastAsia="zh-CN"/>
                        </w:rPr>
                      </w:pPr>
                      <w:r>
                        <w:rPr>
                          <w:rFonts w:hint="eastAsia" w:eastAsia="仿宋_GB2312" w:cs="Times New Roman"/>
                          <w:color w:val="auto"/>
                          <w:kern w:val="0"/>
                          <w:sz w:val="18"/>
                          <w:szCs w:val="18"/>
                          <w:lang w:eastAsia="zh-CN"/>
                        </w:rPr>
                        <w:t>建构筑物</w:t>
                      </w:r>
                      <w:r>
                        <w:rPr>
                          <w:rFonts w:hint="default" w:ascii="Times New Roman" w:hAnsi="Times New Roman" w:eastAsia="仿宋_GB2312" w:cs="Times New Roman"/>
                          <w:color w:val="auto"/>
                          <w:kern w:val="0"/>
                          <w:sz w:val="18"/>
                          <w:szCs w:val="18"/>
                        </w:rPr>
                        <w:t>工程</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7696" behindDoc="0" locked="0" layoutInCell="1" allowOverlap="1">
                <wp:simplePos x="0" y="0"/>
                <wp:positionH relativeFrom="column">
                  <wp:posOffset>1893570</wp:posOffset>
                </wp:positionH>
                <wp:positionV relativeFrom="paragraph">
                  <wp:posOffset>146050</wp:posOffset>
                </wp:positionV>
                <wp:extent cx="688975" cy="266065"/>
                <wp:effectExtent l="4445" t="4445" r="11430" b="15240"/>
                <wp:wrapNone/>
                <wp:docPr id="68" name="流程图: 可选过程 68"/>
                <wp:cNvGraphicFramePr/>
                <a:graphic xmlns:a="http://schemas.openxmlformats.org/drawingml/2006/main">
                  <a:graphicData uri="http://schemas.microsoft.com/office/word/2010/wordprocessingShape">
                    <wps:wsp>
                      <wps:cNvSpPr/>
                      <wps:spPr>
                        <a:xfrm>
                          <a:off x="0" y="0"/>
                          <a:ext cx="688975"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BBED629">
                            <w:pPr>
                              <w:keepNext w:val="0"/>
                              <w:keepLines w:val="0"/>
                              <w:pageBreakBefore w:val="0"/>
                              <w:widowControl/>
                              <w:kinsoku/>
                              <w:wordWrap/>
                              <w:overflowPunct/>
                              <w:topLinePunct w:val="0"/>
                              <w:autoSpaceDE/>
                              <w:autoSpaceDN/>
                              <w:bidi w:val="0"/>
                              <w:adjustRightInd/>
                              <w:snapToGrid/>
                              <w:ind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0.05</w:t>
                            </w:r>
                          </w:p>
                        </w:txbxContent>
                      </wps:txbx>
                      <wps:bodyPr upright="1"/>
                    </wps:wsp>
                  </a:graphicData>
                </a:graphic>
              </wp:anchor>
            </w:drawing>
          </mc:Choice>
          <mc:Fallback>
            <w:pict>
              <v:shape id="_x0000_s1026" o:spid="_x0000_s1026" o:spt="176" type="#_x0000_t176" style="position:absolute;left:0pt;margin-left:149.1pt;margin-top:11.5pt;height:20.95pt;width:54.25pt;z-index:251677696;mso-width-relative:page;mso-height-relative:page;" fillcolor="#FFFFFF" filled="t" stroked="t" coordsize="21600,21600" o:gfxdata="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QCwntgAAAAJAQAADwAAAAAAAAABACAAAAAiAAAAZHJzL2Rvd25yZXYueG1sUEsBAhQAFAAA&#10;AAgAh07iQPhk034oAgAAUAQAAA4AAAAAAAAAAQAgAAAAJwEAAGRycy9lMm9Eb2MueG1sUEsFBgAA&#10;AAAGAAYAWQEAAMEFAAAAAA==&#10;">
                <v:fill on="t" focussize="0,0"/>
                <v:stroke color="#000000" joinstyle="miter"/>
                <v:imagedata o:title=""/>
                <o:lock v:ext="edit" aspectratio="f"/>
                <v:textbox>
                  <w:txbxContent>
                    <w:p w14:paraId="7BBED629">
                      <w:pPr>
                        <w:keepNext w:val="0"/>
                        <w:keepLines w:val="0"/>
                        <w:pageBreakBefore w:val="0"/>
                        <w:widowControl/>
                        <w:kinsoku/>
                        <w:wordWrap/>
                        <w:overflowPunct/>
                        <w:topLinePunct w:val="0"/>
                        <w:autoSpaceDE/>
                        <w:autoSpaceDN/>
                        <w:bidi w:val="0"/>
                        <w:adjustRightInd/>
                        <w:snapToGrid/>
                        <w:ind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0.05</w:t>
                      </w:r>
                    </w:p>
                  </w:txbxContent>
                </v:textbox>
              </v:shape>
            </w:pict>
          </mc:Fallback>
        </mc:AlternateContent>
      </w:r>
    </w:p>
    <w:p w14:paraId="257CB49B">
      <w:pPr>
        <w:keepNext w:val="0"/>
        <w:keepLines w:val="0"/>
        <w:pageBreakBefore w:val="0"/>
        <w:widowControl w:val="0"/>
        <w:kinsoku/>
        <w:wordWrap/>
        <w:overflowPunct/>
        <w:topLinePunct w:val="0"/>
        <w:autoSpaceDE/>
        <w:autoSpaceDN/>
        <w:bidi w:val="0"/>
        <w:adjustRightInd/>
        <w:snapToGrid/>
        <w:spacing w:after="120" w:afterLines="50"/>
        <w:jc w:val="both"/>
        <w:textAlignment w:val="auto"/>
        <w:outlineLvl w:val="9"/>
        <w:rPr>
          <w:rFonts w:hint="default" w:ascii="Times New Roman" w:hAnsi="Times New Roman" w:cs="Times New Roman"/>
          <w:b/>
          <w:bCs/>
          <w:color w:val="auto"/>
          <w:sz w:val="21"/>
          <w:szCs w:val="21"/>
          <w:lang w:eastAsia="zh-CN"/>
        </w:rPr>
      </w:pPr>
      <w:r>
        <w:rPr>
          <w:rFonts w:hint="default" w:ascii="Times New Roman" w:hAnsi="Times New Roman" w:cs="Times New Roman"/>
          <w:sz w:val="21"/>
        </w:rPr>
        <mc:AlternateContent>
          <mc:Choice Requires="wps">
            <w:drawing>
              <wp:anchor distT="0" distB="0" distL="114300" distR="114300" simplePos="0" relativeHeight="251666432" behindDoc="0" locked="0" layoutInCell="1" allowOverlap="1">
                <wp:simplePos x="0" y="0"/>
                <wp:positionH relativeFrom="column">
                  <wp:posOffset>2582545</wp:posOffset>
                </wp:positionH>
                <wp:positionV relativeFrom="paragraph">
                  <wp:posOffset>46355</wp:posOffset>
                </wp:positionV>
                <wp:extent cx="267970" cy="3810"/>
                <wp:effectExtent l="0" t="47625" r="17780" b="62865"/>
                <wp:wrapNone/>
                <wp:docPr id="108" name="直接箭头连接符 108"/>
                <wp:cNvGraphicFramePr/>
                <a:graphic xmlns:a="http://schemas.openxmlformats.org/drawingml/2006/main">
                  <a:graphicData uri="http://schemas.microsoft.com/office/word/2010/wordprocessingShape">
                    <wps:wsp>
                      <wps:cNvCnPr>
                        <a:stCxn id="68" idx="3"/>
                        <a:endCxn id="90" idx="1"/>
                      </wps:cNvCnPr>
                      <wps:spPr>
                        <a:xfrm flipV="1">
                          <a:off x="3543935" y="1580515"/>
                          <a:ext cx="267970" cy="3810"/>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03.35pt;margin-top:3.65pt;height:0.3pt;width:21.1pt;z-index:251666432;mso-width-relative:page;mso-height-relative:page;" filled="f" stroked="t" coordsize="21600,21600" o:gfxdata="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F7PzK1gAAAAcBAAAP&#10;AAAAAAAAAAEAIAAAACIAAABkcnMvZG93bnJldi54bWxQSwECFAAUAAAACACHTuJAeJjE2FMCAABw&#10;BAAADgAAAAAAAAABACAAAAAlAQAAZHJzL2Uyb0RvYy54bWxQSwUGAAAAAAYABgBZAQAA6gUAAAAA&#10;">
                <v:fill on="f" focussize="0,0"/>
                <v:stroke weight="0.5pt" color="#000000 [3200]" miterlimit="8" joinstyle="miter" endarrow="open"/>
                <v:imagedata o:title=""/>
                <o:lock v:ext="edit" aspectratio="f"/>
              </v:shape>
            </w:pict>
          </mc:Fallback>
        </mc:AlternateContent>
      </w:r>
    </w:p>
    <w:p w14:paraId="1E97BBAE">
      <w:pPr>
        <w:keepNext w:val="0"/>
        <w:keepLines w:val="0"/>
        <w:pageBreakBefore w:val="0"/>
        <w:widowControl w:val="0"/>
        <w:kinsoku/>
        <w:wordWrap/>
        <w:overflowPunct/>
        <w:topLinePunct w:val="0"/>
        <w:autoSpaceDE/>
        <w:autoSpaceDN/>
        <w:bidi w:val="0"/>
        <w:adjustRightInd/>
        <w:snapToGrid/>
        <w:spacing w:after="120" w:afterLines="50"/>
        <w:jc w:val="both"/>
        <w:textAlignment w:val="auto"/>
        <w:outlineLvl w:val="9"/>
        <w:rPr>
          <w:rFonts w:hint="default" w:ascii="Times New Roman" w:hAnsi="Times New Roman" w:cs="Times New Roman"/>
          <w:b/>
          <w:bCs/>
          <w:color w:val="auto"/>
          <w:sz w:val="21"/>
          <w:szCs w:val="21"/>
          <w:lang w:eastAsia="zh-CN"/>
        </w:rPr>
      </w:pPr>
      <w:r>
        <w:rPr>
          <w:rFonts w:hint="default" w:ascii="Times New Roman" w:hAnsi="Times New Roman" w:cs="Times New Roman"/>
          <w:sz w:val="24"/>
        </w:rPr>
        <mc:AlternateContent>
          <mc:Choice Requires="wps">
            <w:drawing>
              <wp:anchor distT="0" distB="0" distL="114300" distR="114300" simplePos="0" relativeHeight="251669504" behindDoc="0" locked="0" layoutInCell="1" allowOverlap="1">
                <wp:simplePos x="0" y="0"/>
                <wp:positionH relativeFrom="column">
                  <wp:posOffset>2886075</wp:posOffset>
                </wp:positionH>
                <wp:positionV relativeFrom="paragraph">
                  <wp:posOffset>111760</wp:posOffset>
                </wp:positionV>
                <wp:extent cx="646430" cy="266065"/>
                <wp:effectExtent l="4445" t="5080" r="15875" b="14605"/>
                <wp:wrapNone/>
                <wp:docPr id="50" name="流程图: 可选过程 50"/>
                <wp:cNvGraphicFramePr/>
                <a:graphic xmlns:a="http://schemas.openxmlformats.org/drawingml/2006/main">
                  <a:graphicData uri="http://schemas.microsoft.com/office/word/2010/wordprocessingShape">
                    <wps:wsp>
                      <wps:cNvSpPr/>
                      <wps:spPr>
                        <a:xfrm>
                          <a:off x="0" y="0"/>
                          <a:ext cx="646430"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28E0C05">
                            <w:pPr>
                              <w:keepNext w:val="0"/>
                              <w:keepLines w:val="0"/>
                              <w:pageBreakBefore w:val="0"/>
                              <w:widowControl/>
                              <w:kinsoku/>
                              <w:wordWrap/>
                              <w:overflowPunct/>
                              <w:topLinePunct w:val="0"/>
                              <w:autoSpaceDE/>
                              <w:autoSpaceDN/>
                              <w:bidi w:val="0"/>
                              <w:adjustRightInd/>
                              <w:snapToGrid/>
                              <w:ind w:left="0" w:leftChars="0"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0.14</w:t>
                            </w:r>
                          </w:p>
                        </w:txbxContent>
                      </wps:txbx>
                      <wps:bodyPr upright="1"/>
                    </wps:wsp>
                  </a:graphicData>
                </a:graphic>
              </wp:anchor>
            </w:drawing>
          </mc:Choice>
          <mc:Fallback>
            <w:pict>
              <v:shape id="_x0000_s1026" o:spid="_x0000_s1026" o:spt="176" type="#_x0000_t176" style="position:absolute;left:0pt;margin-left:227.25pt;margin-top:8.8pt;height:20.95pt;width:50.9pt;z-index:251669504;mso-width-relative:page;mso-height-relative:page;" fillcolor="#FFFFFF" filled="t" stroked="t" coordsize="21600,21600" o:gfxdata="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bQbtnYAAAACQEAAA8AAAAAAAAAAQAgAAAAIgAAAGRycy9kb3ducmV2LnhtbFBLAQIUABQA&#10;AAAIAIdO4kDLyEoOKQIAAFAEAAAOAAAAAAAAAAEAIAAAACcBAABkcnMvZTJvRG9jLnhtbFBLBQYA&#10;AAAABgAGAFkBAADCBQAAAAA=&#10;">
                <v:fill on="t" focussize="0,0"/>
                <v:stroke color="#000000" joinstyle="miter"/>
                <v:imagedata o:title=""/>
                <o:lock v:ext="edit" aspectratio="f"/>
                <v:textbox>
                  <w:txbxContent>
                    <w:p w14:paraId="728E0C05">
                      <w:pPr>
                        <w:keepNext w:val="0"/>
                        <w:keepLines w:val="0"/>
                        <w:pageBreakBefore w:val="0"/>
                        <w:widowControl/>
                        <w:kinsoku/>
                        <w:wordWrap/>
                        <w:overflowPunct/>
                        <w:topLinePunct w:val="0"/>
                        <w:autoSpaceDE/>
                        <w:autoSpaceDN/>
                        <w:bidi w:val="0"/>
                        <w:adjustRightInd/>
                        <w:snapToGrid/>
                        <w:ind w:left="0" w:leftChars="0"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0.14</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00224" behindDoc="0" locked="0" layoutInCell="1" allowOverlap="1">
                <wp:simplePos x="0" y="0"/>
                <wp:positionH relativeFrom="column">
                  <wp:posOffset>1885950</wp:posOffset>
                </wp:positionH>
                <wp:positionV relativeFrom="paragraph">
                  <wp:posOffset>129540</wp:posOffset>
                </wp:positionV>
                <wp:extent cx="688975" cy="266065"/>
                <wp:effectExtent l="4445" t="4445" r="11430" b="15240"/>
                <wp:wrapNone/>
                <wp:docPr id="48" name="流程图: 可选过程 48"/>
                <wp:cNvGraphicFramePr/>
                <a:graphic xmlns:a="http://schemas.openxmlformats.org/drawingml/2006/main">
                  <a:graphicData uri="http://schemas.microsoft.com/office/word/2010/wordprocessingShape">
                    <wps:wsp>
                      <wps:cNvSpPr/>
                      <wps:spPr>
                        <a:xfrm>
                          <a:off x="0" y="0"/>
                          <a:ext cx="688975"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BC67CB7">
                            <w:pPr>
                              <w:keepNext w:val="0"/>
                              <w:keepLines w:val="0"/>
                              <w:pageBreakBefore w:val="0"/>
                              <w:widowControl/>
                              <w:kinsoku/>
                              <w:wordWrap/>
                              <w:overflowPunct/>
                              <w:topLinePunct w:val="0"/>
                              <w:autoSpaceDE/>
                              <w:autoSpaceDN/>
                              <w:bidi w:val="0"/>
                              <w:adjustRightInd/>
                              <w:snapToGrid/>
                              <w:ind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0.15</w:t>
                            </w:r>
                          </w:p>
                        </w:txbxContent>
                      </wps:txbx>
                      <wps:bodyPr upright="1"/>
                    </wps:wsp>
                  </a:graphicData>
                </a:graphic>
              </wp:anchor>
            </w:drawing>
          </mc:Choice>
          <mc:Fallback>
            <w:pict>
              <v:shape id="_x0000_s1026" o:spid="_x0000_s1026" o:spt="176" type="#_x0000_t176" style="position:absolute;left:0pt;margin-left:148.5pt;margin-top:10.2pt;height:20.95pt;width:54.25pt;z-index:251700224;mso-width-relative:page;mso-height-relative:page;" fillcolor="#FFFFFF" filled="t" stroked="t" coordsize="21600,21600" o:gfxdata="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ckx07ZAAAACQEAAA8AAAAAAAAAAQAgAAAAIgAAAGRycy9kb3ducmV2LnhtbFBLAQIUABQA&#10;AAAIAIdO4kC8TNB7KAIAAFAEAAAOAAAAAAAAAAEAIAAAACgBAABkcnMvZTJvRG9jLnhtbFBLBQYA&#10;AAAABgAGAFkBAADCBQAAAAA=&#10;">
                <v:fill on="t" focussize="0,0"/>
                <v:stroke color="#000000" joinstyle="miter"/>
                <v:imagedata o:title=""/>
                <o:lock v:ext="edit" aspectratio="f"/>
                <v:textbox>
                  <w:txbxContent>
                    <w:p w14:paraId="4BC67CB7">
                      <w:pPr>
                        <w:keepNext w:val="0"/>
                        <w:keepLines w:val="0"/>
                        <w:pageBreakBefore w:val="0"/>
                        <w:widowControl/>
                        <w:kinsoku/>
                        <w:wordWrap/>
                        <w:overflowPunct/>
                        <w:topLinePunct w:val="0"/>
                        <w:autoSpaceDE/>
                        <w:autoSpaceDN/>
                        <w:bidi w:val="0"/>
                        <w:adjustRightInd/>
                        <w:snapToGrid/>
                        <w:ind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0.15</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701248" behindDoc="0" locked="0" layoutInCell="1" allowOverlap="1">
                <wp:simplePos x="0" y="0"/>
                <wp:positionH relativeFrom="column">
                  <wp:posOffset>2572385</wp:posOffset>
                </wp:positionH>
                <wp:positionV relativeFrom="paragraph">
                  <wp:posOffset>199390</wp:posOffset>
                </wp:positionV>
                <wp:extent cx="267970" cy="3810"/>
                <wp:effectExtent l="0" t="47625" r="17780" b="62865"/>
                <wp:wrapNone/>
                <wp:docPr id="53" name="直接箭头连接符 53"/>
                <wp:cNvGraphicFramePr/>
                <a:graphic xmlns:a="http://schemas.openxmlformats.org/drawingml/2006/main">
                  <a:graphicData uri="http://schemas.microsoft.com/office/word/2010/wordprocessingShape">
                    <wps:wsp>
                      <wps:cNvCnPr/>
                      <wps:spPr>
                        <a:xfrm flipV="1">
                          <a:off x="0" y="0"/>
                          <a:ext cx="267970" cy="3810"/>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02.55pt;margin-top:15.7pt;height:0.3pt;width:21.1pt;z-index:251701248;mso-width-relative:page;mso-height-relative:page;" filled="f" stroked="t" coordsize="21600,21600" o:gfxdata="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RGvGD2AAAAAkBAAAPAAAAAAAAAAEAIAAAACIAAABkcnMvZG93bnJldi54bWxQSwECFAAU&#10;AAAACACHTuJA4yFRzyoCAAAgBAAADgAAAAAAAAABACAAAAAnAQAAZHJzL2Uyb0RvYy54bWxQSwUG&#10;AAAAAAYABgBZAQAAwwUAAAAA&#10;">
                <v:fill on="f" focussize="0,0"/>
                <v:stroke weight="0.5pt" color="#000000 [3200]" miterlimit="8" joinstyle="miter" endarrow="open"/>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94080" behindDoc="0" locked="0" layoutInCell="1" allowOverlap="1">
                <wp:simplePos x="0" y="0"/>
                <wp:positionH relativeFrom="column">
                  <wp:posOffset>664845</wp:posOffset>
                </wp:positionH>
                <wp:positionV relativeFrom="paragraph">
                  <wp:posOffset>104140</wp:posOffset>
                </wp:positionV>
                <wp:extent cx="1069975" cy="274955"/>
                <wp:effectExtent l="4445" t="4445" r="11430" b="6350"/>
                <wp:wrapNone/>
                <wp:docPr id="45" name="流程图: 可选过程 45"/>
                <wp:cNvGraphicFramePr/>
                <a:graphic xmlns:a="http://schemas.openxmlformats.org/drawingml/2006/main">
                  <a:graphicData uri="http://schemas.microsoft.com/office/word/2010/wordprocessingShape">
                    <wps:wsp>
                      <wps:cNvSpPr/>
                      <wps:spPr>
                        <a:xfrm>
                          <a:off x="0" y="0"/>
                          <a:ext cx="1069975" cy="2749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AD614EA">
                            <w:pPr>
                              <w:ind w:firstLine="180" w:firstLineChars="100"/>
                              <w:rPr>
                                <w:rFonts w:hint="default"/>
                                <w:lang w:val="en-US" w:eastAsia="zh-CN"/>
                              </w:rPr>
                            </w:pPr>
                            <w:r>
                              <w:rPr>
                                <w:rFonts w:hint="eastAsia" w:eastAsia="仿宋_GB2312" w:cs="Times New Roman"/>
                                <w:color w:val="auto"/>
                                <w:kern w:val="0"/>
                                <w:sz w:val="18"/>
                                <w:szCs w:val="18"/>
                                <w:lang w:eastAsia="zh-CN"/>
                              </w:rPr>
                              <w:t>硬化工程</w:t>
                            </w:r>
                          </w:p>
                        </w:txbxContent>
                      </wps:txbx>
                      <wps:bodyPr upright="1"/>
                    </wps:wsp>
                  </a:graphicData>
                </a:graphic>
              </wp:anchor>
            </w:drawing>
          </mc:Choice>
          <mc:Fallback>
            <w:pict>
              <v:shape id="_x0000_s1026" o:spid="_x0000_s1026" o:spt="176" type="#_x0000_t176" style="position:absolute;left:0pt;margin-left:52.35pt;margin-top:8.2pt;height:21.65pt;width:84.25pt;z-index:251694080;mso-width-relative:page;mso-height-relative:page;" fillcolor="#FFFFFF" filled="t" stroked="t" coordsize="21600,21600" o:gfxdata="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hxFve1wAAAAkBAAAPAAAAAAAAAAEAIAAAACIAAABkcnMvZG93bnJldi54bWxQSwECFAAU&#10;AAAACACHTuJAakDynCsCAABRBAAADgAAAAAAAAABACAAAAAmAQAAZHJzL2Uyb0RvYy54bWxQSwUG&#10;AAAAAAYABgBZAQAAwwUAAAAA&#10;">
                <v:fill on="t" focussize="0,0"/>
                <v:stroke color="#000000" joinstyle="miter"/>
                <v:imagedata o:title=""/>
                <o:lock v:ext="edit" aspectratio="f"/>
                <v:textbox>
                  <w:txbxContent>
                    <w:p w14:paraId="6AD614EA">
                      <w:pPr>
                        <w:ind w:firstLine="180" w:firstLineChars="100"/>
                        <w:rPr>
                          <w:rFonts w:hint="default"/>
                          <w:lang w:val="en-US" w:eastAsia="zh-CN"/>
                        </w:rPr>
                      </w:pPr>
                      <w:r>
                        <w:rPr>
                          <w:rFonts w:hint="eastAsia" w:eastAsia="仿宋_GB2312" w:cs="Times New Roman"/>
                          <w:color w:val="auto"/>
                          <w:kern w:val="0"/>
                          <w:sz w:val="18"/>
                          <w:szCs w:val="18"/>
                          <w:lang w:eastAsia="zh-CN"/>
                        </w:rPr>
                        <w:t>硬化工程</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11488" behindDoc="0" locked="0" layoutInCell="1" allowOverlap="1">
                <wp:simplePos x="0" y="0"/>
                <wp:positionH relativeFrom="column">
                  <wp:posOffset>2614295</wp:posOffset>
                </wp:positionH>
                <wp:positionV relativeFrom="paragraph">
                  <wp:posOffset>-253365</wp:posOffset>
                </wp:positionV>
                <wp:extent cx="540385" cy="1306830"/>
                <wp:effectExtent l="5080" t="123190" r="242570" b="52705"/>
                <wp:wrapNone/>
                <wp:docPr id="52" name="肘形连接符 52"/>
                <wp:cNvGraphicFramePr/>
                <a:graphic xmlns:a="http://schemas.openxmlformats.org/drawingml/2006/main">
                  <a:graphicData uri="http://schemas.microsoft.com/office/word/2010/wordprocessingShape">
                    <wps:wsp>
                      <wps:cNvCnPr>
                        <a:stCxn id="48" idx="0"/>
                        <a:endCxn id="99" idx="3"/>
                      </wps:cNvCnPr>
                      <wps:spPr>
                        <a:xfrm rot="16200000" flipH="1">
                          <a:off x="3183890" y="1958340"/>
                          <a:ext cx="540385" cy="1306830"/>
                        </a:xfrm>
                        <a:prstGeom prst="bentConnector4">
                          <a:avLst>
                            <a:gd name="adj1" fmla="val -21915"/>
                            <a:gd name="adj2" fmla="val 118197"/>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5" type="#_x0000_t35" style="position:absolute;left:0pt;flip:x;margin-left:205.85pt;margin-top:-19.95pt;height:102.9pt;width:42.55pt;rotation:5898240f;z-index:251711488;mso-width-relative:page;mso-height-relative:page;" filled="f" stroked="t" coordsize="21600,21600" o:gfxdata="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PiDHx2AAAAAsBAAAPAAAAAAAAAAEAIAAAACIAAABkcnMvZG93bnJl&#10;di54bWxQSwECFAAUAAAACACHTuJAjZEfUW8CAACnBAAADgAAAAAAAAABACAAAAAnAQAAZHJzL2Uy&#10;b0RvYy54bWxQSwUGAAAAAAYABgBZAQAACAYAAAAA&#10;" adj="-4734,25531">
                <v:fill on="f" focussize="0,0"/>
                <v:stroke weight="0.5pt" color="#000000 [3200]" miterlimit="8" joinstyle="miter" endarrow="open"/>
                <v:imagedata o:title=""/>
                <o:lock v:ext="edit" aspectratio="f"/>
              </v:shape>
            </w:pict>
          </mc:Fallback>
        </mc:AlternateContent>
      </w:r>
    </w:p>
    <w:p w14:paraId="0D5F3D08">
      <w:pPr>
        <w:keepNext w:val="0"/>
        <w:keepLines w:val="0"/>
        <w:pageBreakBefore w:val="0"/>
        <w:widowControl w:val="0"/>
        <w:kinsoku/>
        <w:wordWrap/>
        <w:overflowPunct/>
        <w:topLinePunct w:val="0"/>
        <w:autoSpaceDE/>
        <w:autoSpaceDN/>
        <w:bidi w:val="0"/>
        <w:adjustRightInd/>
        <w:snapToGrid/>
        <w:spacing w:after="120" w:afterLines="50"/>
        <w:jc w:val="both"/>
        <w:textAlignment w:val="auto"/>
        <w:outlineLvl w:val="9"/>
        <w:rPr>
          <w:rFonts w:hint="default" w:ascii="Times New Roman" w:hAnsi="Times New Roman" w:cs="Times New Roman"/>
          <w:b/>
          <w:bCs/>
          <w:color w:val="auto"/>
          <w:sz w:val="21"/>
          <w:szCs w:val="21"/>
          <w:lang w:eastAsia="zh-CN"/>
        </w:rPr>
      </w:pPr>
    </w:p>
    <w:p w14:paraId="1595C4F1">
      <w:pPr>
        <w:keepNext w:val="0"/>
        <w:keepLines w:val="0"/>
        <w:pageBreakBefore w:val="0"/>
        <w:widowControl w:val="0"/>
        <w:kinsoku/>
        <w:wordWrap/>
        <w:overflowPunct/>
        <w:topLinePunct w:val="0"/>
        <w:autoSpaceDE/>
        <w:autoSpaceDN/>
        <w:bidi w:val="0"/>
        <w:adjustRightInd/>
        <w:snapToGrid/>
        <w:spacing w:after="120" w:afterLines="50"/>
        <w:jc w:val="both"/>
        <w:textAlignment w:val="auto"/>
        <w:outlineLvl w:val="9"/>
        <w:rPr>
          <w:rFonts w:hint="default" w:ascii="Times New Roman" w:hAnsi="Times New Roman" w:cs="Times New Roman"/>
          <w:b/>
          <w:bCs/>
          <w:color w:val="auto"/>
          <w:sz w:val="21"/>
          <w:szCs w:val="21"/>
          <w:lang w:eastAsia="zh-CN"/>
        </w:rPr>
      </w:pPr>
      <w:r>
        <w:rPr>
          <w:rFonts w:hint="default" w:ascii="Times New Roman" w:hAnsi="Times New Roman" w:cs="Times New Roman"/>
          <w:sz w:val="24"/>
        </w:rPr>
        <mc:AlternateContent>
          <mc:Choice Requires="wps">
            <w:drawing>
              <wp:anchor distT="0" distB="0" distL="114300" distR="114300" simplePos="0" relativeHeight="251693056" behindDoc="0" locked="0" layoutInCell="1" allowOverlap="1">
                <wp:simplePos x="0" y="0"/>
                <wp:positionH relativeFrom="column">
                  <wp:posOffset>673100</wp:posOffset>
                </wp:positionH>
                <wp:positionV relativeFrom="paragraph">
                  <wp:posOffset>56515</wp:posOffset>
                </wp:positionV>
                <wp:extent cx="1069975" cy="274955"/>
                <wp:effectExtent l="4445" t="4445" r="11430" b="6350"/>
                <wp:wrapNone/>
                <wp:docPr id="19" name="流程图: 可选过程 19"/>
                <wp:cNvGraphicFramePr/>
                <a:graphic xmlns:a="http://schemas.openxmlformats.org/drawingml/2006/main">
                  <a:graphicData uri="http://schemas.microsoft.com/office/word/2010/wordprocessingShape">
                    <wps:wsp>
                      <wps:cNvSpPr/>
                      <wps:spPr>
                        <a:xfrm>
                          <a:off x="0" y="0"/>
                          <a:ext cx="1069975" cy="2749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00A55E7">
                            <w:pPr>
                              <w:ind w:firstLine="360" w:firstLineChars="200"/>
                              <w:rPr>
                                <w:rFonts w:hint="default"/>
                                <w:lang w:val="en-US" w:eastAsia="zh-CN"/>
                              </w:rPr>
                            </w:pPr>
                            <w:r>
                              <w:rPr>
                                <w:rFonts w:hint="eastAsia" w:eastAsia="仿宋_GB2312" w:cs="Times New Roman"/>
                                <w:color w:val="auto"/>
                                <w:kern w:val="0"/>
                                <w:sz w:val="18"/>
                                <w:szCs w:val="18"/>
                                <w:lang w:eastAsia="zh-CN"/>
                              </w:rPr>
                              <w:t>绿化工程</w:t>
                            </w:r>
                          </w:p>
                        </w:txbxContent>
                      </wps:txbx>
                      <wps:bodyPr upright="1"/>
                    </wps:wsp>
                  </a:graphicData>
                </a:graphic>
              </wp:anchor>
            </w:drawing>
          </mc:Choice>
          <mc:Fallback>
            <w:pict>
              <v:shape id="_x0000_s1026" o:spid="_x0000_s1026" o:spt="176" type="#_x0000_t176" style="position:absolute;left:0pt;margin-left:53pt;margin-top:4.45pt;height:21.65pt;width:84.25pt;z-index:251693056;mso-width-relative:page;mso-height-relative:page;" fillcolor="#FFFFFF" filled="t" stroked="t" coordsize="21600,21600" o:gfxdata="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qXLKi1gAAAAgBAAAPAAAAAAAAAAEAIAAAACIAAABkcnMvZG93bnJldi54bWxQSwECFAAUAAAA&#10;CACHTuJAwHzztCkCAABRBAAADgAAAAAAAAABACAAAAAlAQAAZHJzL2Uyb0RvYy54bWxQSwUGAAAA&#10;AAYABgBZAQAAwAUAAAAA&#10;">
                <v:fill on="t" focussize="0,0"/>
                <v:stroke color="#000000" joinstyle="miter"/>
                <v:imagedata o:title=""/>
                <o:lock v:ext="edit" aspectratio="f"/>
                <v:textbox>
                  <w:txbxContent>
                    <w:p w14:paraId="700A55E7">
                      <w:pPr>
                        <w:ind w:firstLine="360" w:firstLineChars="200"/>
                        <w:rPr>
                          <w:rFonts w:hint="default"/>
                          <w:lang w:val="en-US" w:eastAsia="zh-CN"/>
                        </w:rPr>
                      </w:pPr>
                      <w:r>
                        <w:rPr>
                          <w:rFonts w:hint="eastAsia" w:eastAsia="仿宋_GB2312" w:cs="Times New Roman"/>
                          <w:color w:val="auto"/>
                          <w:kern w:val="0"/>
                          <w:sz w:val="18"/>
                          <w:szCs w:val="18"/>
                          <w:lang w:eastAsia="zh-CN"/>
                        </w:rPr>
                        <w:t>绿化工程</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92032" behindDoc="0" locked="0" layoutInCell="1" allowOverlap="1">
                <wp:simplePos x="0" y="0"/>
                <wp:positionH relativeFrom="column">
                  <wp:posOffset>2579370</wp:posOffset>
                </wp:positionH>
                <wp:positionV relativeFrom="paragraph">
                  <wp:posOffset>196850</wp:posOffset>
                </wp:positionV>
                <wp:extent cx="279400" cy="6985"/>
                <wp:effectExtent l="0" t="44450" r="6350" b="62865"/>
                <wp:wrapNone/>
                <wp:docPr id="109" name="直接箭头连接符 109"/>
                <wp:cNvGraphicFramePr/>
                <a:graphic xmlns:a="http://schemas.openxmlformats.org/drawingml/2006/main">
                  <a:graphicData uri="http://schemas.microsoft.com/office/word/2010/wordprocessingShape">
                    <wps:wsp>
                      <wps:cNvCnPr/>
                      <wps:spPr>
                        <a:xfrm>
                          <a:off x="0" y="0"/>
                          <a:ext cx="279400" cy="6985"/>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3.1pt;margin-top:15.5pt;height:0.55pt;width:22pt;z-index:251692032;mso-width-relative:page;mso-height-relative:page;" filled="f" stroked="t" coordsize="21600,21600" o:gfxdata="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JzkMJ&#10;1wAAAAkBAAAPAAAAAAAAAAEAIAAAACIAAABkcnMvZG93bnJldi54bWxQSwECFAAUAAAACACHTuJA&#10;EJUD+yICAAAYBAAADgAAAAAAAAABACAAAAAmAQAAZHJzL2Uyb0RvYy54bWxQSwUGAAAAAAYABgBZ&#10;AQAAugUAAAAA&#10;">
                <v:fill on="f" focussize="0,0"/>
                <v:stroke weight="0.5pt" color="#000000 [3200]" miterlimit="8" joinstyle="miter" endarrow="open"/>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7936" behindDoc="0" locked="0" layoutInCell="1" allowOverlap="1">
                <wp:simplePos x="0" y="0"/>
                <wp:positionH relativeFrom="column">
                  <wp:posOffset>2874645</wp:posOffset>
                </wp:positionH>
                <wp:positionV relativeFrom="paragraph">
                  <wp:posOffset>77470</wp:posOffset>
                </wp:positionV>
                <wp:extent cx="662940" cy="266065"/>
                <wp:effectExtent l="4445" t="4445" r="18415" b="15240"/>
                <wp:wrapNone/>
                <wp:docPr id="99" name="流程图: 可选过程 99"/>
                <wp:cNvGraphicFramePr/>
                <a:graphic xmlns:a="http://schemas.openxmlformats.org/drawingml/2006/main">
                  <a:graphicData uri="http://schemas.microsoft.com/office/word/2010/wordprocessingShape">
                    <wps:wsp>
                      <wps:cNvSpPr/>
                      <wps:spPr>
                        <a:xfrm>
                          <a:off x="0" y="0"/>
                          <a:ext cx="662940"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7E2CC86">
                            <w:pPr>
                              <w:keepNext w:val="0"/>
                              <w:keepLines w:val="0"/>
                              <w:pageBreakBefore w:val="0"/>
                              <w:widowControl/>
                              <w:kinsoku/>
                              <w:wordWrap/>
                              <w:overflowPunct/>
                              <w:topLinePunct w:val="0"/>
                              <w:autoSpaceDE/>
                              <w:autoSpaceDN/>
                              <w:bidi w:val="0"/>
                              <w:adjustRightInd/>
                              <w:snapToGrid/>
                              <w:ind w:left="0" w:leftChars="0"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0.17</w:t>
                            </w:r>
                          </w:p>
                        </w:txbxContent>
                      </wps:txbx>
                      <wps:bodyPr upright="1"/>
                    </wps:wsp>
                  </a:graphicData>
                </a:graphic>
              </wp:anchor>
            </w:drawing>
          </mc:Choice>
          <mc:Fallback>
            <w:pict>
              <v:shape id="_x0000_s1026" o:spid="_x0000_s1026" o:spt="176" type="#_x0000_t176" style="position:absolute;left:0pt;margin-left:226.35pt;margin-top:6.1pt;height:20.95pt;width:52.2pt;z-index:251687936;mso-width-relative:page;mso-height-relative:page;" fillcolor="#FFFFFF" filled="t" stroked="t" coordsize="21600,21600" o:gfxdata="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fhM+n1wAAAAkBAAAPAAAAAAAAAAEAIAAAACIAAABkcnMvZG93bnJldi54bWxQSwECFAAUAAAA&#10;CACHTuJAx5nzUSgCAABQBAAADgAAAAAAAAABACAAAAAmAQAAZHJzL2Uyb0RvYy54bWxQSwUGAAAA&#10;AAYABgBZAQAAwAUAAAAA&#10;">
                <v:fill on="t" focussize="0,0"/>
                <v:stroke color="#000000" joinstyle="miter"/>
                <v:imagedata o:title=""/>
                <o:lock v:ext="edit" aspectratio="f"/>
                <v:textbox>
                  <w:txbxContent>
                    <w:p w14:paraId="57E2CC86">
                      <w:pPr>
                        <w:keepNext w:val="0"/>
                        <w:keepLines w:val="0"/>
                        <w:pageBreakBefore w:val="0"/>
                        <w:widowControl/>
                        <w:kinsoku/>
                        <w:wordWrap/>
                        <w:overflowPunct/>
                        <w:topLinePunct w:val="0"/>
                        <w:autoSpaceDE/>
                        <w:autoSpaceDN/>
                        <w:bidi w:val="0"/>
                        <w:adjustRightInd/>
                        <w:snapToGrid/>
                        <w:ind w:left="0" w:leftChars="0"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0.17</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7936" behindDoc="0" locked="0" layoutInCell="1" allowOverlap="1">
                <wp:simplePos x="0" y="0"/>
                <wp:positionH relativeFrom="column">
                  <wp:posOffset>1898015</wp:posOffset>
                </wp:positionH>
                <wp:positionV relativeFrom="paragraph">
                  <wp:posOffset>67310</wp:posOffset>
                </wp:positionV>
                <wp:extent cx="688975" cy="266065"/>
                <wp:effectExtent l="4445" t="4445" r="11430" b="15240"/>
                <wp:wrapNone/>
                <wp:docPr id="81" name="流程图: 可选过程 81"/>
                <wp:cNvGraphicFramePr/>
                <a:graphic xmlns:a="http://schemas.openxmlformats.org/drawingml/2006/main">
                  <a:graphicData uri="http://schemas.microsoft.com/office/word/2010/wordprocessingShape">
                    <wps:wsp>
                      <wps:cNvSpPr/>
                      <wps:spPr>
                        <a:xfrm>
                          <a:off x="0" y="0"/>
                          <a:ext cx="688975"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94BF5D6">
                            <w:pPr>
                              <w:keepNext w:val="0"/>
                              <w:keepLines w:val="0"/>
                              <w:pageBreakBefore w:val="0"/>
                              <w:widowControl/>
                              <w:kinsoku/>
                              <w:wordWrap/>
                              <w:overflowPunct/>
                              <w:topLinePunct w:val="0"/>
                              <w:autoSpaceDE/>
                              <w:autoSpaceDN/>
                              <w:bidi w:val="0"/>
                              <w:adjustRightInd/>
                              <w:snapToGrid/>
                              <w:ind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0.16</w:t>
                            </w:r>
                          </w:p>
                        </w:txbxContent>
                      </wps:txbx>
                      <wps:bodyPr upright="1"/>
                    </wps:wsp>
                  </a:graphicData>
                </a:graphic>
              </wp:anchor>
            </w:drawing>
          </mc:Choice>
          <mc:Fallback>
            <w:pict>
              <v:shape id="_x0000_s1026" o:spid="_x0000_s1026" o:spt="176" type="#_x0000_t176" style="position:absolute;left:0pt;margin-left:149.45pt;margin-top:5.3pt;height:20.95pt;width:54.25pt;z-index:251687936;mso-width-relative:page;mso-height-relative:page;" fillcolor="#FFFFFF" filled="t" stroked="t" coordsize="21600,21600" o:gfxdata="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SmmQZ1wAAAAkBAAAPAAAAAAAAAAEAIAAAACIAAABkcnMvZG93bnJldi54bWxQSwECFAAUAAAA&#10;CACHTuJA+8oghCgCAABQBAAADgAAAAAAAAABACAAAAAmAQAAZHJzL2Uyb0RvYy54bWxQSwUGAAAA&#10;AAYABgBZAQAAwAUAAAAA&#10;">
                <v:fill on="t" focussize="0,0"/>
                <v:stroke color="#000000" joinstyle="miter"/>
                <v:imagedata o:title=""/>
                <o:lock v:ext="edit" aspectratio="f"/>
                <v:textbox>
                  <w:txbxContent>
                    <w:p w14:paraId="494BF5D6">
                      <w:pPr>
                        <w:keepNext w:val="0"/>
                        <w:keepLines w:val="0"/>
                        <w:pageBreakBefore w:val="0"/>
                        <w:widowControl/>
                        <w:kinsoku/>
                        <w:wordWrap/>
                        <w:overflowPunct/>
                        <w:topLinePunct w:val="0"/>
                        <w:autoSpaceDE/>
                        <w:autoSpaceDN/>
                        <w:bidi w:val="0"/>
                        <w:adjustRightInd/>
                        <w:snapToGrid/>
                        <w:ind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0.16</w:t>
                      </w:r>
                    </w:p>
                  </w:txbxContent>
                </v:textbox>
              </v:shape>
            </w:pict>
          </mc:Fallback>
        </mc:AlternateContent>
      </w:r>
    </w:p>
    <w:p w14:paraId="30728528">
      <w:pPr>
        <w:keepNext w:val="0"/>
        <w:keepLines w:val="0"/>
        <w:pageBreakBefore w:val="0"/>
        <w:widowControl w:val="0"/>
        <w:kinsoku/>
        <w:wordWrap/>
        <w:overflowPunct/>
        <w:topLinePunct w:val="0"/>
        <w:autoSpaceDE/>
        <w:autoSpaceDN/>
        <w:bidi w:val="0"/>
        <w:adjustRightInd/>
        <w:snapToGrid/>
        <w:spacing w:after="120" w:afterLines="50"/>
        <w:jc w:val="both"/>
        <w:textAlignment w:val="auto"/>
        <w:outlineLvl w:val="9"/>
        <w:rPr>
          <w:rFonts w:hint="default" w:ascii="Times New Roman" w:hAnsi="Times New Roman" w:cs="Times New Roman"/>
          <w:b/>
          <w:bCs/>
          <w:color w:val="auto"/>
          <w:sz w:val="21"/>
          <w:szCs w:val="21"/>
          <w:lang w:eastAsia="zh-CN"/>
        </w:rPr>
      </w:pPr>
    </w:p>
    <w:p w14:paraId="603A415B">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outlineLvl w:val="9"/>
        <w:rPr>
          <w:rFonts w:hint="default" w:ascii="Times New Roman" w:hAnsi="Times New Roman" w:eastAsia="仿宋_GB2312" w:cs="Times New Roman"/>
          <w:b/>
          <w:bCs/>
          <w:color w:val="auto"/>
          <w:sz w:val="21"/>
          <w:szCs w:val="21"/>
          <w:lang w:eastAsia="zh-CN"/>
        </w:rPr>
      </w:pPr>
      <w:r>
        <w:rPr>
          <w:rFonts w:hint="default" w:ascii="Times New Roman" w:hAnsi="Times New Roman" w:cs="Times New Roman"/>
          <w:sz w:val="24"/>
        </w:rPr>
        <mc:AlternateContent>
          <mc:Choice Requires="wps">
            <w:drawing>
              <wp:anchor distT="0" distB="0" distL="114300" distR="114300" simplePos="0" relativeHeight="251682816" behindDoc="0" locked="0" layoutInCell="1" allowOverlap="1">
                <wp:simplePos x="0" y="0"/>
                <wp:positionH relativeFrom="column">
                  <wp:posOffset>4807585</wp:posOffset>
                </wp:positionH>
                <wp:positionV relativeFrom="paragraph">
                  <wp:posOffset>21590</wp:posOffset>
                </wp:positionV>
                <wp:extent cx="688975" cy="266065"/>
                <wp:effectExtent l="4445" t="4445" r="11430" b="15240"/>
                <wp:wrapNone/>
                <wp:docPr id="110" name="流程图: 可选过程 110"/>
                <wp:cNvGraphicFramePr/>
                <a:graphic xmlns:a="http://schemas.openxmlformats.org/drawingml/2006/main">
                  <a:graphicData uri="http://schemas.microsoft.com/office/word/2010/wordprocessingShape">
                    <wps:wsp>
                      <wps:cNvSpPr/>
                      <wps:spPr>
                        <a:xfrm>
                          <a:off x="0" y="0"/>
                          <a:ext cx="688975"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3058D8C">
                            <w:pPr>
                              <w:keepNext w:val="0"/>
                              <w:keepLines w:val="0"/>
                              <w:pageBreakBefore w:val="0"/>
                              <w:widowControl/>
                              <w:kinsoku/>
                              <w:wordWrap/>
                              <w:overflowPunct/>
                              <w:topLinePunct w:val="0"/>
                              <w:autoSpaceDE/>
                              <w:autoSpaceDN/>
                              <w:bidi w:val="0"/>
                              <w:adjustRightInd/>
                              <w:snapToGrid/>
                              <w:ind w:firstLine="324" w:firstLineChars="2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w:t>
                            </w:r>
                          </w:p>
                        </w:txbxContent>
                      </wps:txbx>
                      <wps:bodyPr upright="1"/>
                    </wps:wsp>
                  </a:graphicData>
                </a:graphic>
              </wp:anchor>
            </w:drawing>
          </mc:Choice>
          <mc:Fallback>
            <w:pict>
              <v:shape id="_x0000_s1026" o:spid="_x0000_s1026" o:spt="176" type="#_x0000_t176" style="position:absolute;left:0pt;margin-left:378.55pt;margin-top:1.7pt;height:20.95pt;width:54.25pt;z-index:251682816;mso-width-relative:page;mso-height-relative:page;" fillcolor="#FFFFFF" filled="t" stroked="t" coordsize="21600,21600" o:gfxdata="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5W6N9cAAAAIAQAADwAAAAAAAAABACAAAAAiAAAAZHJzL2Rvd25yZXYueG1sUEsBAhQAFAAA&#10;AAgAh07iQI6BnW8pAgAAUgQAAA4AAAAAAAAAAQAgAAAAJgEAAGRycy9lMm9Eb2MueG1sUEsFBgAA&#10;AAAGAAYAWQEAAMEFAAAAAA==&#10;">
                <v:fill on="t" focussize="0,0"/>
                <v:stroke color="#000000" joinstyle="miter"/>
                <v:imagedata o:title=""/>
                <o:lock v:ext="edit" aspectratio="f"/>
                <v:textbox>
                  <w:txbxContent>
                    <w:p w14:paraId="23058D8C">
                      <w:pPr>
                        <w:keepNext w:val="0"/>
                        <w:keepLines w:val="0"/>
                        <w:pageBreakBefore w:val="0"/>
                        <w:widowControl/>
                        <w:kinsoku/>
                        <w:wordWrap/>
                        <w:overflowPunct/>
                        <w:topLinePunct w:val="0"/>
                        <w:autoSpaceDE/>
                        <w:autoSpaceDN/>
                        <w:bidi w:val="0"/>
                        <w:adjustRightInd/>
                        <w:snapToGrid/>
                        <w:ind w:firstLine="324" w:firstLineChars="2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8480" behindDoc="0" locked="0" layoutInCell="1" allowOverlap="1">
                <wp:simplePos x="0" y="0"/>
                <wp:positionH relativeFrom="column">
                  <wp:posOffset>3853815</wp:posOffset>
                </wp:positionH>
                <wp:positionV relativeFrom="paragraph">
                  <wp:posOffset>15240</wp:posOffset>
                </wp:positionV>
                <wp:extent cx="688975" cy="266065"/>
                <wp:effectExtent l="4445" t="4445" r="11430" b="15240"/>
                <wp:wrapNone/>
                <wp:docPr id="107" name="流程图: 可选过程 107"/>
                <wp:cNvGraphicFramePr/>
                <a:graphic xmlns:a="http://schemas.openxmlformats.org/drawingml/2006/main">
                  <a:graphicData uri="http://schemas.microsoft.com/office/word/2010/wordprocessingShape">
                    <wps:wsp>
                      <wps:cNvSpPr/>
                      <wps:spPr>
                        <a:xfrm>
                          <a:off x="0" y="0"/>
                          <a:ext cx="688975"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1BFC603">
                            <w:pPr>
                              <w:keepNext w:val="0"/>
                              <w:keepLines w:val="0"/>
                              <w:pageBreakBefore w:val="0"/>
                              <w:widowControl/>
                              <w:kinsoku/>
                              <w:wordWrap/>
                              <w:overflowPunct/>
                              <w:topLinePunct w:val="0"/>
                              <w:autoSpaceDE/>
                              <w:autoSpaceDN/>
                              <w:bidi w:val="0"/>
                              <w:adjustRightInd/>
                              <w:snapToGrid/>
                              <w:ind w:firstLine="324" w:firstLineChars="2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w:t>
                            </w:r>
                          </w:p>
                        </w:txbxContent>
                      </wps:txbx>
                      <wps:bodyPr upright="1"/>
                    </wps:wsp>
                  </a:graphicData>
                </a:graphic>
              </wp:anchor>
            </w:drawing>
          </mc:Choice>
          <mc:Fallback>
            <w:pict>
              <v:shape id="_x0000_s1026" o:spid="_x0000_s1026" o:spt="176" type="#_x0000_t176" style="position:absolute;left:0pt;margin-left:303.45pt;margin-top:1.2pt;height:20.95pt;width:54.25pt;z-index:251668480;mso-width-relative:page;mso-height-relative:page;" fillcolor="#FFFFFF" filled="t" stroked="t" coordsize="21600,21600" o:gfxdata="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GstzDYAAAACAEAAA8AAAAAAAAAAQAgAAAAIgAAAGRycy9kb3ducmV2LnhtbFBLAQIUABQA&#10;AAAIAIdO4kCFGUSVKQIAAFIEAAAOAAAAAAAAAAEAIAAAACcBAABkcnMvZTJvRG9jLnhtbFBLBQYA&#10;AAAABgAGAFkBAADCBQAAAAA=&#10;">
                <v:fill on="t" focussize="0,0"/>
                <v:stroke color="#000000" joinstyle="miter"/>
                <v:imagedata o:title=""/>
                <o:lock v:ext="edit" aspectratio="f"/>
                <v:textbox>
                  <w:txbxContent>
                    <w:p w14:paraId="61BFC603">
                      <w:pPr>
                        <w:keepNext w:val="0"/>
                        <w:keepLines w:val="0"/>
                        <w:pageBreakBefore w:val="0"/>
                        <w:widowControl/>
                        <w:kinsoku/>
                        <w:wordWrap/>
                        <w:overflowPunct/>
                        <w:topLinePunct w:val="0"/>
                        <w:autoSpaceDE/>
                        <w:autoSpaceDN/>
                        <w:bidi w:val="0"/>
                        <w:adjustRightInd/>
                        <w:snapToGrid/>
                        <w:ind w:firstLine="324" w:firstLineChars="2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99200" behindDoc="0" locked="0" layoutInCell="1" allowOverlap="1">
                <wp:simplePos x="0" y="0"/>
                <wp:positionH relativeFrom="column">
                  <wp:posOffset>2880360</wp:posOffset>
                </wp:positionH>
                <wp:positionV relativeFrom="paragraph">
                  <wp:posOffset>29210</wp:posOffset>
                </wp:positionV>
                <wp:extent cx="688975" cy="266065"/>
                <wp:effectExtent l="4445" t="4445" r="11430" b="15240"/>
                <wp:wrapNone/>
                <wp:docPr id="106" name="流程图: 可选过程 106"/>
                <wp:cNvGraphicFramePr/>
                <a:graphic xmlns:a="http://schemas.openxmlformats.org/drawingml/2006/main">
                  <a:graphicData uri="http://schemas.microsoft.com/office/word/2010/wordprocessingShape">
                    <wps:wsp>
                      <wps:cNvSpPr/>
                      <wps:spPr>
                        <a:xfrm>
                          <a:off x="0" y="0"/>
                          <a:ext cx="688975"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1905AD6">
                            <w:pPr>
                              <w:keepNext w:val="0"/>
                              <w:keepLines w:val="0"/>
                              <w:pageBreakBefore w:val="0"/>
                              <w:widowControl/>
                              <w:kinsoku/>
                              <w:wordWrap/>
                              <w:overflowPunct/>
                              <w:topLinePunct w:val="0"/>
                              <w:autoSpaceDE/>
                              <w:autoSpaceDN/>
                              <w:bidi w:val="0"/>
                              <w:adjustRightInd/>
                              <w:snapToGrid/>
                              <w:ind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0.36</w:t>
                            </w:r>
                          </w:p>
                        </w:txbxContent>
                      </wps:txbx>
                      <wps:bodyPr upright="1"/>
                    </wps:wsp>
                  </a:graphicData>
                </a:graphic>
              </wp:anchor>
            </w:drawing>
          </mc:Choice>
          <mc:Fallback>
            <w:pict>
              <v:shape id="_x0000_s1026" o:spid="_x0000_s1026" o:spt="176" type="#_x0000_t176" style="position:absolute;left:0pt;margin-left:226.8pt;margin-top:2.3pt;height:20.95pt;width:54.25pt;z-index:251699200;mso-width-relative:page;mso-height-relative:page;" fillcolor="#FFFFFF" filled="t" stroked="t" coordsize="21600,21600" o:gfxdata="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nWtTF1gAAAAgBAAAPAAAAAAAAAAEAIAAAACIAAABkcnMvZG93bnJldi54bWxQSwECFAAUAAAA&#10;CACHTuJA4P79uSkCAABSBAAADgAAAAAAAAABACAAAAAlAQAAZHJzL2Uyb0RvYy54bWxQSwUGAAAA&#10;AAYABgBZAQAAwAUAAAAA&#10;">
                <v:fill on="t" focussize="0,0"/>
                <v:stroke color="#000000" joinstyle="miter"/>
                <v:imagedata o:title=""/>
                <o:lock v:ext="edit" aspectratio="f"/>
                <v:textbox>
                  <w:txbxContent>
                    <w:p w14:paraId="11905AD6">
                      <w:pPr>
                        <w:keepNext w:val="0"/>
                        <w:keepLines w:val="0"/>
                        <w:pageBreakBefore w:val="0"/>
                        <w:widowControl/>
                        <w:kinsoku/>
                        <w:wordWrap/>
                        <w:overflowPunct/>
                        <w:topLinePunct w:val="0"/>
                        <w:autoSpaceDE/>
                        <w:autoSpaceDN/>
                        <w:bidi w:val="0"/>
                        <w:adjustRightInd/>
                        <w:snapToGrid/>
                        <w:ind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0.36</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3840" behindDoc="0" locked="0" layoutInCell="1" allowOverlap="1">
                <wp:simplePos x="0" y="0"/>
                <wp:positionH relativeFrom="column">
                  <wp:posOffset>1888490</wp:posOffset>
                </wp:positionH>
                <wp:positionV relativeFrom="paragraph">
                  <wp:posOffset>13335</wp:posOffset>
                </wp:positionV>
                <wp:extent cx="688975" cy="266065"/>
                <wp:effectExtent l="4445" t="4445" r="11430" b="15240"/>
                <wp:wrapNone/>
                <wp:docPr id="82" name="流程图: 可选过程 82"/>
                <wp:cNvGraphicFramePr/>
                <a:graphic xmlns:a="http://schemas.openxmlformats.org/drawingml/2006/main">
                  <a:graphicData uri="http://schemas.microsoft.com/office/word/2010/wordprocessingShape">
                    <wps:wsp>
                      <wps:cNvSpPr/>
                      <wps:spPr>
                        <a:xfrm>
                          <a:off x="0" y="0"/>
                          <a:ext cx="688975"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4A93F94">
                            <w:pPr>
                              <w:keepNext w:val="0"/>
                              <w:keepLines w:val="0"/>
                              <w:pageBreakBefore w:val="0"/>
                              <w:widowControl/>
                              <w:kinsoku/>
                              <w:wordWrap/>
                              <w:overflowPunct/>
                              <w:topLinePunct w:val="0"/>
                              <w:autoSpaceDE/>
                              <w:autoSpaceDN/>
                              <w:bidi w:val="0"/>
                              <w:adjustRightInd/>
                              <w:snapToGrid/>
                              <w:ind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0.36</w:t>
                            </w:r>
                          </w:p>
                        </w:txbxContent>
                      </wps:txbx>
                      <wps:bodyPr upright="1"/>
                    </wps:wsp>
                  </a:graphicData>
                </a:graphic>
              </wp:anchor>
            </w:drawing>
          </mc:Choice>
          <mc:Fallback>
            <w:pict>
              <v:shape id="_x0000_s1026" o:spid="_x0000_s1026" o:spt="176" type="#_x0000_t176" style="position:absolute;left:0pt;margin-left:148.7pt;margin-top:1.05pt;height:20.95pt;width:54.25pt;z-index:251683840;mso-width-relative:page;mso-height-relative:page;" fillcolor="#FFFFFF" filled="t" stroked="t" coordsize="21600,21600" o:gfxdata="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UMGsNcAAAAIAQAADwAAAAAAAAABACAAAAAiAAAAZHJzL2Rvd25yZXYueG1sUEsBAhQAFAAA&#10;AAgAh07iQP+1WGspAgAAUAQAAA4AAAAAAAAAAQAgAAAAJgEAAGRycy9lMm9Eb2MueG1sUEsFBgAA&#10;AAAGAAYAWQEAAMEFAAAAAA==&#10;">
                <v:fill on="t" focussize="0,0"/>
                <v:stroke color="#000000" joinstyle="miter"/>
                <v:imagedata o:title=""/>
                <o:lock v:ext="edit" aspectratio="f"/>
                <v:textbox>
                  <w:txbxContent>
                    <w:p w14:paraId="34A93F94">
                      <w:pPr>
                        <w:keepNext w:val="0"/>
                        <w:keepLines w:val="0"/>
                        <w:pageBreakBefore w:val="0"/>
                        <w:widowControl/>
                        <w:kinsoku/>
                        <w:wordWrap/>
                        <w:overflowPunct/>
                        <w:topLinePunct w:val="0"/>
                        <w:autoSpaceDE/>
                        <w:autoSpaceDN/>
                        <w:bidi w:val="0"/>
                        <w:adjustRightInd/>
                        <w:snapToGrid/>
                        <w:ind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0.36</w:t>
                      </w:r>
                    </w:p>
                  </w:txbxContent>
                </v:textbox>
              </v:shape>
            </w:pict>
          </mc:Fallback>
        </mc:AlternateContent>
      </w:r>
    </w:p>
    <w:p w14:paraId="06BC33E3">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outlineLvl w:val="9"/>
        <w:rPr>
          <w:rFonts w:hint="default" w:ascii="Times New Roman" w:hAnsi="Times New Roman" w:eastAsia="仿宋_GB2312" w:cs="Times New Roman"/>
          <w:b/>
          <w:bCs/>
          <w:color w:val="auto"/>
          <w:sz w:val="21"/>
          <w:szCs w:val="21"/>
          <w:lang w:eastAsia="zh-CN"/>
        </w:rPr>
      </w:pPr>
    </w:p>
    <w:p w14:paraId="77587997">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outlineLvl w:val="9"/>
        <w:rPr>
          <w:rFonts w:hint="default" w:ascii="Times New Roman" w:hAnsi="Times New Roman" w:eastAsia="仿宋_GB2312" w:cs="Times New Roman"/>
          <w:b/>
          <w:bCs/>
          <w:color w:val="auto"/>
          <w:sz w:val="21"/>
          <w:szCs w:val="21"/>
          <w:lang w:val="en-US" w:eastAsia="zh-CN"/>
        </w:rPr>
      </w:pPr>
      <w:r>
        <w:rPr>
          <w:rFonts w:hint="default" w:ascii="Times New Roman" w:hAnsi="Times New Roman" w:eastAsia="仿宋_GB2312" w:cs="Times New Roman"/>
          <w:b/>
          <w:bCs/>
          <w:color w:val="auto"/>
          <w:sz w:val="21"/>
          <w:szCs w:val="21"/>
          <w:lang w:eastAsia="zh-CN"/>
        </w:rPr>
        <w:t>图</w:t>
      </w:r>
      <w:r>
        <w:rPr>
          <w:rFonts w:hint="default" w:ascii="Times New Roman" w:hAnsi="Times New Roman" w:eastAsia="仿宋_GB2312" w:cs="Times New Roman"/>
          <w:b/>
          <w:bCs/>
          <w:color w:val="auto"/>
          <w:sz w:val="21"/>
          <w:szCs w:val="21"/>
          <w:lang w:val="en-US" w:eastAsia="zh-CN"/>
        </w:rPr>
        <w:t>2.4-1土石方流向框图</w:t>
      </w:r>
    </w:p>
    <w:p w14:paraId="3F5FE8EE">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eastAsia="zh-CN"/>
        </w:rPr>
      </w:pPr>
      <w:bookmarkStart w:id="85" w:name="_Toc16234"/>
      <w:r>
        <w:rPr>
          <w:rFonts w:hint="default" w:ascii="Times New Roman" w:hAnsi="Times New Roman" w:eastAsia="仿宋_GB2312" w:cs="Times New Roman"/>
          <w:b/>
          <w:bCs/>
          <w:color w:val="auto"/>
          <w:szCs w:val="24"/>
          <w:lang w:eastAsia="ar"/>
        </w:rPr>
        <w:t>2.</w:t>
      </w:r>
      <w:r>
        <w:rPr>
          <w:rFonts w:hint="default" w:ascii="Times New Roman" w:hAnsi="Times New Roman" w:eastAsia="仿宋_GB2312" w:cs="Times New Roman"/>
          <w:b/>
          <w:bCs/>
          <w:color w:val="auto"/>
          <w:szCs w:val="24"/>
          <w:lang w:val="en-US" w:eastAsia="zh-CN"/>
        </w:rPr>
        <w:t>5</w:t>
      </w:r>
      <w:r>
        <w:rPr>
          <w:rFonts w:hint="default" w:ascii="Times New Roman" w:hAnsi="Times New Roman" w:eastAsia="仿宋_GB2312" w:cs="Times New Roman"/>
          <w:b/>
          <w:bCs/>
          <w:color w:val="auto"/>
          <w:szCs w:val="24"/>
          <w:lang w:eastAsia="ar"/>
        </w:rPr>
        <w:t>拆迁</w:t>
      </w:r>
      <w:r>
        <w:rPr>
          <w:rFonts w:hint="default" w:ascii="Times New Roman" w:hAnsi="Times New Roman" w:eastAsia="仿宋_GB2312" w:cs="Times New Roman"/>
          <w:b/>
          <w:bCs/>
          <w:color w:val="auto"/>
          <w:szCs w:val="24"/>
          <w:lang w:eastAsia="zh-CN"/>
        </w:rPr>
        <w:t>（移民）</w:t>
      </w:r>
      <w:r>
        <w:rPr>
          <w:rFonts w:hint="default" w:ascii="Times New Roman" w:hAnsi="Times New Roman" w:eastAsia="仿宋_GB2312" w:cs="Times New Roman"/>
          <w:b/>
          <w:bCs/>
          <w:color w:val="auto"/>
          <w:szCs w:val="24"/>
          <w:lang w:eastAsia="ar"/>
        </w:rPr>
        <w:t>安置</w:t>
      </w:r>
      <w:bookmarkEnd w:id="84"/>
      <w:r>
        <w:rPr>
          <w:rFonts w:hint="default" w:ascii="Times New Roman" w:hAnsi="Times New Roman" w:eastAsia="仿宋_GB2312" w:cs="Times New Roman"/>
          <w:b/>
          <w:bCs/>
          <w:color w:val="auto"/>
          <w:szCs w:val="24"/>
          <w:lang w:eastAsia="zh-CN"/>
        </w:rPr>
        <w:t>及专项设施改（迁）建</w:t>
      </w:r>
      <w:bookmarkEnd w:id="85"/>
    </w:p>
    <w:p w14:paraId="1D0C6AF6">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szCs w:val="24"/>
          <w:lang w:eastAsia="zh-CN" w:bidi="ar"/>
        </w:rPr>
        <w:t>本项目不涉及</w:t>
      </w:r>
      <w:r>
        <w:rPr>
          <w:rFonts w:hint="default" w:ascii="Times New Roman" w:hAnsi="Times New Roman" w:eastAsia="仿宋_GB2312" w:cs="Times New Roman"/>
          <w:color w:val="auto"/>
          <w:kern w:val="0"/>
          <w:sz w:val="24"/>
          <w:szCs w:val="24"/>
        </w:rPr>
        <w:t>拆迁（移民）安置</w:t>
      </w:r>
      <w:r>
        <w:rPr>
          <w:rFonts w:hint="default" w:ascii="Times New Roman" w:hAnsi="Times New Roman" w:eastAsia="仿宋_GB2312" w:cs="Times New Roman"/>
          <w:color w:val="auto"/>
          <w:kern w:val="0"/>
          <w:sz w:val="24"/>
          <w:szCs w:val="24"/>
          <w:lang w:eastAsia="zh-CN"/>
        </w:rPr>
        <w:t>及</w:t>
      </w:r>
      <w:r>
        <w:rPr>
          <w:rFonts w:hint="default" w:ascii="Times New Roman" w:hAnsi="Times New Roman" w:eastAsia="仿宋_GB2312" w:cs="Times New Roman"/>
          <w:color w:val="auto"/>
          <w:kern w:val="0"/>
          <w:sz w:val="24"/>
          <w:szCs w:val="24"/>
        </w:rPr>
        <w:t>专项设施改（迁）建</w:t>
      </w:r>
      <w:r>
        <w:rPr>
          <w:rFonts w:hint="default" w:ascii="Times New Roman" w:hAnsi="Times New Roman" w:eastAsia="仿宋_GB2312" w:cs="Times New Roman"/>
          <w:color w:val="auto"/>
          <w:sz w:val="24"/>
          <w:lang w:bidi="ar"/>
        </w:rPr>
        <w:t>。</w:t>
      </w:r>
    </w:p>
    <w:p w14:paraId="40762724">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eastAsia="ar"/>
        </w:rPr>
      </w:pPr>
      <w:bookmarkStart w:id="86" w:name="_Toc2736"/>
      <w:bookmarkStart w:id="87" w:name="_Toc26919"/>
      <w:r>
        <w:rPr>
          <w:rFonts w:hint="default" w:ascii="Times New Roman" w:hAnsi="Times New Roman" w:eastAsia="仿宋_GB2312" w:cs="Times New Roman"/>
          <w:b/>
          <w:bCs/>
          <w:color w:val="auto"/>
          <w:szCs w:val="24"/>
          <w:lang w:eastAsia="ar"/>
        </w:rPr>
        <w:t>2.</w:t>
      </w:r>
      <w:r>
        <w:rPr>
          <w:rFonts w:hint="default" w:ascii="Times New Roman" w:hAnsi="Times New Roman" w:eastAsia="仿宋_GB2312" w:cs="Times New Roman"/>
          <w:b/>
          <w:bCs/>
          <w:color w:val="auto"/>
          <w:szCs w:val="24"/>
          <w:lang w:val="en-US" w:eastAsia="zh-CN"/>
        </w:rPr>
        <w:t>6</w:t>
      </w:r>
      <w:r>
        <w:rPr>
          <w:rFonts w:hint="default" w:ascii="Times New Roman" w:hAnsi="Times New Roman" w:eastAsia="仿宋_GB2312" w:cs="Times New Roman"/>
          <w:b/>
          <w:bCs/>
          <w:color w:val="auto"/>
          <w:szCs w:val="24"/>
          <w:lang w:eastAsia="ar"/>
        </w:rPr>
        <w:t>工程进度</w:t>
      </w:r>
      <w:bookmarkEnd w:id="86"/>
      <w:bookmarkEnd w:id="87"/>
    </w:p>
    <w:p w14:paraId="4835A6B5">
      <w:pPr>
        <w:spacing w:line="360" w:lineRule="auto"/>
        <w:ind w:firstLine="480" w:firstLineChars="200"/>
        <w:jc w:val="left"/>
        <w:rPr>
          <w:rFonts w:hint="default" w:ascii="Times New Roman" w:hAnsi="Times New Roman" w:eastAsia="仿宋_GB2312" w:cs="Times New Roman"/>
          <w:b w:val="0"/>
          <w:bCs w:val="0"/>
          <w:color w:val="FF0000"/>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本项目本项目已于2022年7月开工建设，2023年8月竣工，建设总工期为14个月。据现场踏勘，项目区绿植生长良好，周边排水通畅。项目区已实施的水土保持措施包括硬化工程：表土剥离0.01万m</w:t>
      </w:r>
      <w:r>
        <w:rPr>
          <w:rFonts w:hint="default" w:ascii="Times New Roman" w:hAnsi="Times New Roman" w:eastAsia="仿宋_GB2312" w:cs="Times New Roman"/>
          <w:b w:val="0"/>
          <w:bCs w:val="0"/>
          <w:color w:val="auto"/>
          <w:kern w:val="2"/>
          <w:sz w:val="24"/>
          <w:szCs w:val="24"/>
          <w:vertAlign w:val="superscript"/>
          <w:lang w:val="en-US" w:eastAsia="zh-CN" w:bidi="ar"/>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auto"/>
          <w:sz w:val="24"/>
          <w:lang w:val="en-US" w:eastAsia="zh-CN" w:bidi="ar"/>
        </w:rPr>
        <w:t>DN300排水管720m、雨水井20座、雨水口15座；</w:t>
      </w:r>
      <w:r>
        <w:rPr>
          <w:rFonts w:hint="default" w:ascii="Times New Roman" w:hAnsi="Times New Roman" w:eastAsia="仿宋_GB2312" w:cs="Times New Roman"/>
          <w:b w:val="0"/>
          <w:bCs w:val="0"/>
          <w:color w:val="auto"/>
          <w:kern w:val="2"/>
          <w:sz w:val="24"/>
          <w:szCs w:val="24"/>
          <w:lang w:val="en-US" w:eastAsia="zh-CN" w:bidi="ar"/>
        </w:rPr>
        <w:t>绿化工程：表土剥离0.01万m</w:t>
      </w:r>
      <w:r>
        <w:rPr>
          <w:rFonts w:hint="default" w:ascii="Times New Roman" w:hAnsi="Times New Roman" w:eastAsia="仿宋_GB2312" w:cs="Times New Roman"/>
          <w:b w:val="0"/>
          <w:bCs w:val="0"/>
          <w:color w:val="auto"/>
          <w:kern w:val="2"/>
          <w:sz w:val="24"/>
          <w:szCs w:val="24"/>
          <w:vertAlign w:val="superscript"/>
          <w:lang w:val="en-US" w:eastAsia="zh-CN" w:bidi="ar"/>
        </w:rPr>
        <w:t>3</w:t>
      </w:r>
      <w:r>
        <w:rPr>
          <w:rFonts w:hint="default" w:ascii="Times New Roman" w:hAnsi="Times New Roman" w:eastAsia="仿宋_GB2312" w:cs="Times New Roman"/>
          <w:b w:val="0"/>
          <w:bCs w:val="0"/>
          <w:color w:val="auto"/>
          <w:kern w:val="2"/>
          <w:sz w:val="24"/>
          <w:szCs w:val="24"/>
          <w:lang w:val="en-US" w:eastAsia="zh-CN" w:bidi="ar"/>
        </w:rPr>
        <w:t>、表土回覆0.02万m</w:t>
      </w:r>
      <w:r>
        <w:rPr>
          <w:rFonts w:hint="default" w:ascii="Times New Roman" w:hAnsi="Times New Roman" w:eastAsia="仿宋_GB2312" w:cs="Times New Roman"/>
          <w:b w:val="0"/>
          <w:bCs w:val="0"/>
          <w:color w:val="auto"/>
          <w:kern w:val="2"/>
          <w:sz w:val="24"/>
          <w:szCs w:val="24"/>
          <w:vertAlign w:val="superscript"/>
          <w:lang w:val="en-US" w:eastAsia="zh-CN" w:bidi="ar"/>
        </w:rPr>
        <w:t>3</w:t>
      </w:r>
      <w:r>
        <w:rPr>
          <w:rFonts w:hint="default" w:ascii="Times New Roman" w:hAnsi="Times New Roman" w:eastAsia="仿宋_GB2312" w:cs="Times New Roman"/>
          <w:b w:val="0"/>
          <w:bCs w:val="0"/>
          <w:color w:val="auto"/>
          <w:kern w:val="2"/>
          <w:sz w:val="24"/>
          <w:szCs w:val="24"/>
          <w:lang w:val="en-US" w:eastAsia="zh-CN" w:bidi="ar"/>
        </w:rPr>
        <w:t>、撒播草籽0.12</w:t>
      </w:r>
      <w:r>
        <w:rPr>
          <w:rFonts w:hint="default" w:ascii="Times New Roman" w:hAnsi="Times New Roman" w:eastAsia="仿宋_GB2312" w:cs="Times New Roman"/>
          <w:color w:val="auto"/>
          <w:sz w:val="24"/>
          <w:lang w:val="en-US" w:eastAsia="zh-CN" w:bidi="ar"/>
        </w:rPr>
        <w:t>h</w:t>
      </w:r>
      <w:r>
        <w:rPr>
          <w:rFonts w:hint="default" w:ascii="Times New Roman" w:hAnsi="Times New Roman" w:eastAsia="仿宋_GB2312" w:cs="Times New Roman"/>
          <w:bCs/>
          <w:color w:val="auto"/>
          <w:sz w:val="24"/>
          <w:lang w:val="zh-CN" w:bidi="ar"/>
        </w:rPr>
        <w:t>m</w:t>
      </w:r>
      <w:r>
        <w:rPr>
          <w:rFonts w:hint="default" w:ascii="Times New Roman" w:hAnsi="Times New Roman" w:eastAsia="仿宋_GB2312" w:cs="Times New Roman"/>
          <w:bCs/>
          <w:color w:val="auto"/>
          <w:sz w:val="24"/>
          <w:vertAlign w:val="superscript"/>
          <w:lang w:val="zh-CN" w:bidi="ar"/>
        </w:rPr>
        <w:t>2</w:t>
      </w:r>
      <w:r>
        <w:rPr>
          <w:rFonts w:hint="default" w:ascii="Times New Roman" w:hAnsi="Times New Roman" w:eastAsia="仿宋_GB2312" w:cs="Times New Roman"/>
          <w:b w:val="0"/>
          <w:bCs w:val="0"/>
          <w:color w:val="auto"/>
          <w:kern w:val="2"/>
          <w:sz w:val="24"/>
          <w:szCs w:val="24"/>
          <w:lang w:val="en-US" w:eastAsia="zh-CN" w:bidi="ar"/>
        </w:rPr>
        <w:t>。</w:t>
      </w:r>
    </w:p>
    <w:p w14:paraId="613DAFC9">
      <w:pPr>
        <w:spacing w:line="360" w:lineRule="auto"/>
        <w:jc w:val="left"/>
        <w:outlineLvl w:val="1"/>
        <w:rPr>
          <w:rFonts w:hint="default" w:ascii="Times New Roman" w:hAnsi="Times New Roman" w:eastAsia="仿宋_GB2312" w:cs="Times New Roman"/>
          <w:b/>
          <w:bCs/>
          <w:color w:val="auto"/>
          <w:sz w:val="30"/>
          <w:szCs w:val="30"/>
          <w:lang w:val="en-US" w:eastAsia="zh-CN"/>
        </w:rPr>
      </w:pPr>
      <w:bookmarkStart w:id="88" w:name="_Toc23331"/>
      <w:r>
        <w:rPr>
          <w:rFonts w:hint="default" w:ascii="Times New Roman" w:hAnsi="Times New Roman" w:eastAsia="仿宋_GB2312" w:cs="Times New Roman"/>
          <w:b/>
          <w:bCs/>
          <w:color w:val="auto"/>
          <w:sz w:val="30"/>
          <w:szCs w:val="30"/>
          <w:lang w:val="en-US" w:eastAsia="zh-CN"/>
        </w:rPr>
        <w:t>2.7自然概况</w:t>
      </w:r>
      <w:bookmarkEnd w:id="88"/>
    </w:p>
    <w:p w14:paraId="7A78365A">
      <w:pPr>
        <w:spacing w:line="360" w:lineRule="auto"/>
        <w:outlineLvl w:val="2"/>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2.7.1地质</w:t>
      </w:r>
    </w:p>
    <w:p w14:paraId="3BFC20A2">
      <w:pPr>
        <w:numPr>
          <w:ilvl w:val="0"/>
          <w:numId w:val="0"/>
        </w:numPr>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1、地质构造</w:t>
      </w:r>
    </w:p>
    <w:p w14:paraId="27C9FB1B">
      <w:pPr>
        <w:adjustRightInd w:val="0"/>
        <w:snapToGrid w:val="0"/>
        <w:spacing w:line="336"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剑阁县区域构造属于扬子地台川西前陆盆地北西部位与龙门山前陆推覆构造带的过度地带，西北受龙门山断裂影响，东受巴中莲花状构造控制，西南受绵阳扫帚状构造制约。项目区位于盐店向斜南翼，构造形态单一。区内无大的构造形迹，断裂不发育，属简单构造类型。</w:t>
      </w:r>
    </w:p>
    <w:p w14:paraId="3362B29A">
      <w:pPr>
        <w:numPr>
          <w:ilvl w:val="0"/>
          <w:numId w:val="0"/>
        </w:numPr>
        <w:spacing w:line="360" w:lineRule="auto"/>
        <w:ind w:firstLine="480" w:firstLineChars="200"/>
        <w:rPr>
          <w:rFonts w:hint="default" w:ascii="Times New Roman" w:hAnsi="Times New Roman" w:eastAsia="仿宋_GB2312" w:cs="Times New Roman"/>
          <w:b w:val="0"/>
          <w:bCs w:val="0"/>
          <w:color w:val="auto"/>
          <w:sz w:val="24"/>
          <w:szCs w:val="24"/>
          <w:lang w:val="en-US" w:eastAsia="zh-CN"/>
        </w:rPr>
      </w:pPr>
      <w:r>
        <w:rPr>
          <w:rFonts w:hint="default" w:ascii="Times New Roman" w:hAnsi="Times New Roman" w:eastAsia="仿宋_GB2312" w:cs="Times New Roman"/>
          <w:b w:val="0"/>
          <w:bCs w:val="0"/>
          <w:color w:val="auto"/>
          <w:sz w:val="24"/>
          <w:szCs w:val="24"/>
          <w:lang w:val="en-US" w:eastAsia="zh-CN"/>
        </w:rPr>
        <w:t>2、</w:t>
      </w:r>
      <w:r>
        <w:rPr>
          <w:rFonts w:hint="default" w:ascii="Times New Roman" w:hAnsi="Times New Roman" w:eastAsia="仿宋_GB2312" w:cs="Times New Roman"/>
          <w:b w:val="0"/>
          <w:bCs w:val="0"/>
          <w:color w:val="auto"/>
          <w:sz w:val="24"/>
          <w:szCs w:val="24"/>
          <w:lang w:eastAsia="zh-CN"/>
        </w:rPr>
        <w:t>地层岩性</w:t>
      </w:r>
    </w:p>
    <w:p w14:paraId="302E259F">
      <w:pPr>
        <w:spacing w:line="360" w:lineRule="auto"/>
        <w:ind w:firstLine="520"/>
        <w:rPr>
          <w:rFonts w:hint="default" w:ascii="Times New Roman" w:hAnsi="Times New Roman" w:eastAsia="仿宋_GB2312" w:cs="Times New Roman"/>
          <w:color w:val="auto"/>
          <w:sz w:val="24"/>
          <w:szCs w:val="24"/>
          <w:lang w:val="en-GB"/>
        </w:rPr>
      </w:pPr>
      <w:bookmarkStart w:id="89" w:name="_Toc19083"/>
      <w:bookmarkStart w:id="90" w:name="_Toc21775"/>
      <w:bookmarkStart w:id="91" w:name="_Toc5385"/>
      <w:bookmarkStart w:id="92" w:name="_Toc5330"/>
      <w:r>
        <w:rPr>
          <w:rFonts w:hint="default" w:ascii="Times New Roman" w:hAnsi="Times New Roman" w:eastAsia="仿宋_GB2312" w:cs="Times New Roman"/>
          <w:color w:val="auto"/>
          <w:sz w:val="24"/>
          <w:szCs w:val="24"/>
          <w:lang w:val="en-GB"/>
        </w:rPr>
        <w:t>据地质调查及钻孔揭露，在钻探深度范围内，主要地层为第四系全新统坡洪积(Q4dl+pl)粉质黏土、淤泥质粉质黏土层，下伏基岩为白垩系下统苍溪组(K1c)泥质砂岩层。其岩性特征自上而下分述为：</w:t>
      </w:r>
    </w:p>
    <w:p w14:paraId="4F2C3C55">
      <w:pPr>
        <w:spacing w:line="360" w:lineRule="auto"/>
        <w:ind w:firstLine="520"/>
        <w:rPr>
          <w:rFonts w:hint="default" w:ascii="Times New Roman" w:hAnsi="Times New Roman" w:eastAsia="仿宋_GB2312" w:cs="Times New Roman"/>
          <w:color w:val="auto"/>
          <w:sz w:val="24"/>
          <w:szCs w:val="24"/>
          <w:lang w:val="en-GB"/>
        </w:rPr>
      </w:pPr>
      <w:r>
        <w:rPr>
          <w:rFonts w:hint="default" w:ascii="Times New Roman" w:hAnsi="Times New Roman" w:eastAsia="仿宋_GB2312" w:cs="Times New Roman"/>
          <w:color w:val="auto"/>
          <w:sz w:val="24"/>
          <w:szCs w:val="24"/>
          <w:lang w:val="en-GB"/>
        </w:rPr>
        <w:t>粉质黏土(Q4dl+pl)①：黄褐色，可塑状，以黏粒为主，含少量粉粒，局部揭露有黄色砂岩块石，块石粒径约300mm。可见铁锰质氧化物，切面稍有光泽，无摇振反应，干强度高，韧性中等，均匀性较好。表层为薄层耕作土层，厚度小于0.40m，钻探揭露该层层厚0.70～9.70m。</w:t>
      </w:r>
    </w:p>
    <w:p w14:paraId="5BD3447F">
      <w:pPr>
        <w:spacing w:line="360" w:lineRule="auto"/>
        <w:ind w:firstLine="520"/>
        <w:rPr>
          <w:rFonts w:hint="default" w:ascii="Times New Roman" w:hAnsi="Times New Roman" w:eastAsia="仿宋_GB2312" w:cs="Times New Roman"/>
          <w:color w:val="auto"/>
          <w:sz w:val="24"/>
          <w:szCs w:val="24"/>
          <w:lang w:val="en-GB"/>
        </w:rPr>
      </w:pPr>
      <w:r>
        <w:rPr>
          <w:rFonts w:hint="default" w:ascii="Times New Roman" w:hAnsi="Times New Roman" w:eastAsia="仿宋_GB2312" w:cs="Times New Roman"/>
          <w:color w:val="auto"/>
          <w:sz w:val="24"/>
          <w:szCs w:val="24"/>
          <w:lang w:val="en-GB"/>
        </w:rPr>
        <w:t>淤泥质粉质黏土(Q4dl+pl)②：黑褐色，软塑状，以黏粒为主，含少量粉粒、腐殖质，稍有腥臭味，切面光滑，无摇振反应，干强度中等，韧性中等，仅钻孔ZK29、ZK30、ZK31三个钻孔有揭露，揭露层厚3.20～5.30m。</w:t>
      </w:r>
    </w:p>
    <w:p w14:paraId="41065262">
      <w:pPr>
        <w:spacing w:line="360" w:lineRule="auto"/>
        <w:ind w:firstLine="520"/>
        <w:rPr>
          <w:rFonts w:hint="default" w:ascii="Times New Roman" w:hAnsi="Times New Roman" w:eastAsia="仿宋_GB2312" w:cs="Times New Roman"/>
          <w:color w:val="auto"/>
          <w:sz w:val="24"/>
          <w:szCs w:val="24"/>
          <w:lang w:val="en-GB"/>
        </w:rPr>
      </w:pPr>
      <w:r>
        <w:rPr>
          <w:rFonts w:hint="default" w:ascii="Times New Roman" w:hAnsi="Times New Roman" w:eastAsia="仿宋_GB2312" w:cs="Times New Roman"/>
          <w:color w:val="auto"/>
          <w:sz w:val="24"/>
          <w:szCs w:val="24"/>
          <w:lang w:val="en-GB"/>
        </w:rPr>
        <w:t>泥质砂岩(K1c)③：黄色、棕色、灰色，矿物成分以石英、长石矿物为主，次为黏土矿物，中厚层状构造，钙、泥质胶结，岩层产状138°∠5°，根据其风化状态划分为强风化和中等风化两个亚层。</w:t>
      </w:r>
    </w:p>
    <w:p w14:paraId="1C43B3B2">
      <w:pPr>
        <w:spacing w:line="360" w:lineRule="auto"/>
        <w:ind w:firstLine="520"/>
        <w:rPr>
          <w:rFonts w:hint="default" w:ascii="Times New Roman" w:hAnsi="Times New Roman" w:eastAsia="仿宋_GB2312" w:cs="Times New Roman"/>
          <w:color w:val="auto"/>
          <w:sz w:val="24"/>
          <w:szCs w:val="24"/>
          <w:lang w:val="en-GB"/>
        </w:rPr>
      </w:pPr>
      <w:r>
        <w:rPr>
          <w:rFonts w:hint="default" w:ascii="Times New Roman" w:hAnsi="Times New Roman" w:eastAsia="仿宋_GB2312" w:cs="Times New Roman"/>
          <w:color w:val="auto"/>
          <w:sz w:val="24"/>
          <w:szCs w:val="24"/>
          <w:lang w:val="en-GB"/>
        </w:rPr>
        <w:t>强风化泥质砂岩③1：岩体破碎，风化节理、裂隙发育，岩芯呈碎块状、散体状，用手可掰断，岩芯采取率65～80%，RQD值为0，属极软岩，岩体基本质量等级为Ⅴ级，钻探揭露层厚0.30～3.10m。</w:t>
      </w:r>
    </w:p>
    <w:p w14:paraId="0C5D7EE0">
      <w:pPr>
        <w:spacing w:line="360" w:lineRule="auto"/>
        <w:ind w:firstLine="480" w:firstLineChars="200"/>
        <w:rPr>
          <w:rFonts w:hint="default" w:ascii="Times New Roman" w:hAnsi="Times New Roman" w:eastAsia="仿宋_GB2312" w:cs="Times New Roman"/>
          <w:snapToGrid w:val="0"/>
          <w:color w:val="auto"/>
          <w:spacing w:val="0"/>
          <w:kern w:val="0"/>
          <w:sz w:val="24"/>
          <w:szCs w:val="24"/>
          <w:lang w:val="en-US" w:eastAsia="zh-CN"/>
        </w:rPr>
      </w:pPr>
      <w:r>
        <w:rPr>
          <w:rFonts w:hint="default" w:ascii="Times New Roman" w:hAnsi="Times New Roman" w:eastAsia="仿宋_GB2312" w:cs="Times New Roman"/>
          <w:color w:val="auto"/>
          <w:sz w:val="24"/>
          <w:szCs w:val="24"/>
          <w:lang w:val="en-GB"/>
        </w:rPr>
        <w:t>中风化泥质砂岩③2：岩体较完整，节理、裂隙一般发育，岩芯多呈短柱状，少量碎块状和长柱状，岩芯采取率80～98%，RQD值约55～70%，属软岩，岩体基本质量等级为Ⅳ级，钻探揭露层厚2.20～19.70m</w:t>
      </w:r>
      <w:bookmarkEnd w:id="89"/>
      <w:bookmarkEnd w:id="90"/>
      <w:bookmarkEnd w:id="91"/>
      <w:bookmarkEnd w:id="92"/>
      <w:r>
        <w:rPr>
          <w:rFonts w:hint="default" w:ascii="Times New Roman" w:hAnsi="Times New Roman" w:eastAsia="仿宋_GB2312" w:cs="Times New Roman"/>
          <w:snapToGrid w:val="0"/>
          <w:color w:val="auto"/>
          <w:spacing w:val="0"/>
          <w:kern w:val="0"/>
          <w:sz w:val="24"/>
          <w:szCs w:val="24"/>
          <w:lang w:val="en-US" w:eastAsia="zh-CN"/>
        </w:rPr>
        <w:t>。</w:t>
      </w:r>
    </w:p>
    <w:p w14:paraId="293F00B0">
      <w:pPr>
        <w:widowControl w:val="0"/>
        <w:numPr>
          <w:ilvl w:val="0"/>
          <w:numId w:val="0"/>
        </w:numPr>
        <w:adjustRightInd w:val="0"/>
        <w:snapToGrid w:val="0"/>
        <w:spacing w:afterLines="0" w:line="336" w:lineRule="auto"/>
        <w:ind w:leftChars="200"/>
        <w:rPr>
          <w:rFonts w:hint="default" w:ascii="Times New Roman" w:hAnsi="Times New Roman" w:eastAsia="仿宋_GB2312" w:cs="Times New Roman"/>
          <w:snapToGrid w:val="0"/>
          <w:color w:val="auto"/>
          <w:spacing w:val="0"/>
          <w:kern w:val="0"/>
          <w:sz w:val="24"/>
          <w:szCs w:val="24"/>
          <w:lang w:val="en-US" w:eastAsia="zh-CN"/>
        </w:rPr>
      </w:pPr>
      <w:r>
        <w:rPr>
          <w:rFonts w:hint="default" w:ascii="Times New Roman" w:hAnsi="Times New Roman" w:eastAsia="仿宋_GB2312" w:cs="Times New Roman"/>
          <w:snapToGrid w:val="0"/>
          <w:color w:val="auto"/>
          <w:spacing w:val="0"/>
          <w:kern w:val="0"/>
          <w:sz w:val="24"/>
          <w:szCs w:val="24"/>
          <w:lang w:val="en-US" w:eastAsia="zh-CN"/>
        </w:rPr>
        <w:t>3、区域稳定性及地震</w:t>
      </w:r>
    </w:p>
    <w:p w14:paraId="70950CF4">
      <w:pPr>
        <w:widowControl w:val="0"/>
        <w:numPr>
          <w:ilvl w:val="0"/>
          <w:numId w:val="0"/>
        </w:numPr>
        <w:adjustRightInd w:val="0"/>
        <w:snapToGrid w:val="0"/>
        <w:spacing w:afterLines="0" w:line="336"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rPr>
        <w:t>工程区地质构造简单，地层倾角平缓,其深部无大的断裂构造从场区及附近通过，新构造运动也只表现为缓慢的升降运动，历史上未发生过大的地震，地震震级小，频度低，不具备发生中强地震的地质构造背景，主要受外围强震波及影响,区域稳定性较好。</w:t>
      </w:r>
      <w:r>
        <w:rPr>
          <w:rFonts w:hint="default" w:ascii="Times New Roman" w:hAnsi="Times New Roman" w:eastAsia="仿宋_GB2312" w:cs="Times New Roman"/>
          <w:color w:val="auto"/>
          <w:sz w:val="24"/>
          <w:szCs w:val="24"/>
          <w:lang w:val="en-US" w:eastAsia="zh-CN"/>
        </w:rPr>
        <w:t>场地远离区域断裂带及强地震带，所处地质构造背景比较简单，地震活动较弱，无明显新构造运动，区域构造稳定。</w:t>
      </w:r>
    </w:p>
    <w:p w14:paraId="5B845EAD">
      <w:pPr>
        <w:tabs>
          <w:tab w:val="left" w:pos="313"/>
        </w:tabs>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由《中国地震动参数区划图》GB18036-2015查得：剑阁县抗震设防烈度为VII度，地震动反应谱特征周期为0.40s，地震动峰值加速度为0.</w:t>
      </w:r>
      <w:r>
        <w:rPr>
          <w:rFonts w:hint="default" w:ascii="Times New Roman" w:hAnsi="Times New Roman" w:eastAsia="仿宋_GB2312" w:cs="Times New Roman"/>
          <w:color w:val="auto"/>
          <w:sz w:val="24"/>
          <w:szCs w:val="24"/>
          <w:lang w:eastAsia="zh-CN"/>
        </w:rPr>
        <w:t>0</w:t>
      </w:r>
      <w:r>
        <w:rPr>
          <w:rFonts w:hint="default" w:ascii="Times New Roman" w:hAnsi="Times New Roman" w:eastAsia="仿宋_GB2312" w:cs="Times New Roman"/>
          <w:color w:val="auto"/>
          <w:sz w:val="24"/>
          <w:szCs w:val="24"/>
        </w:rPr>
        <w:t>5g。</w:t>
      </w:r>
    </w:p>
    <w:p w14:paraId="4DB85C2D">
      <w:pPr>
        <w:tabs>
          <w:tab w:val="left" w:pos="313"/>
        </w:tabs>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4、工程地质</w:t>
      </w:r>
    </w:p>
    <w:p w14:paraId="64632D75">
      <w:pPr>
        <w:spacing w:line="360" w:lineRule="auto"/>
        <w:ind w:firstLine="48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 xml:space="preserve">项目区岩性以砂泥岩为主，产状平缓，为 330°∠1°~2°，砂岩多为巨厚层状，岩体较完整，泥岩多为中厚层状，岩体较破碎。 </w:t>
      </w:r>
    </w:p>
    <w:p w14:paraId="252CC10F">
      <w:pPr>
        <w:spacing w:line="360" w:lineRule="auto"/>
        <w:ind w:firstLine="480"/>
        <w:rPr>
          <w:rFonts w:hint="default" w:ascii="Times New Roman" w:hAnsi="Times New Roman" w:cs="Times New Roman"/>
          <w:color w:val="auto"/>
          <w:sz w:val="24"/>
          <w:szCs w:val="24"/>
        </w:rPr>
      </w:pPr>
      <w:r>
        <w:rPr>
          <w:rFonts w:hint="default" w:ascii="Times New Roman" w:hAnsi="Times New Roman" w:eastAsia="仿宋_GB2312" w:cs="Times New Roman"/>
          <w:color w:val="auto"/>
          <w:sz w:val="24"/>
          <w:szCs w:val="24"/>
          <w:lang w:val="en-US" w:eastAsia="zh-CN"/>
        </w:rPr>
        <w:t>项目区覆盖层主要为人工填土、粉质粘土、含碎石粉质粘土、块碎石土、细砂土等。</w:t>
      </w:r>
    </w:p>
    <w:p w14:paraId="5D77EDB2">
      <w:pPr>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总体而言，项目区工程地质条件简单。</w:t>
      </w:r>
    </w:p>
    <w:p w14:paraId="2EEB64DA">
      <w:pPr>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5、不良地质</w:t>
      </w:r>
    </w:p>
    <w:p w14:paraId="1649127D">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根据项目区及其周边地区调查，未发现有大型滑坡、泥石流、崩塌、不稳定斜坡、地面沉降等不良地质灾害。</w:t>
      </w:r>
    </w:p>
    <w:p w14:paraId="4E0648F6">
      <w:pPr>
        <w:spacing w:line="360" w:lineRule="auto"/>
        <w:ind w:firstLine="0" w:firstLineChars="0"/>
        <w:outlineLvl w:val="2"/>
        <w:rPr>
          <w:rFonts w:hint="default" w:ascii="Times New Roman" w:hAnsi="Times New Roman" w:eastAsia="仿宋_GB2312" w:cs="Times New Roman"/>
          <w:b/>
          <w:bCs/>
          <w:color w:val="auto"/>
          <w:kern w:val="28"/>
          <w:sz w:val="28"/>
          <w:szCs w:val="28"/>
          <w:lang w:eastAsia="zh-CN"/>
        </w:rPr>
      </w:pPr>
      <w:r>
        <w:rPr>
          <w:rFonts w:hint="default" w:ascii="Times New Roman" w:hAnsi="Times New Roman" w:eastAsia="仿宋_GB2312" w:cs="Times New Roman"/>
          <w:b/>
          <w:bCs/>
          <w:color w:val="auto"/>
          <w:kern w:val="28"/>
          <w:sz w:val="28"/>
          <w:szCs w:val="28"/>
        </w:rPr>
        <w:t>2.7.2</w:t>
      </w:r>
      <w:r>
        <w:rPr>
          <w:rFonts w:hint="default" w:ascii="Times New Roman" w:hAnsi="Times New Roman" w:eastAsia="仿宋_GB2312" w:cs="Times New Roman"/>
          <w:b/>
          <w:bCs/>
          <w:color w:val="auto"/>
          <w:kern w:val="28"/>
          <w:sz w:val="28"/>
          <w:szCs w:val="28"/>
          <w:lang w:eastAsia="zh-CN"/>
        </w:rPr>
        <w:t>地貌</w:t>
      </w:r>
    </w:p>
    <w:p w14:paraId="59EE4883">
      <w:pPr>
        <w:spacing w:line="360" w:lineRule="auto"/>
        <w:ind w:firstLine="480"/>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eastAsia="zh-CN"/>
        </w:rPr>
        <w:t>剑阁县地势西北高东南低，以低山地貌为主，山岭密布，沟壑纵横交错。西北连山绝险，峻岭横空，东南地势减缓，地面切割剧烈，高低落差甚大，最高的五子山右二峰海拔</w:t>
      </w:r>
      <w:r>
        <w:rPr>
          <w:rFonts w:hint="default" w:ascii="Times New Roman" w:hAnsi="Times New Roman" w:eastAsia="仿宋_GB2312" w:cs="Times New Roman"/>
          <w:snapToGrid w:val="0"/>
          <w:color w:val="auto"/>
          <w:kern w:val="0"/>
          <w:sz w:val="24"/>
          <w:szCs w:val="24"/>
          <w:lang w:val="en-US" w:eastAsia="zh-CN"/>
        </w:rPr>
        <w:t>1330米，最低的西河出境处海拔367.8米。地貌类型由北向南依次为单斜中低山窄谷区，台梁低山宽谷区，低山槽坝深丘处。全县崩塌、滑坡、地裂缝和不稳定斜坡等地质灾害隐患分布较为广泛。</w:t>
      </w:r>
    </w:p>
    <w:p w14:paraId="013722AC">
      <w:pPr>
        <w:spacing w:line="360" w:lineRule="auto"/>
        <w:ind w:firstLine="480"/>
        <w:rPr>
          <w:rFonts w:hint="default" w:ascii="Times New Roman" w:hAnsi="Times New Roman" w:eastAsia="仿宋_GB2312" w:cs="Times New Roman"/>
          <w:lang w:val="en-US" w:eastAsia="zh-CN"/>
        </w:rPr>
      </w:pPr>
      <w:r>
        <w:rPr>
          <w:rFonts w:hint="default" w:ascii="Times New Roman" w:hAnsi="Times New Roman" w:eastAsia="仿宋_GB2312" w:cs="Times New Roman"/>
          <w:snapToGrid w:val="0"/>
          <w:color w:val="auto"/>
          <w:kern w:val="0"/>
          <w:sz w:val="24"/>
          <w:szCs w:val="24"/>
          <w:lang w:eastAsia="zh-CN"/>
        </w:rPr>
        <w:t>项目</w:t>
      </w:r>
      <w:r>
        <w:rPr>
          <w:rFonts w:hint="default" w:ascii="Times New Roman" w:hAnsi="Times New Roman" w:eastAsia="仿宋_GB2312" w:cs="Times New Roman"/>
          <w:snapToGrid w:val="0"/>
          <w:color w:val="auto"/>
          <w:kern w:val="0"/>
          <w:sz w:val="24"/>
          <w:szCs w:val="24"/>
        </w:rPr>
        <w:t>场地地貌单元为构造剥蚀丘陵地貌，场地处丘陵斜坡、坡积裙地带，现状呈</w:t>
      </w:r>
      <w:r>
        <w:rPr>
          <w:rFonts w:hint="default" w:ascii="Times New Roman" w:hAnsi="Times New Roman" w:eastAsia="仿宋_GB2312" w:cs="Times New Roman"/>
          <w:snapToGrid w:val="0"/>
          <w:color w:val="auto"/>
          <w:kern w:val="0"/>
          <w:sz w:val="24"/>
          <w:szCs w:val="24"/>
          <w:lang w:eastAsia="zh-CN"/>
        </w:rPr>
        <w:t>低山</w:t>
      </w:r>
      <w:r>
        <w:rPr>
          <w:rFonts w:hint="default" w:ascii="Times New Roman" w:hAnsi="Times New Roman" w:eastAsia="仿宋_GB2312" w:cs="Times New Roman"/>
          <w:snapToGrid w:val="0"/>
          <w:color w:val="auto"/>
          <w:kern w:val="0"/>
          <w:sz w:val="24"/>
          <w:szCs w:val="24"/>
        </w:rPr>
        <w:t>地貌，地形局部起伏</w:t>
      </w:r>
      <w:r>
        <w:rPr>
          <w:rFonts w:hint="default" w:ascii="Times New Roman" w:hAnsi="Times New Roman" w:eastAsia="仿宋_GB2312" w:cs="Times New Roman"/>
          <w:snapToGrid w:val="0"/>
          <w:color w:val="auto"/>
          <w:kern w:val="0"/>
          <w:sz w:val="24"/>
          <w:szCs w:val="24"/>
          <w:lang w:eastAsia="zh-CN"/>
        </w:rPr>
        <w:t>不</w:t>
      </w:r>
      <w:r>
        <w:rPr>
          <w:rFonts w:hint="default" w:ascii="Times New Roman" w:hAnsi="Times New Roman" w:eastAsia="仿宋_GB2312" w:cs="Times New Roman"/>
          <w:snapToGrid w:val="0"/>
          <w:color w:val="auto"/>
          <w:kern w:val="0"/>
          <w:sz w:val="24"/>
          <w:szCs w:val="24"/>
        </w:rPr>
        <w:t>大。</w:t>
      </w:r>
      <w:r>
        <w:rPr>
          <w:rFonts w:hint="default" w:ascii="Times New Roman" w:hAnsi="Times New Roman" w:eastAsia="仿宋_GB2312" w:cs="Times New Roman"/>
          <w:snapToGrid w:val="0"/>
          <w:color w:val="auto"/>
          <w:kern w:val="0"/>
          <w:sz w:val="24"/>
          <w:szCs w:val="24"/>
          <w:lang w:eastAsia="zh-CN"/>
        </w:rPr>
        <w:t>项目区内原始地面高程介于</w:t>
      </w:r>
      <w:r>
        <w:rPr>
          <w:rFonts w:hint="default" w:ascii="Times New Roman" w:hAnsi="Times New Roman" w:eastAsia="仿宋_GB2312" w:cs="Times New Roman"/>
          <w:snapToGrid w:val="0"/>
          <w:color w:val="auto"/>
          <w:kern w:val="0"/>
          <w:sz w:val="24"/>
          <w:szCs w:val="24"/>
          <w:lang w:val="en-US" w:eastAsia="zh-CN"/>
        </w:rPr>
        <w:t>516.12m~518.79m，项目区场平高程为517.50m。</w:t>
      </w:r>
    </w:p>
    <w:p w14:paraId="7BA1754C">
      <w:pPr>
        <w:spacing w:line="360" w:lineRule="auto"/>
        <w:ind w:firstLine="0" w:firstLineChars="0"/>
        <w:outlineLvl w:val="2"/>
        <w:rPr>
          <w:rFonts w:hint="default" w:ascii="Times New Roman" w:hAnsi="Times New Roman" w:eastAsia="仿宋_GB2312" w:cs="Times New Roman"/>
          <w:b/>
          <w:bCs/>
          <w:color w:val="auto"/>
          <w:kern w:val="28"/>
          <w:sz w:val="28"/>
          <w:szCs w:val="28"/>
        </w:rPr>
      </w:pPr>
      <w:r>
        <w:rPr>
          <w:rFonts w:hint="default" w:ascii="Times New Roman" w:hAnsi="Times New Roman" w:eastAsia="仿宋_GB2312" w:cs="Times New Roman"/>
          <w:b/>
          <w:bCs/>
          <w:color w:val="auto"/>
          <w:kern w:val="28"/>
          <w:sz w:val="28"/>
          <w:szCs w:val="28"/>
        </w:rPr>
        <w:t>2.7.3</w:t>
      </w:r>
      <w:r>
        <w:rPr>
          <w:rFonts w:hint="default" w:ascii="Times New Roman" w:hAnsi="Times New Roman" w:eastAsia="仿宋_GB2312" w:cs="Times New Roman"/>
          <w:b/>
          <w:bCs/>
          <w:color w:val="auto"/>
          <w:kern w:val="28"/>
          <w:sz w:val="28"/>
          <w:szCs w:val="28"/>
          <w:lang w:val="en-US" w:eastAsia="zh-CN"/>
        </w:rPr>
        <w:t>气象</w:t>
      </w:r>
      <w:r>
        <w:rPr>
          <w:rFonts w:hint="default" w:ascii="Times New Roman" w:hAnsi="Times New Roman" w:eastAsia="仿宋_GB2312" w:cs="Times New Roman"/>
          <w:b/>
          <w:bCs/>
          <w:color w:val="auto"/>
          <w:kern w:val="28"/>
          <w:sz w:val="28"/>
          <w:szCs w:val="28"/>
        </w:rPr>
        <w:t xml:space="preserve"> </w:t>
      </w:r>
    </w:p>
    <w:p w14:paraId="53E508EC">
      <w:pPr>
        <w:pStyle w:val="29"/>
        <w:keepNext/>
        <w:keepLines/>
        <w:pageBreakBefore w:val="0"/>
        <w:widowControl w:val="0"/>
        <w:kinsoku/>
        <w:wordWrap/>
        <w:overflowPunct/>
        <w:topLinePunct w:val="0"/>
        <w:autoSpaceDE/>
        <w:autoSpaceDN/>
        <w:bidi w:val="0"/>
        <w:adjustRightInd/>
        <w:snapToGrid/>
        <w:ind w:firstLine="480" w:firstLineChars="200"/>
        <w:textAlignment w:val="auto"/>
        <w:outlineLvl w:val="9"/>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lang w:val="en-US" w:eastAsia="zh-CN"/>
        </w:rPr>
        <w:t>1、</w:t>
      </w:r>
      <w:r>
        <w:rPr>
          <w:rFonts w:hint="default" w:ascii="Times New Roman" w:hAnsi="Times New Roman" w:eastAsia="仿宋_GB2312" w:cs="Times New Roman"/>
          <w:b w:val="0"/>
          <w:bCs w:val="0"/>
          <w:color w:val="auto"/>
          <w:sz w:val="24"/>
          <w:szCs w:val="24"/>
        </w:rPr>
        <w:t>项目区多年气候气象条件</w:t>
      </w:r>
    </w:p>
    <w:p w14:paraId="4FFF5A8D">
      <w:pPr>
        <w:keepNext w:val="0"/>
        <w:keepLines w:val="0"/>
        <w:pageBreakBefore w:val="0"/>
        <w:widowControl w:val="0"/>
        <w:kinsoku w:val="0"/>
        <w:wordWrap/>
        <w:overflowPunct w:val="0"/>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sz w:val="24"/>
          <w:szCs w:val="22"/>
          <w:lang w:val="en-US" w:eastAsia="zh-CN"/>
        </w:rPr>
      </w:pPr>
      <w:r>
        <w:rPr>
          <w:rFonts w:hint="default" w:ascii="Times New Roman" w:hAnsi="Times New Roman" w:eastAsia="仿宋_GB2312" w:cs="Times New Roman"/>
          <w:color w:val="auto"/>
          <w:sz w:val="24"/>
          <w:szCs w:val="18"/>
        </w:rPr>
        <w:t>项目区属亚热带湿润季风气候。气候温和，光照比较适宜，四季分明，大陆性季风明显。由于地理位置和多变地貌影响，垂直气候明显，区域气候差异大，出现海拔高程不同，气候各异，高山顶和漕谷地气温相差大。气候随海拔升高而降低。降水充分，但呈陡峭单峰型分布，时空分布不均，常有“东边日出西边雨”情形。剑阁县一般年平均气温约16.7℃，最高 40.09℃，最低-7.2℃，多年</w:t>
      </w:r>
      <w:r>
        <w:rPr>
          <w:rFonts w:hint="default" w:ascii="Times New Roman" w:hAnsi="Times New Roman" w:eastAsia="仿宋_GB2312" w:cs="Times New Roman"/>
          <w:color w:val="auto"/>
          <w:sz w:val="24"/>
          <w:szCs w:val="18"/>
          <w:lang w:val="en-US" w:eastAsia="zh-CN"/>
        </w:rPr>
        <w:t>平</w:t>
      </w:r>
      <w:r>
        <w:rPr>
          <w:rFonts w:hint="default" w:ascii="Times New Roman" w:hAnsi="Times New Roman" w:eastAsia="仿宋_GB2312" w:cs="Times New Roman"/>
          <w:color w:val="auto"/>
          <w:sz w:val="24"/>
          <w:szCs w:val="18"/>
        </w:rPr>
        <w:t>均降水量1086.6</w:t>
      </w:r>
      <w:r>
        <w:rPr>
          <w:rFonts w:hint="default" w:ascii="Times New Roman" w:hAnsi="Times New Roman" w:eastAsia="仿宋_GB2312" w:cs="Times New Roman"/>
          <w:color w:val="auto"/>
          <w:sz w:val="24"/>
          <w:szCs w:val="18"/>
          <w:lang w:val="en-US" w:eastAsia="zh-CN"/>
        </w:rPr>
        <w:t>0</w:t>
      </w:r>
      <w:r>
        <w:rPr>
          <w:rFonts w:hint="default" w:ascii="Times New Roman" w:hAnsi="Times New Roman" w:eastAsia="仿宋_GB2312" w:cs="Times New Roman"/>
          <w:color w:val="auto"/>
          <w:sz w:val="24"/>
          <w:szCs w:val="18"/>
        </w:rPr>
        <w:t>毫米，雨季为每年7～9月，最高月降雨量为551.4mm，最低月降雨量为0.02mm。境内风向随季节变化明显，夏半年盛行偏南风，冬半年盛行偏北风常年主导风向SWW、NEE、多年平均风速1.8m/s。全年无霜期约270天。秋冬两季多雾，多年平均日照时数为1328.3小时</w:t>
      </w:r>
      <w:r>
        <w:rPr>
          <w:rFonts w:hint="default" w:ascii="Times New Roman" w:hAnsi="Times New Roman" w:eastAsia="仿宋_GB2312" w:cs="Times New Roman"/>
          <w:color w:val="auto"/>
          <w:sz w:val="24"/>
          <w:szCs w:val="22"/>
          <w:lang w:val="en-US" w:eastAsia="zh-CN"/>
        </w:rPr>
        <w:t>。</w:t>
      </w:r>
    </w:p>
    <w:p w14:paraId="5A3B58C0">
      <w:pPr>
        <w:keepNext w:val="0"/>
        <w:keepLines w:val="0"/>
        <w:pageBreakBefore w:val="0"/>
        <w:widowControl w:val="0"/>
        <w:kinsoku w:val="0"/>
        <w:wordWrap/>
        <w:overflowPunct w:val="0"/>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color w:val="auto"/>
          <w:sz w:val="24"/>
          <w:szCs w:val="24"/>
          <w:lang w:val="en-US" w:eastAsia="zh-CN"/>
        </w:rPr>
        <w:t>剑阁县年最大10分钟点雨量平均值为18mm。</w:t>
      </w:r>
    </w:p>
    <w:p w14:paraId="17081BCC">
      <w:pPr>
        <w:spacing w:line="240" w:lineRule="auto"/>
        <w:ind w:firstLine="422" w:firstLineChars="20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w:t>
      </w:r>
      <w:r>
        <w:rPr>
          <w:rFonts w:hint="default" w:ascii="Times New Roman" w:hAnsi="Times New Roman" w:eastAsia="仿宋_GB2312" w:cs="Times New Roman"/>
          <w:b/>
          <w:color w:val="auto"/>
          <w:sz w:val="21"/>
          <w:szCs w:val="21"/>
          <w:lang w:val="en-US" w:eastAsia="zh-CN"/>
        </w:rPr>
        <w:t>2.7</w:t>
      </w:r>
      <w:r>
        <w:rPr>
          <w:rFonts w:hint="default" w:ascii="Times New Roman" w:hAnsi="Times New Roman" w:eastAsia="仿宋_GB2312" w:cs="Times New Roman"/>
          <w:b/>
          <w:color w:val="auto"/>
          <w:sz w:val="21"/>
          <w:szCs w:val="21"/>
        </w:rPr>
        <w:t>-1  项目区域气象特征值</w:t>
      </w:r>
    </w:p>
    <w:tbl>
      <w:tblPr>
        <w:tblStyle w:val="18"/>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21"/>
        <w:gridCol w:w="2388"/>
        <w:gridCol w:w="2390"/>
        <w:gridCol w:w="2387"/>
      </w:tblGrid>
      <w:tr w14:paraId="7409D4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exact"/>
        </w:trPr>
        <w:tc>
          <w:tcPr>
            <w:tcW w:w="4509" w:type="dxa"/>
            <w:gridSpan w:val="2"/>
            <w:noWrap w:val="0"/>
            <w:vAlign w:val="center"/>
          </w:tcPr>
          <w:p w14:paraId="1D03075B">
            <w:pPr>
              <w:spacing w:line="240" w:lineRule="auto"/>
              <w:ind w:firstLine="0" w:firstLineChars="0"/>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气象要素</w:t>
            </w:r>
          </w:p>
        </w:tc>
        <w:tc>
          <w:tcPr>
            <w:tcW w:w="2390" w:type="dxa"/>
            <w:noWrap w:val="0"/>
            <w:vAlign w:val="center"/>
          </w:tcPr>
          <w:p w14:paraId="6C9024A3">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单位</w:t>
            </w:r>
          </w:p>
        </w:tc>
        <w:tc>
          <w:tcPr>
            <w:tcW w:w="2387" w:type="dxa"/>
            <w:noWrap w:val="0"/>
            <w:vAlign w:val="center"/>
          </w:tcPr>
          <w:p w14:paraId="64B52636">
            <w:pPr>
              <w:spacing w:line="240" w:lineRule="auto"/>
              <w:ind w:firstLine="0" w:firstLineChars="0"/>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剑阁县</w:t>
            </w:r>
          </w:p>
        </w:tc>
      </w:tr>
      <w:tr w14:paraId="51B5FD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exact"/>
        </w:trPr>
        <w:tc>
          <w:tcPr>
            <w:tcW w:w="2121" w:type="dxa"/>
            <w:vMerge w:val="restart"/>
            <w:noWrap w:val="0"/>
            <w:vAlign w:val="center"/>
          </w:tcPr>
          <w:p w14:paraId="3791E019">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气温</w:t>
            </w:r>
          </w:p>
        </w:tc>
        <w:tc>
          <w:tcPr>
            <w:tcW w:w="2388" w:type="dxa"/>
            <w:noWrap w:val="0"/>
            <w:vAlign w:val="center"/>
          </w:tcPr>
          <w:p w14:paraId="03755D3C">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多年平均</w:t>
            </w:r>
          </w:p>
        </w:tc>
        <w:tc>
          <w:tcPr>
            <w:tcW w:w="2390" w:type="dxa"/>
            <w:noWrap w:val="0"/>
            <w:vAlign w:val="center"/>
          </w:tcPr>
          <w:p w14:paraId="52954E9B">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2387" w:type="dxa"/>
            <w:noWrap w:val="0"/>
            <w:vAlign w:val="center"/>
          </w:tcPr>
          <w:p w14:paraId="09F82641">
            <w:pPr>
              <w:spacing w:line="240" w:lineRule="auto"/>
              <w:ind w:firstLine="0" w:firstLineChars="0"/>
              <w:jc w:val="center"/>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kern w:val="0"/>
                <w:sz w:val="18"/>
                <w:szCs w:val="18"/>
                <w:lang w:val="en-US" w:eastAsia="zh-CN"/>
              </w:rPr>
              <w:t>16.7</w:t>
            </w:r>
          </w:p>
        </w:tc>
      </w:tr>
      <w:tr w14:paraId="6B426D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exact"/>
        </w:trPr>
        <w:tc>
          <w:tcPr>
            <w:tcW w:w="2121" w:type="dxa"/>
            <w:vMerge w:val="continue"/>
            <w:noWrap w:val="0"/>
            <w:vAlign w:val="center"/>
          </w:tcPr>
          <w:p w14:paraId="224E82FA">
            <w:pPr>
              <w:spacing w:line="240" w:lineRule="auto"/>
              <w:ind w:firstLine="0" w:firstLineChars="0"/>
              <w:jc w:val="center"/>
              <w:rPr>
                <w:rFonts w:hint="default" w:ascii="Times New Roman" w:hAnsi="Times New Roman" w:eastAsia="仿宋_GB2312" w:cs="Times New Roman"/>
                <w:color w:val="auto"/>
                <w:sz w:val="18"/>
                <w:szCs w:val="18"/>
              </w:rPr>
            </w:pPr>
          </w:p>
        </w:tc>
        <w:tc>
          <w:tcPr>
            <w:tcW w:w="2388" w:type="dxa"/>
            <w:noWrap w:val="0"/>
            <w:vAlign w:val="center"/>
          </w:tcPr>
          <w:p w14:paraId="3B5F1402">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极端最高</w:t>
            </w:r>
          </w:p>
        </w:tc>
        <w:tc>
          <w:tcPr>
            <w:tcW w:w="2390" w:type="dxa"/>
            <w:noWrap w:val="0"/>
            <w:vAlign w:val="center"/>
          </w:tcPr>
          <w:p w14:paraId="461B36B7">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2387" w:type="dxa"/>
            <w:noWrap w:val="0"/>
            <w:vAlign w:val="center"/>
          </w:tcPr>
          <w:p w14:paraId="179A3773">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40.09</w:t>
            </w:r>
          </w:p>
        </w:tc>
      </w:tr>
      <w:tr w14:paraId="64AFB0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exact"/>
        </w:trPr>
        <w:tc>
          <w:tcPr>
            <w:tcW w:w="2121" w:type="dxa"/>
            <w:vMerge w:val="continue"/>
            <w:noWrap w:val="0"/>
            <w:vAlign w:val="center"/>
          </w:tcPr>
          <w:p w14:paraId="31AC7F0B">
            <w:pPr>
              <w:spacing w:line="240" w:lineRule="auto"/>
              <w:ind w:firstLine="0" w:firstLineChars="0"/>
              <w:jc w:val="center"/>
              <w:rPr>
                <w:rFonts w:hint="default" w:ascii="Times New Roman" w:hAnsi="Times New Roman" w:eastAsia="仿宋_GB2312" w:cs="Times New Roman"/>
                <w:color w:val="auto"/>
                <w:sz w:val="18"/>
                <w:szCs w:val="18"/>
              </w:rPr>
            </w:pPr>
          </w:p>
        </w:tc>
        <w:tc>
          <w:tcPr>
            <w:tcW w:w="2388" w:type="dxa"/>
            <w:noWrap w:val="0"/>
            <w:vAlign w:val="center"/>
          </w:tcPr>
          <w:p w14:paraId="02B7FC2B">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极端最低</w:t>
            </w:r>
          </w:p>
        </w:tc>
        <w:tc>
          <w:tcPr>
            <w:tcW w:w="2390" w:type="dxa"/>
            <w:noWrap w:val="0"/>
            <w:vAlign w:val="center"/>
          </w:tcPr>
          <w:p w14:paraId="786C484F">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2387" w:type="dxa"/>
            <w:noWrap w:val="0"/>
            <w:vAlign w:val="center"/>
          </w:tcPr>
          <w:p w14:paraId="38432589">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-7.2</w:t>
            </w:r>
          </w:p>
        </w:tc>
      </w:tr>
      <w:tr w14:paraId="511EA4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exact"/>
        </w:trPr>
        <w:tc>
          <w:tcPr>
            <w:tcW w:w="2121" w:type="dxa"/>
            <w:vMerge w:val="continue"/>
            <w:noWrap w:val="0"/>
            <w:vAlign w:val="center"/>
          </w:tcPr>
          <w:p w14:paraId="2686D9B1">
            <w:pPr>
              <w:spacing w:line="240" w:lineRule="auto"/>
              <w:ind w:firstLine="0" w:firstLineChars="0"/>
              <w:jc w:val="center"/>
              <w:rPr>
                <w:rFonts w:hint="default" w:ascii="Times New Roman" w:hAnsi="Times New Roman" w:eastAsia="仿宋_GB2312" w:cs="Times New Roman"/>
                <w:color w:val="auto"/>
                <w:sz w:val="18"/>
                <w:szCs w:val="18"/>
              </w:rPr>
            </w:pPr>
          </w:p>
        </w:tc>
        <w:tc>
          <w:tcPr>
            <w:tcW w:w="2388" w:type="dxa"/>
            <w:noWrap w:val="0"/>
            <w:vAlign w:val="center"/>
          </w:tcPr>
          <w:p w14:paraId="6B769C28">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=10℃积温值</w:t>
            </w:r>
          </w:p>
        </w:tc>
        <w:tc>
          <w:tcPr>
            <w:tcW w:w="2390" w:type="dxa"/>
            <w:noWrap w:val="0"/>
            <w:vAlign w:val="center"/>
          </w:tcPr>
          <w:p w14:paraId="6DB44F65">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2387" w:type="dxa"/>
            <w:noWrap w:val="0"/>
            <w:vAlign w:val="center"/>
          </w:tcPr>
          <w:p w14:paraId="23272E97">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5514</w:t>
            </w:r>
          </w:p>
        </w:tc>
      </w:tr>
      <w:tr w14:paraId="5ACFA2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exact"/>
        </w:trPr>
        <w:tc>
          <w:tcPr>
            <w:tcW w:w="4509" w:type="dxa"/>
            <w:gridSpan w:val="2"/>
            <w:noWrap w:val="0"/>
            <w:vAlign w:val="center"/>
          </w:tcPr>
          <w:p w14:paraId="1477D91E">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多年平均风速</w:t>
            </w:r>
          </w:p>
        </w:tc>
        <w:tc>
          <w:tcPr>
            <w:tcW w:w="2390" w:type="dxa"/>
            <w:noWrap w:val="0"/>
            <w:vAlign w:val="center"/>
          </w:tcPr>
          <w:p w14:paraId="72463F2C">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m/s</w:t>
            </w:r>
          </w:p>
        </w:tc>
        <w:tc>
          <w:tcPr>
            <w:tcW w:w="2387" w:type="dxa"/>
            <w:noWrap w:val="0"/>
            <w:vAlign w:val="center"/>
          </w:tcPr>
          <w:p w14:paraId="2481A954">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val="en-US" w:eastAsia="zh-CN"/>
              </w:rPr>
              <w:t>1.8</w:t>
            </w:r>
          </w:p>
        </w:tc>
      </w:tr>
      <w:tr w14:paraId="1A2584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exact"/>
        </w:trPr>
        <w:tc>
          <w:tcPr>
            <w:tcW w:w="4509" w:type="dxa"/>
            <w:gridSpan w:val="2"/>
            <w:noWrap w:val="0"/>
            <w:vAlign w:val="center"/>
          </w:tcPr>
          <w:p w14:paraId="1E2EFF6F">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多年平均无霜期</w:t>
            </w:r>
          </w:p>
        </w:tc>
        <w:tc>
          <w:tcPr>
            <w:tcW w:w="2390" w:type="dxa"/>
            <w:noWrap w:val="0"/>
            <w:vAlign w:val="center"/>
          </w:tcPr>
          <w:p w14:paraId="2A8BF55F">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d</w:t>
            </w:r>
          </w:p>
        </w:tc>
        <w:tc>
          <w:tcPr>
            <w:tcW w:w="2387" w:type="dxa"/>
            <w:noWrap w:val="0"/>
            <w:vAlign w:val="center"/>
          </w:tcPr>
          <w:p w14:paraId="3A4281B0">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270</w:t>
            </w:r>
          </w:p>
        </w:tc>
      </w:tr>
      <w:tr w14:paraId="59C4B2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exact"/>
        </w:trPr>
        <w:tc>
          <w:tcPr>
            <w:tcW w:w="4509" w:type="dxa"/>
            <w:gridSpan w:val="2"/>
            <w:noWrap w:val="0"/>
            <w:vAlign w:val="center"/>
          </w:tcPr>
          <w:p w14:paraId="4576FB75">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多年平均蒸发量</w:t>
            </w:r>
          </w:p>
        </w:tc>
        <w:tc>
          <w:tcPr>
            <w:tcW w:w="2390" w:type="dxa"/>
            <w:noWrap w:val="0"/>
            <w:vAlign w:val="center"/>
          </w:tcPr>
          <w:p w14:paraId="3E1B032F">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mm</w:t>
            </w:r>
          </w:p>
        </w:tc>
        <w:tc>
          <w:tcPr>
            <w:tcW w:w="2387" w:type="dxa"/>
            <w:noWrap w:val="0"/>
            <w:vAlign w:val="center"/>
          </w:tcPr>
          <w:p w14:paraId="58A0FE95">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1002</w:t>
            </w:r>
          </w:p>
        </w:tc>
      </w:tr>
      <w:tr w14:paraId="1B9B8A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exact"/>
        </w:trPr>
        <w:tc>
          <w:tcPr>
            <w:tcW w:w="4509" w:type="dxa"/>
            <w:gridSpan w:val="2"/>
            <w:noWrap w:val="0"/>
            <w:vAlign w:val="center"/>
          </w:tcPr>
          <w:p w14:paraId="6608F6B5">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多年平均相对湿度</w:t>
            </w:r>
          </w:p>
        </w:tc>
        <w:tc>
          <w:tcPr>
            <w:tcW w:w="2390" w:type="dxa"/>
            <w:noWrap w:val="0"/>
            <w:vAlign w:val="center"/>
          </w:tcPr>
          <w:p w14:paraId="4A14F15F">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2387" w:type="dxa"/>
            <w:noWrap w:val="0"/>
            <w:vAlign w:val="center"/>
          </w:tcPr>
          <w:p w14:paraId="2D068498">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76</w:t>
            </w:r>
          </w:p>
        </w:tc>
      </w:tr>
    </w:tbl>
    <w:p w14:paraId="185AE29E">
      <w:pPr>
        <w:pStyle w:val="29"/>
        <w:keepNext/>
        <w:keepLines/>
        <w:pageBreakBefore w:val="0"/>
        <w:widowControl w:val="0"/>
        <w:kinsoku/>
        <w:wordWrap/>
        <w:overflowPunct/>
        <w:topLinePunct w:val="0"/>
        <w:autoSpaceDE/>
        <w:autoSpaceDN/>
        <w:bidi w:val="0"/>
        <w:adjustRightInd/>
        <w:snapToGrid/>
        <w:ind w:firstLine="480" w:firstLineChars="200"/>
        <w:textAlignment w:val="auto"/>
        <w:outlineLvl w:val="9"/>
        <w:rPr>
          <w:rFonts w:hint="default" w:ascii="Times New Roman" w:hAnsi="Times New Roman" w:eastAsia="仿宋_GB2312" w:cs="Times New Roman"/>
          <w:b w:val="0"/>
          <w:bCs w:val="0"/>
          <w:color w:val="auto"/>
          <w:kern w:val="2"/>
          <w:sz w:val="24"/>
          <w:szCs w:val="18"/>
          <w:lang w:val="en-US" w:eastAsia="zh-CN" w:bidi="ar-SA"/>
        </w:rPr>
      </w:pPr>
      <w:r>
        <w:rPr>
          <w:rFonts w:hint="default" w:ascii="Times New Roman" w:hAnsi="Times New Roman" w:eastAsia="仿宋_GB2312" w:cs="Times New Roman"/>
          <w:b w:val="0"/>
          <w:bCs w:val="0"/>
          <w:color w:val="auto"/>
          <w:kern w:val="2"/>
          <w:sz w:val="24"/>
          <w:szCs w:val="18"/>
          <w:lang w:val="en-US" w:eastAsia="zh-CN" w:bidi="ar-SA"/>
        </w:rPr>
        <w:t>2、项目区灾害性气候气象条件</w:t>
      </w:r>
    </w:p>
    <w:p w14:paraId="07B6CB41">
      <w:pPr>
        <w:spacing w:line="360" w:lineRule="auto"/>
        <w:ind w:firstLine="480" w:firstLineChars="200"/>
        <w:rPr>
          <w:rFonts w:hint="default" w:ascii="Times New Roman" w:hAnsi="Times New Roman" w:eastAsia="仿宋_GB2312" w:cs="Times New Roman"/>
          <w:color w:val="auto"/>
          <w:sz w:val="24"/>
          <w:szCs w:val="18"/>
        </w:rPr>
      </w:pPr>
      <w:r>
        <w:rPr>
          <w:rFonts w:hint="default" w:ascii="Times New Roman" w:hAnsi="Times New Roman" w:eastAsia="仿宋_GB2312" w:cs="Times New Roman"/>
          <w:color w:val="auto"/>
          <w:sz w:val="24"/>
          <w:szCs w:val="18"/>
        </w:rPr>
        <w:t>根据项目区有关气象资料可知，区内主要的气象灾害有：干旱、暴雨和洪涝、寒潮、冰雹、大风。在暴雨季节，部分溪沟洪水泛滥，造成山洪爆发，淹没田园，冲毁良田而成涝灾。伏旱也是区内主要的灾害性天气，对夏粮作物生长产生影响。在8月下旬至11月中旬出现的秋绵雨对农业产生的影响极大，区内的大风一般为冬季的寒潮大风和夏季的雷雨大风</w:t>
      </w:r>
      <w:r>
        <w:rPr>
          <w:rFonts w:hint="default" w:ascii="Times New Roman" w:hAnsi="Times New Roman" w:eastAsia="仿宋_GB2312" w:cs="Times New Roman"/>
          <w:color w:val="auto"/>
          <w:sz w:val="24"/>
          <w:szCs w:val="18"/>
          <w:lang w:eastAsia="zh-CN"/>
        </w:rPr>
        <w:t>。</w:t>
      </w:r>
    </w:p>
    <w:p w14:paraId="379CEA00">
      <w:pPr>
        <w:spacing w:line="360" w:lineRule="auto"/>
        <w:ind w:firstLine="0" w:firstLineChars="0"/>
        <w:outlineLvl w:val="2"/>
        <w:rPr>
          <w:rFonts w:hint="default" w:ascii="Times New Roman" w:hAnsi="Times New Roman" w:eastAsia="仿宋_GB2312" w:cs="Times New Roman"/>
          <w:b/>
          <w:bCs/>
          <w:color w:val="auto"/>
          <w:kern w:val="28"/>
          <w:sz w:val="28"/>
          <w:szCs w:val="28"/>
          <w:lang w:eastAsia="zh-CN"/>
        </w:rPr>
      </w:pPr>
      <w:r>
        <w:rPr>
          <w:rFonts w:hint="default" w:ascii="Times New Roman" w:hAnsi="Times New Roman" w:eastAsia="仿宋_GB2312" w:cs="Times New Roman"/>
          <w:b/>
          <w:bCs/>
          <w:color w:val="auto"/>
          <w:kern w:val="28"/>
          <w:sz w:val="28"/>
          <w:szCs w:val="28"/>
        </w:rPr>
        <w:t>2.7.4</w:t>
      </w:r>
      <w:r>
        <w:rPr>
          <w:rFonts w:hint="default" w:ascii="Times New Roman" w:hAnsi="Times New Roman" w:eastAsia="仿宋_GB2312" w:cs="Times New Roman"/>
          <w:b/>
          <w:bCs/>
          <w:color w:val="auto"/>
          <w:kern w:val="28"/>
          <w:sz w:val="28"/>
          <w:szCs w:val="28"/>
          <w:lang w:eastAsia="zh-CN"/>
        </w:rPr>
        <w:t>水文</w:t>
      </w:r>
    </w:p>
    <w:p w14:paraId="071568A9">
      <w:pPr>
        <w:pageBreakBefore w:val="0"/>
        <w:widowControl/>
        <w:tabs>
          <w:tab w:val="left" w:pos="3108"/>
        </w:tabs>
        <w:kinsoku/>
        <w:wordWrap/>
        <w:overflowPunct/>
        <w:topLinePunct w:val="0"/>
        <w:autoSpaceDE/>
        <w:autoSpaceDN/>
        <w:bidi w:val="0"/>
        <w:adjustRightInd/>
        <w:snapToGrid/>
        <w:spacing w:line="360" w:lineRule="auto"/>
        <w:ind w:firstLine="480" w:firstLineChars="0"/>
        <w:textAlignment w:val="auto"/>
        <w:outlineLvl w:val="9"/>
        <w:rPr>
          <w:rFonts w:hint="default" w:ascii="Times New Roman" w:hAnsi="Times New Roman" w:eastAsia="仿宋_GB2312" w:cs="Times New Roman"/>
          <w:color w:val="auto"/>
          <w:sz w:val="24"/>
          <w:szCs w:val="18"/>
          <w:lang w:eastAsia="zh-CN"/>
        </w:rPr>
      </w:pPr>
      <w:r>
        <w:rPr>
          <w:rFonts w:hint="default" w:ascii="Times New Roman" w:hAnsi="Times New Roman" w:eastAsia="仿宋_GB2312" w:cs="Times New Roman"/>
          <w:color w:val="auto"/>
          <w:sz w:val="24"/>
          <w:szCs w:val="18"/>
          <w:lang w:eastAsia="zh-CN"/>
        </w:rPr>
        <w:t>项目所在地区的地表水系为嘉陵江水系，主要为闻溪河的源头支流沟谷，呈树枝状广泛分布，为典型的山区雨洪型性沟谷河流，流量及水位随季节变化大，洪水易涨易消，搬运和冲刷能力强，河床比降大，糙率高，暴雨季节易诱发山洪。</w:t>
      </w:r>
    </w:p>
    <w:p w14:paraId="610609C0">
      <w:pPr>
        <w:pageBreakBefore w:val="0"/>
        <w:widowControl/>
        <w:tabs>
          <w:tab w:val="left" w:pos="3108"/>
        </w:tabs>
        <w:kinsoku/>
        <w:wordWrap/>
        <w:overflowPunct/>
        <w:topLinePunct w:val="0"/>
        <w:autoSpaceDE/>
        <w:autoSpaceDN/>
        <w:bidi w:val="0"/>
        <w:adjustRightInd/>
        <w:snapToGrid/>
        <w:spacing w:line="360" w:lineRule="auto"/>
        <w:ind w:firstLine="480" w:firstLineChars="0"/>
        <w:textAlignment w:val="auto"/>
        <w:outlineLvl w:val="9"/>
        <w:rPr>
          <w:rFonts w:hint="default" w:ascii="Times New Roman" w:hAnsi="Times New Roman" w:eastAsia="仿宋_GB2312" w:cs="Times New Roman"/>
          <w:color w:val="auto"/>
          <w:sz w:val="24"/>
          <w:szCs w:val="18"/>
          <w:lang w:val="en-US" w:eastAsia="zh-CN"/>
        </w:rPr>
      </w:pPr>
      <w:r>
        <w:rPr>
          <w:rFonts w:hint="default" w:ascii="Times New Roman" w:hAnsi="Times New Roman" w:eastAsia="仿宋_GB2312" w:cs="Times New Roman"/>
          <w:color w:val="auto"/>
          <w:sz w:val="24"/>
          <w:szCs w:val="18"/>
          <w:lang w:eastAsia="zh-CN"/>
        </w:rPr>
        <w:t>闻溪河是流经剑阁县的最大河流，是嘉陵江的重要支流，发源于盐店镇五指山，分南北两支，南支始于盐店镇，北支源于姚家乡(也称为刘家河)，两支流在城北镇三江大桥(三江口)汇合，再流经普安镇、闻溪乡、在江口与嘉陵江汇合，流域面积536平方公里，河流全长59公里。年平均流量7.41</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color w:val="auto"/>
          <w:sz w:val="24"/>
          <w:szCs w:val="18"/>
          <w:lang w:val="en-US" w:eastAsia="zh-CN"/>
        </w:rPr>
        <w:t>/</w:t>
      </w:r>
      <w:r>
        <w:rPr>
          <w:rFonts w:hint="default" w:ascii="Times New Roman" w:hAnsi="Times New Roman" w:eastAsia="仿宋_GB2312" w:cs="Times New Roman"/>
          <w:color w:val="auto"/>
          <w:sz w:val="24"/>
          <w:szCs w:val="18"/>
          <w:lang w:eastAsia="zh-CN"/>
        </w:rPr>
        <w:t>s,是流域内城市和农村主要的饮用水源。</w:t>
      </w:r>
    </w:p>
    <w:p w14:paraId="16371F8E">
      <w:pPr>
        <w:spacing w:line="360" w:lineRule="auto"/>
        <w:ind w:firstLine="0" w:firstLineChars="0"/>
        <w:outlineLvl w:val="2"/>
        <w:rPr>
          <w:rFonts w:hint="default" w:ascii="Times New Roman" w:hAnsi="Times New Roman" w:eastAsia="仿宋_GB2312" w:cs="Times New Roman"/>
          <w:b/>
          <w:bCs/>
          <w:color w:val="auto"/>
          <w:kern w:val="28"/>
          <w:sz w:val="28"/>
          <w:szCs w:val="28"/>
          <w:lang w:eastAsia="zh-CN"/>
        </w:rPr>
      </w:pPr>
      <w:r>
        <w:rPr>
          <w:rFonts w:hint="default" w:ascii="Times New Roman" w:hAnsi="Times New Roman" w:eastAsia="仿宋_GB2312" w:cs="Times New Roman"/>
          <w:b/>
          <w:bCs/>
          <w:color w:val="auto"/>
          <w:kern w:val="28"/>
          <w:sz w:val="28"/>
          <w:szCs w:val="28"/>
        </w:rPr>
        <w:t>2.7.5</w:t>
      </w:r>
      <w:r>
        <w:rPr>
          <w:rFonts w:hint="default" w:ascii="Times New Roman" w:hAnsi="Times New Roman" w:eastAsia="仿宋_GB2312" w:cs="Times New Roman"/>
          <w:b/>
          <w:bCs/>
          <w:color w:val="auto"/>
          <w:kern w:val="28"/>
          <w:sz w:val="28"/>
          <w:szCs w:val="28"/>
          <w:lang w:eastAsia="zh-CN"/>
        </w:rPr>
        <w:t>土壤</w:t>
      </w:r>
    </w:p>
    <w:p w14:paraId="059AE310">
      <w:pPr>
        <w:tabs>
          <w:tab w:val="left" w:pos="3108"/>
        </w:tabs>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剑阁县土壤分4个土类，6个亚类，11个土属，34个土种及4个变种，只农耕地中，紫色土类为主，占54%，由紫色泥岩、砂岩、砂页岩发育而成，质地砂壤至中粘，PH值6</w:t>
      </w:r>
      <w:r>
        <w:rPr>
          <w:rFonts w:hint="default"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rPr>
        <w:t>8，土层厚0.4</w:t>
      </w:r>
      <w:r>
        <w:rPr>
          <w:rFonts w:hint="default"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rPr>
        <w:t>1.0m，有机质含量丰富，较肥沃。中南部山顶上部至同顶，PH值7.5</w:t>
      </w:r>
      <w:r>
        <w:rPr>
          <w:rFonts w:hint="default"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rPr>
        <w:t>8.5，土层厚0.3</w:t>
      </w:r>
      <w:r>
        <w:rPr>
          <w:rFonts w:hint="default"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rPr>
        <w:t>0.6m，有机质含量少，肥力差，亚类为石灰性紫色土，黄紫泥土属中包括石骨子土、黑砂土、红石骨子土四个土种；水稻土类居其次，占45%，质地砂壤至中壤，土层厚0.6m以上，PH值7</w:t>
      </w:r>
      <w:r>
        <w:rPr>
          <w:rFonts w:hint="default"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rPr>
        <w:t>8，有3个亚类潮土性水稻，紫色性水稻土，黄壤性水稻土，5个土属性紫色潮土、黄红紫田泥、沙黄田泥。有砂田夹砂田、石骨子田、黄紫泥田、死黄泥田、砾质黄紫泥田、白鳝泥田、冷侵下湿田、砾质夹砂田、黑砂田、砂泥田、砂黄泥田等15个土种及漏沙田、黑沙田2个变种；黄壤土类位居其三，占0.6%，自然土层被淋溶呈黄灰色，质地清壤互清粘，酸性PH值4.5</w:t>
      </w:r>
      <w:r>
        <w:rPr>
          <w:rFonts w:hint="default"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rPr>
        <w:t>6.5，土层后0.3</w:t>
      </w:r>
      <w:r>
        <w:rPr>
          <w:rFonts w:hint="default"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rPr>
        <w:t>1.0m，有机质含量丰富，较肥沃；有黄壤土1个亚类，沙黄泥土，姜黄泥土两个土属包括黄紫泥土，黄沙泥土，姜黄泥土3个土种及基土1个变种，潮土类最少，占0.4%，有潮土1个亚类，灰棕潮土、紫色潮土2个土属，包括响沙土、油沙土、沙土和夹沙土4个土种。</w:t>
      </w:r>
    </w:p>
    <w:p w14:paraId="4C030968">
      <w:pPr>
        <w:widowControl w:val="0"/>
        <w:spacing w:line="360" w:lineRule="auto"/>
        <w:jc w:val="center"/>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szCs w:val="24"/>
          <w:lang w:val="en-US" w:eastAsia="zh-CN"/>
        </w:rPr>
        <w:t xml:space="preserve">    </w:t>
      </w:r>
      <w:r>
        <w:rPr>
          <w:rFonts w:hint="default" w:ascii="Times New Roman" w:hAnsi="Times New Roman" w:eastAsia="仿宋_GB2312" w:cs="Times New Roman"/>
          <w:color w:val="auto"/>
          <w:sz w:val="24"/>
          <w:szCs w:val="24"/>
        </w:rPr>
        <w:t>项目区主要分布的土壤类型为</w:t>
      </w:r>
      <w:r>
        <w:rPr>
          <w:rFonts w:hint="default" w:ascii="Times New Roman" w:hAnsi="Times New Roman" w:eastAsia="仿宋_GB2312" w:cs="Times New Roman"/>
          <w:color w:val="auto"/>
          <w:sz w:val="24"/>
          <w:szCs w:val="24"/>
          <w:lang w:eastAsia="zh-CN"/>
        </w:rPr>
        <w:t>黄壤土</w:t>
      </w:r>
      <w:r>
        <w:rPr>
          <w:rFonts w:hint="default" w:ascii="Times New Roman" w:hAnsi="Times New Roman" w:eastAsia="仿宋_GB2312" w:cs="Times New Roman"/>
          <w:color w:val="auto"/>
          <w:sz w:val="24"/>
          <w:szCs w:val="24"/>
          <w:lang w:bidi="ar"/>
        </w:rPr>
        <w:t>。</w:t>
      </w:r>
      <w:r>
        <w:rPr>
          <w:rFonts w:hint="default" w:ascii="Times New Roman" w:hAnsi="Times New Roman" w:eastAsia="仿宋_GB2312" w:cs="Times New Roman"/>
          <w:color w:val="auto"/>
          <w:sz w:val="24"/>
          <w:lang w:val="en-US" w:eastAsia="zh-CN" w:bidi="ar"/>
        </w:rPr>
        <w:t>施工前已对项目区所占0.08</w:t>
      </w:r>
      <w:r>
        <w:rPr>
          <w:rFonts w:hint="default" w:ascii="Times New Roman" w:hAnsi="Times New Roman" w:eastAsia="仿宋_GB2312" w:cs="Times New Roman"/>
          <w:color w:val="auto"/>
          <w:sz w:val="24"/>
          <w:szCs w:val="24"/>
        </w:rPr>
        <w:t>hm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lang w:val="en-US" w:eastAsia="zh-CN" w:bidi="ar"/>
        </w:rPr>
        <w:t>林地进行表土剥离，剥离厚度为0.20m，剥离量为0.02万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color w:val="auto"/>
          <w:sz w:val="24"/>
          <w:lang w:val="en-US" w:eastAsia="zh-CN" w:bidi="ar"/>
        </w:rPr>
        <w:t>，全部用于后期项目区绿化覆土。</w:t>
      </w:r>
    </w:p>
    <w:p w14:paraId="090B1BB8">
      <w:pPr>
        <w:widowControl w:val="0"/>
        <w:spacing w:line="360" w:lineRule="auto"/>
        <w:jc w:val="center"/>
        <w:rPr>
          <w:rFonts w:hint="default" w:ascii="Times New Roman" w:hAnsi="Times New Roman" w:eastAsia="仿宋_GB2312" w:cs="Times New Roman"/>
          <w:b/>
          <w:bCs/>
          <w:color w:val="auto"/>
          <w:sz w:val="21"/>
          <w:szCs w:val="21"/>
          <w:highlight w:val="none"/>
          <w:lang w:eastAsia="zh-CN"/>
        </w:rPr>
      </w:pPr>
      <w:r>
        <w:rPr>
          <w:rFonts w:hint="default" w:ascii="Times New Roman" w:hAnsi="Times New Roman" w:eastAsia="仿宋_GB2312" w:cs="Times New Roman"/>
          <w:b/>
          <w:bCs/>
          <w:color w:val="auto"/>
          <w:sz w:val="21"/>
          <w:szCs w:val="21"/>
          <w:highlight w:val="none"/>
          <w:lang w:eastAsia="zh-CN"/>
        </w:rPr>
        <w:t>表</w:t>
      </w:r>
      <w:r>
        <w:rPr>
          <w:rFonts w:hint="default" w:ascii="Times New Roman" w:hAnsi="Times New Roman" w:eastAsia="仿宋_GB2312" w:cs="Times New Roman"/>
          <w:b/>
          <w:bCs/>
          <w:color w:val="auto"/>
          <w:sz w:val="21"/>
          <w:szCs w:val="21"/>
          <w:highlight w:val="none"/>
          <w:lang w:val="en-US" w:eastAsia="zh-CN"/>
        </w:rPr>
        <w:t xml:space="preserve">2.7.2  </w:t>
      </w:r>
      <w:r>
        <w:rPr>
          <w:rFonts w:hint="default" w:ascii="Times New Roman" w:hAnsi="Times New Roman" w:eastAsia="仿宋_GB2312" w:cs="Times New Roman"/>
          <w:b/>
          <w:bCs/>
          <w:color w:val="auto"/>
          <w:sz w:val="21"/>
          <w:szCs w:val="21"/>
          <w:highlight w:val="none"/>
          <w:lang w:eastAsia="zh-CN"/>
        </w:rPr>
        <w:t>表土厚度分布情况表</w:t>
      </w:r>
    </w:p>
    <w:tbl>
      <w:tblPr>
        <w:tblStyle w:val="1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33"/>
        <w:gridCol w:w="1402"/>
        <w:gridCol w:w="1404"/>
        <w:gridCol w:w="2080"/>
        <w:gridCol w:w="2170"/>
      </w:tblGrid>
      <w:tr w14:paraId="27DE0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118" w:type="pct"/>
            <w:vMerge w:val="restart"/>
            <w:tcBorders>
              <w:top w:val="single" w:color="000000" w:sz="12" w:space="0"/>
              <w:left w:val="single" w:color="000000" w:sz="12" w:space="0"/>
              <w:bottom w:val="single" w:color="000000" w:sz="8" w:space="0"/>
              <w:right w:val="single" w:color="000000" w:sz="8" w:space="0"/>
            </w:tcBorders>
            <w:shd w:val="clear" w:color="auto" w:fill="auto"/>
            <w:vAlign w:val="center"/>
          </w:tcPr>
          <w:p w14:paraId="017FAEC4">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项目组成</w:t>
            </w:r>
          </w:p>
        </w:tc>
        <w:tc>
          <w:tcPr>
            <w:tcW w:w="1543" w:type="pct"/>
            <w:gridSpan w:val="2"/>
            <w:tcBorders>
              <w:top w:val="single" w:color="000000" w:sz="12" w:space="0"/>
              <w:left w:val="single" w:color="000000" w:sz="8" w:space="0"/>
              <w:bottom w:val="single" w:color="000000" w:sz="8" w:space="0"/>
              <w:right w:val="single" w:color="000000" w:sz="8" w:space="0"/>
            </w:tcBorders>
            <w:shd w:val="clear" w:color="auto" w:fill="auto"/>
            <w:vAlign w:val="center"/>
          </w:tcPr>
          <w:p w14:paraId="5D48C9CE">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可剥离占地类型、面积及厚度</w:t>
            </w:r>
          </w:p>
        </w:tc>
        <w:tc>
          <w:tcPr>
            <w:tcW w:w="1144" w:type="pct"/>
            <w:tcBorders>
              <w:top w:val="single" w:color="000000" w:sz="12" w:space="0"/>
              <w:left w:val="single" w:color="000000" w:sz="8" w:space="0"/>
              <w:bottom w:val="single" w:color="000000" w:sz="8" w:space="0"/>
              <w:right w:val="single" w:color="000000" w:sz="8" w:space="0"/>
            </w:tcBorders>
            <w:shd w:val="clear" w:color="auto" w:fill="auto"/>
            <w:vAlign w:val="center"/>
          </w:tcPr>
          <w:p w14:paraId="381D7608">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设计剥离面积</w:t>
            </w:r>
          </w:p>
        </w:tc>
        <w:tc>
          <w:tcPr>
            <w:tcW w:w="1193" w:type="pct"/>
            <w:tcBorders>
              <w:top w:val="single" w:color="000000" w:sz="12" w:space="0"/>
              <w:left w:val="single" w:color="000000" w:sz="8" w:space="0"/>
              <w:bottom w:val="single" w:color="000000" w:sz="8" w:space="0"/>
              <w:right w:val="single" w:color="000000" w:sz="12" w:space="0"/>
            </w:tcBorders>
            <w:shd w:val="clear" w:color="auto" w:fill="auto"/>
            <w:vAlign w:val="center"/>
          </w:tcPr>
          <w:p w14:paraId="418CFECC">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实际剥离面积</w:t>
            </w:r>
          </w:p>
        </w:tc>
      </w:tr>
      <w:tr w14:paraId="7F55E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1118" w:type="pct"/>
            <w:vMerge w:val="continue"/>
            <w:tcBorders>
              <w:top w:val="single" w:color="000000" w:sz="12" w:space="0"/>
              <w:left w:val="single" w:color="000000" w:sz="12" w:space="0"/>
              <w:bottom w:val="single" w:color="000000" w:sz="8" w:space="0"/>
              <w:right w:val="single" w:color="000000" w:sz="8" w:space="0"/>
            </w:tcBorders>
            <w:shd w:val="clear" w:color="auto" w:fill="auto"/>
            <w:vAlign w:val="center"/>
          </w:tcPr>
          <w:p w14:paraId="55B76D6F">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77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F08C478">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林地（hm</w:t>
            </w:r>
            <w:r>
              <w:rPr>
                <w:rFonts w:hint="default" w:ascii="Times New Roman" w:hAnsi="Times New Roman" w:eastAsia="仿宋_GB2312" w:cs="Times New Roman"/>
                <w:color w:val="auto"/>
                <w:sz w:val="18"/>
                <w:szCs w:val="18"/>
                <w:vertAlign w:val="superscript"/>
                <w:lang w:val="en-US" w:eastAsia="zh-CN"/>
              </w:rPr>
              <w:t>2</w:t>
            </w:r>
            <w:r>
              <w:rPr>
                <w:rFonts w:hint="default" w:ascii="Times New Roman" w:hAnsi="Times New Roman" w:eastAsia="仿宋_GB2312" w:cs="Times New Roman"/>
                <w:color w:val="auto"/>
                <w:sz w:val="18"/>
                <w:szCs w:val="18"/>
                <w:vertAlign w:val="baseline"/>
                <w:lang w:val="en-US" w:eastAsia="zh-CN"/>
              </w:rPr>
              <w:t>）</w:t>
            </w:r>
          </w:p>
        </w:tc>
        <w:tc>
          <w:tcPr>
            <w:tcW w:w="77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48353EA">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表土厚度（m）</w:t>
            </w:r>
          </w:p>
        </w:tc>
        <w:tc>
          <w:tcPr>
            <w:tcW w:w="114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82DF55E">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（hm</w:t>
            </w:r>
            <w:r>
              <w:rPr>
                <w:rFonts w:hint="default" w:ascii="Times New Roman" w:hAnsi="Times New Roman" w:eastAsia="仿宋_GB2312" w:cs="Times New Roman"/>
                <w:color w:val="auto"/>
                <w:sz w:val="18"/>
                <w:szCs w:val="18"/>
                <w:vertAlign w:val="superscript"/>
                <w:lang w:val="en-US" w:eastAsia="zh-CN"/>
              </w:rPr>
              <w:t>2</w:t>
            </w:r>
            <w:r>
              <w:rPr>
                <w:rFonts w:hint="default" w:ascii="Times New Roman" w:hAnsi="Times New Roman" w:eastAsia="仿宋_GB2312" w:cs="Times New Roman"/>
                <w:color w:val="auto"/>
                <w:sz w:val="18"/>
                <w:szCs w:val="18"/>
                <w:vertAlign w:val="baseline"/>
                <w:lang w:val="en-US" w:eastAsia="zh-CN"/>
              </w:rPr>
              <w:t>）</w:t>
            </w:r>
          </w:p>
        </w:tc>
        <w:tc>
          <w:tcPr>
            <w:tcW w:w="1193" w:type="pct"/>
            <w:tcBorders>
              <w:top w:val="single" w:color="000000" w:sz="8" w:space="0"/>
              <w:left w:val="single" w:color="000000" w:sz="8" w:space="0"/>
              <w:bottom w:val="single" w:color="000000" w:sz="8" w:space="0"/>
              <w:right w:val="single" w:color="000000" w:sz="12" w:space="0"/>
            </w:tcBorders>
            <w:shd w:val="clear" w:color="auto" w:fill="auto"/>
            <w:vAlign w:val="center"/>
          </w:tcPr>
          <w:p w14:paraId="39742F7A">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（hm</w:t>
            </w:r>
            <w:r>
              <w:rPr>
                <w:rFonts w:hint="default" w:ascii="Times New Roman" w:hAnsi="Times New Roman" w:eastAsia="仿宋_GB2312" w:cs="Times New Roman"/>
                <w:color w:val="auto"/>
                <w:sz w:val="18"/>
                <w:szCs w:val="18"/>
                <w:vertAlign w:val="superscript"/>
                <w:lang w:val="en-US" w:eastAsia="zh-CN"/>
              </w:rPr>
              <w:t>2</w:t>
            </w:r>
            <w:r>
              <w:rPr>
                <w:rFonts w:hint="default" w:ascii="Times New Roman" w:hAnsi="Times New Roman" w:eastAsia="仿宋_GB2312" w:cs="Times New Roman"/>
                <w:color w:val="auto"/>
                <w:sz w:val="18"/>
                <w:szCs w:val="18"/>
                <w:vertAlign w:val="baseline"/>
                <w:lang w:val="en-US" w:eastAsia="zh-CN"/>
              </w:rPr>
              <w:t>）</w:t>
            </w:r>
          </w:p>
        </w:tc>
      </w:tr>
      <w:tr w14:paraId="74218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118" w:type="pct"/>
            <w:tcBorders>
              <w:top w:val="single" w:color="000000" w:sz="8" w:space="0"/>
              <w:left w:val="single" w:color="000000" w:sz="12" w:space="0"/>
              <w:bottom w:val="single" w:color="000000" w:sz="8" w:space="0"/>
              <w:right w:val="single" w:color="000000" w:sz="8" w:space="0"/>
            </w:tcBorders>
            <w:shd w:val="clear" w:color="auto" w:fill="auto"/>
            <w:noWrap/>
            <w:vAlign w:val="center"/>
          </w:tcPr>
          <w:p w14:paraId="564F5546">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建构筑物工程</w:t>
            </w:r>
          </w:p>
        </w:tc>
        <w:tc>
          <w:tcPr>
            <w:tcW w:w="77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9D4FA3">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w:t>
            </w:r>
          </w:p>
        </w:tc>
        <w:tc>
          <w:tcPr>
            <w:tcW w:w="772" w:type="pct"/>
            <w:vMerge w:val="restart"/>
            <w:tcBorders>
              <w:top w:val="single" w:color="000000" w:sz="8" w:space="0"/>
              <w:left w:val="single" w:color="000000" w:sz="8" w:space="0"/>
              <w:right w:val="single" w:color="000000" w:sz="8" w:space="0"/>
            </w:tcBorders>
            <w:shd w:val="clear" w:color="auto" w:fill="auto"/>
            <w:vAlign w:val="center"/>
          </w:tcPr>
          <w:p w14:paraId="72BBC3DD">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0.20</w:t>
            </w:r>
          </w:p>
        </w:tc>
        <w:tc>
          <w:tcPr>
            <w:tcW w:w="20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4009A5">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w:t>
            </w:r>
          </w:p>
        </w:tc>
        <w:tc>
          <w:tcPr>
            <w:tcW w:w="2170" w:type="dxa"/>
            <w:tcBorders>
              <w:top w:val="single" w:color="000000" w:sz="8" w:space="0"/>
              <w:left w:val="single" w:color="000000" w:sz="8" w:space="0"/>
              <w:bottom w:val="single" w:color="000000" w:sz="8" w:space="0"/>
              <w:right w:val="single" w:color="000000" w:sz="12" w:space="0"/>
            </w:tcBorders>
            <w:shd w:val="clear" w:color="auto" w:fill="auto"/>
            <w:noWrap/>
            <w:vAlign w:val="center"/>
          </w:tcPr>
          <w:p w14:paraId="19E06837">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w:t>
            </w:r>
          </w:p>
        </w:tc>
      </w:tr>
      <w:tr w14:paraId="27BC5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118" w:type="pct"/>
            <w:tcBorders>
              <w:top w:val="single" w:color="000000" w:sz="8" w:space="0"/>
              <w:left w:val="single" w:color="000000" w:sz="12" w:space="0"/>
              <w:bottom w:val="single" w:color="000000" w:sz="8" w:space="0"/>
              <w:right w:val="single" w:color="000000" w:sz="8" w:space="0"/>
            </w:tcBorders>
            <w:shd w:val="clear" w:color="auto" w:fill="auto"/>
            <w:noWrap/>
            <w:vAlign w:val="center"/>
          </w:tcPr>
          <w:p w14:paraId="0C93B467">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硬化工程</w:t>
            </w:r>
          </w:p>
        </w:tc>
        <w:tc>
          <w:tcPr>
            <w:tcW w:w="77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1235AC4">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0.02</w:t>
            </w:r>
          </w:p>
        </w:tc>
        <w:tc>
          <w:tcPr>
            <w:tcW w:w="772" w:type="pct"/>
            <w:vMerge w:val="continue"/>
            <w:tcBorders>
              <w:left w:val="single" w:color="000000" w:sz="8" w:space="0"/>
              <w:right w:val="single" w:color="000000" w:sz="8" w:space="0"/>
            </w:tcBorders>
            <w:shd w:val="clear" w:color="auto" w:fill="auto"/>
            <w:vAlign w:val="center"/>
          </w:tcPr>
          <w:p w14:paraId="69A0A04B">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20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A6F7E46">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0.02</w:t>
            </w:r>
          </w:p>
        </w:tc>
        <w:tc>
          <w:tcPr>
            <w:tcW w:w="2170" w:type="dxa"/>
            <w:tcBorders>
              <w:top w:val="single" w:color="000000" w:sz="8" w:space="0"/>
              <w:left w:val="single" w:color="000000" w:sz="8" w:space="0"/>
              <w:bottom w:val="single" w:color="000000" w:sz="8" w:space="0"/>
              <w:right w:val="single" w:color="000000" w:sz="12" w:space="0"/>
            </w:tcBorders>
            <w:shd w:val="clear" w:color="auto" w:fill="auto"/>
            <w:noWrap/>
            <w:vAlign w:val="center"/>
          </w:tcPr>
          <w:p w14:paraId="27DA800A">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0.02</w:t>
            </w:r>
          </w:p>
        </w:tc>
      </w:tr>
      <w:tr w14:paraId="73FE6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118" w:type="pct"/>
            <w:tcBorders>
              <w:top w:val="single" w:color="000000" w:sz="8" w:space="0"/>
              <w:left w:val="single" w:color="000000" w:sz="12" w:space="0"/>
              <w:bottom w:val="single" w:color="000000" w:sz="8" w:space="0"/>
              <w:right w:val="single" w:color="000000" w:sz="8" w:space="0"/>
            </w:tcBorders>
            <w:shd w:val="clear" w:color="auto" w:fill="auto"/>
            <w:noWrap/>
            <w:vAlign w:val="center"/>
          </w:tcPr>
          <w:p w14:paraId="21901FD1">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绿化工程</w:t>
            </w:r>
          </w:p>
        </w:tc>
        <w:tc>
          <w:tcPr>
            <w:tcW w:w="77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F23773">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0.06</w:t>
            </w:r>
          </w:p>
        </w:tc>
        <w:tc>
          <w:tcPr>
            <w:tcW w:w="772" w:type="pct"/>
            <w:vMerge w:val="continue"/>
            <w:tcBorders>
              <w:left w:val="single" w:color="000000" w:sz="8" w:space="0"/>
              <w:bottom w:val="single" w:color="000000" w:sz="8" w:space="0"/>
              <w:right w:val="single" w:color="000000" w:sz="8" w:space="0"/>
            </w:tcBorders>
            <w:shd w:val="clear" w:color="auto" w:fill="auto"/>
            <w:vAlign w:val="center"/>
          </w:tcPr>
          <w:p w14:paraId="589D9E67">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20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2C735F4">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0.06</w:t>
            </w:r>
          </w:p>
        </w:tc>
        <w:tc>
          <w:tcPr>
            <w:tcW w:w="2170" w:type="dxa"/>
            <w:tcBorders>
              <w:top w:val="single" w:color="000000" w:sz="8" w:space="0"/>
              <w:left w:val="single" w:color="000000" w:sz="8" w:space="0"/>
              <w:bottom w:val="single" w:color="000000" w:sz="8" w:space="0"/>
              <w:right w:val="single" w:color="000000" w:sz="12" w:space="0"/>
            </w:tcBorders>
            <w:shd w:val="clear" w:color="auto" w:fill="auto"/>
            <w:noWrap/>
            <w:vAlign w:val="center"/>
          </w:tcPr>
          <w:p w14:paraId="41372599">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0.06</w:t>
            </w:r>
          </w:p>
        </w:tc>
      </w:tr>
      <w:tr w14:paraId="67E4F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118" w:type="pct"/>
            <w:tcBorders>
              <w:top w:val="single" w:color="000000" w:sz="8" w:space="0"/>
              <w:left w:val="single" w:color="000000" w:sz="12" w:space="0"/>
              <w:bottom w:val="single" w:color="000000" w:sz="8" w:space="0"/>
              <w:right w:val="single" w:color="000000" w:sz="8" w:space="0"/>
            </w:tcBorders>
            <w:shd w:val="clear" w:color="auto" w:fill="auto"/>
            <w:noWrap/>
            <w:vAlign w:val="center"/>
          </w:tcPr>
          <w:p w14:paraId="40E74538">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合计</w:t>
            </w:r>
          </w:p>
        </w:tc>
        <w:tc>
          <w:tcPr>
            <w:tcW w:w="77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BE45BF">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0.08</w:t>
            </w:r>
          </w:p>
        </w:tc>
        <w:tc>
          <w:tcPr>
            <w:tcW w:w="77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8EDE371">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20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518D5CE">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0.08</w:t>
            </w:r>
          </w:p>
        </w:tc>
        <w:tc>
          <w:tcPr>
            <w:tcW w:w="2170" w:type="dxa"/>
            <w:tcBorders>
              <w:top w:val="single" w:color="000000" w:sz="8" w:space="0"/>
              <w:left w:val="single" w:color="000000" w:sz="8" w:space="0"/>
              <w:bottom w:val="single" w:color="000000" w:sz="8" w:space="0"/>
              <w:right w:val="single" w:color="000000" w:sz="12" w:space="0"/>
            </w:tcBorders>
            <w:shd w:val="clear" w:color="auto" w:fill="auto"/>
            <w:noWrap/>
            <w:vAlign w:val="center"/>
          </w:tcPr>
          <w:p w14:paraId="27086116">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0.08</w:t>
            </w:r>
          </w:p>
        </w:tc>
      </w:tr>
    </w:tbl>
    <w:p w14:paraId="20731113">
      <w:pPr>
        <w:spacing w:line="360" w:lineRule="auto"/>
        <w:ind w:firstLine="0" w:firstLineChars="0"/>
        <w:outlineLvl w:val="2"/>
        <w:rPr>
          <w:rFonts w:hint="default" w:ascii="Times New Roman" w:hAnsi="Times New Roman" w:eastAsia="仿宋_GB2312" w:cs="Times New Roman"/>
          <w:b/>
          <w:bCs/>
          <w:color w:val="auto"/>
          <w:kern w:val="28"/>
          <w:sz w:val="28"/>
          <w:szCs w:val="28"/>
          <w:lang w:eastAsia="zh-CN"/>
        </w:rPr>
      </w:pPr>
      <w:r>
        <w:rPr>
          <w:rFonts w:hint="default" w:ascii="Times New Roman" w:hAnsi="Times New Roman" w:eastAsia="仿宋_GB2312" w:cs="Times New Roman"/>
          <w:b/>
          <w:bCs/>
          <w:color w:val="auto"/>
          <w:kern w:val="28"/>
          <w:sz w:val="28"/>
          <w:szCs w:val="28"/>
        </w:rPr>
        <w:t>2.7.6</w:t>
      </w:r>
      <w:r>
        <w:rPr>
          <w:rFonts w:hint="default" w:ascii="Times New Roman" w:hAnsi="Times New Roman" w:eastAsia="仿宋_GB2312" w:cs="Times New Roman"/>
          <w:b/>
          <w:bCs/>
          <w:color w:val="auto"/>
          <w:kern w:val="28"/>
          <w:sz w:val="28"/>
          <w:szCs w:val="28"/>
          <w:lang w:eastAsia="zh-CN"/>
        </w:rPr>
        <w:t>植被</w:t>
      </w:r>
    </w:p>
    <w:p w14:paraId="4B455A44">
      <w:pPr>
        <w:tabs>
          <w:tab w:val="left" w:pos="3108"/>
        </w:tabs>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剑阁县属</w:t>
      </w:r>
      <w:r>
        <w:rPr>
          <w:rFonts w:hint="default" w:ascii="Times New Roman" w:hAnsi="Times New Roman" w:eastAsia="仿宋_GB2312" w:cs="Times New Roman"/>
          <w:color w:val="auto"/>
          <w:sz w:val="24"/>
          <w:szCs w:val="24"/>
          <w:lang w:eastAsia="zh-CN"/>
        </w:rPr>
        <w:t>亚热带常绿阔叶林区</w:t>
      </w:r>
      <w:r>
        <w:rPr>
          <w:rFonts w:hint="default" w:ascii="Times New Roman" w:hAnsi="Times New Roman" w:eastAsia="仿宋_GB2312" w:cs="Times New Roman"/>
          <w:color w:val="auto"/>
          <w:sz w:val="24"/>
          <w:szCs w:val="24"/>
        </w:rPr>
        <w:t>，盆地北部柏林、马尾松疏林小区，全区森林覆盖率为</w:t>
      </w:r>
      <w:r>
        <w:rPr>
          <w:rFonts w:hint="default" w:ascii="Times New Roman" w:hAnsi="Times New Roman" w:eastAsia="仿宋_GB2312" w:cs="Times New Roman"/>
          <w:color w:val="auto"/>
          <w:sz w:val="24"/>
          <w:szCs w:val="24"/>
          <w:lang w:val="en-US" w:eastAsia="zh-CN"/>
        </w:rPr>
        <w:t>55.59</w:t>
      </w:r>
      <w:r>
        <w:rPr>
          <w:rFonts w:hint="default" w:ascii="Times New Roman" w:hAnsi="Times New Roman" w:eastAsia="仿宋_GB2312" w:cs="Times New Roman"/>
          <w:color w:val="auto"/>
          <w:sz w:val="24"/>
          <w:szCs w:val="24"/>
        </w:rPr>
        <w:t>％，以常绿的针叶树柏、松和落叶阔叶树栎及小量的杨、枫、榆、桐等杂树组成森林，珍稀植物有：古柏、松柏长青树（剑阁柏）、剑门兰花等。</w:t>
      </w:r>
    </w:p>
    <w:p w14:paraId="763C86A4">
      <w:pPr>
        <w:tabs>
          <w:tab w:val="left" w:pos="3108"/>
        </w:tabs>
        <w:spacing w:line="360" w:lineRule="auto"/>
        <w:ind w:firstLine="48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项目区林草覆盖率为73.96%。</w:t>
      </w:r>
    </w:p>
    <w:p w14:paraId="229D3B8B">
      <w:pPr>
        <w:spacing w:line="360" w:lineRule="auto"/>
        <w:ind w:firstLine="0" w:firstLineChars="0"/>
        <w:outlineLvl w:val="2"/>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2.7.</w:t>
      </w:r>
      <w:r>
        <w:rPr>
          <w:rFonts w:hint="default" w:ascii="Times New Roman" w:hAnsi="Times New Roman" w:eastAsia="仿宋_GB2312" w:cs="Times New Roman"/>
          <w:b/>
          <w:color w:val="auto"/>
          <w:kern w:val="0"/>
          <w:sz w:val="28"/>
          <w:szCs w:val="28"/>
          <w:lang w:val="en-US" w:eastAsia="zh-CN"/>
        </w:rPr>
        <w:t>7</w:t>
      </w:r>
      <w:r>
        <w:rPr>
          <w:rFonts w:hint="default" w:ascii="Times New Roman" w:hAnsi="Times New Roman" w:eastAsia="仿宋_GB2312" w:cs="Times New Roman"/>
          <w:b/>
          <w:color w:val="auto"/>
          <w:kern w:val="0"/>
          <w:sz w:val="28"/>
          <w:szCs w:val="28"/>
        </w:rPr>
        <w:t>其他</w:t>
      </w:r>
    </w:p>
    <w:p w14:paraId="38F96CB9">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kern w:val="0"/>
          <w:sz w:val="24"/>
          <w:highlight w:val="none"/>
          <w:lang w:val="en-US" w:eastAsia="zh-CN" w:bidi="ar"/>
        </w:rPr>
        <w:t>本项目位于</w:t>
      </w:r>
      <w:r>
        <w:rPr>
          <w:rFonts w:hint="default" w:ascii="Times New Roman" w:hAnsi="Times New Roman" w:eastAsia="仿宋_GB2312" w:cs="Times New Roman"/>
          <w:color w:val="auto"/>
          <w:sz w:val="24"/>
          <w:szCs w:val="24"/>
          <w:lang w:val="en-US" w:eastAsia="zh-CN"/>
        </w:rPr>
        <w:t>剑阁县</w:t>
      </w:r>
      <w:r>
        <w:rPr>
          <w:rFonts w:hint="default" w:ascii="Times New Roman" w:hAnsi="Times New Roman" w:eastAsia="仿宋_GB2312" w:cs="Times New Roman"/>
          <w:color w:val="auto"/>
          <w:sz w:val="24"/>
          <w:lang w:eastAsia="zh-CN" w:bidi="ar"/>
        </w:rPr>
        <w:t>王河镇</w:t>
      </w:r>
      <w:r>
        <w:rPr>
          <w:rFonts w:hint="default" w:ascii="Times New Roman" w:hAnsi="Times New Roman" w:eastAsia="仿宋_GB2312" w:cs="Times New Roman"/>
          <w:color w:val="auto"/>
          <w:sz w:val="24"/>
          <w:lang w:val="en-US" w:eastAsia="zh-CN" w:bidi="ar"/>
        </w:rPr>
        <w:t>原粮站</w:t>
      </w:r>
      <w:r>
        <w:rPr>
          <w:rFonts w:hint="default" w:ascii="Times New Roman" w:hAnsi="Times New Roman" w:eastAsia="仿宋_GB2312" w:cs="Times New Roman"/>
          <w:color w:val="auto"/>
          <w:szCs w:val="24"/>
          <w:lang w:val="en-US" w:eastAsia="zh-CN"/>
        </w:rPr>
        <w:t>，</w:t>
      </w:r>
      <w:r>
        <w:rPr>
          <w:rFonts w:hint="default" w:ascii="Times New Roman" w:hAnsi="Times New Roman" w:eastAsia="仿宋_GB2312" w:cs="Times New Roman"/>
          <w:color w:val="auto"/>
          <w:kern w:val="0"/>
          <w:sz w:val="24"/>
          <w:highlight w:val="none"/>
          <w:lang w:val="en-US" w:eastAsia="zh-CN" w:bidi="ar"/>
        </w:rPr>
        <w:t>工程建设区域不涉及饮水水源保护区，水功能一级区的保护区和保留区、自然保护区、世界文化和自然遗产地、风景名胜区、地质公园、森林公园、重要湿地，未在县级以上地方人民政府划定的崩塌、地下洞室、岩溶（洞）、滑坡危险区和泥石流易发区内，不属于水土流失严重、生态脆弱的地区，项目区内没有全国水土保持监测网络中的水土保持监测站点、重点试验区及国家规定的水土保持长期定位观察站。</w:t>
      </w:r>
    </w:p>
    <w:p w14:paraId="5027E1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kern w:val="2"/>
          <w:sz w:val="24"/>
          <w:szCs w:val="22"/>
          <w:lang w:val="en-US" w:eastAsia="zh-CN" w:bidi="ar-SA"/>
        </w:rPr>
        <w:sectPr>
          <w:headerReference r:id="rId25" w:type="default"/>
          <w:pgSz w:w="11906" w:h="16838"/>
          <w:pgMar w:top="1327" w:right="1514" w:bottom="1327" w:left="1514"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仿宋_GB2312" w:cs="Times New Roman"/>
          <w:color w:val="auto"/>
          <w:kern w:val="2"/>
          <w:sz w:val="24"/>
          <w:szCs w:val="22"/>
          <w:lang w:val="en-US" w:eastAsia="zh-CN" w:bidi="ar-SA"/>
        </w:rPr>
        <w:t>根据</w:t>
      </w:r>
      <w:r>
        <w:rPr>
          <w:rFonts w:hint="default" w:ascii="Times New Roman" w:hAnsi="Times New Roman" w:eastAsia="仿宋_GB2312" w:cs="Times New Roman"/>
          <w:color w:val="auto"/>
          <w:kern w:val="2"/>
          <w:sz w:val="24"/>
          <w:szCs w:val="24"/>
          <w:lang w:val="zh-CN" w:eastAsia="zh-CN" w:bidi="ar-SA"/>
        </w:rPr>
        <w:t>《全国水土保持规划国家级水土流失重点预防区和重点治理区复核划分成果》（办水保〔2013〕188号）</w:t>
      </w:r>
      <w:r>
        <w:rPr>
          <w:rFonts w:hint="default" w:ascii="Times New Roman" w:hAnsi="Times New Roman" w:eastAsia="仿宋_GB2312" w:cs="Times New Roman"/>
          <w:color w:val="auto"/>
          <w:kern w:val="2"/>
          <w:sz w:val="24"/>
          <w:szCs w:val="22"/>
          <w:lang w:val="en-US" w:eastAsia="zh-CN" w:bidi="ar-SA"/>
        </w:rPr>
        <w:t>，项目区属于</w:t>
      </w:r>
      <w:r>
        <w:rPr>
          <w:rFonts w:hint="default" w:ascii="Times New Roman" w:hAnsi="Times New Roman" w:eastAsia="仿宋_GB2312" w:cs="Times New Roman"/>
          <w:bCs/>
          <w:color w:val="auto"/>
          <w:kern w:val="0"/>
          <w:sz w:val="24"/>
          <w:szCs w:val="24"/>
        </w:rPr>
        <w:t>国家级水土流失重点</w:t>
      </w:r>
      <w:r>
        <w:rPr>
          <w:rFonts w:hint="default" w:ascii="Times New Roman" w:hAnsi="Times New Roman" w:eastAsia="仿宋_GB2312" w:cs="Times New Roman"/>
          <w:bCs/>
          <w:color w:val="auto"/>
          <w:kern w:val="0"/>
          <w:sz w:val="24"/>
          <w:szCs w:val="24"/>
          <w:lang w:eastAsia="zh-CN"/>
        </w:rPr>
        <w:t>治理</w:t>
      </w:r>
      <w:r>
        <w:rPr>
          <w:rFonts w:hint="default" w:ascii="Times New Roman" w:hAnsi="Times New Roman" w:eastAsia="仿宋_GB2312" w:cs="Times New Roman"/>
          <w:bCs/>
          <w:color w:val="auto"/>
          <w:kern w:val="0"/>
          <w:sz w:val="24"/>
          <w:szCs w:val="24"/>
        </w:rPr>
        <w:t>区“</w:t>
      </w:r>
      <w:r>
        <w:rPr>
          <w:rFonts w:hint="default" w:ascii="Times New Roman" w:hAnsi="Times New Roman" w:eastAsia="仿宋_GB2312" w:cs="Times New Roman"/>
          <w:bCs/>
          <w:color w:val="auto"/>
          <w:kern w:val="0"/>
          <w:sz w:val="24"/>
          <w:szCs w:val="24"/>
          <w:lang w:eastAsia="zh-CN"/>
        </w:rPr>
        <w:t>嘉陵江及沱江中下游国家级水土流失重点治理区</w:t>
      </w:r>
      <w:r>
        <w:rPr>
          <w:rFonts w:hint="default" w:ascii="Times New Roman" w:hAnsi="Times New Roman" w:eastAsia="仿宋_GB2312" w:cs="Times New Roman"/>
          <w:bCs/>
          <w:color w:val="auto"/>
          <w:kern w:val="0"/>
          <w:sz w:val="24"/>
          <w:szCs w:val="24"/>
        </w:rPr>
        <w:t>”</w:t>
      </w:r>
      <w:r>
        <w:rPr>
          <w:rFonts w:hint="default" w:ascii="Times New Roman" w:hAnsi="Times New Roman" w:eastAsia="仿宋_GB2312" w:cs="Times New Roman"/>
          <w:color w:val="auto"/>
          <w:kern w:val="2"/>
          <w:sz w:val="24"/>
          <w:szCs w:val="22"/>
          <w:lang w:val="en-US" w:eastAsia="zh-CN" w:bidi="ar-SA"/>
        </w:rPr>
        <w:t>。</w:t>
      </w:r>
    </w:p>
    <w:p w14:paraId="7E9C32CB">
      <w:pPr>
        <w:pStyle w:val="2"/>
        <w:keepNext/>
        <w:keepLines/>
        <w:pageBreakBefore w:val="0"/>
        <w:widowControl w:val="0"/>
        <w:kinsoku/>
        <w:wordWrap/>
        <w:overflowPunct/>
        <w:topLinePunct w:val="0"/>
        <w:autoSpaceDE/>
        <w:autoSpaceDN/>
        <w:bidi w:val="0"/>
        <w:adjustRightInd/>
        <w:snapToGrid/>
        <w:spacing w:before="313" w:beforeLines="100" w:after="313" w:afterLines="100"/>
        <w:textAlignment w:val="auto"/>
        <w:rPr>
          <w:rFonts w:hint="default" w:ascii="Times New Roman" w:hAnsi="Times New Roman" w:eastAsia="仿宋_GB2312" w:cs="Times New Roman"/>
          <w:b/>
          <w:color w:val="auto"/>
        </w:rPr>
      </w:pPr>
      <w:r>
        <w:rPr>
          <w:rFonts w:hint="default" w:ascii="Times New Roman" w:hAnsi="Times New Roman" w:eastAsia="仿宋_GB2312" w:cs="Times New Roman"/>
          <w:b/>
          <w:color w:val="auto"/>
          <w:lang w:val="en-US" w:eastAsia="zh-CN"/>
        </w:rPr>
        <w:t xml:space="preserve"> </w:t>
      </w:r>
      <w:bookmarkStart w:id="93" w:name="_Toc27335"/>
      <w:bookmarkStart w:id="94" w:name="_Toc22355"/>
      <w:r>
        <w:rPr>
          <w:rFonts w:hint="default" w:ascii="Times New Roman" w:hAnsi="Times New Roman" w:eastAsia="仿宋_GB2312" w:cs="Times New Roman"/>
          <w:b/>
          <w:color w:val="auto"/>
        </w:rPr>
        <w:t xml:space="preserve">3 </w:t>
      </w:r>
      <w:r>
        <w:rPr>
          <w:rFonts w:hint="default" w:ascii="Times New Roman" w:hAnsi="Times New Roman" w:eastAsia="仿宋_GB2312" w:cs="Times New Roman"/>
          <w:b/>
          <w:color w:val="auto"/>
          <w:lang w:eastAsia="zh-CN"/>
        </w:rPr>
        <w:t>项目</w:t>
      </w:r>
      <w:r>
        <w:rPr>
          <w:rFonts w:hint="default" w:ascii="Times New Roman" w:hAnsi="Times New Roman" w:eastAsia="仿宋_GB2312" w:cs="Times New Roman"/>
          <w:b/>
          <w:color w:val="auto"/>
        </w:rPr>
        <w:t>水土保持评价</w:t>
      </w:r>
      <w:bookmarkEnd w:id="93"/>
      <w:bookmarkEnd w:id="94"/>
    </w:p>
    <w:p w14:paraId="5CC1B982">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 w:val="30"/>
          <w:szCs w:val="30"/>
          <w:lang w:eastAsia="ar"/>
        </w:rPr>
      </w:pPr>
      <w:bookmarkStart w:id="95" w:name="_Toc276985827"/>
      <w:bookmarkStart w:id="96" w:name="_Toc212108095"/>
      <w:bookmarkStart w:id="97" w:name="_Toc15684"/>
      <w:bookmarkStart w:id="98" w:name="_Toc189542108"/>
      <w:bookmarkStart w:id="99" w:name="_Toc12677"/>
      <w:r>
        <w:rPr>
          <w:rFonts w:hint="default" w:ascii="Times New Roman" w:hAnsi="Times New Roman" w:eastAsia="仿宋_GB2312" w:cs="Times New Roman"/>
          <w:b/>
          <w:bCs/>
          <w:color w:val="auto"/>
          <w:sz w:val="30"/>
          <w:szCs w:val="30"/>
          <w:lang w:eastAsia="ar"/>
        </w:rPr>
        <w:t>3.1</w:t>
      </w:r>
      <w:bookmarkEnd w:id="95"/>
      <w:bookmarkEnd w:id="96"/>
      <w:bookmarkEnd w:id="97"/>
      <w:bookmarkEnd w:id="98"/>
      <w:r>
        <w:rPr>
          <w:rFonts w:hint="default" w:ascii="Times New Roman" w:hAnsi="Times New Roman" w:eastAsia="仿宋_GB2312" w:cs="Times New Roman"/>
          <w:color w:val="auto"/>
          <w:kern w:val="24"/>
          <w:sz w:val="30"/>
          <w:szCs w:val="30"/>
          <w:highlight w:val="none"/>
          <w:lang w:val="en-US" w:eastAsia="zh-CN" w:bidi="ar"/>
        </w:rPr>
        <w:t>主体</w:t>
      </w:r>
      <w:r>
        <w:rPr>
          <w:rFonts w:hint="default" w:ascii="Times New Roman" w:hAnsi="Times New Roman" w:eastAsia="仿宋_GB2312" w:cs="Times New Roman"/>
          <w:color w:val="auto"/>
          <w:kern w:val="24"/>
          <w:sz w:val="30"/>
          <w:szCs w:val="30"/>
          <w:highlight w:val="none"/>
          <w:lang w:eastAsia="ar" w:bidi="ar"/>
        </w:rPr>
        <w:t>工程选址</w:t>
      </w:r>
      <w:r>
        <w:rPr>
          <w:rFonts w:hint="default" w:ascii="Times New Roman" w:hAnsi="Times New Roman" w:eastAsia="仿宋_GB2312" w:cs="Times New Roman"/>
          <w:color w:val="auto"/>
          <w:kern w:val="24"/>
          <w:sz w:val="30"/>
          <w:szCs w:val="30"/>
          <w:highlight w:val="none"/>
          <w:lang w:val="en-US" w:eastAsia="zh-CN" w:bidi="ar"/>
        </w:rPr>
        <w:t>水土保持</w:t>
      </w:r>
      <w:r>
        <w:rPr>
          <w:rFonts w:hint="default" w:ascii="Times New Roman" w:hAnsi="Times New Roman" w:eastAsia="仿宋_GB2312" w:cs="Times New Roman"/>
          <w:color w:val="auto"/>
          <w:kern w:val="24"/>
          <w:sz w:val="30"/>
          <w:szCs w:val="30"/>
          <w:highlight w:val="none"/>
          <w:lang w:eastAsia="ar" w:bidi="ar"/>
        </w:rPr>
        <w:t>评价</w:t>
      </w:r>
      <w:bookmarkEnd w:id="99"/>
    </w:p>
    <w:p w14:paraId="0B920F44">
      <w:pPr>
        <w:widowControl w:val="0"/>
        <w:spacing w:line="360" w:lineRule="auto"/>
        <w:ind w:firstLine="480" w:firstLineChars="200"/>
        <w:jc w:val="both"/>
        <w:rPr>
          <w:rFonts w:hint="default" w:ascii="Times New Roman" w:hAnsi="Times New Roman" w:eastAsia="仿宋_GB2312" w:cs="Times New Roman"/>
          <w:color w:val="auto"/>
          <w:sz w:val="24"/>
          <w:szCs w:val="24"/>
          <w:lang w:val="en-US" w:eastAsia="zh-CN"/>
        </w:rPr>
      </w:pPr>
      <w:bookmarkStart w:id="100" w:name="OLE_LINK6"/>
      <w:bookmarkStart w:id="101" w:name="_Toc205281473"/>
      <w:bookmarkStart w:id="102" w:name="_Toc207619404"/>
      <w:bookmarkStart w:id="103" w:name="_Toc199906862"/>
      <w:r>
        <w:rPr>
          <w:rFonts w:hint="default" w:ascii="Times New Roman" w:hAnsi="Times New Roman" w:eastAsia="仿宋_GB2312" w:cs="Times New Roman"/>
          <w:bCs/>
          <w:snapToGrid w:val="0"/>
          <w:color w:val="auto"/>
          <w:kern w:val="0"/>
          <w:sz w:val="24"/>
          <w:szCs w:val="24"/>
        </w:rPr>
        <w:t>根据《中华人民共和国水土保持法》（2011年3月1日）、《生产建设项目水土保持技术标准》（GB50433-2018）关于工程选</w:t>
      </w:r>
      <w:r>
        <w:rPr>
          <w:rFonts w:hint="default" w:ascii="Times New Roman" w:hAnsi="Times New Roman" w:eastAsia="仿宋_GB2312" w:cs="Times New Roman"/>
          <w:bCs/>
          <w:snapToGrid w:val="0"/>
          <w:color w:val="auto"/>
          <w:kern w:val="0"/>
          <w:sz w:val="24"/>
          <w:szCs w:val="24"/>
          <w:lang w:val="en-US" w:eastAsia="zh-CN"/>
        </w:rPr>
        <w:t>址（线）</w:t>
      </w:r>
      <w:r>
        <w:rPr>
          <w:rFonts w:hint="default" w:ascii="Times New Roman" w:hAnsi="Times New Roman" w:eastAsia="仿宋_GB2312" w:cs="Times New Roman"/>
          <w:bCs/>
          <w:snapToGrid w:val="0"/>
          <w:color w:val="auto"/>
          <w:kern w:val="0"/>
          <w:sz w:val="24"/>
          <w:szCs w:val="24"/>
        </w:rPr>
        <w:t>水土保持限制和约束性规定，经现场勘查，结合工程主体设计，对本工程</w:t>
      </w:r>
      <w:r>
        <w:rPr>
          <w:rFonts w:hint="default" w:ascii="Times New Roman" w:hAnsi="Times New Roman" w:eastAsia="仿宋_GB2312" w:cs="Times New Roman"/>
          <w:bCs/>
          <w:snapToGrid w:val="0"/>
          <w:color w:val="auto"/>
          <w:kern w:val="0"/>
          <w:sz w:val="24"/>
          <w:szCs w:val="24"/>
          <w:lang w:val="en-US" w:eastAsia="zh-CN"/>
        </w:rPr>
        <w:t>选址</w:t>
      </w:r>
      <w:r>
        <w:rPr>
          <w:rFonts w:hint="default" w:ascii="Times New Roman" w:hAnsi="Times New Roman" w:eastAsia="仿宋_GB2312" w:cs="Times New Roman"/>
          <w:bCs/>
          <w:snapToGrid w:val="0"/>
          <w:color w:val="auto"/>
          <w:kern w:val="0"/>
          <w:sz w:val="24"/>
          <w:szCs w:val="24"/>
        </w:rPr>
        <w:t>逐条进行分析</w:t>
      </w:r>
      <w:r>
        <w:rPr>
          <w:rFonts w:hint="default" w:ascii="Times New Roman" w:hAnsi="Times New Roman" w:eastAsia="仿宋_GB2312" w:cs="Times New Roman"/>
          <w:color w:val="auto"/>
          <w:sz w:val="24"/>
          <w:szCs w:val="24"/>
        </w:rPr>
        <w:t>。</w:t>
      </w:r>
    </w:p>
    <w:bookmarkEnd w:id="100"/>
    <w:bookmarkEnd w:id="101"/>
    <w:bookmarkEnd w:id="102"/>
    <w:bookmarkEnd w:id="103"/>
    <w:p w14:paraId="5FB5FB56">
      <w:pPr>
        <w:spacing w:line="360" w:lineRule="auto"/>
        <w:ind w:firstLine="480" w:firstLineChars="200"/>
        <w:rPr>
          <w:rFonts w:hint="default" w:ascii="Times New Roman" w:hAnsi="Times New Roman" w:eastAsia="仿宋_GB2312" w:cs="Times New Roman"/>
          <w:color w:val="auto"/>
          <w:kern w:val="0"/>
          <w:szCs w:val="21"/>
        </w:rPr>
      </w:pPr>
      <w:bookmarkStart w:id="104" w:name="_Toc11250881"/>
      <w:bookmarkStart w:id="105" w:name="_Toc16130"/>
      <w:bookmarkStart w:id="106" w:name="_Toc199232765"/>
      <w:bookmarkStart w:id="107" w:name="_Toc276985828"/>
      <w:bookmarkStart w:id="108" w:name="_Toc199934655"/>
      <w:bookmarkStart w:id="109" w:name="_Toc213253083"/>
      <w:bookmarkStart w:id="110" w:name="_Toc212025710"/>
      <w:bookmarkStart w:id="111" w:name="_Toc26775"/>
      <w:r>
        <w:rPr>
          <w:rFonts w:hint="default" w:ascii="Times New Roman" w:hAnsi="Times New Roman" w:eastAsia="仿宋_GB2312" w:cs="Times New Roman"/>
          <w:color w:val="auto"/>
          <w:kern w:val="0"/>
          <w:sz w:val="24"/>
          <w:szCs w:val="24"/>
        </w:rPr>
        <w:t>（1）与《中华人民共和国水土保持法》（2011年3月1日实施）的符合性分析</w:t>
      </w:r>
    </w:p>
    <w:p w14:paraId="49D7BE37">
      <w:pPr>
        <w:ind w:firstLine="2108" w:firstLineChars="1000"/>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2"/>
          <w:sz w:val="21"/>
          <w:szCs w:val="21"/>
        </w:rPr>
        <w:t>表3.1-1</w:t>
      </w:r>
      <w:r>
        <w:rPr>
          <w:rFonts w:hint="default" w:ascii="Times New Roman" w:hAnsi="Times New Roman" w:eastAsia="仿宋_GB2312" w:cs="Times New Roman"/>
          <w:b/>
          <w:color w:val="auto"/>
          <w:kern w:val="2"/>
          <w:sz w:val="21"/>
          <w:szCs w:val="21"/>
          <w:lang w:val="en-US" w:eastAsia="zh-CN"/>
        </w:rPr>
        <w:t xml:space="preserve">  </w:t>
      </w:r>
      <w:r>
        <w:rPr>
          <w:rFonts w:hint="default" w:ascii="Times New Roman" w:hAnsi="Times New Roman" w:eastAsia="仿宋_GB2312" w:cs="Times New Roman"/>
          <w:b/>
          <w:color w:val="auto"/>
          <w:kern w:val="0"/>
          <w:sz w:val="21"/>
          <w:szCs w:val="21"/>
        </w:rPr>
        <w:t>《中华人民共和国水土保持法》符合性对照分析表</w:t>
      </w:r>
    </w:p>
    <w:tbl>
      <w:tblPr>
        <w:tblStyle w:val="18"/>
        <w:tblW w:w="88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4525"/>
        <w:gridCol w:w="3362"/>
        <w:gridCol w:w="985"/>
      </w:tblGrid>
      <w:tr w14:paraId="5203A2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525" w:type="dxa"/>
            <w:vAlign w:val="center"/>
          </w:tcPr>
          <w:p w14:paraId="4206921C">
            <w:pPr>
              <w:widowControl/>
              <w:spacing w:line="240" w:lineRule="auto"/>
              <w:ind w:firstLine="0" w:firstLineChars="0"/>
              <w:jc w:val="center"/>
              <w:textAlignment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0"/>
                <w:sz w:val="18"/>
                <w:szCs w:val="18"/>
              </w:rPr>
              <w:t>《中华人民共和国水土保持法》第三、四章预防与治理规定</w:t>
            </w:r>
          </w:p>
        </w:tc>
        <w:tc>
          <w:tcPr>
            <w:tcW w:w="3362" w:type="dxa"/>
            <w:vAlign w:val="center"/>
          </w:tcPr>
          <w:p w14:paraId="37478616">
            <w:pPr>
              <w:widowControl/>
              <w:spacing w:line="240" w:lineRule="auto"/>
              <w:ind w:firstLine="0" w:firstLineChars="0"/>
              <w:jc w:val="center"/>
              <w:textAlignment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0"/>
                <w:sz w:val="18"/>
                <w:szCs w:val="18"/>
                <w:lang w:eastAsia="zh-CN"/>
              </w:rPr>
              <w:t>本项目</w:t>
            </w:r>
            <w:r>
              <w:rPr>
                <w:rFonts w:hint="default" w:ascii="Times New Roman" w:hAnsi="Times New Roman" w:eastAsia="仿宋_GB2312" w:cs="Times New Roman"/>
                <w:color w:val="auto"/>
                <w:kern w:val="0"/>
                <w:sz w:val="18"/>
                <w:szCs w:val="18"/>
              </w:rPr>
              <w:t>情况</w:t>
            </w:r>
          </w:p>
        </w:tc>
        <w:tc>
          <w:tcPr>
            <w:tcW w:w="985" w:type="dxa"/>
            <w:vAlign w:val="center"/>
          </w:tcPr>
          <w:p w14:paraId="67B69ABC">
            <w:pPr>
              <w:widowControl/>
              <w:spacing w:line="240" w:lineRule="auto"/>
              <w:ind w:firstLine="0" w:firstLineChars="0"/>
              <w:jc w:val="center"/>
              <w:textAlignment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0"/>
                <w:sz w:val="18"/>
                <w:szCs w:val="18"/>
              </w:rPr>
              <w:t>符合性分析</w:t>
            </w:r>
          </w:p>
        </w:tc>
      </w:tr>
      <w:tr w14:paraId="727F40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525" w:type="dxa"/>
            <w:vAlign w:val="center"/>
          </w:tcPr>
          <w:p w14:paraId="3941CC22">
            <w:pPr>
              <w:spacing w:line="240" w:lineRule="auto"/>
              <w:ind w:firstLine="0" w:firstLineChars="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bCs/>
                <w:color w:val="auto"/>
                <w:kern w:val="2"/>
                <w:sz w:val="18"/>
                <w:szCs w:val="18"/>
              </w:rPr>
              <w:t>第十七条：地方各级人民政府应当加强对取土、挖沙、采石等活动的管理，预防和减轻水土流失。禁止在崩塌、滑坡危险区和泥石流易发区从事取土、挖沙、采石等可能造成水土流失的活动。</w:t>
            </w:r>
          </w:p>
        </w:tc>
        <w:tc>
          <w:tcPr>
            <w:tcW w:w="3362" w:type="dxa"/>
            <w:vAlign w:val="center"/>
          </w:tcPr>
          <w:p w14:paraId="3131B55A">
            <w:pPr>
              <w:spacing w:line="240" w:lineRule="auto"/>
              <w:ind w:firstLine="0" w:firstLineChars="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bCs/>
                <w:color w:val="auto"/>
                <w:kern w:val="2"/>
                <w:sz w:val="18"/>
                <w:szCs w:val="18"/>
              </w:rPr>
              <w:t>本项目建设不涉及取土、挖沙、采石活动</w:t>
            </w:r>
          </w:p>
        </w:tc>
        <w:tc>
          <w:tcPr>
            <w:tcW w:w="985" w:type="dxa"/>
            <w:vAlign w:val="center"/>
          </w:tcPr>
          <w:p w14:paraId="559AD318">
            <w:pPr>
              <w:widowControl/>
              <w:spacing w:line="240" w:lineRule="auto"/>
              <w:ind w:firstLine="0" w:firstLineChars="0"/>
              <w:jc w:val="center"/>
              <w:textAlignment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color w:val="auto"/>
                <w:kern w:val="0"/>
                <w:sz w:val="18"/>
                <w:szCs w:val="18"/>
              </w:rPr>
              <w:t>符合</w:t>
            </w:r>
          </w:p>
        </w:tc>
      </w:tr>
      <w:tr w14:paraId="0BDB60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525" w:type="dxa"/>
            <w:vAlign w:val="center"/>
          </w:tcPr>
          <w:p w14:paraId="7333B60A">
            <w:pPr>
              <w:spacing w:line="240" w:lineRule="auto"/>
              <w:ind w:firstLine="0" w:firstLineChars="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bCs/>
                <w:color w:val="auto"/>
                <w:kern w:val="2"/>
                <w:sz w:val="18"/>
                <w:szCs w:val="18"/>
              </w:rPr>
              <w:t>第十八条：水土流失严重、生态脆弱的地区，应当限制或者禁止可能造成水土流失的生产建设活动，严格保护植物、砂壳、结皮、地衣等。</w:t>
            </w:r>
          </w:p>
        </w:tc>
        <w:tc>
          <w:tcPr>
            <w:tcW w:w="3362" w:type="dxa"/>
            <w:vAlign w:val="center"/>
          </w:tcPr>
          <w:p w14:paraId="6F6EA418">
            <w:pPr>
              <w:spacing w:line="240" w:lineRule="auto"/>
              <w:ind w:firstLine="0" w:firstLineChars="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bCs/>
                <w:color w:val="auto"/>
                <w:kern w:val="2"/>
                <w:sz w:val="18"/>
                <w:szCs w:val="18"/>
              </w:rPr>
              <w:t>本项目不属于水土流失严重、生态脆弱的地区</w:t>
            </w:r>
          </w:p>
        </w:tc>
        <w:tc>
          <w:tcPr>
            <w:tcW w:w="985" w:type="dxa"/>
            <w:vAlign w:val="center"/>
          </w:tcPr>
          <w:p w14:paraId="19361BDB">
            <w:pPr>
              <w:widowControl/>
              <w:spacing w:line="240" w:lineRule="auto"/>
              <w:ind w:firstLine="0" w:firstLineChars="0"/>
              <w:jc w:val="center"/>
              <w:textAlignment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color w:val="auto"/>
                <w:kern w:val="0"/>
                <w:sz w:val="18"/>
                <w:szCs w:val="18"/>
              </w:rPr>
              <w:t>符合</w:t>
            </w:r>
          </w:p>
        </w:tc>
      </w:tr>
      <w:tr w14:paraId="5B5E53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662" w:hRule="atLeast"/>
          <w:jc w:val="center"/>
        </w:trPr>
        <w:tc>
          <w:tcPr>
            <w:tcW w:w="4525" w:type="dxa"/>
            <w:vAlign w:val="center"/>
          </w:tcPr>
          <w:p w14:paraId="053A40B0">
            <w:pPr>
              <w:widowControl/>
              <w:ind w:firstLine="0" w:firstLineChars="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color w:val="auto"/>
                <w:kern w:val="0"/>
                <w:sz w:val="18"/>
                <w:szCs w:val="18"/>
                <w:lang w:bidi="ar"/>
              </w:rPr>
              <w:t>第二十条：在25度以上陡坡地实施的农林开发项目方案不予批准</w:t>
            </w:r>
          </w:p>
        </w:tc>
        <w:tc>
          <w:tcPr>
            <w:tcW w:w="3362" w:type="dxa"/>
            <w:vAlign w:val="center"/>
          </w:tcPr>
          <w:p w14:paraId="75AA1FF4">
            <w:pPr>
              <w:widowControl/>
              <w:ind w:firstLine="0" w:firstLineChars="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color w:val="auto"/>
                <w:kern w:val="0"/>
                <w:sz w:val="18"/>
                <w:szCs w:val="18"/>
                <w:lang w:bidi="ar"/>
              </w:rPr>
              <w:t>该项目不属于在25°以上陡坡地实施的农林开发项目</w:t>
            </w:r>
          </w:p>
        </w:tc>
        <w:tc>
          <w:tcPr>
            <w:tcW w:w="985" w:type="dxa"/>
            <w:vAlign w:val="center"/>
          </w:tcPr>
          <w:p w14:paraId="31AEAD24">
            <w:pPr>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bCs/>
                <w:color w:val="auto"/>
                <w:kern w:val="2"/>
                <w:sz w:val="18"/>
                <w:szCs w:val="18"/>
              </w:rPr>
              <w:t>不涉及</w:t>
            </w:r>
          </w:p>
        </w:tc>
      </w:tr>
      <w:tr w14:paraId="69C3FC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22" w:hRule="atLeast"/>
          <w:jc w:val="center"/>
        </w:trPr>
        <w:tc>
          <w:tcPr>
            <w:tcW w:w="4525" w:type="dxa"/>
            <w:vAlign w:val="center"/>
          </w:tcPr>
          <w:p w14:paraId="254B5596">
            <w:pPr>
              <w:spacing w:line="240" w:lineRule="auto"/>
              <w:ind w:firstLine="0" w:firstLineChars="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bCs/>
                <w:color w:val="auto"/>
                <w:kern w:val="2"/>
                <w:sz w:val="18"/>
                <w:szCs w:val="18"/>
              </w:rPr>
              <w:t>第二十四条：生产建设项目选址、选线应当避让水土流失重点预防区和重点治理区；无法避让的，应当提高防治标准，优化施工工艺，减少地表扰动和植被损坏范围，有效控制可能造成的水土流失</w:t>
            </w:r>
          </w:p>
        </w:tc>
        <w:tc>
          <w:tcPr>
            <w:tcW w:w="3362" w:type="dxa"/>
            <w:vAlign w:val="center"/>
          </w:tcPr>
          <w:p w14:paraId="6B6AFB9C">
            <w:pPr>
              <w:spacing w:line="240" w:lineRule="auto"/>
              <w:ind w:firstLine="0" w:firstLineChars="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bCs/>
                <w:color w:val="auto"/>
                <w:kern w:val="2"/>
                <w:sz w:val="18"/>
                <w:szCs w:val="18"/>
              </w:rPr>
              <w:t>项目所在地属于</w:t>
            </w:r>
            <w:r>
              <w:rPr>
                <w:rFonts w:hint="default" w:ascii="Times New Roman" w:hAnsi="Times New Roman" w:eastAsia="仿宋_GB2312" w:cs="Times New Roman"/>
                <w:bCs/>
                <w:color w:val="auto"/>
                <w:kern w:val="0"/>
                <w:sz w:val="18"/>
                <w:szCs w:val="18"/>
              </w:rPr>
              <w:t>国家级水土流失重点</w:t>
            </w:r>
            <w:r>
              <w:rPr>
                <w:rFonts w:hint="default" w:ascii="Times New Roman" w:hAnsi="Times New Roman" w:eastAsia="仿宋_GB2312" w:cs="Times New Roman"/>
                <w:bCs/>
                <w:color w:val="auto"/>
                <w:kern w:val="0"/>
                <w:sz w:val="18"/>
                <w:szCs w:val="18"/>
                <w:lang w:eastAsia="zh-CN"/>
              </w:rPr>
              <w:t>治理</w:t>
            </w:r>
            <w:r>
              <w:rPr>
                <w:rFonts w:hint="default" w:ascii="Times New Roman" w:hAnsi="Times New Roman" w:eastAsia="仿宋_GB2312" w:cs="Times New Roman"/>
                <w:bCs/>
                <w:color w:val="auto"/>
                <w:kern w:val="0"/>
                <w:sz w:val="18"/>
                <w:szCs w:val="18"/>
              </w:rPr>
              <w:t>区</w:t>
            </w:r>
            <w:r>
              <w:rPr>
                <w:rFonts w:hint="default" w:ascii="Times New Roman" w:hAnsi="Times New Roman" w:eastAsia="仿宋_GB2312" w:cs="Times New Roman"/>
                <w:bCs/>
                <w:color w:val="auto"/>
                <w:kern w:val="2"/>
                <w:sz w:val="18"/>
                <w:szCs w:val="18"/>
              </w:rPr>
              <w:t>（</w:t>
            </w:r>
            <w:r>
              <w:rPr>
                <w:rFonts w:hint="default" w:ascii="Times New Roman" w:hAnsi="Times New Roman" w:eastAsia="仿宋_GB2312" w:cs="Times New Roman"/>
                <w:bCs/>
                <w:color w:val="auto"/>
                <w:kern w:val="0"/>
                <w:sz w:val="18"/>
                <w:szCs w:val="18"/>
                <w:lang w:eastAsia="zh-CN"/>
              </w:rPr>
              <w:t>嘉陵江及沱江中下游国家级水土流失重点治理区</w:t>
            </w:r>
            <w:r>
              <w:rPr>
                <w:rFonts w:hint="default" w:ascii="Times New Roman" w:hAnsi="Times New Roman" w:eastAsia="仿宋_GB2312" w:cs="Times New Roman"/>
                <w:bCs/>
                <w:color w:val="auto"/>
                <w:kern w:val="2"/>
                <w:sz w:val="18"/>
                <w:szCs w:val="18"/>
              </w:rPr>
              <w:t>），工程建设无法避让，本方案采用</w:t>
            </w:r>
            <w:r>
              <w:rPr>
                <w:rFonts w:hint="default" w:ascii="Times New Roman" w:hAnsi="Times New Roman" w:eastAsia="仿宋_GB2312" w:cs="Times New Roman"/>
                <w:bCs/>
                <w:sz w:val="18"/>
                <w:szCs w:val="18"/>
              </w:rPr>
              <w:t>西南紫色土区</w:t>
            </w:r>
            <w:r>
              <w:rPr>
                <w:rFonts w:hint="default" w:ascii="Times New Roman" w:hAnsi="Times New Roman" w:eastAsia="仿宋_GB2312" w:cs="Times New Roman"/>
                <w:bCs/>
                <w:color w:val="auto"/>
                <w:kern w:val="2"/>
                <w:sz w:val="18"/>
                <w:szCs w:val="18"/>
              </w:rPr>
              <w:t>一级标准</w:t>
            </w:r>
          </w:p>
        </w:tc>
        <w:tc>
          <w:tcPr>
            <w:tcW w:w="985" w:type="dxa"/>
            <w:vAlign w:val="center"/>
          </w:tcPr>
          <w:p w14:paraId="669CE6E9">
            <w:pPr>
              <w:widowControl/>
              <w:spacing w:line="240" w:lineRule="auto"/>
              <w:ind w:firstLine="0" w:firstLineChars="0"/>
              <w:jc w:val="center"/>
              <w:textAlignment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color w:val="auto"/>
                <w:kern w:val="0"/>
                <w:sz w:val="18"/>
                <w:szCs w:val="18"/>
              </w:rPr>
              <w:t>符合</w:t>
            </w:r>
          </w:p>
        </w:tc>
      </w:tr>
      <w:tr w14:paraId="2862D6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525" w:type="dxa"/>
            <w:vAlign w:val="center"/>
          </w:tcPr>
          <w:p w14:paraId="732A6BBD">
            <w:pPr>
              <w:spacing w:line="240" w:lineRule="exact"/>
              <w:ind w:firstLine="36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color w:val="auto"/>
                <w:kern w:val="2"/>
                <w:sz w:val="18"/>
                <w:szCs w:val="18"/>
              </w:rPr>
              <w:t>第二十五条 在山区、丘陵区、风沙区以及水土保持规划确定的容易发生水土流失的其他区域开办可能造成水土流失的生产建设项目，生产建设单位应当编制水土保持方案，报区级以上人民政府水行政主管部门审批，并按照经批准的水土保持方案，采取水土流失预防和治理措施。没有能力编制水土保持方案的，应当委托具备相应技术条件的机构编制</w:t>
            </w:r>
          </w:p>
        </w:tc>
        <w:tc>
          <w:tcPr>
            <w:tcW w:w="3362" w:type="dxa"/>
            <w:vAlign w:val="center"/>
          </w:tcPr>
          <w:p w14:paraId="44DE19A3">
            <w:pPr>
              <w:spacing w:line="240" w:lineRule="exact"/>
              <w:ind w:firstLine="360" w:firstLineChars="20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color w:val="auto"/>
                <w:kern w:val="2"/>
                <w:sz w:val="18"/>
                <w:szCs w:val="18"/>
              </w:rPr>
              <w:t>项目建设单位已委托我公司编制水土保持方案</w:t>
            </w:r>
          </w:p>
        </w:tc>
        <w:tc>
          <w:tcPr>
            <w:tcW w:w="985" w:type="dxa"/>
            <w:vAlign w:val="center"/>
          </w:tcPr>
          <w:p w14:paraId="7D6640B4">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bCs/>
                <w:color w:val="auto"/>
                <w:kern w:val="2"/>
                <w:sz w:val="18"/>
                <w:szCs w:val="18"/>
              </w:rPr>
              <w:t>符合</w:t>
            </w:r>
          </w:p>
        </w:tc>
      </w:tr>
      <w:tr w14:paraId="7A52E4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525" w:type="dxa"/>
            <w:vAlign w:val="center"/>
          </w:tcPr>
          <w:p w14:paraId="6D9EDA69">
            <w:pPr>
              <w:ind w:firstLine="360" w:firstLineChars="200"/>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sz w:val="18"/>
                <w:szCs w:val="18"/>
              </w:rPr>
              <w:t>第二十七条：依法应当编制水土保持方案的生产建设项目中的水土保持设施，应当与主体工程同时设计、同时施工、同时投产使用；生产建设项目竣工验收，应当验收水土保持设施；水土保持设施未经验收或者验收不合格的，生产建设项目不得投产使用</w:t>
            </w:r>
          </w:p>
        </w:tc>
        <w:tc>
          <w:tcPr>
            <w:tcW w:w="3362" w:type="dxa"/>
            <w:vAlign w:val="center"/>
          </w:tcPr>
          <w:p w14:paraId="6C6EF4ED">
            <w:pPr>
              <w:ind w:firstLine="360" w:firstLineChars="200"/>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sz w:val="18"/>
                <w:szCs w:val="18"/>
              </w:rPr>
              <w:t>本方案提出了相关要求</w:t>
            </w:r>
          </w:p>
        </w:tc>
        <w:tc>
          <w:tcPr>
            <w:tcW w:w="985" w:type="dxa"/>
            <w:vAlign w:val="center"/>
          </w:tcPr>
          <w:p w14:paraId="6F30FB9C">
            <w:pPr>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color w:val="auto"/>
                <w:sz w:val="18"/>
                <w:szCs w:val="18"/>
              </w:rPr>
              <w:t>符合</w:t>
            </w:r>
          </w:p>
        </w:tc>
      </w:tr>
      <w:tr w14:paraId="187EA3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525" w:type="dxa"/>
            <w:vAlign w:val="center"/>
          </w:tcPr>
          <w:p w14:paraId="602178B6">
            <w:pPr>
              <w:spacing w:line="240" w:lineRule="exact"/>
              <w:ind w:firstLine="36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color w:val="auto"/>
                <w:kern w:val="2"/>
                <w:sz w:val="18"/>
                <w:szCs w:val="18"/>
              </w:rPr>
              <w:t>第二十八条：依法应当编制水土保持方案的生产建设项目，其生产建设活动中排弃的砂、石、土、矸石、尾矿、废渣等应当综合利用；不能综合利用，确需废弃的，应当堆放在水土保持方案确定的专门存放地，并采取措施保证不产生新的危害</w:t>
            </w:r>
          </w:p>
        </w:tc>
        <w:tc>
          <w:tcPr>
            <w:tcW w:w="3362" w:type="dxa"/>
            <w:vAlign w:val="center"/>
          </w:tcPr>
          <w:p w14:paraId="71270091">
            <w:pPr>
              <w:spacing w:line="240" w:lineRule="exact"/>
              <w:ind w:firstLine="360"/>
              <w:jc w:val="center"/>
              <w:rPr>
                <w:rFonts w:hint="default" w:ascii="Times New Roman" w:hAnsi="Times New Roman" w:eastAsia="仿宋_GB2312" w:cs="Times New Roman"/>
                <w:bCs/>
                <w:color w:val="auto"/>
                <w:kern w:val="2"/>
                <w:sz w:val="18"/>
                <w:szCs w:val="18"/>
                <w:lang w:eastAsia="zh-CN"/>
              </w:rPr>
            </w:pPr>
            <w:r>
              <w:rPr>
                <w:rFonts w:hint="default" w:ascii="Times New Roman" w:hAnsi="Times New Roman" w:eastAsia="仿宋_GB2312" w:cs="Times New Roman"/>
                <w:color w:val="auto"/>
                <w:kern w:val="2"/>
                <w:sz w:val="18"/>
                <w:szCs w:val="18"/>
              </w:rPr>
              <w:t>本项目剥离的表土</w:t>
            </w:r>
            <w:r>
              <w:rPr>
                <w:rFonts w:hint="default" w:ascii="Times New Roman" w:hAnsi="Times New Roman" w:eastAsia="仿宋_GB2312" w:cs="Times New Roman"/>
                <w:color w:val="auto"/>
                <w:kern w:val="2"/>
                <w:sz w:val="18"/>
                <w:szCs w:val="18"/>
                <w:lang w:val="en-US" w:eastAsia="zh-CN"/>
              </w:rPr>
              <w:t>就近堆存</w:t>
            </w:r>
            <w:r>
              <w:rPr>
                <w:rFonts w:hint="default" w:ascii="Times New Roman" w:hAnsi="Times New Roman" w:eastAsia="仿宋_GB2312" w:cs="Times New Roman"/>
                <w:color w:val="auto"/>
                <w:kern w:val="2"/>
                <w:sz w:val="18"/>
                <w:szCs w:val="18"/>
              </w:rPr>
              <w:t>并布设水土保持措施、用于后期绿化覆土；开挖产生土石方及时回填，</w:t>
            </w:r>
            <w:r>
              <w:rPr>
                <w:rFonts w:hint="default" w:ascii="Times New Roman" w:hAnsi="Times New Roman" w:eastAsia="仿宋_GB2312" w:cs="Times New Roman"/>
                <w:color w:val="auto"/>
                <w:kern w:val="2"/>
                <w:sz w:val="18"/>
                <w:szCs w:val="18"/>
                <w:lang w:eastAsia="zh-CN"/>
              </w:rPr>
              <w:t>后期进行绿化以减少水土流失</w:t>
            </w:r>
          </w:p>
        </w:tc>
        <w:tc>
          <w:tcPr>
            <w:tcW w:w="985" w:type="dxa"/>
            <w:vAlign w:val="center"/>
          </w:tcPr>
          <w:p w14:paraId="10AFBEB3">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bCs/>
                <w:color w:val="auto"/>
                <w:kern w:val="2"/>
                <w:sz w:val="18"/>
                <w:szCs w:val="18"/>
              </w:rPr>
              <w:t>符合</w:t>
            </w:r>
          </w:p>
        </w:tc>
      </w:tr>
      <w:tr w14:paraId="687842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1641" w:hRule="atLeast"/>
          <w:jc w:val="center"/>
        </w:trPr>
        <w:tc>
          <w:tcPr>
            <w:tcW w:w="4525" w:type="dxa"/>
            <w:vAlign w:val="center"/>
          </w:tcPr>
          <w:p w14:paraId="178710AB">
            <w:pPr>
              <w:ind w:firstLine="36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color w:val="auto"/>
                <w:kern w:val="2"/>
                <w:sz w:val="18"/>
                <w:szCs w:val="18"/>
              </w:rPr>
              <w:t>第三十二条：开办生产建设项目或者从事其他生产建设活动造成水土流失的，应当进行治理。在山区、丘陵区、风沙区以及水土保持规划确定的容易发生水土流失的其他区域开办生产建设项目或从事其他生产建设活动，损坏水土保持设施、地貌植被，不能恢复原有水土保持功能的，应当缴纳水土保持补偿费，专项用于水土流失预防和治理</w:t>
            </w:r>
          </w:p>
        </w:tc>
        <w:tc>
          <w:tcPr>
            <w:tcW w:w="3362" w:type="dxa"/>
            <w:vAlign w:val="center"/>
          </w:tcPr>
          <w:p w14:paraId="36EBB5EC">
            <w:pPr>
              <w:ind w:left="180" w:hanging="180" w:hangingChars="100"/>
              <w:jc w:val="center"/>
              <w:rPr>
                <w:rFonts w:hint="default" w:ascii="Times New Roman" w:hAnsi="Times New Roman" w:eastAsia="仿宋_GB2312" w:cs="Times New Roman"/>
                <w:bCs/>
                <w:color w:val="auto"/>
                <w:kern w:val="2"/>
                <w:sz w:val="18"/>
                <w:szCs w:val="18"/>
                <w:lang w:val="en-US"/>
              </w:rPr>
            </w:pPr>
            <w:r>
              <w:rPr>
                <w:rFonts w:hint="default" w:ascii="Times New Roman" w:hAnsi="Times New Roman" w:eastAsia="仿宋_GB2312" w:cs="Times New Roman"/>
                <w:bCs/>
                <w:color w:val="auto"/>
                <w:kern w:val="2"/>
                <w:sz w:val="18"/>
                <w:szCs w:val="18"/>
                <w:lang w:val="en-US" w:eastAsia="zh-CN"/>
              </w:rPr>
              <w:t xml:space="preserve">  </w:t>
            </w:r>
            <w:r>
              <w:rPr>
                <w:rFonts w:hint="default" w:ascii="Times New Roman" w:hAnsi="Times New Roman" w:eastAsia="仿宋_GB2312" w:cs="Times New Roman"/>
                <w:bCs/>
                <w:color w:val="auto"/>
                <w:kern w:val="2"/>
                <w:sz w:val="18"/>
                <w:szCs w:val="18"/>
              </w:rPr>
              <w:t>工程建设扰动了地表，</w:t>
            </w:r>
            <w:r>
              <w:rPr>
                <w:rFonts w:hint="default" w:ascii="Times New Roman" w:hAnsi="Times New Roman" w:eastAsia="仿宋_GB2312" w:cs="Times New Roman"/>
                <w:bCs/>
                <w:color w:val="auto"/>
                <w:kern w:val="2"/>
                <w:sz w:val="18"/>
                <w:szCs w:val="18"/>
                <w:lang w:val="en-US" w:eastAsia="zh-CN"/>
              </w:rPr>
              <w:t>工程建设采取了一系列水土保持措施同时后期进行植被恢复以减少水土流失，后期缴纳水土保持补偿费</w:t>
            </w:r>
          </w:p>
        </w:tc>
        <w:tc>
          <w:tcPr>
            <w:tcW w:w="985" w:type="dxa"/>
            <w:vAlign w:val="center"/>
          </w:tcPr>
          <w:p w14:paraId="7513B0E8">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bCs/>
                <w:color w:val="auto"/>
                <w:kern w:val="2"/>
                <w:sz w:val="18"/>
                <w:szCs w:val="18"/>
              </w:rPr>
              <w:t>符合</w:t>
            </w:r>
          </w:p>
        </w:tc>
      </w:tr>
      <w:tr w14:paraId="4CA3A3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525" w:type="dxa"/>
            <w:vAlign w:val="center"/>
          </w:tcPr>
          <w:p w14:paraId="00841BF1">
            <w:pPr>
              <w:ind w:firstLine="36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color w:val="auto"/>
                <w:kern w:val="0"/>
                <w:sz w:val="18"/>
                <w:szCs w:val="18"/>
                <w:lang w:bidi="ar"/>
              </w:rPr>
              <w:t>第三十八条：对生产建设活动所占用土地的地表土应当进行分层剥离、保存和利用，做到土石方挖填平衡，减少地表扰动范围；对废弃的沙、石、土、矸石、尾矿、废渣等存放地，应当采取拦挡、坡面防护、防洪排导等措施。生产建设活动结束后应当及时在取土场、开挖面和存放地的裸露土地上种树植草、恢复植被</w:t>
            </w:r>
          </w:p>
        </w:tc>
        <w:tc>
          <w:tcPr>
            <w:tcW w:w="3362" w:type="dxa"/>
            <w:vAlign w:val="center"/>
          </w:tcPr>
          <w:p w14:paraId="30AA14F5">
            <w:pPr>
              <w:widowControl/>
              <w:ind w:firstLine="0" w:firstLineChars="0"/>
              <w:jc w:val="center"/>
              <w:rPr>
                <w:rFonts w:hint="default" w:ascii="Times New Roman" w:hAnsi="Times New Roman" w:eastAsia="仿宋_GB2312" w:cs="Times New Roman"/>
                <w:bCs/>
                <w:color w:val="auto"/>
                <w:kern w:val="2"/>
                <w:sz w:val="18"/>
                <w:szCs w:val="18"/>
                <w:lang w:val="en-US" w:eastAsia="zh-CN"/>
              </w:rPr>
            </w:pPr>
            <w:r>
              <w:rPr>
                <w:rFonts w:hint="default" w:ascii="Times New Roman" w:hAnsi="Times New Roman" w:eastAsia="仿宋_GB2312" w:cs="Times New Roman"/>
                <w:color w:val="auto"/>
                <w:kern w:val="2"/>
                <w:sz w:val="18"/>
                <w:szCs w:val="18"/>
              </w:rPr>
              <w:t>本项目属</w:t>
            </w:r>
            <w:r>
              <w:rPr>
                <w:rFonts w:hint="default" w:ascii="Times New Roman" w:hAnsi="Times New Roman" w:eastAsia="仿宋_GB2312" w:cs="Times New Roman"/>
                <w:color w:val="auto"/>
                <w:kern w:val="2"/>
                <w:sz w:val="18"/>
                <w:szCs w:val="18"/>
                <w:lang w:eastAsia="zh-CN"/>
              </w:rPr>
              <w:t>新</w:t>
            </w:r>
            <w:r>
              <w:rPr>
                <w:rFonts w:hint="default" w:ascii="Times New Roman" w:hAnsi="Times New Roman" w:eastAsia="仿宋_GB2312" w:cs="Times New Roman"/>
                <w:color w:val="auto"/>
                <w:kern w:val="2"/>
                <w:sz w:val="18"/>
                <w:szCs w:val="18"/>
              </w:rPr>
              <w:t>建建设类工程，具备表土剥离条件。</w:t>
            </w:r>
            <w:r>
              <w:rPr>
                <w:rFonts w:hint="default" w:ascii="Times New Roman" w:hAnsi="Times New Roman" w:eastAsia="仿宋_GB2312" w:cs="Times New Roman"/>
                <w:color w:val="auto"/>
                <w:kern w:val="2"/>
                <w:sz w:val="18"/>
                <w:szCs w:val="18"/>
                <w:lang w:eastAsia="zh-CN"/>
              </w:rPr>
              <w:t>本项目</w:t>
            </w:r>
            <w:r>
              <w:rPr>
                <w:rFonts w:hint="default" w:ascii="Times New Roman" w:hAnsi="Times New Roman" w:eastAsia="仿宋_GB2312" w:cs="Times New Roman"/>
                <w:color w:val="auto"/>
                <w:kern w:val="2"/>
                <w:sz w:val="18"/>
                <w:szCs w:val="18"/>
                <w:lang w:val="en-US" w:eastAsia="zh-CN"/>
              </w:rPr>
              <w:t>已</w:t>
            </w:r>
            <w:r>
              <w:rPr>
                <w:rFonts w:hint="default" w:ascii="Times New Roman" w:hAnsi="Times New Roman" w:eastAsia="仿宋_GB2312" w:cs="Times New Roman"/>
                <w:color w:val="auto"/>
                <w:kern w:val="2"/>
                <w:sz w:val="18"/>
                <w:szCs w:val="18"/>
              </w:rPr>
              <w:t>进行表土剥离，</w:t>
            </w:r>
            <w:r>
              <w:rPr>
                <w:rFonts w:hint="default" w:ascii="Times New Roman" w:hAnsi="Times New Roman" w:eastAsia="仿宋_GB2312" w:cs="Times New Roman"/>
                <w:color w:val="auto"/>
                <w:sz w:val="18"/>
                <w:szCs w:val="18"/>
              </w:rPr>
              <w:t>对所剥离表土统一管理、根据就近原则及完工后的覆土需求剥离表土堆放在项目红线范围内</w:t>
            </w:r>
            <w:r>
              <w:rPr>
                <w:rFonts w:hint="default" w:ascii="Times New Roman" w:hAnsi="Times New Roman" w:eastAsia="仿宋_GB2312" w:cs="Times New Roman"/>
                <w:color w:val="auto"/>
                <w:kern w:val="2"/>
                <w:sz w:val="18"/>
                <w:szCs w:val="18"/>
              </w:rPr>
              <w:t>；本项目</w:t>
            </w:r>
            <w:r>
              <w:rPr>
                <w:rFonts w:hint="default" w:ascii="Times New Roman" w:hAnsi="Times New Roman" w:eastAsia="仿宋_GB2312" w:cs="Times New Roman"/>
                <w:color w:val="auto"/>
                <w:kern w:val="2"/>
                <w:sz w:val="18"/>
                <w:szCs w:val="18"/>
                <w:lang w:val="en-US" w:eastAsia="zh-CN"/>
              </w:rPr>
              <w:t>无废弃土石方</w:t>
            </w:r>
          </w:p>
        </w:tc>
        <w:tc>
          <w:tcPr>
            <w:tcW w:w="985" w:type="dxa"/>
            <w:vAlign w:val="center"/>
          </w:tcPr>
          <w:p w14:paraId="19F3FD0F">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bCs/>
                <w:color w:val="auto"/>
                <w:kern w:val="2"/>
                <w:sz w:val="18"/>
                <w:szCs w:val="18"/>
              </w:rPr>
              <w:t>符合</w:t>
            </w:r>
          </w:p>
        </w:tc>
      </w:tr>
    </w:tbl>
    <w:p w14:paraId="0A210CE8">
      <w:pPr>
        <w:spacing w:before="120" w:beforeLines="50" w:line="360" w:lineRule="auto"/>
        <w:ind w:firstLine="420" w:firstLineChars="200"/>
        <w:rPr>
          <w:rFonts w:hint="default" w:ascii="Times New Roman" w:hAnsi="Times New Roman" w:eastAsia="仿宋_GB2312" w:cs="Times New Roman"/>
          <w:b/>
          <w:bCs/>
          <w:color w:val="auto"/>
          <w:kern w:val="0"/>
          <w:szCs w:val="21"/>
        </w:rPr>
      </w:pPr>
      <w:r>
        <w:rPr>
          <w:rFonts w:hint="default" w:ascii="Times New Roman" w:hAnsi="Times New Roman" w:eastAsia="仿宋_GB2312" w:cs="Times New Roman"/>
          <w:color w:val="auto"/>
          <w:kern w:val="0"/>
          <w:szCs w:val="21"/>
        </w:rPr>
        <w:t>（</w:t>
      </w:r>
      <w:r>
        <w:rPr>
          <w:rFonts w:hint="default" w:ascii="Times New Roman" w:hAnsi="Times New Roman" w:eastAsia="仿宋_GB2312" w:cs="Times New Roman"/>
          <w:color w:val="auto"/>
          <w:kern w:val="0"/>
          <w:szCs w:val="21"/>
          <w:lang w:val="en-US" w:eastAsia="zh-CN"/>
        </w:rPr>
        <w:t>2</w:t>
      </w:r>
      <w:r>
        <w:rPr>
          <w:rFonts w:hint="default" w:ascii="Times New Roman" w:hAnsi="Times New Roman" w:eastAsia="仿宋_GB2312" w:cs="Times New Roman"/>
          <w:color w:val="auto"/>
          <w:kern w:val="0"/>
          <w:szCs w:val="21"/>
        </w:rPr>
        <w:t>）与《生产建设项目水土保持技术标准》（GB50433-2018）的符合性分析</w:t>
      </w:r>
    </w:p>
    <w:p w14:paraId="23838BC2">
      <w:pPr>
        <w:spacing w:line="360" w:lineRule="auto"/>
        <w:ind w:firstLine="0" w:firstLineChars="0"/>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表3.1-2</w:t>
      </w:r>
      <w:r>
        <w:rPr>
          <w:rFonts w:hint="default" w:ascii="Times New Roman" w:hAnsi="Times New Roman" w:eastAsia="仿宋_GB2312" w:cs="Times New Roman"/>
          <w:b/>
          <w:color w:val="auto"/>
          <w:kern w:val="0"/>
          <w:sz w:val="21"/>
          <w:szCs w:val="21"/>
          <w:lang w:val="en-US" w:eastAsia="zh-CN"/>
        </w:rPr>
        <w:t xml:space="preserve">  </w:t>
      </w:r>
      <w:r>
        <w:rPr>
          <w:rFonts w:hint="default" w:ascii="Times New Roman" w:hAnsi="Times New Roman" w:eastAsia="仿宋_GB2312" w:cs="Times New Roman"/>
          <w:b/>
          <w:color w:val="auto"/>
          <w:kern w:val="0"/>
          <w:sz w:val="21"/>
          <w:szCs w:val="21"/>
        </w:rPr>
        <w:t>《生产建设项目水土保持技术标准》（GB50433-2018）符合性对照分析表</w:t>
      </w:r>
    </w:p>
    <w:tbl>
      <w:tblPr>
        <w:tblStyle w:val="1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4066"/>
        <w:gridCol w:w="3061"/>
        <w:gridCol w:w="1151"/>
      </w:tblGrid>
      <w:tr w14:paraId="6DFF5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46" w:type="pct"/>
            <w:vAlign w:val="center"/>
          </w:tcPr>
          <w:p w14:paraId="65294911">
            <w:pPr>
              <w:spacing w:line="240" w:lineRule="auto"/>
              <w:ind w:firstLine="0" w:firstLineChars="0"/>
              <w:jc w:val="center"/>
              <w:textAlignment w:val="baseline"/>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项目</w:t>
            </w:r>
          </w:p>
        </w:tc>
        <w:tc>
          <w:tcPr>
            <w:tcW w:w="2236" w:type="pct"/>
            <w:vAlign w:val="center"/>
          </w:tcPr>
          <w:p w14:paraId="25D3B15B">
            <w:pPr>
              <w:spacing w:line="240" w:lineRule="auto"/>
              <w:ind w:firstLine="0" w:firstLineChars="0"/>
              <w:jc w:val="center"/>
              <w:textAlignment w:val="baseline"/>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约束性规定</w:t>
            </w:r>
          </w:p>
        </w:tc>
        <w:tc>
          <w:tcPr>
            <w:tcW w:w="1683" w:type="pct"/>
            <w:vAlign w:val="center"/>
          </w:tcPr>
          <w:p w14:paraId="77B231DE">
            <w:pPr>
              <w:spacing w:line="240" w:lineRule="auto"/>
              <w:ind w:firstLine="0" w:firstLineChars="0"/>
              <w:jc w:val="center"/>
              <w:textAlignment w:val="baseline"/>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分析意见</w:t>
            </w:r>
          </w:p>
        </w:tc>
        <w:tc>
          <w:tcPr>
            <w:tcW w:w="633" w:type="pct"/>
            <w:vAlign w:val="center"/>
          </w:tcPr>
          <w:p w14:paraId="5CEA6766">
            <w:pPr>
              <w:spacing w:line="240" w:lineRule="auto"/>
              <w:ind w:firstLine="0" w:firstLineChars="0"/>
              <w:jc w:val="center"/>
              <w:textAlignment w:val="baseline"/>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符合性分析</w:t>
            </w:r>
          </w:p>
        </w:tc>
      </w:tr>
      <w:tr w14:paraId="1A25F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pct"/>
            <w:vMerge w:val="restart"/>
            <w:vAlign w:val="center"/>
          </w:tcPr>
          <w:p w14:paraId="307FF75E">
            <w:pPr>
              <w:spacing w:line="240" w:lineRule="auto"/>
              <w:ind w:firstLine="0" w:firstLineChars="0"/>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主体工程选址</w:t>
            </w:r>
          </w:p>
        </w:tc>
        <w:tc>
          <w:tcPr>
            <w:tcW w:w="2236" w:type="pct"/>
            <w:vAlign w:val="center"/>
          </w:tcPr>
          <w:p w14:paraId="2330C850">
            <w:pPr>
              <w:spacing w:line="240" w:lineRule="auto"/>
              <w:ind w:firstLine="0" w:firstLineChars="0"/>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1、应避让水土流失重点预防区和重点治理区</w:t>
            </w:r>
          </w:p>
        </w:tc>
        <w:tc>
          <w:tcPr>
            <w:tcW w:w="1683" w:type="pct"/>
            <w:vAlign w:val="center"/>
          </w:tcPr>
          <w:p w14:paraId="6B8C92A8">
            <w:pPr>
              <w:spacing w:line="240" w:lineRule="auto"/>
              <w:ind w:firstLine="0" w:firstLineChars="0"/>
              <w:jc w:val="center"/>
              <w:textAlignment w:val="baseline"/>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项目所在地属于</w:t>
            </w:r>
            <w:r>
              <w:rPr>
                <w:rFonts w:hint="default" w:ascii="Times New Roman" w:hAnsi="Times New Roman" w:eastAsia="仿宋_GB2312" w:cs="Times New Roman"/>
                <w:bCs/>
                <w:color w:val="auto"/>
                <w:kern w:val="2"/>
                <w:sz w:val="18"/>
                <w:szCs w:val="18"/>
                <w:lang w:eastAsia="zh-CN"/>
              </w:rPr>
              <w:t>国家级</w:t>
            </w:r>
            <w:r>
              <w:rPr>
                <w:rFonts w:hint="default" w:ascii="Times New Roman" w:hAnsi="Times New Roman" w:eastAsia="仿宋_GB2312" w:cs="Times New Roman"/>
                <w:bCs/>
                <w:color w:val="auto"/>
                <w:kern w:val="2"/>
                <w:sz w:val="18"/>
                <w:szCs w:val="18"/>
              </w:rPr>
              <w:t>水土流失重点</w:t>
            </w:r>
            <w:r>
              <w:rPr>
                <w:rFonts w:hint="default" w:ascii="Times New Roman" w:hAnsi="Times New Roman" w:eastAsia="仿宋_GB2312" w:cs="Times New Roman"/>
                <w:bCs/>
                <w:color w:val="auto"/>
                <w:kern w:val="2"/>
                <w:sz w:val="18"/>
                <w:szCs w:val="18"/>
                <w:lang w:val="en-US" w:eastAsia="zh-CN"/>
              </w:rPr>
              <w:t>治理</w:t>
            </w:r>
            <w:r>
              <w:rPr>
                <w:rFonts w:hint="default" w:ascii="Times New Roman" w:hAnsi="Times New Roman" w:eastAsia="仿宋_GB2312" w:cs="Times New Roman"/>
                <w:bCs/>
                <w:color w:val="auto"/>
                <w:kern w:val="2"/>
                <w:sz w:val="18"/>
                <w:szCs w:val="18"/>
              </w:rPr>
              <w:t>区（</w:t>
            </w:r>
            <w:r>
              <w:rPr>
                <w:rFonts w:hint="default" w:ascii="Times New Roman" w:hAnsi="Times New Roman" w:eastAsia="仿宋_GB2312" w:cs="Times New Roman"/>
                <w:bCs/>
                <w:color w:val="auto"/>
                <w:kern w:val="0"/>
                <w:sz w:val="18"/>
                <w:szCs w:val="18"/>
                <w:lang w:eastAsia="zh-CN"/>
              </w:rPr>
              <w:t>嘉陵江及沱江中下游国家级水土流失重点治理区</w:t>
            </w:r>
            <w:r>
              <w:rPr>
                <w:rFonts w:hint="default" w:ascii="Times New Roman" w:hAnsi="Times New Roman" w:eastAsia="仿宋_GB2312" w:cs="Times New Roman"/>
                <w:bCs/>
                <w:color w:val="auto"/>
                <w:kern w:val="2"/>
                <w:sz w:val="18"/>
                <w:szCs w:val="18"/>
              </w:rPr>
              <w:t>）</w:t>
            </w:r>
            <w:r>
              <w:rPr>
                <w:rFonts w:hint="default" w:ascii="Times New Roman" w:hAnsi="Times New Roman" w:eastAsia="仿宋_GB2312" w:cs="Times New Roman"/>
                <w:color w:val="auto"/>
                <w:kern w:val="2"/>
                <w:sz w:val="18"/>
                <w:szCs w:val="18"/>
              </w:rPr>
              <w:t>，工程建设无法避让，本方案采用</w:t>
            </w:r>
            <w:r>
              <w:rPr>
                <w:rFonts w:hint="default" w:ascii="Times New Roman" w:hAnsi="Times New Roman" w:eastAsia="仿宋_GB2312" w:cs="Times New Roman"/>
                <w:bCs/>
                <w:sz w:val="18"/>
                <w:szCs w:val="18"/>
              </w:rPr>
              <w:t>西南紫色土</w:t>
            </w:r>
            <w:r>
              <w:rPr>
                <w:rFonts w:hint="default" w:ascii="Times New Roman" w:hAnsi="Times New Roman" w:eastAsia="仿宋_GB2312" w:cs="Times New Roman"/>
                <w:color w:val="auto"/>
                <w:kern w:val="2"/>
                <w:sz w:val="18"/>
                <w:szCs w:val="18"/>
              </w:rPr>
              <w:t>区一级标准</w:t>
            </w:r>
          </w:p>
        </w:tc>
        <w:tc>
          <w:tcPr>
            <w:tcW w:w="633" w:type="pct"/>
            <w:vAlign w:val="center"/>
          </w:tcPr>
          <w:p w14:paraId="6BE7C5CA">
            <w:pPr>
              <w:spacing w:line="240" w:lineRule="auto"/>
              <w:ind w:firstLine="0" w:firstLineChars="0"/>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符合</w:t>
            </w:r>
          </w:p>
        </w:tc>
      </w:tr>
      <w:tr w14:paraId="1346AC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46" w:type="pct"/>
            <w:vMerge w:val="continue"/>
            <w:vAlign w:val="center"/>
          </w:tcPr>
          <w:p w14:paraId="54384BBD">
            <w:pPr>
              <w:spacing w:line="240" w:lineRule="auto"/>
              <w:ind w:firstLine="0" w:firstLineChars="0"/>
              <w:jc w:val="center"/>
              <w:rPr>
                <w:rFonts w:hint="default" w:ascii="Times New Roman" w:hAnsi="Times New Roman" w:eastAsia="仿宋_GB2312" w:cs="Times New Roman"/>
                <w:color w:val="auto"/>
                <w:kern w:val="2"/>
                <w:sz w:val="18"/>
                <w:szCs w:val="18"/>
              </w:rPr>
            </w:pPr>
          </w:p>
        </w:tc>
        <w:tc>
          <w:tcPr>
            <w:tcW w:w="2236" w:type="pct"/>
            <w:vAlign w:val="center"/>
          </w:tcPr>
          <w:p w14:paraId="7501D1BF">
            <w:pPr>
              <w:spacing w:line="240" w:lineRule="auto"/>
              <w:ind w:firstLine="0" w:firstLineChars="0"/>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2、应避让河流两岸、湖泊和水库周边的植物保护带</w:t>
            </w:r>
          </w:p>
        </w:tc>
        <w:tc>
          <w:tcPr>
            <w:tcW w:w="1683" w:type="pct"/>
            <w:vAlign w:val="center"/>
          </w:tcPr>
          <w:p w14:paraId="75417350">
            <w:pPr>
              <w:spacing w:line="240" w:lineRule="auto"/>
              <w:ind w:firstLine="0" w:firstLineChars="0"/>
              <w:jc w:val="center"/>
              <w:textAlignment w:val="baseline"/>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不涉及</w:t>
            </w:r>
          </w:p>
        </w:tc>
        <w:tc>
          <w:tcPr>
            <w:tcW w:w="633" w:type="pct"/>
            <w:vAlign w:val="center"/>
          </w:tcPr>
          <w:p w14:paraId="7A0A820B">
            <w:pPr>
              <w:spacing w:line="240" w:lineRule="auto"/>
              <w:ind w:firstLine="0" w:firstLineChars="0"/>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符合</w:t>
            </w:r>
          </w:p>
        </w:tc>
      </w:tr>
      <w:tr w14:paraId="5E039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pct"/>
            <w:vMerge w:val="continue"/>
            <w:vAlign w:val="center"/>
          </w:tcPr>
          <w:p w14:paraId="1D10ED34">
            <w:pPr>
              <w:spacing w:line="240" w:lineRule="auto"/>
              <w:ind w:firstLine="0" w:firstLineChars="0"/>
              <w:jc w:val="center"/>
              <w:rPr>
                <w:rFonts w:hint="default" w:ascii="Times New Roman" w:hAnsi="Times New Roman" w:eastAsia="仿宋_GB2312" w:cs="Times New Roman"/>
                <w:color w:val="auto"/>
                <w:kern w:val="2"/>
                <w:sz w:val="18"/>
                <w:szCs w:val="18"/>
              </w:rPr>
            </w:pPr>
          </w:p>
        </w:tc>
        <w:tc>
          <w:tcPr>
            <w:tcW w:w="2236" w:type="pct"/>
            <w:vAlign w:val="center"/>
          </w:tcPr>
          <w:p w14:paraId="5332BB2A">
            <w:pPr>
              <w:spacing w:line="240" w:lineRule="auto"/>
              <w:ind w:firstLine="0" w:firstLineChars="0"/>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3、应避让全国水土保持监测网络中的水土保持监测站点、重点试验区及国家确定的水土保持长期定位观测站</w:t>
            </w:r>
          </w:p>
        </w:tc>
        <w:tc>
          <w:tcPr>
            <w:tcW w:w="1683" w:type="pct"/>
            <w:vAlign w:val="center"/>
          </w:tcPr>
          <w:p w14:paraId="230CC5CE">
            <w:pPr>
              <w:spacing w:line="240" w:lineRule="auto"/>
              <w:ind w:firstLine="0" w:firstLineChars="0"/>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不涉及</w:t>
            </w:r>
          </w:p>
        </w:tc>
        <w:tc>
          <w:tcPr>
            <w:tcW w:w="633" w:type="pct"/>
            <w:vAlign w:val="center"/>
          </w:tcPr>
          <w:p w14:paraId="29C321C0">
            <w:pPr>
              <w:spacing w:line="240" w:lineRule="auto"/>
              <w:ind w:firstLine="0" w:firstLineChars="0"/>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符合</w:t>
            </w:r>
          </w:p>
        </w:tc>
      </w:tr>
      <w:tr w14:paraId="561D6E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2D9B6E11">
            <w:pPr>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sz w:val="18"/>
                <w:szCs w:val="18"/>
              </w:rPr>
              <w:t>取土（石、料）场选址</w:t>
            </w:r>
          </w:p>
        </w:tc>
        <w:tc>
          <w:tcPr>
            <w:tcW w:w="2236" w:type="pct"/>
            <w:vAlign w:val="center"/>
          </w:tcPr>
          <w:p w14:paraId="54611F30">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严禁在崩塌和滑坡危险区</w:t>
            </w:r>
            <w:r>
              <w:rPr>
                <w:rFonts w:hint="default" w:ascii="Times New Roman" w:hAnsi="Times New Roman" w:cs="Times New Roman"/>
                <w:color w:val="auto"/>
                <w:sz w:val="18"/>
                <w:szCs w:val="18"/>
              </w:rPr>
              <w:t>﹑</w:t>
            </w:r>
            <w:r>
              <w:rPr>
                <w:rFonts w:hint="default" w:ascii="Times New Roman" w:hAnsi="Times New Roman" w:eastAsia="仿宋_GB2312" w:cs="Times New Roman"/>
                <w:color w:val="auto"/>
                <w:sz w:val="18"/>
                <w:szCs w:val="18"/>
              </w:rPr>
              <w:t>泥石流易发区内设置取土（石、料）场</w:t>
            </w:r>
          </w:p>
          <w:p w14:paraId="7FC26F3E">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取土（石、料）场设置尚应符合下列规定：</w:t>
            </w:r>
          </w:p>
          <w:p w14:paraId="5DDE3192">
            <w:pPr>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sz w:val="18"/>
                <w:szCs w:val="18"/>
              </w:rPr>
              <w:t>1.应符合城镇、景区等规划要求，并与周边景观相互协调；2.在河道取土（石、砂）的应符合河道管理的有关规定；3.应综合考虑取土（石、砂）结束后的土地利用</w:t>
            </w:r>
          </w:p>
        </w:tc>
        <w:tc>
          <w:tcPr>
            <w:tcW w:w="1683" w:type="pct"/>
            <w:vAlign w:val="center"/>
          </w:tcPr>
          <w:p w14:paraId="00CC16EC">
            <w:pPr>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sz w:val="18"/>
                <w:szCs w:val="18"/>
              </w:rPr>
              <w:t>项目不涉及取土（石、料）场</w:t>
            </w:r>
          </w:p>
        </w:tc>
        <w:tc>
          <w:tcPr>
            <w:tcW w:w="633" w:type="pct"/>
            <w:vAlign w:val="center"/>
          </w:tcPr>
          <w:p w14:paraId="683017B9">
            <w:pPr>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符合</w:t>
            </w:r>
          </w:p>
        </w:tc>
      </w:tr>
      <w:tr w14:paraId="76924F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Merge w:val="restart"/>
            <w:vAlign w:val="center"/>
          </w:tcPr>
          <w:p w14:paraId="5BFDEE40">
            <w:pPr>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sz w:val="18"/>
                <w:szCs w:val="18"/>
              </w:rPr>
              <w:t>弃土（石、渣、灰、矸石、尾矿）场选址</w:t>
            </w:r>
          </w:p>
        </w:tc>
        <w:tc>
          <w:tcPr>
            <w:tcW w:w="2236" w:type="pct"/>
            <w:vAlign w:val="center"/>
          </w:tcPr>
          <w:p w14:paraId="37327265">
            <w:pPr>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sz w:val="18"/>
                <w:szCs w:val="18"/>
              </w:rPr>
              <w:t>严禁在对公共设施、基础设施、工业企业、居民点等有重大影响的区域设置弃土（石、渣、灰、矸石、尾矿）场</w:t>
            </w:r>
          </w:p>
        </w:tc>
        <w:tc>
          <w:tcPr>
            <w:tcW w:w="1683" w:type="pct"/>
            <w:vMerge w:val="restart"/>
            <w:vAlign w:val="center"/>
          </w:tcPr>
          <w:p w14:paraId="405F933A">
            <w:pPr>
              <w:spacing w:line="240" w:lineRule="auto"/>
              <w:ind w:firstLine="0" w:firstLineChars="0"/>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sz w:val="18"/>
                <w:szCs w:val="18"/>
              </w:rPr>
              <w:t>项目不涉及弃土（石、渣、灰、矸石、尾矿）场</w:t>
            </w:r>
          </w:p>
        </w:tc>
        <w:tc>
          <w:tcPr>
            <w:tcW w:w="633" w:type="pct"/>
            <w:vMerge w:val="restart"/>
            <w:vAlign w:val="center"/>
          </w:tcPr>
          <w:p w14:paraId="01D84CCC">
            <w:pPr>
              <w:spacing w:line="240" w:lineRule="auto"/>
              <w:ind w:firstLine="0" w:firstLineChars="0"/>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符合</w:t>
            </w:r>
          </w:p>
        </w:tc>
      </w:tr>
      <w:tr w14:paraId="687419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Merge w:val="continue"/>
            <w:vAlign w:val="center"/>
          </w:tcPr>
          <w:p w14:paraId="6D582DC7">
            <w:pPr>
              <w:jc w:val="center"/>
              <w:rPr>
                <w:rFonts w:hint="default" w:ascii="Times New Roman" w:hAnsi="Times New Roman" w:eastAsia="仿宋_GB2312" w:cs="Times New Roman"/>
                <w:color w:val="auto"/>
                <w:kern w:val="2"/>
                <w:sz w:val="18"/>
                <w:szCs w:val="18"/>
              </w:rPr>
            </w:pPr>
          </w:p>
        </w:tc>
        <w:tc>
          <w:tcPr>
            <w:tcW w:w="2236" w:type="pct"/>
            <w:vAlign w:val="center"/>
          </w:tcPr>
          <w:p w14:paraId="505C3D1F">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弃土（石、渣、灰、矸石、尾矿）场设置尚应符合下列规定：</w:t>
            </w:r>
          </w:p>
          <w:p w14:paraId="60702A57">
            <w:pPr>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sz w:val="18"/>
                <w:szCs w:val="18"/>
              </w:rPr>
              <w:t>1.涉及河道的应符合河道防洪规划和治导线的规定，不得设置在河道、湖泊和建成水库管理范围内；2.在山丘区宜选择荒沟、凹地、支毛沟，平原区宜选择凹地、荒地，风沙区宜避开风口；3.应充分利用取土（石、砂）场、废弃采坑、沉陷区等场地；4.应综合考虑弃土（石、渣、灰、矸石、尾矿）结束后的土地利用</w:t>
            </w:r>
          </w:p>
        </w:tc>
        <w:tc>
          <w:tcPr>
            <w:tcW w:w="1683" w:type="pct"/>
            <w:vMerge w:val="continue"/>
            <w:vAlign w:val="center"/>
          </w:tcPr>
          <w:p w14:paraId="4FC04FA4">
            <w:pPr>
              <w:spacing w:line="240" w:lineRule="auto"/>
              <w:ind w:firstLine="0" w:firstLineChars="0"/>
              <w:jc w:val="center"/>
              <w:rPr>
                <w:rFonts w:hint="default" w:ascii="Times New Roman" w:hAnsi="Times New Roman" w:eastAsia="仿宋_GB2312" w:cs="Times New Roman"/>
                <w:color w:val="auto"/>
                <w:kern w:val="2"/>
                <w:sz w:val="18"/>
                <w:szCs w:val="18"/>
              </w:rPr>
            </w:pPr>
          </w:p>
        </w:tc>
        <w:tc>
          <w:tcPr>
            <w:tcW w:w="633" w:type="pct"/>
            <w:vMerge w:val="continue"/>
            <w:vAlign w:val="center"/>
          </w:tcPr>
          <w:p w14:paraId="4486A9A8">
            <w:pPr>
              <w:spacing w:line="240" w:lineRule="auto"/>
              <w:ind w:firstLine="0" w:firstLineChars="0"/>
              <w:jc w:val="center"/>
              <w:rPr>
                <w:rFonts w:hint="default" w:ascii="Times New Roman" w:hAnsi="Times New Roman" w:eastAsia="仿宋_GB2312" w:cs="Times New Roman"/>
                <w:color w:val="auto"/>
                <w:kern w:val="2"/>
                <w:sz w:val="18"/>
                <w:szCs w:val="18"/>
              </w:rPr>
            </w:pPr>
          </w:p>
        </w:tc>
      </w:tr>
    </w:tbl>
    <w:p w14:paraId="329FB34C">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eastAsia="ar"/>
        </w:rPr>
      </w:pPr>
      <w:bookmarkStart w:id="112" w:name="_Toc18683"/>
      <w:r>
        <w:rPr>
          <w:rFonts w:hint="default" w:ascii="Times New Roman" w:hAnsi="Times New Roman" w:eastAsia="仿宋_GB2312" w:cs="Times New Roman"/>
          <w:b/>
          <w:bCs/>
          <w:color w:val="auto"/>
          <w:szCs w:val="24"/>
          <w:lang w:eastAsia="ar"/>
        </w:rPr>
        <w:t>3.2</w:t>
      </w:r>
      <w:r>
        <w:rPr>
          <w:rFonts w:hint="default" w:ascii="Times New Roman" w:hAnsi="Times New Roman" w:eastAsia="仿宋_GB2312" w:cs="Times New Roman"/>
          <w:b/>
          <w:bCs/>
          <w:color w:val="auto"/>
          <w:szCs w:val="24"/>
          <w:lang w:val="en-US" w:eastAsia="zh-CN"/>
        </w:rPr>
        <w:t xml:space="preserve"> 建设方案与布局水土保持</w:t>
      </w:r>
      <w:r>
        <w:rPr>
          <w:rFonts w:hint="default" w:ascii="Times New Roman" w:hAnsi="Times New Roman" w:eastAsia="仿宋_GB2312" w:cs="Times New Roman"/>
          <w:b/>
          <w:bCs/>
          <w:color w:val="auto"/>
          <w:szCs w:val="24"/>
          <w:lang w:eastAsia="ar"/>
        </w:rPr>
        <w:t>评价</w:t>
      </w:r>
      <w:bookmarkEnd w:id="104"/>
      <w:bookmarkEnd w:id="105"/>
      <w:bookmarkEnd w:id="112"/>
    </w:p>
    <w:p w14:paraId="1D6860D7">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仿宋_GB2312" w:cs="Times New Roman"/>
          <w:b/>
          <w:bCs/>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3.2.1 建设方案评价</w:t>
      </w:r>
    </w:p>
    <w:p w14:paraId="58CABE08">
      <w:pPr>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项目工程建设方案符合剑阁县的发展要求。项目建设区域交通较为方便，现有电网供电、供排水（气）等基础配套设施齐全。</w:t>
      </w:r>
    </w:p>
    <w:p w14:paraId="1DA02B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项目区内布局紧凑，建筑周围有相对较大的绿地，为减少土石方开挖，</w:t>
      </w:r>
      <w:r>
        <w:rPr>
          <w:rFonts w:hint="default" w:ascii="Times New Roman" w:hAnsi="Times New Roman" w:eastAsia="仿宋_GB2312" w:cs="Times New Roman"/>
          <w:color w:val="auto"/>
          <w:sz w:val="24"/>
          <w:szCs w:val="24"/>
          <w:lang w:val="zh-CN" w:eastAsia="zh-CN"/>
        </w:rPr>
        <w:t>建构筑物工程及硬化工程周边</w:t>
      </w:r>
      <w:r>
        <w:rPr>
          <w:rFonts w:hint="default" w:ascii="Times New Roman" w:hAnsi="Times New Roman" w:eastAsia="仿宋_GB2312" w:cs="Times New Roman"/>
          <w:color w:val="auto"/>
          <w:sz w:val="24"/>
          <w:szCs w:val="24"/>
          <w:lang w:val="en-US" w:eastAsia="zh-CN"/>
        </w:rPr>
        <w:t>建设集中绿化景观。可见主体设计考虑了对征占地面积的充分利用，尽量避免了土石方的大量开挖，减少水土流失发生。大面积绿地营造可较大程度的恢复区域的水土保持效果和改善生态环境。</w:t>
      </w:r>
    </w:p>
    <w:p w14:paraId="37AEC111">
      <w:pPr>
        <w:spacing w:line="360" w:lineRule="auto"/>
        <w:ind w:firstLine="480" w:firstLineChars="0"/>
        <w:jc w:val="left"/>
        <w:rPr>
          <w:rFonts w:hint="default" w:ascii="Times New Roman" w:hAnsi="Times New Roman" w:eastAsia="仿宋_GB2312" w:cs="Times New Roman"/>
          <w:color w:val="auto"/>
          <w:sz w:val="24"/>
          <w:szCs w:val="24"/>
          <w:lang w:val="zh-CN" w:eastAsia="zh-CN"/>
        </w:rPr>
      </w:pPr>
      <w:r>
        <w:rPr>
          <w:rFonts w:hint="default" w:ascii="Times New Roman" w:hAnsi="Times New Roman" w:eastAsia="仿宋_GB2312" w:cs="Times New Roman"/>
          <w:color w:val="auto"/>
          <w:sz w:val="24"/>
          <w:szCs w:val="24"/>
          <w:lang w:val="en-US" w:eastAsia="zh-CN"/>
        </w:rPr>
        <w:t>项目建设方案符合</w:t>
      </w:r>
      <w:r>
        <w:rPr>
          <w:rFonts w:hint="default" w:ascii="Times New Roman" w:hAnsi="Times New Roman" w:eastAsia="仿宋_GB2312" w:cs="Times New Roman"/>
          <w:color w:val="auto"/>
          <w:sz w:val="24"/>
          <w:szCs w:val="24"/>
          <w:lang w:val="zh-CN" w:eastAsia="zh-CN"/>
        </w:rPr>
        <w:t>《生产建设项目水土保持技术标准》（GB 50433-2018）</w:t>
      </w:r>
      <w:r>
        <w:rPr>
          <w:rFonts w:hint="default" w:ascii="Times New Roman" w:hAnsi="Times New Roman" w:eastAsia="仿宋_GB2312" w:cs="Times New Roman"/>
          <w:color w:val="auto"/>
          <w:sz w:val="24"/>
          <w:szCs w:val="24"/>
          <w:lang w:val="en-US" w:eastAsia="zh-CN"/>
        </w:rPr>
        <w:t>中相关</w:t>
      </w:r>
      <w:r>
        <w:rPr>
          <w:rFonts w:hint="default" w:ascii="Times New Roman" w:hAnsi="Times New Roman" w:eastAsia="仿宋_GB2312" w:cs="Times New Roman"/>
          <w:color w:val="auto"/>
          <w:sz w:val="24"/>
          <w:szCs w:val="24"/>
          <w:lang w:val="zh-CN" w:eastAsia="zh-CN"/>
        </w:rPr>
        <w:t>规定，</w:t>
      </w:r>
      <w:r>
        <w:rPr>
          <w:rFonts w:hint="default" w:ascii="Times New Roman" w:hAnsi="Times New Roman" w:eastAsia="仿宋_GB2312" w:cs="Times New Roman"/>
          <w:color w:val="auto"/>
          <w:sz w:val="24"/>
          <w:szCs w:val="24"/>
          <w:lang w:val="en-US" w:eastAsia="zh-CN"/>
        </w:rPr>
        <w:t>项目区内布设有完善的雨水系统和景观绿化，能够起到保水固土、防治水土流失的效果</w:t>
      </w:r>
      <w:r>
        <w:rPr>
          <w:rFonts w:hint="default" w:ascii="Times New Roman" w:hAnsi="Times New Roman" w:eastAsia="仿宋_GB2312" w:cs="Times New Roman"/>
          <w:color w:val="auto"/>
          <w:sz w:val="24"/>
          <w:szCs w:val="24"/>
          <w:lang w:val="zh-CN" w:eastAsia="zh-CN"/>
        </w:rPr>
        <w:t>。</w:t>
      </w:r>
    </w:p>
    <w:p w14:paraId="66F9A191">
      <w:pPr>
        <w:spacing w:line="360" w:lineRule="auto"/>
        <w:ind w:firstLine="480" w:firstLineChars="0"/>
        <w:jc w:val="center"/>
        <w:rPr>
          <w:rFonts w:hint="default" w:ascii="Times New Roman" w:hAnsi="Times New Roman" w:eastAsia="仿宋_GB2312" w:cs="Times New Roman"/>
          <w:color w:val="auto"/>
          <w:lang w:val="zh-CN"/>
        </w:rPr>
      </w:pPr>
      <w:r>
        <w:rPr>
          <w:rFonts w:hint="default" w:ascii="Times New Roman" w:hAnsi="Times New Roman" w:eastAsia="仿宋_GB2312" w:cs="Times New Roman"/>
          <w:b/>
          <w:bCs/>
          <w:color w:val="auto"/>
          <w:sz w:val="21"/>
          <w:szCs w:val="21"/>
        </w:rPr>
        <w:t xml:space="preserve">表3.2-1  </w:t>
      </w:r>
      <w:r>
        <w:rPr>
          <w:rFonts w:hint="default" w:ascii="Times New Roman" w:hAnsi="Times New Roman" w:eastAsia="仿宋_GB2312" w:cs="Times New Roman"/>
          <w:b/>
          <w:color w:val="auto"/>
          <w:kern w:val="0"/>
          <w:sz w:val="21"/>
          <w:szCs w:val="21"/>
        </w:rPr>
        <w:t>《生产建设项目水土保持技术标准》（GB50433-2018）符合性对照分析表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0"/>
        <w:gridCol w:w="784"/>
        <w:gridCol w:w="3470"/>
        <w:gridCol w:w="2560"/>
        <w:gridCol w:w="1098"/>
      </w:tblGrid>
      <w:tr w14:paraId="7676ED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70" w:type="dxa"/>
            <w:vAlign w:val="center"/>
          </w:tcPr>
          <w:p w14:paraId="5596E030">
            <w:pPr>
              <w:spacing w:line="240" w:lineRule="auto"/>
              <w:ind w:firstLine="0" w:firstLineChars="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规范序号</w:t>
            </w:r>
          </w:p>
        </w:tc>
        <w:tc>
          <w:tcPr>
            <w:tcW w:w="784" w:type="dxa"/>
            <w:vAlign w:val="center"/>
          </w:tcPr>
          <w:p w14:paraId="5A9E0448">
            <w:pPr>
              <w:spacing w:line="240" w:lineRule="auto"/>
              <w:ind w:firstLine="0" w:firstLineChars="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w:t>
            </w:r>
          </w:p>
        </w:tc>
        <w:tc>
          <w:tcPr>
            <w:tcW w:w="3470" w:type="dxa"/>
            <w:vAlign w:val="center"/>
          </w:tcPr>
          <w:p w14:paraId="2191A953">
            <w:pPr>
              <w:spacing w:line="240" w:lineRule="auto"/>
              <w:ind w:firstLine="0" w:firstLineChars="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约束性规定</w:t>
            </w:r>
          </w:p>
        </w:tc>
        <w:tc>
          <w:tcPr>
            <w:tcW w:w="2560" w:type="dxa"/>
            <w:vAlign w:val="center"/>
          </w:tcPr>
          <w:p w14:paraId="5C59AE15">
            <w:pPr>
              <w:spacing w:line="240" w:lineRule="auto"/>
              <w:ind w:firstLine="0" w:firstLineChars="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分析意见</w:t>
            </w:r>
          </w:p>
        </w:tc>
        <w:tc>
          <w:tcPr>
            <w:tcW w:w="1098" w:type="dxa"/>
            <w:vAlign w:val="center"/>
          </w:tcPr>
          <w:p w14:paraId="1938B826">
            <w:pPr>
              <w:spacing w:line="240" w:lineRule="auto"/>
              <w:ind w:firstLine="0" w:firstLineChars="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符合性分析</w:t>
            </w:r>
          </w:p>
        </w:tc>
      </w:tr>
      <w:tr w14:paraId="1C719A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vMerge w:val="restart"/>
            <w:vAlign w:val="center"/>
          </w:tcPr>
          <w:p w14:paraId="2DEDEE77">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3.2.2</w:t>
            </w:r>
          </w:p>
        </w:tc>
        <w:tc>
          <w:tcPr>
            <w:tcW w:w="784" w:type="dxa"/>
            <w:vMerge w:val="restart"/>
            <w:vAlign w:val="center"/>
          </w:tcPr>
          <w:p w14:paraId="0AA25DEB">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建设方案</w:t>
            </w:r>
          </w:p>
        </w:tc>
        <w:tc>
          <w:tcPr>
            <w:tcW w:w="3470" w:type="dxa"/>
            <w:vAlign w:val="center"/>
          </w:tcPr>
          <w:p w14:paraId="3EF57D0F">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lang w:val="en-US" w:eastAsia="zh-CN"/>
              </w:rPr>
              <w:t>1</w:t>
            </w:r>
            <w:r>
              <w:rPr>
                <w:rFonts w:hint="default" w:ascii="Times New Roman" w:hAnsi="Times New Roman" w:eastAsia="仿宋_GB2312" w:cs="Times New Roman"/>
                <w:bCs/>
                <w:color w:val="auto"/>
                <w:sz w:val="18"/>
                <w:szCs w:val="18"/>
              </w:rPr>
              <w:t>、</w:t>
            </w:r>
            <w:r>
              <w:rPr>
                <w:rFonts w:hint="default" w:ascii="Times New Roman" w:hAnsi="Times New Roman" w:eastAsia="仿宋_GB2312" w:cs="Times New Roman"/>
                <w:bCs/>
                <w:color w:val="auto"/>
                <w:sz w:val="18"/>
                <w:szCs w:val="18"/>
                <w:lang w:val="en-US" w:eastAsia="zh-CN"/>
              </w:rPr>
              <w:t>公路、铁路工程在高填深挖路段，应采用加大桥比例的方案。减少大填大挖；填高大于20m，挖深大于30m的应进行桥隧替代方案论证；路堤、路堑在保证边坡稳定的基础上，应采用植物防护或工程与植物防护相结合的设计方案。</w:t>
            </w:r>
          </w:p>
        </w:tc>
        <w:tc>
          <w:tcPr>
            <w:tcW w:w="2560" w:type="dxa"/>
            <w:vAlign w:val="center"/>
          </w:tcPr>
          <w:p w14:paraId="459B3D86">
            <w:pPr>
              <w:spacing w:line="240" w:lineRule="auto"/>
              <w:jc w:val="center"/>
              <w:textAlignment w:val="baseline"/>
              <w:rPr>
                <w:rFonts w:hint="default" w:ascii="Times New Roman" w:hAnsi="Times New Roman" w:eastAsia="仿宋_GB2312" w:cs="Times New Roman"/>
                <w:b/>
                <w:color w:val="auto"/>
                <w:sz w:val="18"/>
                <w:szCs w:val="18"/>
                <w:lang w:val="en-US" w:eastAsia="zh-CN"/>
              </w:rPr>
            </w:pPr>
            <w:r>
              <w:rPr>
                <w:rFonts w:hint="default" w:ascii="Times New Roman" w:hAnsi="Times New Roman" w:eastAsia="仿宋_GB2312" w:cs="Times New Roman"/>
                <w:color w:val="auto"/>
                <w:sz w:val="18"/>
                <w:szCs w:val="18"/>
              </w:rPr>
              <w:t>项目不属于公路、铁路工程，不涉及高填深挖以及桥隧设置。</w:t>
            </w:r>
          </w:p>
        </w:tc>
        <w:tc>
          <w:tcPr>
            <w:tcW w:w="1098" w:type="dxa"/>
            <w:vAlign w:val="center"/>
          </w:tcPr>
          <w:p w14:paraId="56074070">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color w:val="auto"/>
                <w:sz w:val="18"/>
                <w:szCs w:val="18"/>
              </w:rPr>
              <w:t>符合规范要求</w:t>
            </w:r>
          </w:p>
        </w:tc>
      </w:tr>
      <w:tr w14:paraId="0C75C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vMerge w:val="continue"/>
            <w:vAlign w:val="center"/>
          </w:tcPr>
          <w:p w14:paraId="3F964A04">
            <w:pPr>
              <w:spacing w:line="240" w:lineRule="auto"/>
              <w:ind w:firstLine="0" w:firstLineChars="0"/>
              <w:jc w:val="center"/>
              <w:rPr>
                <w:rFonts w:hint="default" w:ascii="Times New Roman" w:hAnsi="Times New Roman" w:eastAsia="仿宋_GB2312" w:cs="Times New Roman"/>
                <w:color w:val="auto"/>
                <w:sz w:val="18"/>
                <w:szCs w:val="18"/>
              </w:rPr>
            </w:pPr>
          </w:p>
        </w:tc>
        <w:tc>
          <w:tcPr>
            <w:tcW w:w="784" w:type="dxa"/>
            <w:vMerge w:val="continue"/>
            <w:vAlign w:val="center"/>
          </w:tcPr>
          <w:p w14:paraId="35DDAAAB">
            <w:pPr>
              <w:spacing w:line="240" w:lineRule="auto"/>
              <w:ind w:firstLine="0" w:firstLineChars="0"/>
              <w:jc w:val="center"/>
              <w:rPr>
                <w:rFonts w:hint="default" w:ascii="Times New Roman" w:hAnsi="Times New Roman" w:eastAsia="仿宋_GB2312" w:cs="Times New Roman"/>
                <w:color w:val="auto"/>
                <w:sz w:val="18"/>
                <w:szCs w:val="18"/>
              </w:rPr>
            </w:pPr>
          </w:p>
        </w:tc>
        <w:tc>
          <w:tcPr>
            <w:tcW w:w="3470" w:type="dxa"/>
            <w:vAlign w:val="center"/>
          </w:tcPr>
          <w:p w14:paraId="0CE872EC">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lang w:val="en-US" w:eastAsia="zh-CN"/>
              </w:rPr>
              <w:t>2</w:t>
            </w:r>
            <w:r>
              <w:rPr>
                <w:rFonts w:hint="default" w:ascii="Times New Roman" w:hAnsi="Times New Roman" w:eastAsia="仿宋_GB2312" w:cs="Times New Roman"/>
                <w:bCs/>
                <w:color w:val="auto"/>
                <w:sz w:val="18"/>
                <w:szCs w:val="18"/>
              </w:rPr>
              <w:t>、</w:t>
            </w:r>
            <w:r>
              <w:rPr>
                <w:rFonts w:hint="default" w:ascii="Times New Roman" w:hAnsi="Times New Roman" w:eastAsia="仿宋_GB2312" w:cs="Times New Roman"/>
                <w:bCs/>
                <w:color w:val="auto"/>
                <w:sz w:val="18"/>
                <w:szCs w:val="18"/>
                <w:lang w:val="en-US" w:eastAsia="zh-CN"/>
              </w:rPr>
              <w:t>城镇区的建设项目应提高植被建设标准，注重景观效果，配套建设灌溉、排水和雨水利用设施。</w:t>
            </w:r>
          </w:p>
        </w:tc>
        <w:tc>
          <w:tcPr>
            <w:tcW w:w="2560" w:type="dxa"/>
            <w:vAlign w:val="center"/>
          </w:tcPr>
          <w:p w14:paraId="357ED072">
            <w:pPr>
              <w:spacing w:line="240" w:lineRule="auto"/>
              <w:jc w:val="center"/>
              <w:textAlignment w:val="baseline"/>
              <w:rPr>
                <w:rFonts w:hint="default" w:ascii="Times New Roman" w:hAnsi="Times New Roman" w:eastAsia="仿宋_GB2312" w:cs="Times New Roman"/>
                <w:bCs/>
                <w:color w:val="auto"/>
                <w:sz w:val="18"/>
                <w:szCs w:val="18"/>
                <w:lang w:val="en-US" w:eastAsia="zh-CN"/>
              </w:rPr>
            </w:pPr>
            <w:r>
              <w:rPr>
                <w:rFonts w:hint="default" w:ascii="Times New Roman" w:hAnsi="Times New Roman" w:eastAsia="仿宋_GB2312" w:cs="Times New Roman"/>
                <w:bCs/>
                <w:color w:val="auto"/>
                <w:sz w:val="18"/>
                <w:szCs w:val="18"/>
                <w:lang w:val="en-US" w:eastAsia="zh-CN"/>
              </w:rPr>
              <w:t>不涉及</w:t>
            </w:r>
          </w:p>
        </w:tc>
        <w:tc>
          <w:tcPr>
            <w:tcW w:w="1098" w:type="dxa"/>
            <w:vAlign w:val="center"/>
          </w:tcPr>
          <w:p w14:paraId="265347A0">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符合规范要求</w:t>
            </w:r>
          </w:p>
        </w:tc>
      </w:tr>
      <w:tr w14:paraId="2CF68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vMerge w:val="continue"/>
            <w:vAlign w:val="center"/>
          </w:tcPr>
          <w:p w14:paraId="14613764">
            <w:pPr>
              <w:spacing w:line="240" w:lineRule="auto"/>
              <w:ind w:firstLine="0" w:firstLineChars="0"/>
              <w:jc w:val="center"/>
              <w:rPr>
                <w:rFonts w:hint="default" w:ascii="Times New Roman" w:hAnsi="Times New Roman" w:eastAsia="仿宋_GB2312" w:cs="Times New Roman"/>
                <w:color w:val="auto"/>
                <w:sz w:val="18"/>
                <w:szCs w:val="18"/>
              </w:rPr>
            </w:pPr>
          </w:p>
        </w:tc>
        <w:tc>
          <w:tcPr>
            <w:tcW w:w="784" w:type="dxa"/>
            <w:vMerge w:val="continue"/>
            <w:vAlign w:val="center"/>
          </w:tcPr>
          <w:p w14:paraId="7C08905D">
            <w:pPr>
              <w:spacing w:line="240" w:lineRule="auto"/>
              <w:ind w:firstLine="0" w:firstLineChars="0"/>
              <w:jc w:val="center"/>
              <w:rPr>
                <w:rFonts w:hint="default" w:ascii="Times New Roman" w:hAnsi="Times New Roman" w:eastAsia="仿宋_GB2312" w:cs="Times New Roman"/>
                <w:color w:val="auto"/>
                <w:sz w:val="18"/>
                <w:szCs w:val="18"/>
              </w:rPr>
            </w:pPr>
          </w:p>
        </w:tc>
        <w:tc>
          <w:tcPr>
            <w:tcW w:w="3470" w:type="dxa"/>
            <w:vAlign w:val="center"/>
          </w:tcPr>
          <w:p w14:paraId="6D027639">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lang w:val="en-US" w:eastAsia="zh-CN"/>
              </w:rPr>
              <w:t>3</w:t>
            </w:r>
            <w:r>
              <w:rPr>
                <w:rFonts w:hint="default" w:ascii="Times New Roman" w:hAnsi="Times New Roman" w:eastAsia="仿宋_GB2312" w:cs="Times New Roman"/>
                <w:bCs/>
                <w:color w:val="auto"/>
                <w:sz w:val="18"/>
                <w:szCs w:val="18"/>
              </w:rPr>
              <w:t>、</w:t>
            </w:r>
            <w:r>
              <w:rPr>
                <w:rFonts w:hint="default" w:ascii="Times New Roman" w:hAnsi="Times New Roman" w:eastAsia="仿宋_GB2312" w:cs="Times New Roman"/>
                <w:bCs/>
                <w:color w:val="auto"/>
                <w:sz w:val="18"/>
                <w:szCs w:val="18"/>
                <w:lang w:val="en-US" w:eastAsia="zh-CN"/>
              </w:rPr>
              <w:t>山丘区输电工程塔基应采用不等高基础。经过林区的应采用加高杆塔跨越方式。</w:t>
            </w:r>
          </w:p>
        </w:tc>
        <w:tc>
          <w:tcPr>
            <w:tcW w:w="2560" w:type="dxa"/>
            <w:vAlign w:val="center"/>
          </w:tcPr>
          <w:p w14:paraId="1166BF35">
            <w:pPr>
              <w:spacing w:line="240" w:lineRule="auto"/>
              <w:jc w:val="center"/>
              <w:textAlignment w:val="baseline"/>
              <w:rPr>
                <w:rFonts w:hint="default" w:ascii="Times New Roman" w:hAnsi="Times New Roman" w:eastAsia="仿宋_GB2312" w:cs="Times New Roman"/>
                <w:bCs/>
                <w:color w:val="auto"/>
                <w:sz w:val="18"/>
                <w:szCs w:val="18"/>
                <w:lang w:val="en-US" w:eastAsia="zh-CN"/>
              </w:rPr>
            </w:pPr>
            <w:r>
              <w:rPr>
                <w:rFonts w:hint="default" w:ascii="Times New Roman" w:hAnsi="Times New Roman" w:eastAsia="仿宋_GB2312" w:cs="Times New Roman"/>
                <w:bCs/>
                <w:color w:val="auto"/>
                <w:sz w:val="18"/>
                <w:szCs w:val="18"/>
                <w:lang w:val="en-US" w:eastAsia="zh-CN"/>
              </w:rPr>
              <w:t>不涉及</w:t>
            </w:r>
          </w:p>
        </w:tc>
        <w:tc>
          <w:tcPr>
            <w:tcW w:w="1098" w:type="dxa"/>
            <w:vAlign w:val="center"/>
          </w:tcPr>
          <w:p w14:paraId="747CDB90">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符合规范要求</w:t>
            </w:r>
          </w:p>
        </w:tc>
      </w:tr>
      <w:tr w14:paraId="44DF1D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vMerge w:val="continue"/>
            <w:vAlign w:val="center"/>
          </w:tcPr>
          <w:p w14:paraId="17D5C12D">
            <w:pPr>
              <w:spacing w:line="240" w:lineRule="auto"/>
              <w:ind w:firstLine="0" w:firstLineChars="0"/>
              <w:jc w:val="center"/>
              <w:rPr>
                <w:rFonts w:hint="default" w:ascii="Times New Roman" w:hAnsi="Times New Roman" w:eastAsia="仿宋_GB2312" w:cs="Times New Roman"/>
                <w:b/>
                <w:color w:val="auto"/>
                <w:sz w:val="18"/>
                <w:szCs w:val="18"/>
              </w:rPr>
            </w:pPr>
          </w:p>
        </w:tc>
        <w:tc>
          <w:tcPr>
            <w:tcW w:w="784" w:type="dxa"/>
            <w:vMerge w:val="continue"/>
            <w:vAlign w:val="center"/>
          </w:tcPr>
          <w:p w14:paraId="637A587C">
            <w:pPr>
              <w:spacing w:line="240" w:lineRule="auto"/>
              <w:ind w:firstLine="0" w:firstLineChars="0"/>
              <w:jc w:val="center"/>
              <w:rPr>
                <w:rFonts w:hint="default" w:ascii="Times New Roman" w:hAnsi="Times New Roman" w:eastAsia="仿宋_GB2312" w:cs="Times New Roman"/>
                <w:b/>
                <w:color w:val="auto"/>
                <w:sz w:val="18"/>
                <w:szCs w:val="18"/>
              </w:rPr>
            </w:pPr>
          </w:p>
        </w:tc>
        <w:tc>
          <w:tcPr>
            <w:tcW w:w="3470" w:type="dxa"/>
            <w:vAlign w:val="center"/>
          </w:tcPr>
          <w:p w14:paraId="2A76ABAF">
            <w:pPr>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lang w:val="en-US" w:eastAsia="zh-CN"/>
              </w:rPr>
              <w:t>4</w:t>
            </w:r>
            <w:r>
              <w:rPr>
                <w:rFonts w:hint="default" w:ascii="Times New Roman" w:hAnsi="Times New Roman" w:eastAsia="仿宋_GB2312" w:cs="Times New Roman"/>
                <w:bCs/>
                <w:color w:val="auto"/>
                <w:sz w:val="18"/>
                <w:szCs w:val="18"/>
              </w:rPr>
              <w:t>、无法避让水土流失重点预防区和重点治理区的项目，应符合以下规定：</w:t>
            </w:r>
          </w:p>
        </w:tc>
        <w:tc>
          <w:tcPr>
            <w:tcW w:w="2560" w:type="dxa"/>
            <w:vAlign w:val="center"/>
          </w:tcPr>
          <w:p w14:paraId="1AED1C70">
            <w:pPr>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lang w:val="en-US" w:eastAsia="zh-CN"/>
              </w:rPr>
              <w:t>本项目位于嘉陵江及沱江中下游国家级水土流失重点治理区</w:t>
            </w:r>
          </w:p>
        </w:tc>
        <w:tc>
          <w:tcPr>
            <w:tcW w:w="1098" w:type="dxa"/>
            <w:vAlign w:val="center"/>
          </w:tcPr>
          <w:p w14:paraId="06026E39">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符合规范要求</w:t>
            </w:r>
          </w:p>
        </w:tc>
      </w:tr>
      <w:tr w14:paraId="185961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vMerge w:val="continue"/>
            <w:vAlign w:val="center"/>
          </w:tcPr>
          <w:p w14:paraId="5720ACB0">
            <w:pPr>
              <w:spacing w:line="240" w:lineRule="auto"/>
              <w:ind w:firstLine="0" w:firstLineChars="0"/>
              <w:jc w:val="center"/>
              <w:rPr>
                <w:rFonts w:hint="default" w:ascii="Times New Roman" w:hAnsi="Times New Roman" w:eastAsia="仿宋_GB2312" w:cs="Times New Roman"/>
                <w:b/>
                <w:color w:val="auto"/>
                <w:sz w:val="18"/>
                <w:szCs w:val="18"/>
              </w:rPr>
            </w:pPr>
          </w:p>
        </w:tc>
        <w:tc>
          <w:tcPr>
            <w:tcW w:w="784" w:type="dxa"/>
            <w:vMerge w:val="continue"/>
            <w:vAlign w:val="center"/>
          </w:tcPr>
          <w:p w14:paraId="34DB6376">
            <w:pPr>
              <w:spacing w:line="240" w:lineRule="auto"/>
              <w:ind w:firstLine="0" w:firstLineChars="0"/>
              <w:jc w:val="center"/>
              <w:rPr>
                <w:rFonts w:hint="default" w:ascii="Times New Roman" w:hAnsi="Times New Roman" w:eastAsia="仿宋_GB2312" w:cs="Times New Roman"/>
                <w:b/>
                <w:color w:val="auto"/>
                <w:sz w:val="18"/>
                <w:szCs w:val="18"/>
              </w:rPr>
            </w:pPr>
          </w:p>
        </w:tc>
        <w:tc>
          <w:tcPr>
            <w:tcW w:w="3470" w:type="dxa"/>
            <w:vAlign w:val="center"/>
          </w:tcPr>
          <w:p w14:paraId="5AC28ADA">
            <w:pPr>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①应优化方案，减少工程占地和土石方量；公路、铁路等项目填高大于8m宜采用桥梁方案，管道工程穿越宜采用隧道、定向钻、顶管等方式；山丘区工业场地宜采用阶梯式布置</w:t>
            </w:r>
          </w:p>
        </w:tc>
        <w:tc>
          <w:tcPr>
            <w:tcW w:w="2560" w:type="dxa"/>
            <w:vAlign w:val="center"/>
          </w:tcPr>
          <w:p w14:paraId="237C3017">
            <w:pPr>
              <w:spacing w:line="240" w:lineRule="auto"/>
              <w:ind w:firstLine="0" w:firstLineChars="0"/>
              <w:jc w:val="center"/>
              <w:rPr>
                <w:rFonts w:hint="default" w:ascii="Times New Roman" w:hAnsi="Times New Roman" w:eastAsia="仿宋_GB2312" w:cs="Times New Roman"/>
                <w:bCs/>
                <w:color w:val="auto"/>
                <w:sz w:val="18"/>
                <w:szCs w:val="18"/>
                <w:lang w:eastAsia="zh-CN"/>
              </w:rPr>
            </w:pPr>
            <w:r>
              <w:rPr>
                <w:rFonts w:hint="default" w:ascii="Times New Roman" w:hAnsi="Times New Roman" w:eastAsia="仿宋_GB2312" w:cs="Times New Roman"/>
                <w:bCs/>
                <w:color w:val="auto"/>
                <w:sz w:val="18"/>
                <w:szCs w:val="18"/>
                <w:lang w:val="en-US" w:eastAsia="zh-CN"/>
              </w:rPr>
              <w:t>不涉及</w:t>
            </w:r>
          </w:p>
        </w:tc>
        <w:tc>
          <w:tcPr>
            <w:tcW w:w="1098" w:type="dxa"/>
            <w:vAlign w:val="center"/>
          </w:tcPr>
          <w:p w14:paraId="119D5610">
            <w:pPr>
              <w:spacing w:line="240" w:lineRule="auto"/>
              <w:ind w:firstLine="0" w:firstLineChars="0"/>
              <w:jc w:val="center"/>
              <w:rPr>
                <w:rFonts w:hint="default" w:ascii="Times New Roman" w:hAnsi="Times New Roman" w:eastAsia="仿宋_GB2312" w:cs="Times New Roman"/>
                <w:color w:val="auto"/>
                <w:sz w:val="18"/>
                <w:szCs w:val="18"/>
              </w:rPr>
            </w:pPr>
          </w:p>
        </w:tc>
      </w:tr>
      <w:tr w14:paraId="2DF45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vMerge w:val="continue"/>
            <w:vAlign w:val="center"/>
          </w:tcPr>
          <w:p w14:paraId="04DED9BB">
            <w:pPr>
              <w:spacing w:line="240" w:lineRule="auto"/>
              <w:ind w:firstLine="0" w:firstLineChars="0"/>
              <w:jc w:val="center"/>
              <w:rPr>
                <w:rFonts w:hint="default" w:ascii="Times New Roman" w:hAnsi="Times New Roman" w:eastAsia="仿宋_GB2312" w:cs="Times New Roman"/>
                <w:b/>
                <w:color w:val="auto"/>
                <w:sz w:val="18"/>
                <w:szCs w:val="18"/>
              </w:rPr>
            </w:pPr>
          </w:p>
        </w:tc>
        <w:tc>
          <w:tcPr>
            <w:tcW w:w="784" w:type="dxa"/>
            <w:vMerge w:val="continue"/>
            <w:vAlign w:val="center"/>
          </w:tcPr>
          <w:p w14:paraId="353A20E8">
            <w:pPr>
              <w:spacing w:line="240" w:lineRule="auto"/>
              <w:ind w:firstLine="0" w:firstLineChars="0"/>
              <w:jc w:val="center"/>
              <w:rPr>
                <w:rFonts w:hint="default" w:ascii="Times New Roman" w:hAnsi="Times New Roman" w:eastAsia="仿宋_GB2312" w:cs="Times New Roman"/>
                <w:b/>
                <w:color w:val="auto"/>
                <w:sz w:val="18"/>
                <w:szCs w:val="18"/>
              </w:rPr>
            </w:pPr>
          </w:p>
        </w:tc>
        <w:tc>
          <w:tcPr>
            <w:tcW w:w="3470" w:type="dxa"/>
            <w:vAlign w:val="center"/>
          </w:tcPr>
          <w:p w14:paraId="3C2F03AE">
            <w:pPr>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②截排水工程、拦挡工程的工程等级和防洪标准应提高一级</w:t>
            </w:r>
          </w:p>
        </w:tc>
        <w:tc>
          <w:tcPr>
            <w:tcW w:w="2560" w:type="dxa"/>
            <w:vAlign w:val="center"/>
          </w:tcPr>
          <w:p w14:paraId="0CE03C5E">
            <w:pPr>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本项目排水工程和防洪标准提高一级。排水沟等级由3级提高到2级；排水工程防洪标准采用5年一遇短历时暴雨</w:t>
            </w:r>
          </w:p>
        </w:tc>
        <w:tc>
          <w:tcPr>
            <w:tcW w:w="1098" w:type="dxa"/>
            <w:vAlign w:val="center"/>
          </w:tcPr>
          <w:p w14:paraId="115CE113">
            <w:pPr>
              <w:spacing w:line="240" w:lineRule="auto"/>
              <w:ind w:firstLine="0" w:firstLineChars="0"/>
              <w:jc w:val="center"/>
              <w:rPr>
                <w:rFonts w:hint="default" w:ascii="Times New Roman" w:hAnsi="Times New Roman" w:eastAsia="仿宋_GB2312" w:cs="Times New Roman"/>
                <w:color w:val="auto"/>
                <w:sz w:val="18"/>
                <w:szCs w:val="18"/>
              </w:rPr>
            </w:pPr>
          </w:p>
        </w:tc>
      </w:tr>
      <w:tr w14:paraId="3F07F7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vMerge w:val="continue"/>
            <w:vAlign w:val="center"/>
          </w:tcPr>
          <w:p w14:paraId="4A0FB774">
            <w:pPr>
              <w:spacing w:line="240" w:lineRule="auto"/>
              <w:ind w:firstLine="0" w:firstLineChars="0"/>
              <w:jc w:val="center"/>
              <w:rPr>
                <w:rFonts w:hint="default" w:ascii="Times New Roman" w:hAnsi="Times New Roman" w:eastAsia="仿宋_GB2312" w:cs="Times New Roman"/>
                <w:b/>
                <w:color w:val="auto"/>
                <w:sz w:val="18"/>
                <w:szCs w:val="18"/>
              </w:rPr>
            </w:pPr>
          </w:p>
        </w:tc>
        <w:tc>
          <w:tcPr>
            <w:tcW w:w="784" w:type="dxa"/>
            <w:vMerge w:val="continue"/>
            <w:vAlign w:val="center"/>
          </w:tcPr>
          <w:p w14:paraId="171F493C">
            <w:pPr>
              <w:spacing w:line="240" w:lineRule="auto"/>
              <w:ind w:firstLine="0" w:firstLineChars="0"/>
              <w:jc w:val="center"/>
              <w:rPr>
                <w:rFonts w:hint="default" w:ascii="Times New Roman" w:hAnsi="Times New Roman" w:eastAsia="仿宋_GB2312" w:cs="Times New Roman"/>
                <w:b/>
                <w:color w:val="auto"/>
                <w:sz w:val="18"/>
                <w:szCs w:val="18"/>
              </w:rPr>
            </w:pPr>
          </w:p>
        </w:tc>
        <w:tc>
          <w:tcPr>
            <w:tcW w:w="3470" w:type="dxa"/>
            <w:vAlign w:val="center"/>
          </w:tcPr>
          <w:p w14:paraId="1B3C520B">
            <w:pPr>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③宜布设雨洪集蓄、沉砂设施</w:t>
            </w:r>
          </w:p>
        </w:tc>
        <w:tc>
          <w:tcPr>
            <w:tcW w:w="2560" w:type="dxa"/>
            <w:vAlign w:val="center"/>
          </w:tcPr>
          <w:p w14:paraId="46DBCCBE">
            <w:pPr>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本项目布设有排水设施</w:t>
            </w:r>
          </w:p>
        </w:tc>
        <w:tc>
          <w:tcPr>
            <w:tcW w:w="1098" w:type="dxa"/>
            <w:vAlign w:val="center"/>
          </w:tcPr>
          <w:p w14:paraId="7F674AA3">
            <w:pPr>
              <w:spacing w:line="240" w:lineRule="auto"/>
              <w:ind w:firstLine="0" w:firstLineChars="0"/>
              <w:jc w:val="center"/>
              <w:rPr>
                <w:rFonts w:hint="default" w:ascii="Times New Roman" w:hAnsi="Times New Roman" w:eastAsia="仿宋_GB2312" w:cs="Times New Roman"/>
                <w:color w:val="auto"/>
                <w:sz w:val="18"/>
                <w:szCs w:val="18"/>
              </w:rPr>
            </w:pPr>
          </w:p>
        </w:tc>
      </w:tr>
    </w:tbl>
    <w:p w14:paraId="4906313A">
      <w:pPr>
        <w:spacing w:line="360" w:lineRule="auto"/>
        <w:ind w:firstLine="480" w:firstLineChars="200"/>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val="0"/>
          <w:bCs w:val="0"/>
          <w:color w:val="auto"/>
          <w:sz w:val="24"/>
          <w:szCs w:val="24"/>
          <w:lang w:val="en-US" w:eastAsia="zh-CN"/>
        </w:rPr>
        <w:t>从水土保持角度分析，本项目建设方案较为合理，符合水土保持要求。</w:t>
      </w:r>
    </w:p>
    <w:p w14:paraId="14FE91ED">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仿宋_GB2312" w:cs="Times New Roman"/>
          <w:b/>
          <w:bCs/>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3.2.2 工程占地评价</w:t>
      </w:r>
    </w:p>
    <w:p w14:paraId="34B0F334">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lang w:val="en-US" w:eastAsia="zh-CN"/>
        </w:rPr>
        <w:t>本项目总占地面积为</w:t>
      </w:r>
      <w:r>
        <w:rPr>
          <w:rFonts w:hint="default" w:ascii="Times New Roman" w:hAnsi="Times New Roman" w:eastAsia="仿宋_GB2312" w:cs="Times New Roman"/>
          <w:b w:val="0"/>
          <w:bCs w:val="0"/>
          <w:color w:val="auto"/>
          <w:kern w:val="2"/>
          <w:sz w:val="24"/>
          <w:szCs w:val="24"/>
          <w:lang w:val="en-US" w:eastAsia="zh-CN" w:bidi="ar"/>
        </w:rPr>
        <w:t>0.33hm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（3270.00m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），均为永久占地。其中建构筑物工程区0.04</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，硬化工程区0.17</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，绿化工程区0.12</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，占地类型为工矿仓储用用地、林地。</w:t>
      </w:r>
      <w:r>
        <w:rPr>
          <w:rFonts w:hint="default" w:ascii="Times New Roman" w:hAnsi="Times New Roman" w:eastAsia="仿宋_GB2312" w:cs="Times New Roman"/>
          <w:color w:val="auto"/>
          <w:kern w:val="0"/>
          <w:sz w:val="24"/>
          <w:szCs w:val="24"/>
          <w:lang w:val="en-US" w:eastAsia="zh-CN" w:bidi="ar"/>
        </w:rPr>
        <w:t xml:space="preserve">各区域规划布置合理，充分利用土地，能够减少地表面积的扰动。 </w:t>
      </w:r>
    </w:p>
    <w:p w14:paraId="15A2C0A9">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lang w:val="en-US" w:eastAsia="zh-CN"/>
        </w:rPr>
        <w:t>施工作业较为简单，施工生产利用红线范围内现有场地灵活安排施工作业，不再单独布设施工生产区；另外</w:t>
      </w:r>
      <w:r>
        <w:rPr>
          <w:rFonts w:hint="default" w:ascii="Times New Roman" w:hAnsi="Times New Roman" w:eastAsia="仿宋_GB2312" w:cs="Times New Roman"/>
          <w:color w:val="auto"/>
          <w:kern w:val="0"/>
          <w:sz w:val="24"/>
        </w:rPr>
        <w:t>本项目附近居民分布比较密集，因此施工办公室及住宿</w:t>
      </w:r>
      <w:r>
        <w:rPr>
          <w:rFonts w:hint="default" w:ascii="Times New Roman" w:hAnsi="Times New Roman" w:eastAsia="仿宋_GB2312" w:cs="Times New Roman"/>
          <w:color w:val="auto"/>
          <w:kern w:val="0"/>
          <w:sz w:val="24"/>
          <w:lang w:eastAsia="zh-CN"/>
        </w:rPr>
        <w:t>采用</w:t>
      </w:r>
      <w:r>
        <w:rPr>
          <w:rFonts w:hint="default" w:ascii="Times New Roman" w:hAnsi="Times New Roman" w:eastAsia="仿宋_GB2312" w:cs="Times New Roman"/>
          <w:color w:val="auto"/>
          <w:kern w:val="0"/>
          <w:sz w:val="24"/>
        </w:rPr>
        <w:t>就近租房，</w:t>
      </w:r>
      <w:r>
        <w:rPr>
          <w:rFonts w:hint="default" w:ascii="Times New Roman" w:hAnsi="Times New Roman" w:eastAsia="仿宋_GB2312" w:cs="Times New Roman"/>
          <w:color w:val="auto"/>
          <w:kern w:val="0"/>
          <w:sz w:val="24"/>
          <w:lang w:val="en-US" w:eastAsia="zh-CN"/>
        </w:rPr>
        <w:t>不再单独布设施工生活区</w:t>
      </w:r>
      <w:r>
        <w:rPr>
          <w:rFonts w:hint="default" w:ascii="Times New Roman" w:hAnsi="Times New Roman" w:eastAsia="仿宋_GB2312" w:cs="Times New Roman"/>
          <w:b w:val="0"/>
          <w:bCs w:val="0"/>
          <w:color w:val="auto"/>
          <w:sz w:val="24"/>
          <w:szCs w:val="24"/>
          <w:lang w:val="en-US" w:eastAsia="zh-CN"/>
        </w:rPr>
        <w:t>；</w:t>
      </w:r>
      <w:r>
        <w:rPr>
          <w:rFonts w:hint="default" w:ascii="Times New Roman" w:hAnsi="Times New Roman" w:eastAsia="仿宋_GB2312" w:cs="Times New Roman"/>
          <w:color w:val="auto"/>
          <w:kern w:val="2"/>
          <w:sz w:val="24"/>
          <w:szCs w:val="24"/>
          <w:lang w:val="en-US" w:eastAsia="zh-CN" w:bidi="ar-SA"/>
        </w:rPr>
        <w:t>绿化工程占地面积较大且剥离表土较少，表土剥离后已及时回覆在绿化工程内并进行绿化，临时堆土占地为本项目红线内占地，不新增临时用地，未设置独立的临时堆土场。</w:t>
      </w:r>
      <w:r>
        <w:rPr>
          <w:rFonts w:hint="default" w:ascii="Times New Roman" w:hAnsi="Times New Roman" w:eastAsia="仿宋_GB2312" w:cs="Times New Roman"/>
          <w:color w:val="auto"/>
          <w:kern w:val="0"/>
          <w:sz w:val="24"/>
          <w:szCs w:val="24"/>
          <w:lang w:val="en-US" w:eastAsia="zh-CN" w:bidi="ar"/>
        </w:rPr>
        <w:t xml:space="preserve"> </w:t>
      </w:r>
    </w:p>
    <w:p w14:paraId="67F95B7C">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b w:val="0"/>
          <w:bCs w:val="0"/>
          <w:color w:val="auto"/>
          <w:sz w:val="24"/>
          <w:highlight w:val="none"/>
        </w:rPr>
        <w:t>从水土保持角度分析，</w:t>
      </w:r>
      <w:r>
        <w:rPr>
          <w:rFonts w:hint="default" w:ascii="Times New Roman" w:hAnsi="Times New Roman" w:eastAsia="仿宋_GB2312" w:cs="Times New Roman"/>
          <w:b w:val="0"/>
          <w:bCs w:val="0"/>
          <w:color w:val="auto"/>
          <w:kern w:val="0"/>
          <w:sz w:val="24"/>
          <w:szCs w:val="24"/>
          <w:lang w:val="en-US" w:eastAsia="zh-CN" w:bidi="ar"/>
        </w:rPr>
        <w:t>主体工程占地数量、占地性质、占地类型和占地可恢复性等方面基本符合水土保持要求。</w:t>
      </w:r>
    </w:p>
    <w:p w14:paraId="424BF8BD">
      <w:pPr>
        <w:pStyle w:val="4"/>
        <w:keepNext/>
        <w:keepLines/>
        <w:pageBreakBefore w:val="0"/>
        <w:widowControl/>
        <w:suppressAutoHyphens/>
        <w:kinsoku/>
        <w:wordWrap/>
        <w:overflowPunct/>
        <w:topLinePunct w:val="0"/>
        <w:autoSpaceDE/>
        <w:autoSpaceDN/>
        <w:bidi w:val="0"/>
        <w:adjustRightInd/>
        <w:snapToGrid/>
        <w:spacing w:before="0" w:after="0" w:line="360" w:lineRule="auto"/>
        <w:jc w:val="left"/>
        <w:textAlignment w:val="auto"/>
        <w:outlineLvl w:val="2"/>
        <w:rPr>
          <w:rFonts w:hint="default" w:ascii="Times New Roman" w:hAnsi="Times New Roman" w:eastAsia="仿宋_GB2312" w:cs="Times New Roman"/>
          <w:b/>
          <w:bCs w:val="0"/>
          <w:color w:val="auto"/>
          <w:kern w:val="24"/>
          <w:sz w:val="28"/>
          <w:szCs w:val="28"/>
          <w:highlight w:val="none"/>
          <w:lang w:eastAsia="ar" w:bidi="ar"/>
        </w:rPr>
      </w:pPr>
      <w:bookmarkStart w:id="113" w:name="_Toc11250882"/>
      <w:r>
        <w:rPr>
          <w:rFonts w:hint="default" w:ascii="Times New Roman" w:hAnsi="Times New Roman" w:eastAsia="仿宋_GB2312" w:cs="Times New Roman"/>
          <w:b/>
          <w:bCs w:val="0"/>
          <w:color w:val="auto"/>
          <w:kern w:val="24"/>
          <w:sz w:val="28"/>
          <w:szCs w:val="28"/>
          <w:highlight w:val="none"/>
          <w:lang w:eastAsia="ar" w:bidi="ar"/>
        </w:rPr>
        <w:t>3.</w:t>
      </w:r>
      <w:r>
        <w:rPr>
          <w:rFonts w:hint="default" w:ascii="Times New Roman" w:hAnsi="Times New Roman" w:eastAsia="仿宋_GB2312" w:cs="Times New Roman"/>
          <w:b/>
          <w:bCs w:val="0"/>
          <w:color w:val="auto"/>
          <w:kern w:val="24"/>
          <w:sz w:val="28"/>
          <w:szCs w:val="28"/>
          <w:highlight w:val="none"/>
          <w:lang w:val="en-US" w:eastAsia="zh-CN" w:bidi="ar"/>
        </w:rPr>
        <w:t>2.</w:t>
      </w:r>
      <w:r>
        <w:rPr>
          <w:rFonts w:hint="default" w:ascii="Times New Roman" w:hAnsi="Times New Roman" w:eastAsia="仿宋_GB2312" w:cs="Times New Roman"/>
          <w:b/>
          <w:bCs w:val="0"/>
          <w:color w:val="auto"/>
          <w:kern w:val="24"/>
          <w:sz w:val="28"/>
          <w:szCs w:val="28"/>
          <w:highlight w:val="none"/>
          <w:lang w:eastAsia="ar" w:bidi="ar"/>
        </w:rPr>
        <w:t>3</w:t>
      </w:r>
      <w:r>
        <w:rPr>
          <w:rFonts w:hint="default" w:ascii="Times New Roman" w:hAnsi="Times New Roman" w:eastAsia="仿宋_GB2312" w:cs="Times New Roman"/>
          <w:b/>
          <w:bCs w:val="0"/>
          <w:color w:val="auto"/>
          <w:kern w:val="24"/>
          <w:sz w:val="28"/>
          <w:szCs w:val="28"/>
          <w:highlight w:val="none"/>
          <w:lang w:val="en-US" w:eastAsia="zh-CN" w:bidi="ar"/>
        </w:rPr>
        <w:t xml:space="preserve"> </w:t>
      </w:r>
      <w:r>
        <w:rPr>
          <w:rFonts w:hint="default" w:ascii="Times New Roman" w:hAnsi="Times New Roman" w:eastAsia="仿宋_GB2312" w:cs="Times New Roman"/>
          <w:b/>
          <w:bCs w:val="0"/>
          <w:color w:val="auto"/>
          <w:kern w:val="24"/>
          <w:sz w:val="28"/>
          <w:szCs w:val="28"/>
          <w:highlight w:val="none"/>
          <w:lang w:eastAsia="ar" w:bidi="ar"/>
        </w:rPr>
        <w:t>土石方平衡评价</w:t>
      </w:r>
      <w:bookmarkEnd w:id="113"/>
    </w:p>
    <w:p w14:paraId="337C45F3">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仿宋_GB2312" w:cs="Times New Roman"/>
          <w:color w:val="auto"/>
          <w:sz w:val="24"/>
          <w:lang w:eastAsia="zh-CN" w:bidi="ar"/>
        </w:rPr>
      </w:pPr>
      <w:r>
        <w:rPr>
          <w:rFonts w:hint="default" w:ascii="Times New Roman" w:hAnsi="Times New Roman" w:eastAsia="仿宋_GB2312" w:cs="Times New Roman"/>
          <w:b w:val="0"/>
          <w:bCs w:val="0"/>
          <w:color w:val="auto"/>
          <w:kern w:val="2"/>
          <w:sz w:val="24"/>
          <w:szCs w:val="24"/>
          <w:lang w:val="en-US" w:eastAsia="zh-CN" w:bidi="ar"/>
        </w:rPr>
        <w:t>本项目挖方总量为0.36万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auto"/>
          <w:kern w:val="0"/>
          <w:sz w:val="24"/>
          <w:szCs w:val="24"/>
          <w:lang w:val="en-US" w:eastAsia="zh-CN" w:bidi="ar"/>
        </w:rPr>
        <w:t>其中表土剥离0.02</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），填方总量为0.36万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auto"/>
          <w:kern w:val="0"/>
          <w:sz w:val="24"/>
          <w:szCs w:val="24"/>
          <w:lang w:val="en-US" w:eastAsia="zh-CN" w:bidi="ar"/>
        </w:rPr>
        <w:t>其中表土回覆0.02</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），无借方，无余方。</w:t>
      </w:r>
      <w:r>
        <w:rPr>
          <w:rFonts w:hint="default" w:ascii="Times New Roman" w:hAnsi="Times New Roman" w:eastAsia="仿宋_GB2312" w:cs="Times New Roman"/>
          <w:color w:val="auto"/>
          <w:sz w:val="24"/>
          <w:lang w:eastAsia="zh-CN" w:bidi="ar"/>
        </w:rPr>
        <w:t>项目区土石方回填主要来源于前期表土剥离</w:t>
      </w:r>
      <w:r>
        <w:rPr>
          <w:rFonts w:hint="default" w:ascii="Times New Roman" w:hAnsi="Times New Roman" w:eastAsia="仿宋_GB2312" w:cs="Times New Roman"/>
          <w:color w:val="auto"/>
          <w:sz w:val="24"/>
          <w:lang w:val="en-US" w:eastAsia="zh-CN" w:bidi="ar"/>
        </w:rPr>
        <w:t>及基础开挖</w:t>
      </w:r>
      <w:r>
        <w:rPr>
          <w:rFonts w:hint="default" w:ascii="Times New Roman" w:hAnsi="Times New Roman" w:eastAsia="仿宋_GB2312" w:cs="Times New Roman"/>
          <w:color w:val="auto"/>
          <w:sz w:val="24"/>
          <w:lang w:eastAsia="zh-CN" w:bidi="ar"/>
        </w:rPr>
        <w:t>，尽量减少了土地扰动，符合水土保持要求。</w:t>
      </w:r>
    </w:p>
    <w:p w14:paraId="7858E5A0">
      <w:pPr>
        <w:spacing w:line="360" w:lineRule="auto"/>
        <w:ind w:firstLine="480"/>
        <w:rPr>
          <w:rFonts w:hint="default" w:ascii="Times New Roman" w:hAnsi="Times New Roman" w:eastAsia="仿宋_GB2312" w:cs="Times New Roman"/>
          <w:b w:val="0"/>
          <w:bCs w:val="0"/>
          <w:color w:val="auto"/>
          <w:sz w:val="24"/>
          <w:szCs w:val="24"/>
          <w:highlight w:val="none"/>
          <w:lang w:val="en-US" w:eastAsia="zh-CN"/>
        </w:rPr>
      </w:pPr>
      <w:r>
        <w:rPr>
          <w:rFonts w:hint="default" w:ascii="Times New Roman" w:hAnsi="Times New Roman" w:eastAsia="仿宋_GB2312" w:cs="Times New Roman"/>
          <w:b w:val="0"/>
          <w:bCs w:val="0"/>
          <w:color w:val="auto"/>
          <w:sz w:val="24"/>
          <w:szCs w:val="24"/>
          <w:highlight w:val="none"/>
          <w:lang w:val="en-US" w:eastAsia="zh-CN"/>
        </w:rPr>
        <w:t>1、表土平衡评价</w:t>
      </w:r>
    </w:p>
    <w:p w14:paraId="7608E582">
      <w:pPr>
        <w:widowControl w:val="0"/>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（1）表土剥离的必要性及可行性</w:t>
      </w:r>
    </w:p>
    <w:p w14:paraId="4798725B">
      <w:pPr>
        <w:widowControl w:val="0"/>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表土剥离可有效保护地表熟土资源不流失、不浪费；剥离的表土可为后期植被生长提供养分，减少外调土产生的额外资金投入；可减少外调土的熟化费用及时间。故进行表土剥离是非常有必要的。</w:t>
      </w:r>
    </w:p>
    <w:p w14:paraId="03DD2063">
      <w:pPr>
        <w:widowControl w:val="0"/>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项目区表土剥离难度较低，且剥离的表土直接用于后期植被恢复区域的表土回覆有诸多好处，故表土剥离可行。</w:t>
      </w:r>
    </w:p>
    <w:p w14:paraId="4EF32C68">
      <w:pPr>
        <w:widowControl w:val="0"/>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（2）可剥离表土量分析评价</w:t>
      </w:r>
    </w:p>
    <w:p w14:paraId="1D153F14">
      <w:pPr>
        <w:widowControl w:val="0"/>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表土剥离范围主要针对项目占地中0.08hm</w:t>
      </w:r>
      <w:r>
        <w:rPr>
          <w:rFonts w:hint="default" w:ascii="Times New Roman" w:hAnsi="Times New Roman" w:eastAsia="仿宋_GB2312" w:cs="Times New Roman"/>
          <w:color w:val="auto"/>
          <w:sz w:val="24"/>
          <w:szCs w:val="24"/>
          <w:vertAlign w:val="superscript"/>
          <w:lang w:val="en-US" w:eastAsia="zh-CN"/>
        </w:rPr>
        <w:t>2</w:t>
      </w:r>
      <w:r>
        <w:rPr>
          <w:rFonts w:hint="default" w:ascii="Times New Roman" w:hAnsi="Times New Roman" w:eastAsia="仿宋_GB2312" w:cs="Times New Roman"/>
          <w:color w:val="auto"/>
          <w:sz w:val="24"/>
          <w:szCs w:val="24"/>
          <w:lang w:val="en-US" w:eastAsia="zh-CN"/>
        </w:rPr>
        <w:t>林地，剥离厚度为0.20m，</w:t>
      </w:r>
      <w:r>
        <w:rPr>
          <w:rFonts w:hint="default" w:ascii="Times New Roman" w:hAnsi="Times New Roman" w:eastAsia="仿宋_GB2312" w:cs="Times New Roman"/>
          <w:color w:val="auto"/>
          <w:sz w:val="24"/>
          <w:szCs w:val="24"/>
        </w:rPr>
        <w:t>可剥离表土</w:t>
      </w:r>
      <w:r>
        <w:rPr>
          <w:rFonts w:hint="default" w:ascii="Times New Roman" w:hAnsi="Times New Roman" w:eastAsia="仿宋_GB2312" w:cs="Times New Roman"/>
          <w:color w:val="auto"/>
          <w:sz w:val="24"/>
          <w:szCs w:val="24"/>
          <w:lang w:eastAsia="zh-CN"/>
        </w:rPr>
        <w:t>量</w:t>
      </w:r>
      <w:r>
        <w:rPr>
          <w:rFonts w:hint="default" w:ascii="Times New Roman" w:hAnsi="Times New Roman" w:eastAsia="仿宋_GB2312" w:cs="Times New Roman"/>
          <w:color w:val="auto"/>
          <w:sz w:val="24"/>
          <w:szCs w:val="24"/>
          <w:lang w:val="en-US" w:eastAsia="zh-CN"/>
        </w:rPr>
        <w:t>0.02万</w:t>
      </w:r>
      <w:r>
        <w:rPr>
          <w:rFonts w:hint="default" w:ascii="Times New Roman" w:hAnsi="Times New Roman" w:eastAsia="仿宋_GB2312" w:cs="Times New Roman"/>
          <w:color w:val="auto"/>
          <w:sz w:val="24"/>
          <w:szCs w:val="24"/>
        </w:rPr>
        <w:t>m</w:t>
      </w:r>
      <w:r>
        <w:rPr>
          <w:rFonts w:hint="default" w:ascii="Times New Roman" w:hAnsi="Times New Roman" w:eastAsia="仿宋_GB2312" w:cs="Times New Roman"/>
          <w:color w:val="auto"/>
          <w:sz w:val="24"/>
          <w:szCs w:val="24"/>
          <w:vertAlign w:val="superscript"/>
        </w:rPr>
        <w:t>3</w:t>
      </w:r>
      <w:r>
        <w:rPr>
          <w:rFonts w:hint="default" w:ascii="Times New Roman" w:hAnsi="Times New Roman" w:eastAsia="仿宋_GB2312" w:cs="Times New Roman"/>
          <w:color w:val="auto"/>
          <w:sz w:val="24"/>
          <w:szCs w:val="24"/>
          <w:lang w:val="en-US" w:eastAsia="zh-CN"/>
        </w:rPr>
        <w:t>。</w:t>
      </w:r>
    </w:p>
    <w:p w14:paraId="29FB02DC">
      <w:pPr>
        <w:widowControl w:val="0"/>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（3）表土防护及利用分析评价</w:t>
      </w:r>
    </w:p>
    <w:p w14:paraId="7234882C">
      <w:pPr>
        <w:widowControl w:val="0"/>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eastAsia="zh-CN"/>
        </w:rPr>
        <w:t>本方案设计剥离量为</w:t>
      </w:r>
      <w:r>
        <w:rPr>
          <w:rFonts w:hint="default" w:ascii="Times New Roman" w:hAnsi="Times New Roman" w:eastAsia="仿宋_GB2312" w:cs="Times New Roman"/>
          <w:color w:val="auto"/>
          <w:sz w:val="24"/>
          <w:szCs w:val="24"/>
          <w:lang w:val="en-US" w:eastAsia="zh-CN"/>
        </w:rPr>
        <w:t>0.02万</w:t>
      </w:r>
      <w:r>
        <w:rPr>
          <w:rFonts w:hint="default" w:ascii="Times New Roman" w:hAnsi="Times New Roman" w:eastAsia="仿宋_GB2312" w:cs="Times New Roman"/>
          <w:color w:val="auto"/>
          <w:sz w:val="24"/>
          <w:szCs w:val="24"/>
        </w:rPr>
        <w:t>m</w:t>
      </w:r>
      <w:r>
        <w:rPr>
          <w:rFonts w:hint="default" w:ascii="Times New Roman" w:hAnsi="Times New Roman" w:eastAsia="仿宋_GB2312" w:cs="Times New Roman"/>
          <w:color w:val="auto"/>
          <w:sz w:val="24"/>
          <w:szCs w:val="24"/>
          <w:vertAlign w:val="superscript"/>
        </w:rPr>
        <w:t>3</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需</w:t>
      </w:r>
      <w:r>
        <w:rPr>
          <w:rFonts w:hint="default" w:ascii="Times New Roman" w:hAnsi="Times New Roman" w:eastAsia="仿宋_GB2312" w:cs="Times New Roman"/>
          <w:color w:val="auto"/>
          <w:sz w:val="24"/>
          <w:szCs w:val="24"/>
          <w:lang w:val="en-US" w:eastAsia="zh-CN"/>
        </w:rPr>
        <w:t>覆土</w:t>
      </w:r>
      <w:r>
        <w:rPr>
          <w:rFonts w:hint="default" w:ascii="Times New Roman" w:hAnsi="Times New Roman" w:eastAsia="仿宋_GB2312" w:cs="Times New Roman"/>
          <w:color w:val="auto"/>
          <w:sz w:val="24"/>
          <w:szCs w:val="24"/>
          <w:lang w:eastAsia="zh-CN"/>
        </w:rPr>
        <w:t>量</w:t>
      </w:r>
      <w:r>
        <w:rPr>
          <w:rFonts w:hint="default" w:ascii="Times New Roman" w:hAnsi="Times New Roman" w:eastAsia="仿宋_GB2312" w:cs="Times New Roman"/>
          <w:color w:val="auto"/>
          <w:sz w:val="24"/>
          <w:szCs w:val="24"/>
          <w:lang w:val="en-US" w:eastAsia="zh-CN"/>
        </w:rPr>
        <w:t>0.02万</w:t>
      </w:r>
      <w:r>
        <w:rPr>
          <w:rFonts w:hint="default" w:ascii="Times New Roman" w:hAnsi="Times New Roman" w:eastAsia="仿宋_GB2312" w:cs="Times New Roman"/>
          <w:color w:val="auto"/>
          <w:sz w:val="24"/>
          <w:szCs w:val="24"/>
        </w:rPr>
        <w:t>m</w:t>
      </w:r>
      <w:r>
        <w:rPr>
          <w:rFonts w:hint="default" w:ascii="Times New Roman" w:hAnsi="Times New Roman" w:eastAsia="仿宋_GB2312" w:cs="Times New Roman"/>
          <w:color w:val="auto"/>
          <w:sz w:val="24"/>
          <w:szCs w:val="24"/>
          <w:vertAlign w:val="superscript"/>
        </w:rPr>
        <w:t>3</w:t>
      </w:r>
      <w:r>
        <w:rPr>
          <w:rFonts w:hint="default" w:ascii="Times New Roman" w:hAnsi="Times New Roman" w:eastAsia="仿宋_GB2312" w:cs="Times New Roman"/>
          <w:color w:val="auto"/>
          <w:sz w:val="24"/>
          <w:szCs w:val="24"/>
        </w:rPr>
        <w:t>，剥离表土</w:t>
      </w:r>
      <w:r>
        <w:rPr>
          <w:rFonts w:hint="default" w:ascii="Times New Roman" w:hAnsi="Times New Roman" w:eastAsia="仿宋_GB2312" w:cs="Times New Roman"/>
          <w:color w:val="auto"/>
          <w:sz w:val="24"/>
          <w:szCs w:val="24"/>
          <w:lang w:val="en-US" w:eastAsia="zh-CN"/>
        </w:rPr>
        <w:t>及时进行表土回覆</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并</w:t>
      </w:r>
      <w:r>
        <w:rPr>
          <w:rFonts w:hint="default" w:ascii="Times New Roman" w:hAnsi="Times New Roman" w:eastAsia="仿宋_GB2312" w:cs="Times New Roman"/>
          <w:color w:val="auto"/>
          <w:sz w:val="24"/>
          <w:szCs w:val="24"/>
          <w:lang w:val="en-US" w:eastAsia="zh-CN"/>
        </w:rPr>
        <w:t>进行撒播草籽绿化</w:t>
      </w:r>
      <w:r>
        <w:rPr>
          <w:rFonts w:hint="default" w:ascii="Times New Roman" w:hAnsi="Times New Roman" w:eastAsia="仿宋_GB2312" w:cs="Times New Roman"/>
          <w:color w:val="auto"/>
          <w:sz w:val="24"/>
          <w:szCs w:val="24"/>
        </w:rPr>
        <w:t>。前期剥离的表土满足本项目所需</w:t>
      </w:r>
      <w:r>
        <w:rPr>
          <w:rFonts w:hint="default" w:ascii="Times New Roman" w:hAnsi="Times New Roman" w:eastAsia="仿宋_GB2312" w:cs="Times New Roman"/>
          <w:color w:val="auto"/>
          <w:sz w:val="24"/>
          <w:szCs w:val="24"/>
          <w:lang w:val="en-US" w:eastAsia="zh-CN"/>
        </w:rPr>
        <w:t>覆土</w:t>
      </w:r>
      <w:r>
        <w:rPr>
          <w:rFonts w:hint="default" w:ascii="Times New Roman" w:hAnsi="Times New Roman" w:eastAsia="仿宋_GB2312" w:cs="Times New Roman"/>
          <w:color w:val="auto"/>
          <w:sz w:val="24"/>
          <w:szCs w:val="24"/>
        </w:rPr>
        <w:t>量</w:t>
      </w:r>
      <w:r>
        <w:rPr>
          <w:rFonts w:hint="default" w:ascii="Times New Roman" w:hAnsi="Times New Roman" w:eastAsia="仿宋_GB2312" w:cs="Times New Roman"/>
          <w:color w:val="auto"/>
          <w:sz w:val="24"/>
          <w:szCs w:val="24"/>
          <w:lang w:val="en-US" w:eastAsia="zh-CN"/>
        </w:rPr>
        <w:t>。</w:t>
      </w:r>
    </w:p>
    <w:p w14:paraId="7D7FB348">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仿宋_GB2312" w:cs="Times New Roman"/>
          <w:b w:val="0"/>
          <w:bCs w:val="0"/>
          <w:color w:val="auto"/>
          <w:kern w:val="0"/>
          <w:sz w:val="24"/>
          <w:szCs w:val="24"/>
          <w:lang w:val="en-US" w:eastAsia="zh-CN"/>
        </w:rPr>
      </w:pPr>
      <w:r>
        <w:rPr>
          <w:rFonts w:hint="default" w:ascii="Times New Roman" w:hAnsi="Times New Roman" w:eastAsia="仿宋_GB2312" w:cs="Times New Roman"/>
          <w:b w:val="0"/>
          <w:bCs w:val="0"/>
          <w:color w:val="auto"/>
          <w:kern w:val="0"/>
          <w:sz w:val="24"/>
          <w:szCs w:val="24"/>
          <w:lang w:val="en-US" w:eastAsia="zh-CN"/>
        </w:rPr>
        <w:t>综上所述，本项目进行了表土剥离，且全部用于本项目绿化覆土，最大限度保护项目建设区的表土资源，满足水土保持相关要求。</w:t>
      </w:r>
    </w:p>
    <w:p w14:paraId="73413617">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仿宋_GB2312" w:cs="Times New Roman"/>
          <w:b w:val="0"/>
          <w:bCs w:val="0"/>
          <w:color w:val="auto"/>
          <w:sz w:val="24"/>
          <w:szCs w:val="24"/>
          <w:highlight w:val="none"/>
          <w:lang w:val="en-US" w:eastAsia="zh-CN"/>
        </w:rPr>
      </w:pPr>
      <w:r>
        <w:rPr>
          <w:rFonts w:hint="default" w:ascii="Times New Roman" w:hAnsi="Times New Roman" w:eastAsia="仿宋_GB2312" w:cs="Times New Roman"/>
          <w:b w:val="0"/>
          <w:bCs w:val="0"/>
          <w:color w:val="auto"/>
          <w:sz w:val="24"/>
          <w:szCs w:val="24"/>
          <w:highlight w:val="none"/>
          <w:lang w:val="en-US" w:eastAsia="zh-CN"/>
        </w:rPr>
        <w:t>2、土石方平衡评价</w:t>
      </w:r>
    </w:p>
    <w:p w14:paraId="5213FB0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（1）土石方平衡及调配</w:t>
      </w:r>
    </w:p>
    <w:p w14:paraId="43E9FCA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本项目采用明挖、暗挖相结合的施工方式，尽可能减少挖方量。通过合理安排施工时序完善分区间的土方调运方案，避免了工程外弃土方量。土方开挖过程中，一次性开挖到位，不重复开挖。采用挖掘机人工配合协同开挖。通过合理安排工序以缩短工期，减少临时堆土量和时间，挖方及时用于项目区回填。土石方工程量较大的挖填环节避开了雨季施工，减少扰动地表裸露时间，工程土石方调配考虑合理，挖填衔接得当，不存在重复开挖、多次倒运的情况。</w:t>
      </w:r>
    </w:p>
    <w:p w14:paraId="5C19BB3B">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仿宋_GB2312" w:cs="Times New Roman"/>
          <w:b w:val="0"/>
          <w:bCs w:val="0"/>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本项目施工结束后及时进行绿化或硬化，在满足主体工程总体布局的前提下，合理、有序地利用和调配土石方资源，符合水土</w:t>
      </w:r>
      <w:r>
        <w:rPr>
          <w:rFonts w:hint="default" w:ascii="Times New Roman" w:hAnsi="Times New Roman" w:eastAsia="仿宋_GB2312" w:cs="Times New Roman"/>
          <w:b w:val="0"/>
          <w:bCs w:val="0"/>
          <w:color w:val="auto"/>
          <w:sz w:val="24"/>
          <w:szCs w:val="24"/>
          <w:highlight w:val="none"/>
          <w:lang w:val="en-US" w:eastAsia="zh-CN"/>
        </w:rPr>
        <w:t>保持要求。</w:t>
      </w:r>
    </w:p>
    <w:p w14:paraId="785DA7D8">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仿宋_GB2312" w:cs="Times New Roman"/>
          <w:b w:val="0"/>
          <w:bCs w:val="0"/>
          <w:color w:val="auto"/>
          <w:sz w:val="24"/>
          <w:szCs w:val="24"/>
          <w:highlight w:val="none"/>
          <w:lang w:val="en-US" w:eastAsia="zh-CN"/>
        </w:rPr>
      </w:pPr>
      <w:r>
        <w:rPr>
          <w:rFonts w:hint="default" w:ascii="Times New Roman" w:hAnsi="Times New Roman" w:eastAsia="仿宋_GB2312" w:cs="Times New Roman"/>
          <w:b w:val="0"/>
          <w:bCs w:val="0"/>
          <w:color w:val="auto"/>
          <w:sz w:val="24"/>
          <w:szCs w:val="24"/>
          <w:highlight w:val="none"/>
          <w:lang w:val="en-US" w:eastAsia="zh-CN"/>
        </w:rPr>
        <w:t>（2）土石方减量化、资源化</w:t>
      </w:r>
    </w:p>
    <w:p w14:paraId="6EB0F9D6">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b w:val="0"/>
          <w:bCs w:val="0"/>
          <w:color w:val="auto"/>
          <w:sz w:val="24"/>
          <w:szCs w:val="24"/>
          <w:highlight w:val="none"/>
          <w:lang w:val="en-US" w:eastAsia="zh-CN"/>
        </w:rPr>
        <w:t>减量化分析：项目建设一方面局部进行依势设计，另一方面采用高挖低填的方式</w:t>
      </w:r>
      <w:r>
        <w:rPr>
          <w:rFonts w:hint="default" w:ascii="Times New Roman" w:hAnsi="Times New Roman" w:eastAsia="仿宋_GB2312" w:cs="Times New Roman"/>
          <w:color w:val="auto"/>
          <w:sz w:val="24"/>
          <w:szCs w:val="24"/>
          <w:highlight w:val="none"/>
          <w:lang w:val="en-US" w:eastAsia="zh-CN"/>
        </w:rPr>
        <w:t>，大大减少土石方开挖量，进而减少余方量；管沟等土石方开挖采用多点位</w:t>
      </w:r>
      <w:r>
        <w:rPr>
          <w:rFonts w:hint="default" w:ascii="Times New Roman" w:hAnsi="Times New Roman" w:eastAsia="仿宋_GB2312" w:cs="Times New Roman"/>
          <w:color w:val="auto"/>
          <w:kern w:val="2"/>
          <w:sz w:val="24"/>
          <w:szCs w:val="24"/>
          <w:highlight w:val="none"/>
          <w:lang w:val="en-US" w:eastAsia="zh-CN" w:bidi="ar-SA"/>
        </w:rPr>
        <w:t>施工，避免一次性开挖导致挖方量大、临时堆土量大等不利于水土保持的情况；土石方开挖随挖随填随运，及时将多余土石方进行回填亦可减轻临时堆放土石方量大的压力；对项目区剥离表土全部用于后期绿化覆土，满足回填要求的土石方用于项目区回填，在一定程度上也减少了余方量。</w:t>
      </w:r>
    </w:p>
    <w:p w14:paraId="197A1896">
      <w:pPr>
        <w:pStyle w:val="8"/>
        <w:spacing w:before="3" w:line="360" w:lineRule="auto"/>
        <w:ind w:left="14" w:firstLine="492"/>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资源化分析：本方案与建设单位进行对接和咨询，深入周边村镇进行调查，对工程开挖土石方采取合法合规的方式进行综合利用，避免产生永久弃渣量和弃渣场的使用。</w:t>
      </w:r>
    </w:p>
    <w:p w14:paraId="1AE71521">
      <w:pPr>
        <w:pStyle w:val="8"/>
        <w:spacing w:before="3" w:line="360" w:lineRule="auto"/>
        <w:ind w:left="14" w:firstLine="492"/>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综上所述，项目建设在一定程度上实现了土方资源化利用。</w:t>
      </w:r>
    </w:p>
    <w:p w14:paraId="50DB7B38">
      <w:pPr>
        <w:pStyle w:val="7"/>
        <w:keepNext w:val="0"/>
        <w:keepLines w:val="0"/>
        <w:pageBreakBefore w:val="0"/>
        <w:widowControl/>
        <w:kinsoku/>
        <w:wordWrap/>
        <w:overflowPunct/>
        <w:topLinePunct w:val="0"/>
        <w:autoSpaceDE/>
        <w:autoSpaceDN/>
        <w:bidi w:val="0"/>
        <w:adjustRightInd/>
        <w:snapToGrid/>
        <w:spacing w:line="360" w:lineRule="auto"/>
        <w:textAlignment w:val="auto"/>
        <w:outlineLvl w:val="2"/>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val="0"/>
          <w:color w:val="auto"/>
          <w:kern w:val="24"/>
          <w:sz w:val="28"/>
          <w:szCs w:val="28"/>
          <w:highlight w:val="none"/>
          <w:lang w:eastAsia="ar" w:bidi="ar"/>
        </w:rPr>
        <w:t>3.</w:t>
      </w:r>
      <w:r>
        <w:rPr>
          <w:rFonts w:hint="default" w:ascii="Times New Roman" w:hAnsi="Times New Roman" w:eastAsia="仿宋_GB2312" w:cs="Times New Roman"/>
          <w:b/>
          <w:bCs w:val="0"/>
          <w:color w:val="auto"/>
          <w:kern w:val="24"/>
          <w:sz w:val="28"/>
          <w:szCs w:val="28"/>
          <w:highlight w:val="none"/>
          <w:lang w:val="en-US" w:eastAsia="zh-CN" w:bidi="ar"/>
        </w:rPr>
        <w:t>2.4 取土场设置</w:t>
      </w:r>
      <w:r>
        <w:rPr>
          <w:rFonts w:hint="default" w:ascii="Times New Roman" w:hAnsi="Times New Roman" w:eastAsia="仿宋_GB2312" w:cs="Times New Roman"/>
          <w:b/>
          <w:bCs w:val="0"/>
          <w:color w:val="auto"/>
          <w:kern w:val="24"/>
          <w:sz w:val="28"/>
          <w:szCs w:val="28"/>
          <w:highlight w:val="none"/>
          <w:lang w:eastAsia="ar" w:bidi="ar"/>
        </w:rPr>
        <w:t>评价</w:t>
      </w:r>
    </w:p>
    <w:p w14:paraId="6F667194">
      <w:pPr>
        <w:pStyle w:val="7"/>
        <w:widowControl/>
        <w:spacing w:line="360" w:lineRule="auto"/>
        <w:ind w:firstLine="480" w:firstLineChars="200"/>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val="0"/>
          <w:bCs w:val="0"/>
          <w:color w:val="auto"/>
          <w:sz w:val="24"/>
          <w:szCs w:val="24"/>
          <w:lang w:val="en-US" w:eastAsia="zh-CN"/>
        </w:rPr>
        <w:t>本项目不涉及取土场。</w:t>
      </w:r>
    </w:p>
    <w:p w14:paraId="076421BE">
      <w:pPr>
        <w:pStyle w:val="7"/>
        <w:keepNext w:val="0"/>
        <w:keepLines w:val="0"/>
        <w:pageBreakBefore w:val="0"/>
        <w:widowControl/>
        <w:kinsoku/>
        <w:wordWrap/>
        <w:overflowPunct/>
        <w:topLinePunct w:val="0"/>
        <w:autoSpaceDE/>
        <w:autoSpaceDN/>
        <w:bidi w:val="0"/>
        <w:adjustRightInd/>
        <w:snapToGrid/>
        <w:spacing w:line="360" w:lineRule="auto"/>
        <w:textAlignment w:val="auto"/>
        <w:outlineLvl w:val="2"/>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val="0"/>
          <w:color w:val="auto"/>
          <w:kern w:val="24"/>
          <w:sz w:val="28"/>
          <w:szCs w:val="28"/>
          <w:highlight w:val="none"/>
          <w:lang w:eastAsia="ar" w:bidi="ar"/>
        </w:rPr>
        <w:t>3.</w:t>
      </w:r>
      <w:r>
        <w:rPr>
          <w:rFonts w:hint="default" w:ascii="Times New Roman" w:hAnsi="Times New Roman" w:eastAsia="仿宋_GB2312" w:cs="Times New Roman"/>
          <w:b/>
          <w:bCs w:val="0"/>
          <w:color w:val="auto"/>
          <w:kern w:val="24"/>
          <w:sz w:val="28"/>
          <w:szCs w:val="28"/>
          <w:highlight w:val="none"/>
          <w:lang w:val="en-US" w:eastAsia="zh-CN" w:bidi="ar"/>
        </w:rPr>
        <w:t>2.5 弃渣场设置</w:t>
      </w:r>
      <w:r>
        <w:rPr>
          <w:rFonts w:hint="default" w:ascii="Times New Roman" w:hAnsi="Times New Roman" w:eastAsia="仿宋_GB2312" w:cs="Times New Roman"/>
          <w:b/>
          <w:bCs w:val="0"/>
          <w:color w:val="auto"/>
          <w:kern w:val="24"/>
          <w:sz w:val="28"/>
          <w:szCs w:val="28"/>
          <w:highlight w:val="none"/>
          <w:lang w:eastAsia="ar" w:bidi="ar"/>
        </w:rPr>
        <w:t>评价</w:t>
      </w:r>
    </w:p>
    <w:p w14:paraId="72C85212">
      <w:pPr>
        <w:pStyle w:val="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仿宋_GB2312" w:cs="Times New Roman"/>
          <w:b w:val="0"/>
          <w:bCs w:val="0"/>
          <w:color w:val="auto"/>
          <w:sz w:val="24"/>
          <w:szCs w:val="24"/>
          <w:lang w:val="en-US" w:eastAsia="zh-CN"/>
        </w:rPr>
      </w:pPr>
      <w:r>
        <w:rPr>
          <w:rFonts w:hint="default" w:ascii="Times New Roman" w:hAnsi="Times New Roman" w:eastAsia="仿宋_GB2312" w:cs="Times New Roman"/>
          <w:b w:val="0"/>
          <w:bCs w:val="0"/>
          <w:color w:val="auto"/>
          <w:sz w:val="24"/>
          <w:szCs w:val="24"/>
          <w:lang w:val="en-US" w:eastAsia="zh-CN"/>
        </w:rPr>
        <w:t>本项目不涉及弃渣场。</w:t>
      </w:r>
    </w:p>
    <w:p w14:paraId="5E9A3B7A">
      <w:pPr>
        <w:pStyle w:val="7"/>
        <w:keepNext w:val="0"/>
        <w:keepLines w:val="0"/>
        <w:pageBreakBefore w:val="0"/>
        <w:widowControl/>
        <w:kinsoku/>
        <w:wordWrap/>
        <w:overflowPunct/>
        <w:topLinePunct w:val="0"/>
        <w:autoSpaceDE/>
        <w:autoSpaceDN/>
        <w:bidi w:val="0"/>
        <w:adjustRightInd/>
        <w:snapToGrid/>
        <w:spacing w:line="360" w:lineRule="auto"/>
        <w:textAlignment w:val="auto"/>
        <w:outlineLvl w:val="2"/>
        <w:rPr>
          <w:rFonts w:hint="default" w:ascii="Times New Roman" w:hAnsi="Times New Roman" w:eastAsia="仿宋_GB2312" w:cs="Times New Roman"/>
          <w:b w:val="0"/>
          <w:bCs w:val="0"/>
          <w:color w:val="auto"/>
          <w:sz w:val="28"/>
          <w:szCs w:val="28"/>
          <w:lang w:val="en-US" w:eastAsia="zh-CN"/>
        </w:rPr>
      </w:pPr>
      <w:r>
        <w:rPr>
          <w:rFonts w:hint="default" w:ascii="Times New Roman" w:hAnsi="Times New Roman" w:eastAsia="仿宋_GB2312" w:cs="Times New Roman"/>
          <w:b/>
          <w:bCs w:val="0"/>
          <w:color w:val="auto"/>
          <w:kern w:val="24"/>
          <w:sz w:val="28"/>
          <w:szCs w:val="28"/>
          <w:highlight w:val="none"/>
          <w:lang w:eastAsia="ar" w:bidi="ar"/>
        </w:rPr>
        <w:t>3.</w:t>
      </w:r>
      <w:r>
        <w:rPr>
          <w:rFonts w:hint="default" w:ascii="Times New Roman" w:hAnsi="Times New Roman" w:eastAsia="仿宋_GB2312" w:cs="Times New Roman"/>
          <w:b/>
          <w:bCs w:val="0"/>
          <w:color w:val="auto"/>
          <w:kern w:val="24"/>
          <w:sz w:val="28"/>
          <w:szCs w:val="28"/>
          <w:highlight w:val="none"/>
          <w:lang w:val="en-US" w:eastAsia="zh-CN" w:bidi="ar"/>
        </w:rPr>
        <w:t>2.6 施工方法与工艺</w:t>
      </w:r>
      <w:r>
        <w:rPr>
          <w:rFonts w:hint="default" w:ascii="Times New Roman" w:hAnsi="Times New Roman" w:eastAsia="仿宋_GB2312" w:cs="Times New Roman"/>
          <w:b/>
          <w:bCs w:val="0"/>
          <w:color w:val="auto"/>
          <w:kern w:val="24"/>
          <w:sz w:val="28"/>
          <w:szCs w:val="28"/>
          <w:highlight w:val="none"/>
          <w:lang w:eastAsia="ar" w:bidi="ar"/>
        </w:rPr>
        <w:t>评价</w:t>
      </w:r>
    </w:p>
    <w:p w14:paraId="28915E74">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bookmarkStart w:id="114" w:name="_Toc11250883"/>
      <w:r>
        <w:rPr>
          <w:rFonts w:hint="default" w:ascii="Times New Roman" w:hAnsi="Times New Roman" w:eastAsia="仿宋_GB2312" w:cs="Times New Roman"/>
          <w:color w:val="auto"/>
          <w:kern w:val="0"/>
          <w:sz w:val="24"/>
          <w:szCs w:val="24"/>
          <w:lang w:val="en-US" w:eastAsia="zh-CN" w:bidi="ar"/>
        </w:rPr>
        <w:t xml:space="preserve">主体工程施工组织设计中提出的施工用水、用电方案是可行的，满足施工要求；建筑材料采购方式基本合理。 </w:t>
      </w:r>
    </w:p>
    <w:p w14:paraId="46700D1A">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 xml:space="preserve">施工时已根据各项目分区具体的工程措施合理安排各施工工序，减少或避免各工序间的相互干扰。工程施工采用机械和人工配合进行，机械以铲运机、推土机为主，人工则配合机械作零星场地或边角地区的平整。 </w:t>
      </w:r>
    </w:p>
    <w:p w14:paraId="36C14BB8">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在工程施工过程中，土石方的挖填采用机械和人工相结合的方法，已选好土方堆放场地，避免了土方来回移动。并采取密目网覆盖措施，防止大风和降雨造成水土流失。</w:t>
      </w:r>
    </w:p>
    <w:p w14:paraId="2A04AE58">
      <w:pPr>
        <w:pStyle w:val="4"/>
        <w:keepNext/>
        <w:keepLines/>
        <w:pageBreakBefore w:val="0"/>
        <w:widowControl/>
        <w:suppressAutoHyphens/>
        <w:kinsoku/>
        <w:wordWrap/>
        <w:overflowPunct/>
        <w:topLinePunct w:val="0"/>
        <w:autoSpaceDE/>
        <w:autoSpaceDN/>
        <w:bidi w:val="0"/>
        <w:adjustRightInd/>
        <w:snapToGrid/>
        <w:spacing w:before="0" w:after="0" w:line="360" w:lineRule="auto"/>
        <w:jc w:val="left"/>
        <w:textAlignment w:val="auto"/>
        <w:outlineLvl w:val="2"/>
        <w:rPr>
          <w:rFonts w:hint="default" w:ascii="Times New Roman" w:hAnsi="Times New Roman" w:eastAsia="仿宋_GB2312" w:cs="Times New Roman"/>
          <w:b/>
          <w:bCs w:val="0"/>
          <w:color w:val="auto"/>
          <w:kern w:val="24"/>
          <w:sz w:val="28"/>
          <w:szCs w:val="28"/>
          <w:highlight w:val="none"/>
          <w:lang w:eastAsia="ar" w:bidi="ar"/>
        </w:rPr>
      </w:pPr>
      <w:r>
        <w:rPr>
          <w:rFonts w:hint="default" w:ascii="Times New Roman" w:hAnsi="Times New Roman" w:eastAsia="仿宋_GB2312" w:cs="Times New Roman"/>
          <w:b/>
          <w:bCs w:val="0"/>
          <w:color w:val="auto"/>
          <w:kern w:val="24"/>
          <w:sz w:val="28"/>
          <w:szCs w:val="28"/>
          <w:highlight w:val="none"/>
          <w:lang w:eastAsia="ar" w:bidi="ar"/>
        </w:rPr>
        <w:t>3.</w:t>
      </w:r>
      <w:r>
        <w:rPr>
          <w:rFonts w:hint="default" w:ascii="Times New Roman" w:hAnsi="Times New Roman" w:eastAsia="仿宋_GB2312" w:cs="Times New Roman"/>
          <w:b/>
          <w:bCs w:val="0"/>
          <w:color w:val="auto"/>
          <w:kern w:val="24"/>
          <w:sz w:val="28"/>
          <w:szCs w:val="28"/>
          <w:highlight w:val="none"/>
          <w:lang w:val="en-US" w:eastAsia="zh-CN" w:bidi="ar"/>
        </w:rPr>
        <w:t>2.</w:t>
      </w:r>
      <w:r>
        <w:rPr>
          <w:rFonts w:hint="default" w:ascii="Times New Roman" w:hAnsi="Times New Roman" w:cs="Times New Roman"/>
          <w:b/>
          <w:bCs w:val="0"/>
          <w:color w:val="auto"/>
          <w:kern w:val="24"/>
          <w:sz w:val="28"/>
          <w:szCs w:val="28"/>
          <w:highlight w:val="none"/>
          <w:lang w:val="en-US" w:eastAsia="zh-CN" w:bidi="ar"/>
        </w:rPr>
        <w:t>6</w:t>
      </w:r>
      <w:r>
        <w:rPr>
          <w:rFonts w:hint="default" w:ascii="Times New Roman" w:hAnsi="Times New Roman" w:eastAsia="仿宋_GB2312" w:cs="Times New Roman"/>
          <w:b/>
          <w:bCs w:val="0"/>
          <w:color w:val="auto"/>
          <w:kern w:val="24"/>
          <w:sz w:val="28"/>
          <w:szCs w:val="28"/>
          <w:highlight w:val="none"/>
          <w:lang w:val="en-US" w:eastAsia="zh-CN" w:bidi="ar"/>
        </w:rPr>
        <w:t xml:space="preserve"> </w:t>
      </w:r>
      <w:r>
        <w:rPr>
          <w:rFonts w:hint="default" w:ascii="Times New Roman" w:hAnsi="Times New Roman" w:eastAsia="仿宋_GB2312" w:cs="Times New Roman"/>
          <w:b/>
          <w:bCs w:val="0"/>
          <w:color w:val="auto"/>
          <w:kern w:val="24"/>
          <w:sz w:val="28"/>
          <w:szCs w:val="28"/>
          <w:highlight w:val="none"/>
          <w:lang w:eastAsia="ar" w:bidi="ar"/>
        </w:rPr>
        <w:t>主体工程设计</w:t>
      </w:r>
      <w:r>
        <w:rPr>
          <w:rFonts w:hint="default" w:ascii="Times New Roman" w:hAnsi="Times New Roman" w:eastAsia="仿宋_GB2312" w:cs="Times New Roman"/>
          <w:b/>
          <w:bCs w:val="0"/>
          <w:color w:val="auto"/>
          <w:kern w:val="24"/>
          <w:sz w:val="28"/>
          <w:szCs w:val="28"/>
          <w:highlight w:val="none"/>
          <w:lang w:val="en-US" w:eastAsia="zh-CN" w:bidi="ar"/>
        </w:rPr>
        <w:t>中具有水土保持功能工程的</w:t>
      </w:r>
      <w:r>
        <w:rPr>
          <w:rFonts w:hint="default" w:ascii="Times New Roman" w:hAnsi="Times New Roman" w:eastAsia="仿宋_GB2312" w:cs="Times New Roman"/>
          <w:b/>
          <w:bCs w:val="0"/>
          <w:color w:val="auto"/>
          <w:kern w:val="24"/>
          <w:sz w:val="28"/>
          <w:szCs w:val="28"/>
          <w:highlight w:val="none"/>
          <w:lang w:eastAsia="ar" w:bidi="ar"/>
        </w:rPr>
        <w:t>评价</w:t>
      </w:r>
      <w:bookmarkEnd w:id="114"/>
    </w:p>
    <w:p w14:paraId="32D350B6">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从贯彻水土保持法和有关法律法规的角度出发，主体工程中包含了</w:t>
      </w:r>
      <w:r>
        <w:rPr>
          <w:rFonts w:hint="default" w:ascii="Times New Roman" w:hAnsi="Times New Roman" w:eastAsia="仿宋_GB2312" w:cs="Times New Roman"/>
          <w:color w:val="auto"/>
          <w:sz w:val="24"/>
          <w:szCs w:val="24"/>
          <w:lang w:eastAsia="zh-CN"/>
        </w:rPr>
        <w:t>场地内的</w:t>
      </w:r>
      <w:r>
        <w:rPr>
          <w:rFonts w:hint="default" w:ascii="Times New Roman" w:hAnsi="Times New Roman" w:eastAsia="仿宋_GB2312" w:cs="Times New Roman"/>
          <w:color w:val="auto"/>
          <w:sz w:val="24"/>
          <w:szCs w:val="24"/>
          <w:lang w:val="en-US" w:eastAsia="zh-CN"/>
        </w:rPr>
        <w:t>排水设施</w:t>
      </w:r>
      <w:r>
        <w:rPr>
          <w:rFonts w:hint="default" w:ascii="Times New Roman" w:hAnsi="Times New Roman" w:eastAsia="仿宋_GB2312" w:cs="Times New Roman"/>
          <w:color w:val="auto"/>
          <w:sz w:val="24"/>
          <w:szCs w:val="24"/>
          <w:lang w:eastAsia="zh-CN"/>
        </w:rPr>
        <w:t>，表土剥离与回覆、植物绿化</w:t>
      </w:r>
      <w:r>
        <w:rPr>
          <w:rFonts w:hint="default" w:ascii="Times New Roman" w:hAnsi="Times New Roman" w:eastAsia="仿宋_GB2312" w:cs="Times New Roman"/>
          <w:color w:val="auto"/>
          <w:kern w:val="0"/>
          <w:sz w:val="24"/>
          <w:szCs w:val="24"/>
          <w:lang w:val="en-US" w:eastAsia="zh-CN" w:bidi="ar"/>
        </w:rPr>
        <w:t xml:space="preserve">等具有一定的水土保持功能的措施。在本项目水土保持方案中，需要对主体已采取的防护措施进行分析与评价，论证措施的防治能力，以进一步完善工程水土流失防治措施体系。 </w:t>
      </w:r>
    </w:p>
    <w:p w14:paraId="0A6319E2">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val="en-US" w:eastAsia="zh-CN"/>
        </w:rPr>
      </w:pPr>
      <w:bookmarkStart w:id="115" w:name="_Toc11250884"/>
      <w:bookmarkStart w:id="116" w:name="_Toc6527"/>
      <w:bookmarkStart w:id="117" w:name="_Toc24191"/>
      <w:r>
        <w:rPr>
          <w:rFonts w:hint="default" w:ascii="Times New Roman" w:hAnsi="Times New Roman" w:eastAsia="仿宋_GB2312" w:cs="Times New Roman"/>
          <w:b/>
          <w:bCs/>
          <w:color w:val="auto"/>
          <w:szCs w:val="24"/>
          <w:lang w:val="en-US" w:eastAsia="ar"/>
        </w:rPr>
        <w:t>3.</w:t>
      </w:r>
      <w:bookmarkEnd w:id="115"/>
      <w:r>
        <w:rPr>
          <w:rFonts w:hint="default" w:ascii="Times New Roman" w:hAnsi="Times New Roman" w:eastAsia="仿宋_GB2312" w:cs="Times New Roman"/>
          <w:b/>
          <w:bCs/>
          <w:color w:val="auto"/>
          <w:szCs w:val="24"/>
          <w:lang w:val="en-US" w:eastAsia="zh-CN"/>
        </w:rPr>
        <w:t>3 主体工程设计中水土保持措施界定</w:t>
      </w:r>
      <w:bookmarkEnd w:id="116"/>
      <w:bookmarkEnd w:id="117"/>
    </w:p>
    <w:p w14:paraId="4F963222">
      <w:pPr>
        <w:spacing w:line="360" w:lineRule="auto"/>
        <w:ind w:firstLine="480" w:firstLineChars="20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highlight w:val="none"/>
          <w:lang w:val="en-US" w:eastAsia="zh-CN" w:bidi="ar"/>
        </w:rPr>
        <w:t>根据《关于印发〈开发建设项目水土保持方案技术审查要点〉的通知》（水保监〔2014〕58号）和《生产建设项目水土保持技术标准》（GB50433-2018）中相关界定原则，主体工程已实施的水土保持措施有</w:t>
      </w:r>
      <w:r>
        <w:rPr>
          <w:rFonts w:hint="default" w:ascii="Times New Roman" w:hAnsi="Times New Roman" w:eastAsia="仿宋_GB2312" w:cs="Times New Roman"/>
          <w:b w:val="0"/>
          <w:bCs w:val="0"/>
          <w:color w:val="auto"/>
          <w:kern w:val="2"/>
          <w:sz w:val="24"/>
          <w:szCs w:val="24"/>
          <w:lang w:val="en-US" w:eastAsia="zh-CN" w:bidi="ar"/>
        </w:rPr>
        <w:t>硬化工程：表土剥离0.01万m</w:t>
      </w:r>
      <w:r>
        <w:rPr>
          <w:rFonts w:hint="default" w:ascii="Times New Roman" w:hAnsi="Times New Roman" w:eastAsia="仿宋_GB2312" w:cs="Times New Roman"/>
          <w:b w:val="0"/>
          <w:bCs w:val="0"/>
          <w:color w:val="auto"/>
          <w:kern w:val="2"/>
          <w:sz w:val="24"/>
          <w:szCs w:val="24"/>
          <w:vertAlign w:val="superscript"/>
          <w:lang w:val="en-US" w:eastAsia="zh-CN" w:bidi="ar"/>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auto"/>
          <w:sz w:val="24"/>
          <w:lang w:val="en-US" w:eastAsia="zh-CN" w:bidi="ar"/>
        </w:rPr>
        <w:t>DN300排水管720m、雨水井20座、雨水口15座；</w:t>
      </w:r>
      <w:r>
        <w:rPr>
          <w:rFonts w:hint="default" w:ascii="Times New Roman" w:hAnsi="Times New Roman" w:eastAsia="仿宋_GB2312" w:cs="Times New Roman"/>
          <w:b w:val="0"/>
          <w:bCs w:val="0"/>
          <w:color w:val="auto"/>
          <w:kern w:val="2"/>
          <w:sz w:val="24"/>
          <w:szCs w:val="24"/>
          <w:lang w:val="en-US" w:eastAsia="zh-CN" w:bidi="ar"/>
        </w:rPr>
        <w:t>绿化工程：表土剥离0.01万m</w:t>
      </w:r>
      <w:r>
        <w:rPr>
          <w:rFonts w:hint="default" w:ascii="Times New Roman" w:hAnsi="Times New Roman" w:eastAsia="仿宋_GB2312" w:cs="Times New Roman"/>
          <w:b w:val="0"/>
          <w:bCs w:val="0"/>
          <w:color w:val="auto"/>
          <w:kern w:val="2"/>
          <w:sz w:val="24"/>
          <w:szCs w:val="24"/>
          <w:vertAlign w:val="superscript"/>
          <w:lang w:val="en-US" w:eastAsia="zh-CN" w:bidi="ar"/>
        </w:rPr>
        <w:t>3</w:t>
      </w:r>
      <w:r>
        <w:rPr>
          <w:rFonts w:hint="default" w:ascii="Times New Roman" w:hAnsi="Times New Roman" w:eastAsia="仿宋_GB2312" w:cs="Times New Roman"/>
          <w:b w:val="0"/>
          <w:bCs w:val="0"/>
          <w:color w:val="auto"/>
          <w:kern w:val="2"/>
          <w:sz w:val="24"/>
          <w:szCs w:val="24"/>
          <w:lang w:val="en-US" w:eastAsia="zh-CN" w:bidi="ar"/>
        </w:rPr>
        <w:t>、表土回覆0.02万m</w:t>
      </w:r>
      <w:r>
        <w:rPr>
          <w:rFonts w:hint="default" w:ascii="Times New Roman" w:hAnsi="Times New Roman" w:eastAsia="仿宋_GB2312" w:cs="Times New Roman"/>
          <w:b w:val="0"/>
          <w:bCs w:val="0"/>
          <w:color w:val="auto"/>
          <w:kern w:val="2"/>
          <w:sz w:val="24"/>
          <w:szCs w:val="24"/>
          <w:vertAlign w:val="superscript"/>
          <w:lang w:val="en-US" w:eastAsia="zh-CN" w:bidi="ar"/>
        </w:rPr>
        <w:t>3</w:t>
      </w:r>
      <w:r>
        <w:rPr>
          <w:rFonts w:hint="default" w:ascii="Times New Roman" w:hAnsi="Times New Roman" w:eastAsia="仿宋_GB2312" w:cs="Times New Roman"/>
          <w:b w:val="0"/>
          <w:bCs w:val="0"/>
          <w:color w:val="auto"/>
          <w:kern w:val="2"/>
          <w:sz w:val="24"/>
          <w:szCs w:val="24"/>
          <w:lang w:val="en-US" w:eastAsia="zh-CN" w:bidi="ar"/>
        </w:rPr>
        <w:t>、撒播草籽0.12</w:t>
      </w:r>
      <w:r>
        <w:rPr>
          <w:rFonts w:hint="default" w:ascii="Times New Roman" w:hAnsi="Times New Roman" w:eastAsia="仿宋_GB2312" w:cs="Times New Roman"/>
          <w:color w:val="auto"/>
          <w:sz w:val="24"/>
          <w:lang w:val="en-US" w:eastAsia="zh-CN" w:bidi="ar"/>
        </w:rPr>
        <w:t>h</w:t>
      </w:r>
      <w:r>
        <w:rPr>
          <w:rFonts w:hint="default" w:ascii="Times New Roman" w:hAnsi="Times New Roman" w:eastAsia="仿宋_GB2312" w:cs="Times New Roman"/>
          <w:bCs/>
          <w:color w:val="auto"/>
          <w:sz w:val="24"/>
          <w:lang w:val="zh-CN" w:bidi="ar"/>
        </w:rPr>
        <w:t>m</w:t>
      </w:r>
      <w:r>
        <w:rPr>
          <w:rFonts w:hint="default" w:ascii="Times New Roman" w:hAnsi="Times New Roman" w:eastAsia="仿宋_GB2312" w:cs="Times New Roman"/>
          <w:bCs/>
          <w:color w:val="auto"/>
          <w:sz w:val="24"/>
          <w:vertAlign w:val="superscript"/>
          <w:lang w:val="zh-CN" w:bidi="ar"/>
        </w:rPr>
        <w:t>2</w:t>
      </w:r>
      <w:r>
        <w:rPr>
          <w:rFonts w:hint="default" w:ascii="Times New Roman" w:hAnsi="Times New Roman" w:eastAsia="仿宋_GB2312" w:cs="Times New Roman"/>
          <w:b w:val="0"/>
          <w:bCs w:val="0"/>
          <w:color w:val="auto"/>
          <w:kern w:val="2"/>
          <w:sz w:val="24"/>
          <w:szCs w:val="24"/>
          <w:lang w:val="en-US" w:eastAsia="zh-CN" w:bidi="ar"/>
        </w:rPr>
        <w:t>。</w:t>
      </w:r>
    </w:p>
    <w:p w14:paraId="0A38BB18">
      <w:pPr>
        <w:spacing w:line="360" w:lineRule="auto"/>
        <w:ind w:firstLine="480" w:firstLineChars="200"/>
        <w:rPr>
          <w:rFonts w:hint="default" w:ascii="Times New Roman" w:hAnsi="Times New Roman" w:eastAsia="仿宋_GB2312" w:cs="Times New Roman"/>
          <w:b/>
          <w:color w:val="auto"/>
          <w:sz w:val="21"/>
          <w:szCs w:val="21"/>
          <w:lang w:bidi="ar"/>
        </w:rPr>
      </w:pPr>
      <w:r>
        <w:rPr>
          <w:rFonts w:hint="default" w:ascii="Times New Roman" w:hAnsi="Times New Roman" w:eastAsia="仿宋_GB2312" w:cs="Times New Roman"/>
          <w:color w:val="auto"/>
          <w:sz w:val="24"/>
          <w:szCs w:val="24"/>
        </w:rPr>
        <w:t>主体工程界定为水土保持工程的工程量详见表3.3-1。</w:t>
      </w:r>
      <w:bookmarkEnd w:id="106"/>
      <w:bookmarkEnd w:id="107"/>
      <w:bookmarkEnd w:id="108"/>
      <w:bookmarkEnd w:id="109"/>
      <w:bookmarkEnd w:id="110"/>
      <w:bookmarkEnd w:id="111"/>
    </w:p>
    <w:p w14:paraId="04910D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color w:val="auto"/>
          <w:kern w:val="0"/>
          <w:sz w:val="24"/>
        </w:rPr>
      </w:pPr>
      <w:r>
        <w:rPr>
          <w:rFonts w:hint="default" w:ascii="Times New Roman" w:hAnsi="Times New Roman" w:eastAsia="仿宋_GB2312" w:cs="Times New Roman"/>
          <w:b/>
          <w:color w:val="auto"/>
          <w:sz w:val="21"/>
          <w:szCs w:val="21"/>
          <w:lang w:bidi="ar"/>
        </w:rPr>
        <w:t>表3</w:t>
      </w:r>
      <w:r>
        <w:rPr>
          <w:rFonts w:hint="default" w:ascii="Times New Roman" w:hAnsi="Times New Roman" w:eastAsia="仿宋_GB2312" w:cs="Times New Roman"/>
          <w:b/>
          <w:color w:val="auto"/>
          <w:sz w:val="21"/>
          <w:szCs w:val="21"/>
          <w:lang w:val="en-US" w:eastAsia="zh-CN" w:bidi="ar"/>
        </w:rPr>
        <w:t>.3</w:t>
      </w:r>
      <w:r>
        <w:rPr>
          <w:rFonts w:hint="default" w:ascii="Times New Roman" w:hAnsi="Times New Roman" w:eastAsia="仿宋_GB2312" w:cs="Times New Roman"/>
          <w:b/>
          <w:color w:val="auto"/>
          <w:sz w:val="21"/>
          <w:szCs w:val="21"/>
          <w:lang w:bidi="ar"/>
        </w:rPr>
        <w:t>-1   主体工程中水土保持措施数量及投资统计表</w:t>
      </w:r>
    </w:p>
    <w:tbl>
      <w:tblPr>
        <w:tblStyle w:val="18"/>
        <w:tblW w:w="88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946"/>
        <w:gridCol w:w="1778"/>
        <w:gridCol w:w="1164"/>
        <w:gridCol w:w="1164"/>
        <w:gridCol w:w="1188"/>
        <w:gridCol w:w="1188"/>
      </w:tblGrid>
      <w:tr w14:paraId="4B97D1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64" w:type="dxa"/>
            <w:tcBorders>
              <w:tl2br w:val="nil"/>
              <w:tr2bl w:val="nil"/>
            </w:tcBorders>
            <w:noWrap w:val="0"/>
            <w:vAlign w:val="center"/>
          </w:tcPr>
          <w:p w14:paraId="71912B68">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eastAsia="zh-CN"/>
              </w:rPr>
            </w:pPr>
            <w:bookmarkStart w:id="118" w:name="_Toc31373"/>
            <w:r>
              <w:rPr>
                <w:rFonts w:hint="default" w:ascii="Times New Roman" w:hAnsi="Times New Roman" w:eastAsia="仿宋_GB2312" w:cs="Times New Roman"/>
                <w:i w:val="0"/>
                <w:iCs w:val="0"/>
                <w:color w:val="000000"/>
                <w:kern w:val="0"/>
                <w:sz w:val="18"/>
                <w:szCs w:val="18"/>
                <w:u w:val="none"/>
                <w:lang w:val="en-US" w:eastAsia="zh-CN" w:bidi="ar"/>
              </w:rPr>
              <w:t>防治分区</w:t>
            </w:r>
          </w:p>
        </w:tc>
        <w:tc>
          <w:tcPr>
            <w:tcW w:w="946" w:type="dxa"/>
            <w:tcBorders>
              <w:tl2br w:val="nil"/>
              <w:tr2bl w:val="nil"/>
            </w:tcBorders>
            <w:noWrap w:val="0"/>
            <w:vAlign w:val="center"/>
          </w:tcPr>
          <w:p w14:paraId="3A5026D2">
            <w:pPr>
              <w:keepNext w:val="0"/>
              <w:keepLines w:val="0"/>
              <w:widowControl/>
              <w:suppressLineNumbers w:val="0"/>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i w:val="0"/>
                <w:iCs w:val="0"/>
                <w:color w:val="000000"/>
                <w:kern w:val="0"/>
                <w:sz w:val="18"/>
                <w:szCs w:val="18"/>
                <w:u w:val="none"/>
                <w:lang w:val="en-US" w:eastAsia="zh-CN" w:bidi="ar"/>
              </w:rPr>
              <w:t>措施类型</w:t>
            </w:r>
          </w:p>
        </w:tc>
        <w:tc>
          <w:tcPr>
            <w:tcW w:w="1778" w:type="dxa"/>
            <w:tcBorders>
              <w:tl2br w:val="nil"/>
              <w:tr2bl w:val="nil"/>
            </w:tcBorders>
            <w:noWrap w:val="0"/>
            <w:vAlign w:val="center"/>
          </w:tcPr>
          <w:p w14:paraId="257D3597">
            <w:pPr>
              <w:keepNext w:val="0"/>
              <w:keepLines w:val="0"/>
              <w:widowControl/>
              <w:suppressLineNumbers w:val="0"/>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i w:val="0"/>
                <w:iCs w:val="0"/>
                <w:color w:val="000000"/>
                <w:kern w:val="0"/>
                <w:sz w:val="18"/>
                <w:szCs w:val="18"/>
                <w:u w:val="none"/>
                <w:lang w:val="en-US" w:eastAsia="zh-CN" w:bidi="ar"/>
              </w:rPr>
              <w:t>措施名称</w:t>
            </w:r>
          </w:p>
        </w:tc>
        <w:tc>
          <w:tcPr>
            <w:tcW w:w="1164" w:type="dxa"/>
            <w:tcBorders>
              <w:tl2br w:val="nil"/>
              <w:tr2bl w:val="nil"/>
            </w:tcBorders>
            <w:noWrap w:val="0"/>
            <w:vAlign w:val="center"/>
          </w:tcPr>
          <w:p w14:paraId="168AC0F0">
            <w:pPr>
              <w:keepNext w:val="0"/>
              <w:keepLines w:val="0"/>
              <w:widowControl/>
              <w:suppressLineNumbers w:val="0"/>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i w:val="0"/>
                <w:iCs w:val="0"/>
                <w:color w:val="000000"/>
                <w:kern w:val="0"/>
                <w:sz w:val="18"/>
                <w:szCs w:val="18"/>
                <w:u w:val="none"/>
                <w:lang w:val="en-US" w:eastAsia="zh-CN" w:bidi="ar"/>
              </w:rPr>
              <w:t>单位</w:t>
            </w:r>
          </w:p>
        </w:tc>
        <w:tc>
          <w:tcPr>
            <w:tcW w:w="1164" w:type="dxa"/>
            <w:tcBorders>
              <w:tl2br w:val="nil"/>
              <w:tr2bl w:val="nil"/>
            </w:tcBorders>
            <w:noWrap w:val="0"/>
            <w:vAlign w:val="center"/>
          </w:tcPr>
          <w:p w14:paraId="51A552E5">
            <w:pPr>
              <w:keepNext w:val="0"/>
              <w:keepLines w:val="0"/>
              <w:widowControl/>
              <w:suppressLineNumbers w:val="0"/>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i w:val="0"/>
                <w:iCs w:val="0"/>
                <w:color w:val="000000"/>
                <w:kern w:val="0"/>
                <w:sz w:val="18"/>
                <w:szCs w:val="18"/>
                <w:u w:val="none"/>
                <w:lang w:val="en-US" w:eastAsia="zh-CN" w:bidi="ar"/>
              </w:rPr>
              <w:t>数量</w:t>
            </w:r>
          </w:p>
        </w:tc>
        <w:tc>
          <w:tcPr>
            <w:tcW w:w="1188" w:type="dxa"/>
            <w:tcBorders>
              <w:tl2br w:val="nil"/>
              <w:tr2bl w:val="nil"/>
            </w:tcBorders>
            <w:noWrap w:val="0"/>
            <w:vAlign w:val="center"/>
          </w:tcPr>
          <w:p w14:paraId="18040077">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单价（元）</w:t>
            </w:r>
          </w:p>
        </w:tc>
        <w:tc>
          <w:tcPr>
            <w:tcW w:w="1188" w:type="dxa"/>
            <w:tcBorders>
              <w:tl2br w:val="nil"/>
              <w:tr2bl w:val="nil"/>
            </w:tcBorders>
            <w:noWrap w:val="0"/>
            <w:vAlign w:val="center"/>
          </w:tcPr>
          <w:p w14:paraId="26356D56">
            <w:pPr>
              <w:keepNext w:val="0"/>
              <w:keepLines w:val="0"/>
              <w:widowControl/>
              <w:suppressLineNumbers w:val="0"/>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i w:val="0"/>
                <w:iCs w:val="0"/>
                <w:color w:val="000000"/>
                <w:kern w:val="0"/>
                <w:sz w:val="18"/>
                <w:szCs w:val="18"/>
                <w:u w:val="none"/>
                <w:lang w:val="en-US" w:eastAsia="zh-CN" w:bidi="ar"/>
              </w:rPr>
              <w:t>投资（万元）</w:t>
            </w:r>
          </w:p>
        </w:tc>
      </w:tr>
      <w:tr w14:paraId="70453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64" w:type="dxa"/>
            <w:vMerge w:val="restart"/>
            <w:tcBorders>
              <w:tl2br w:val="nil"/>
              <w:tr2bl w:val="nil"/>
            </w:tcBorders>
            <w:noWrap w:val="0"/>
            <w:vAlign w:val="center"/>
          </w:tcPr>
          <w:p w14:paraId="160D2C52">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硬化工程</w:t>
            </w:r>
          </w:p>
        </w:tc>
        <w:tc>
          <w:tcPr>
            <w:tcW w:w="946" w:type="dxa"/>
            <w:vMerge w:val="restart"/>
            <w:tcBorders>
              <w:tl2br w:val="nil"/>
              <w:tr2bl w:val="nil"/>
            </w:tcBorders>
            <w:noWrap w:val="0"/>
            <w:vAlign w:val="center"/>
          </w:tcPr>
          <w:p w14:paraId="2AC30051">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i w:val="0"/>
                <w:iCs w:val="0"/>
                <w:color w:val="000000"/>
                <w:kern w:val="0"/>
                <w:sz w:val="18"/>
                <w:szCs w:val="18"/>
                <w:u w:val="none"/>
                <w:lang w:val="en-US" w:eastAsia="zh-CN" w:bidi="ar"/>
              </w:rPr>
              <w:t>工程措施</w:t>
            </w:r>
          </w:p>
        </w:tc>
        <w:tc>
          <w:tcPr>
            <w:tcW w:w="1778" w:type="dxa"/>
            <w:tcBorders>
              <w:tl2br w:val="nil"/>
              <w:tr2bl w:val="nil"/>
            </w:tcBorders>
            <w:shd w:val="clear" w:color="auto" w:fill="auto"/>
            <w:noWrap w:val="0"/>
            <w:vAlign w:val="center"/>
          </w:tcPr>
          <w:p w14:paraId="18756280">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表土剥离0.01万m</w:t>
            </w:r>
            <w:r>
              <w:rPr>
                <w:rFonts w:hint="default" w:ascii="Times New Roman" w:hAnsi="Times New Roman" w:eastAsia="仿宋_GB2312" w:cs="Times New Roman"/>
                <w:i w:val="0"/>
                <w:iCs w:val="0"/>
                <w:color w:val="000000"/>
                <w:kern w:val="0"/>
                <w:sz w:val="18"/>
                <w:szCs w:val="18"/>
                <w:u w:val="none"/>
                <w:vertAlign w:val="superscript"/>
                <w:lang w:val="en-US" w:eastAsia="zh-CN" w:bidi="ar"/>
              </w:rPr>
              <w:t>3</w:t>
            </w:r>
          </w:p>
        </w:tc>
        <w:tc>
          <w:tcPr>
            <w:tcW w:w="1164" w:type="dxa"/>
            <w:tcBorders>
              <w:tl2br w:val="nil"/>
              <w:tr2bl w:val="nil"/>
            </w:tcBorders>
            <w:shd w:val="clear" w:color="auto" w:fill="auto"/>
            <w:noWrap w:val="0"/>
            <w:vAlign w:val="center"/>
          </w:tcPr>
          <w:p w14:paraId="24DE06A5">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100</w:t>
            </w:r>
            <w:r>
              <w:rPr>
                <w:rFonts w:hint="default" w:ascii="Times New Roman" w:hAnsi="Times New Roman" w:eastAsia="宋体" w:cs="Times New Roman"/>
                <w:i w:val="0"/>
                <w:iCs w:val="0"/>
                <w:color w:val="000000"/>
                <w:kern w:val="0"/>
                <w:sz w:val="18"/>
                <w:szCs w:val="18"/>
                <w:u w:val="none"/>
                <w:lang w:val="en-US" w:eastAsia="zh-CN" w:bidi="ar"/>
              </w:rPr>
              <w:t>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p>
        </w:tc>
        <w:tc>
          <w:tcPr>
            <w:tcW w:w="1164" w:type="dxa"/>
            <w:tcBorders>
              <w:tl2br w:val="nil"/>
              <w:tr2bl w:val="nil"/>
            </w:tcBorders>
            <w:shd w:val="clear" w:color="auto" w:fill="auto"/>
            <w:noWrap w:val="0"/>
            <w:vAlign w:val="center"/>
          </w:tcPr>
          <w:p w14:paraId="6BD6B7B2">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2.00</w:t>
            </w:r>
          </w:p>
        </w:tc>
        <w:tc>
          <w:tcPr>
            <w:tcW w:w="1188" w:type="dxa"/>
            <w:tcBorders>
              <w:tl2br w:val="nil"/>
              <w:tr2bl w:val="nil"/>
            </w:tcBorders>
            <w:shd w:val="clear" w:color="auto" w:fill="auto"/>
            <w:noWrap w:val="0"/>
            <w:vAlign w:val="center"/>
          </w:tcPr>
          <w:p w14:paraId="2F03BD65">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75</w:t>
            </w:r>
            <w:r>
              <w:rPr>
                <w:rFonts w:hint="default" w:ascii="Times New Roman" w:hAnsi="Times New Roman"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99</w:t>
            </w:r>
          </w:p>
        </w:tc>
        <w:tc>
          <w:tcPr>
            <w:tcW w:w="1188" w:type="dxa"/>
            <w:tcBorders>
              <w:tl2br w:val="nil"/>
              <w:tr2bl w:val="nil"/>
            </w:tcBorders>
            <w:shd w:val="clear" w:color="auto" w:fill="auto"/>
            <w:noWrap w:val="0"/>
            <w:vAlign w:val="center"/>
          </w:tcPr>
          <w:p w14:paraId="1C53FC18">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0.02 </w:t>
            </w:r>
          </w:p>
        </w:tc>
      </w:tr>
      <w:tr w14:paraId="2B718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64" w:type="dxa"/>
            <w:vMerge w:val="continue"/>
            <w:tcBorders>
              <w:tl2br w:val="nil"/>
              <w:tr2bl w:val="nil"/>
            </w:tcBorders>
            <w:noWrap w:val="0"/>
            <w:vAlign w:val="center"/>
          </w:tcPr>
          <w:p w14:paraId="1A588B9C">
            <w:pPr>
              <w:jc w:val="center"/>
              <w:rPr>
                <w:rFonts w:hint="default" w:ascii="Times New Roman" w:hAnsi="Times New Roman" w:eastAsia="仿宋_GB2312" w:cs="Times New Roman"/>
                <w:color w:val="auto"/>
                <w:sz w:val="18"/>
                <w:szCs w:val="18"/>
                <w:lang w:val="en-US" w:eastAsia="zh-CN" w:bidi="ar"/>
              </w:rPr>
            </w:pPr>
          </w:p>
        </w:tc>
        <w:tc>
          <w:tcPr>
            <w:tcW w:w="946" w:type="dxa"/>
            <w:vMerge w:val="continue"/>
            <w:tcBorders>
              <w:tl2br w:val="nil"/>
              <w:tr2bl w:val="nil"/>
            </w:tcBorders>
            <w:noWrap w:val="0"/>
            <w:vAlign w:val="center"/>
          </w:tcPr>
          <w:p w14:paraId="3392C50E">
            <w:pPr>
              <w:jc w:val="center"/>
              <w:rPr>
                <w:rFonts w:hint="default" w:ascii="Times New Roman" w:hAnsi="Times New Roman" w:eastAsia="仿宋_GB2312" w:cs="Times New Roman"/>
                <w:color w:val="auto"/>
                <w:sz w:val="18"/>
                <w:szCs w:val="18"/>
                <w:lang w:eastAsia="zh-CN" w:bidi="ar"/>
              </w:rPr>
            </w:pPr>
          </w:p>
        </w:tc>
        <w:tc>
          <w:tcPr>
            <w:tcW w:w="1778" w:type="dxa"/>
            <w:tcBorders>
              <w:tl2br w:val="nil"/>
              <w:tr2bl w:val="nil"/>
            </w:tcBorders>
            <w:shd w:val="clear" w:color="auto" w:fill="auto"/>
            <w:noWrap w:val="0"/>
            <w:vAlign w:val="center"/>
          </w:tcPr>
          <w:p w14:paraId="44A6F9AC">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DN300</w:t>
            </w:r>
            <w:r>
              <w:rPr>
                <w:rFonts w:hint="default" w:ascii="Times New Roman" w:hAnsi="Times New Roman" w:eastAsia="仿宋_GB2312" w:cs="Times New Roman"/>
                <w:i w:val="0"/>
                <w:iCs w:val="0"/>
                <w:color w:val="000000"/>
                <w:kern w:val="0"/>
                <w:sz w:val="18"/>
                <w:szCs w:val="18"/>
                <w:u w:val="none"/>
                <w:lang w:val="en-US" w:eastAsia="zh-CN" w:bidi="ar"/>
              </w:rPr>
              <w:t>排水管</w:t>
            </w:r>
          </w:p>
        </w:tc>
        <w:tc>
          <w:tcPr>
            <w:tcW w:w="1164" w:type="dxa"/>
            <w:tcBorders>
              <w:tl2br w:val="nil"/>
              <w:tr2bl w:val="nil"/>
            </w:tcBorders>
            <w:shd w:val="clear" w:color="auto" w:fill="auto"/>
            <w:noWrap w:val="0"/>
            <w:vAlign w:val="center"/>
          </w:tcPr>
          <w:p w14:paraId="1C032BF5">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m</w:t>
            </w:r>
          </w:p>
        </w:tc>
        <w:tc>
          <w:tcPr>
            <w:tcW w:w="1164" w:type="dxa"/>
            <w:tcBorders>
              <w:tl2br w:val="nil"/>
              <w:tr2bl w:val="nil"/>
            </w:tcBorders>
            <w:shd w:val="clear" w:color="auto" w:fill="auto"/>
            <w:noWrap w:val="0"/>
            <w:vAlign w:val="center"/>
          </w:tcPr>
          <w:p w14:paraId="59F22119">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720</w:t>
            </w:r>
          </w:p>
        </w:tc>
        <w:tc>
          <w:tcPr>
            <w:tcW w:w="1188" w:type="dxa"/>
            <w:tcBorders>
              <w:tl2br w:val="nil"/>
              <w:tr2bl w:val="nil"/>
            </w:tcBorders>
            <w:shd w:val="clear" w:color="auto" w:fill="auto"/>
            <w:noWrap w:val="0"/>
            <w:vAlign w:val="center"/>
          </w:tcPr>
          <w:p w14:paraId="7895B10A">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222.7</w:t>
            </w:r>
            <w:r>
              <w:rPr>
                <w:rFonts w:hint="default" w:ascii="Times New Roman" w:hAnsi="Times New Roman" w:cs="Times New Roman"/>
                <w:i w:val="0"/>
                <w:iCs w:val="0"/>
                <w:color w:val="000000"/>
                <w:kern w:val="0"/>
                <w:sz w:val="18"/>
                <w:szCs w:val="18"/>
                <w:u w:val="none"/>
                <w:lang w:val="en-US" w:eastAsia="zh-CN" w:bidi="ar"/>
              </w:rPr>
              <w:t>0</w:t>
            </w:r>
          </w:p>
        </w:tc>
        <w:tc>
          <w:tcPr>
            <w:tcW w:w="1188" w:type="dxa"/>
            <w:tcBorders>
              <w:tl2br w:val="nil"/>
              <w:tr2bl w:val="nil"/>
            </w:tcBorders>
            <w:shd w:val="clear" w:color="auto" w:fill="auto"/>
            <w:noWrap w:val="0"/>
            <w:vAlign w:val="center"/>
          </w:tcPr>
          <w:p w14:paraId="06F471CF">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16.03 </w:t>
            </w:r>
          </w:p>
        </w:tc>
      </w:tr>
      <w:tr w14:paraId="2C1297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64" w:type="dxa"/>
            <w:vMerge w:val="continue"/>
            <w:tcBorders>
              <w:tl2br w:val="nil"/>
              <w:tr2bl w:val="nil"/>
            </w:tcBorders>
            <w:noWrap w:val="0"/>
            <w:vAlign w:val="center"/>
          </w:tcPr>
          <w:p w14:paraId="76F359B9">
            <w:pPr>
              <w:jc w:val="center"/>
              <w:rPr>
                <w:rFonts w:hint="default" w:ascii="Times New Roman" w:hAnsi="Times New Roman" w:eastAsia="仿宋_GB2312" w:cs="Times New Roman"/>
                <w:color w:val="auto"/>
                <w:sz w:val="18"/>
                <w:szCs w:val="18"/>
                <w:lang w:val="en-US" w:eastAsia="zh-CN" w:bidi="ar"/>
              </w:rPr>
            </w:pPr>
          </w:p>
        </w:tc>
        <w:tc>
          <w:tcPr>
            <w:tcW w:w="946" w:type="dxa"/>
            <w:vMerge w:val="continue"/>
            <w:tcBorders>
              <w:tl2br w:val="nil"/>
              <w:tr2bl w:val="nil"/>
            </w:tcBorders>
            <w:noWrap w:val="0"/>
            <w:vAlign w:val="center"/>
          </w:tcPr>
          <w:p w14:paraId="1E54F410">
            <w:pPr>
              <w:jc w:val="center"/>
              <w:rPr>
                <w:rFonts w:hint="default" w:ascii="Times New Roman" w:hAnsi="Times New Roman" w:eastAsia="仿宋_GB2312" w:cs="Times New Roman"/>
                <w:color w:val="auto"/>
                <w:sz w:val="18"/>
                <w:szCs w:val="18"/>
                <w:lang w:eastAsia="zh-CN" w:bidi="ar"/>
              </w:rPr>
            </w:pPr>
          </w:p>
        </w:tc>
        <w:tc>
          <w:tcPr>
            <w:tcW w:w="1778" w:type="dxa"/>
            <w:tcBorders>
              <w:tl2br w:val="nil"/>
              <w:tr2bl w:val="nil"/>
            </w:tcBorders>
            <w:shd w:val="clear" w:color="auto" w:fill="auto"/>
            <w:noWrap w:val="0"/>
            <w:vAlign w:val="center"/>
          </w:tcPr>
          <w:p w14:paraId="08739C76">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雨水井</w:t>
            </w:r>
          </w:p>
        </w:tc>
        <w:tc>
          <w:tcPr>
            <w:tcW w:w="1164" w:type="dxa"/>
            <w:tcBorders>
              <w:tl2br w:val="nil"/>
              <w:tr2bl w:val="nil"/>
            </w:tcBorders>
            <w:shd w:val="clear" w:color="auto" w:fill="auto"/>
            <w:noWrap w:val="0"/>
            <w:vAlign w:val="center"/>
          </w:tcPr>
          <w:p w14:paraId="7E710ADA">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座</w:t>
            </w:r>
          </w:p>
        </w:tc>
        <w:tc>
          <w:tcPr>
            <w:tcW w:w="1164" w:type="dxa"/>
            <w:tcBorders>
              <w:tl2br w:val="nil"/>
              <w:tr2bl w:val="nil"/>
            </w:tcBorders>
            <w:shd w:val="clear" w:color="auto" w:fill="auto"/>
            <w:noWrap w:val="0"/>
            <w:vAlign w:val="center"/>
          </w:tcPr>
          <w:p w14:paraId="2ED00337">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1188" w:type="dxa"/>
            <w:tcBorders>
              <w:tl2br w:val="nil"/>
              <w:tr2bl w:val="nil"/>
            </w:tcBorders>
            <w:shd w:val="clear" w:color="auto" w:fill="auto"/>
            <w:noWrap w:val="0"/>
            <w:vAlign w:val="center"/>
          </w:tcPr>
          <w:p w14:paraId="35B76500">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2000</w:t>
            </w:r>
            <w:r>
              <w:rPr>
                <w:rFonts w:hint="default" w:ascii="Times New Roman" w:hAnsi="Times New Roman" w:cs="Times New Roman"/>
                <w:i w:val="0"/>
                <w:iCs w:val="0"/>
                <w:color w:val="000000"/>
                <w:kern w:val="0"/>
                <w:sz w:val="18"/>
                <w:szCs w:val="18"/>
                <w:u w:val="none"/>
                <w:lang w:val="en-US" w:eastAsia="zh-CN" w:bidi="ar"/>
              </w:rPr>
              <w:t>.00</w:t>
            </w:r>
          </w:p>
        </w:tc>
        <w:tc>
          <w:tcPr>
            <w:tcW w:w="1188" w:type="dxa"/>
            <w:tcBorders>
              <w:tl2br w:val="nil"/>
              <w:tr2bl w:val="nil"/>
            </w:tcBorders>
            <w:shd w:val="clear" w:color="auto" w:fill="auto"/>
            <w:noWrap w:val="0"/>
            <w:vAlign w:val="center"/>
          </w:tcPr>
          <w:p w14:paraId="11663700">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79F0CD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64" w:type="dxa"/>
            <w:vMerge w:val="continue"/>
            <w:tcBorders>
              <w:tl2br w:val="nil"/>
              <w:tr2bl w:val="nil"/>
            </w:tcBorders>
            <w:noWrap w:val="0"/>
            <w:vAlign w:val="center"/>
          </w:tcPr>
          <w:p w14:paraId="34BD7044">
            <w:pPr>
              <w:jc w:val="center"/>
              <w:rPr>
                <w:rFonts w:hint="default" w:ascii="Times New Roman" w:hAnsi="Times New Roman" w:eastAsia="仿宋_GB2312" w:cs="Times New Roman"/>
                <w:color w:val="auto"/>
                <w:sz w:val="18"/>
                <w:szCs w:val="18"/>
                <w:lang w:val="en-US" w:eastAsia="zh-CN" w:bidi="ar"/>
              </w:rPr>
            </w:pPr>
          </w:p>
        </w:tc>
        <w:tc>
          <w:tcPr>
            <w:tcW w:w="946" w:type="dxa"/>
            <w:vMerge w:val="continue"/>
            <w:tcBorders>
              <w:tl2br w:val="nil"/>
              <w:tr2bl w:val="nil"/>
            </w:tcBorders>
            <w:noWrap w:val="0"/>
            <w:vAlign w:val="center"/>
          </w:tcPr>
          <w:p w14:paraId="6E05EF9B">
            <w:pPr>
              <w:jc w:val="center"/>
              <w:rPr>
                <w:rFonts w:hint="default" w:ascii="Times New Roman" w:hAnsi="Times New Roman" w:eastAsia="仿宋_GB2312" w:cs="Times New Roman"/>
                <w:color w:val="auto"/>
                <w:sz w:val="18"/>
                <w:szCs w:val="18"/>
                <w:lang w:eastAsia="zh-CN" w:bidi="ar"/>
              </w:rPr>
            </w:pPr>
          </w:p>
        </w:tc>
        <w:tc>
          <w:tcPr>
            <w:tcW w:w="1778" w:type="dxa"/>
            <w:tcBorders>
              <w:tl2br w:val="nil"/>
              <w:tr2bl w:val="nil"/>
            </w:tcBorders>
            <w:shd w:val="clear" w:color="auto" w:fill="auto"/>
            <w:noWrap w:val="0"/>
            <w:vAlign w:val="center"/>
          </w:tcPr>
          <w:p w14:paraId="3E6B0CA2">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雨水口</w:t>
            </w:r>
          </w:p>
        </w:tc>
        <w:tc>
          <w:tcPr>
            <w:tcW w:w="1164" w:type="dxa"/>
            <w:tcBorders>
              <w:tl2br w:val="nil"/>
              <w:tr2bl w:val="nil"/>
            </w:tcBorders>
            <w:shd w:val="clear" w:color="auto" w:fill="auto"/>
            <w:noWrap w:val="0"/>
            <w:vAlign w:val="center"/>
          </w:tcPr>
          <w:p w14:paraId="30691004">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座</w:t>
            </w:r>
          </w:p>
        </w:tc>
        <w:tc>
          <w:tcPr>
            <w:tcW w:w="1164" w:type="dxa"/>
            <w:tcBorders>
              <w:tl2br w:val="nil"/>
              <w:tr2bl w:val="nil"/>
            </w:tcBorders>
            <w:shd w:val="clear" w:color="auto" w:fill="auto"/>
            <w:noWrap w:val="0"/>
            <w:vAlign w:val="center"/>
          </w:tcPr>
          <w:p w14:paraId="35F4F7A3">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1188" w:type="dxa"/>
            <w:tcBorders>
              <w:tl2br w:val="nil"/>
              <w:tr2bl w:val="nil"/>
            </w:tcBorders>
            <w:shd w:val="clear" w:color="auto" w:fill="auto"/>
            <w:noWrap w:val="0"/>
            <w:vAlign w:val="center"/>
          </w:tcPr>
          <w:p w14:paraId="157349BC">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500</w:t>
            </w:r>
            <w:r>
              <w:rPr>
                <w:rFonts w:hint="default" w:ascii="Times New Roman" w:hAnsi="Times New Roman" w:cs="Times New Roman"/>
                <w:i w:val="0"/>
                <w:iCs w:val="0"/>
                <w:color w:val="000000"/>
                <w:kern w:val="0"/>
                <w:sz w:val="18"/>
                <w:szCs w:val="18"/>
                <w:u w:val="none"/>
                <w:lang w:val="en-US" w:eastAsia="zh-CN" w:bidi="ar"/>
              </w:rPr>
              <w:t>.00</w:t>
            </w:r>
          </w:p>
        </w:tc>
        <w:tc>
          <w:tcPr>
            <w:tcW w:w="1188" w:type="dxa"/>
            <w:tcBorders>
              <w:tl2br w:val="nil"/>
              <w:tr2bl w:val="nil"/>
            </w:tcBorders>
            <w:shd w:val="clear" w:color="auto" w:fill="auto"/>
            <w:noWrap w:val="0"/>
            <w:vAlign w:val="center"/>
          </w:tcPr>
          <w:p w14:paraId="0FA0EC03">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0.75 </w:t>
            </w:r>
          </w:p>
        </w:tc>
      </w:tr>
      <w:tr w14:paraId="114037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64" w:type="dxa"/>
            <w:vMerge w:val="restart"/>
            <w:tcBorders>
              <w:tl2br w:val="nil"/>
              <w:tr2bl w:val="nil"/>
            </w:tcBorders>
            <w:noWrap w:val="0"/>
            <w:vAlign w:val="center"/>
          </w:tcPr>
          <w:p w14:paraId="3ED946E9">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绿化工程</w:t>
            </w:r>
          </w:p>
        </w:tc>
        <w:tc>
          <w:tcPr>
            <w:tcW w:w="946" w:type="dxa"/>
            <w:vMerge w:val="restart"/>
            <w:tcBorders>
              <w:tl2br w:val="nil"/>
              <w:tr2bl w:val="nil"/>
            </w:tcBorders>
            <w:noWrap w:val="0"/>
            <w:vAlign w:val="center"/>
          </w:tcPr>
          <w:p w14:paraId="6A0F8921">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i w:val="0"/>
                <w:iCs w:val="0"/>
                <w:color w:val="000000"/>
                <w:kern w:val="0"/>
                <w:sz w:val="18"/>
                <w:szCs w:val="18"/>
                <w:u w:val="none"/>
                <w:lang w:val="en-US" w:eastAsia="zh-CN" w:bidi="ar"/>
              </w:rPr>
              <w:t>工程措施</w:t>
            </w:r>
          </w:p>
        </w:tc>
        <w:tc>
          <w:tcPr>
            <w:tcW w:w="1778" w:type="dxa"/>
            <w:tcBorders>
              <w:tl2br w:val="nil"/>
              <w:tr2bl w:val="nil"/>
            </w:tcBorders>
            <w:noWrap w:val="0"/>
            <w:vAlign w:val="center"/>
          </w:tcPr>
          <w:p w14:paraId="57D23DEB">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表土剥离0.01万m</w:t>
            </w:r>
            <w:r>
              <w:rPr>
                <w:rFonts w:hint="default" w:ascii="Times New Roman" w:hAnsi="Times New Roman" w:eastAsia="仿宋_GB2312" w:cs="Times New Roman"/>
                <w:i w:val="0"/>
                <w:iCs w:val="0"/>
                <w:color w:val="000000"/>
                <w:kern w:val="0"/>
                <w:sz w:val="18"/>
                <w:szCs w:val="18"/>
                <w:u w:val="none"/>
                <w:vertAlign w:val="superscript"/>
                <w:lang w:val="en-US" w:eastAsia="zh-CN" w:bidi="ar"/>
              </w:rPr>
              <w:t>3</w:t>
            </w:r>
          </w:p>
        </w:tc>
        <w:tc>
          <w:tcPr>
            <w:tcW w:w="1164" w:type="dxa"/>
            <w:tcBorders>
              <w:tl2br w:val="nil"/>
              <w:tr2bl w:val="nil"/>
            </w:tcBorders>
            <w:noWrap w:val="0"/>
            <w:vAlign w:val="center"/>
          </w:tcPr>
          <w:p w14:paraId="5A94C7D2">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eastAsia="zh-CN" w:bidi="ar"/>
              </w:rPr>
            </w:pPr>
            <w:r>
              <w:rPr>
                <w:rFonts w:hint="default" w:ascii="Times New Roman" w:hAnsi="Times New Roman" w:cs="Times New Roman"/>
                <w:i w:val="0"/>
                <w:iCs w:val="0"/>
                <w:color w:val="000000"/>
                <w:kern w:val="0"/>
                <w:sz w:val="18"/>
                <w:szCs w:val="18"/>
                <w:u w:val="none"/>
                <w:lang w:val="en-US" w:eastAsia="zh-CN" w:bidi="ar"/>
              </w:rPr>
              <w:t>100</w:t>
            </w:r>
            <w:r>
              <w:rPr>
                <w:rFonts w:hint="default" w:ascii="Times New Roman" w:hAnsi="Times New Roman" w:eastAsia="宋体" w:cs="Times New Roman"/>
                <w:i w:val="0"/>
                <w:iCs w:val="0"/>
                <w:color w:val="000000"/>
                <w:kern w:val="0"/>
                <w:sz w:val="18"/>
                <w:szCs w:val="18"/>
                <w:u w:val="none"/>
                <w:lang w:val="en-US" w:eastAsia="zh-CN" w:bidi="ar"/>
              </w:rPr>
              <w:t>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p>
        </w:tc>
        <w:tc>
          <w:tcPr>
            <w:tcW w:w="1164" w:type="dxa"/>
            <w:tcBorders>
              <w:tl2br w:val="nil"/>
              <w:tr2bl w:val="nil"/>
            </w:tcBorders>
            <w:noWrap w:val="0"/>
            <w:vAlign w:val="center"/>
          </w:tcPr>
          <w:p w14:paraId="63D23BA0">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6.00</w:t>
            </w:r>
          </w:p>
        </w:tc>
        <w:tc>
          <w:tcPr>
            <w:tcW w:w="1188" w:type="dxa"/>
            <w:tcBorders>
              <w:tl2br w:val="nil"/>
              <w:tr2bl w:val="nil"/>
            </w:tcBorders>
            <w:noWrap w:val="0"/>
            <w:vAlign w:val="center"/>
          </w:tcPr>
          <w:p w14:paraId="1E77BDD5">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75</w:t>
            </w:r>
            <w:r>
              <w:rPr>
                <w:rFonts w:hint="default" w:ascii="Times New Roman" w:hAnsi="Times New Roman"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99</w:t>
            </w:r>
          </w:p>
        </w:tc>
        <w:tc>
          <w:tcPr>
            <w:tcW w:w="1188" w:type="dxa"/>
            <w:tcBorders>
              <w:tl2br w:val="nil"/>
              <w:tr2bl w:val="nil"/>
            </w:tcBorders>
            <w:noWrap w:val="0"/>
            <w:vAlign w:val="center"/>
          </w:tcPr>
          <w:p w14:paraId="00B06B46">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0.05 </w:t>
            </w:r>
          </w:p>
        </w:tc>
      </w:tr>
      <w:tr w14:paraId="44C5D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64" w:type="dxa"/>
            <w:vMerge w:val="continue"/>
            <w:tcBorders>
              <w:tl2br w:val="nil"/>
              <w:tr2bl w:val="nil"/>
            </w:tcBorders>
            <w:noWrap w:val="0"/>
            <w:vAlign w:val="center"/>
          </w:tcPr>
          <w:p w14:paraId="170C37FF">
            <w:pPr>
              <w:jc w:val="center"/>
              <w:rPr>
                <w:rFonts w:hint="default" w:ascii="Times New Roman" w:hAnsi="Times New Roman" w:eastAsia="仿宋_GB2312" w:cs="Times New Roman"/>
                <w:color w:val="auto"/>
                <w:sz w:val="18"/>
                <w:szCs w:val="18"/>
                <w:lang w:val="en-US" w:eastAsia="zh-CN" w:bidi="ar"/>
              </w:rPr>
            </w:pPr>
          </w:p>
        </w:tc>
        <w:tc>
          <w:tcPr>
            <w:tcW w:w="946" w:type="dxa"/>
            <w:vMerge w:val="continue"/>
            <w:tcBorders>
              <w:tl2br w:val="nil"/>
              <w:tr2bl w:val="nil"/>
            </w:tcBorders>
            <w:noWrap w:val="0"/>
            <w:vAlign w:val="center"/>
          </w:tcPr>
          <w:p w14:paraId="33D00AAC">
            <w:pPr>
              <w:jc w:val="center"/>
              <w:rPr>
                <w:rFonts w:hint="default" w:ascii="Times New Roman" w:hAnsi="Times New Roman" w:eastAsia="仿宋_GB2312" w:cs="Times New Roman"/>
                <w:color w:val="auto"/>
                <w:sz w:val="18"/>
                <w:szCs w:val="18"/>
                <w:lang w:eastAsia="zh-CN" w:bidi="ar"/>
              </w:rPr>
            </w:pPr>
          </w:p>
        </w:tc>
        <w:tc>
          <w:tcPr>
            <w:tcW w:w="1778" w:type="dxa"/>
            <w:tcBorders>
              <w:tl2br w:val="nil"/>
              <w:tr2bl w:val="nil"/>
            </w:tcBorders>
            <w:noWrap w:val="0"/>
            <w:vAlign w:val="center"/>
          </w:tcPr>
          <w:p w14:paraId="374DB433">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表土回覆</w:t>
            </w:r>
          </w:p>
        </w:tc>
        <w:tc>
          <w:tcPr>
            <w:tcW w:w="1164" w:type="dxa"/>
            <w:tcBorders>
              <w:tl2br w:val="nil"/>
              <w:tr2bl w:val="nil"/>
            </w:tcBorders>
            <w:noWrap w:val="0"/>
            <w:vAlign w:val="center"/>
          </w:tcPr>
          <w:p w14:paraId="3A9BF233">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i w:val="0"/>
                <w:iCs w:val="0"/>
                <w:color w:val="000000"/>
                <w:kern w:val="0"/>
                <w:sz w:val="18"/>
                <w:szCs w:val="18"/>
                <w:u w:val="none"/>
                <w:lang w:val="en-US" w:eastAsia="zh-CN" w:bidi="ar"/>
              </w:rPr>
              <w:t>100m</w:t>
            </w:r>
            <w:r>
              <w:rPr>
                <w:rFonts w:hint="default" w:ascii="Times New Roman" w:hAnsi="Times New Roman" w:eastAsia="仿宋_GB2312" w:cs="Times New Roman"/>
                <w:i w:val="0"/>
                <w:iCs w:val="0"/>
                <w:color w:val="000000"/>
                <w:kern w:val="0"/>
                <w:sz w:val="18"/>
                <w:szCs w:val="18"/>
                <w:u w:val="none"/>
                <w:vertAlign w:val="superscript"/>
                <w:lang w:val="en-US" w:eastAsia="zh-CN" w:bidi="ar"/>
              </w:rPr>
              <w:t>3</w:t>
            </w:r>
          </w:p>
        </w:tc>
        <w:tc>
          <w:tcPr>
            <w:tcW w:w="1164" w:type="dxa"/>
            <w:tcBorders>
              <w:tl2br w:val="nil"/>
              <w:tr2bl w:val="nil"/>
            </w:tcBorders>
            <w:noWrap w:val="0"/>
            <w:vAlign w:val="center"/>
          </w:tcPr>
          <w:p w14:paraId="4B32A136">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2.00</w:t>
            </w:r>
          </w:p>
        </w:tc>
        <w:tc>
          <w:tcPr>
            <w:tcW w:w="1188" w:type="dxa"/>
            <w:tcBorders>
              <w:tl2br w:val="nil"/>
              <w:tr2bl w:val="nil"/>
            </w:tcBorders>
            <w:noWrap w:val="0"/>
            <w:vAlign w:val="center"/>
          </w:tcPr>
          <w:p w14:paraId="1457111B">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332</w:t>
            </w:r>
            <w:r>
              <w:rPr>
                <w:rFonts w:hint="default" w:ascii="Times New Roman" w:hAnsi="Times New Roman"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21</w:t>
            </w:r>
          </w:p>
        </w:tc>
        <w:tc>
          <w:tcPr>
            <w:tcW w:w="1188" w:type="dxa"/>
            <w:tcBorders>
              <w:tl2br w:val="nil"/>
              <w:tr2bl w:val="nil"/>
            </w:tcBorders>
            <w:noWrap w:val="0"/>
            <w:vAlign w:val="center"/>
          </w:tcPr>
          <w:p w14:paraId="30079D1A">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0.07 </w:t>
            </w:r>
          </w:p>
        </w:tc>
      </w:tr>
      <w:tr w14:paraId="41E92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64" w:type="dxa"/>
            <w:vMerge w:val="continue"/>
            <w:tcBorders>
              <w:tl2br w:val="nil"/>
              <w:tr2bl w:val="nil"/>
            </w:tcBorders>
            <w:noWrap w:val="0"/>
            <w:vAlign w:val="center"/>
          </w:tcPr>
          <w:p w14:paraId="6C9F2472">
            <w:pPr>
              <w:jc w:val="center"/>
              <w:rPr>
                <w:rFonts w:hint="default" w:ascii="Times New Roman" w:hAnsi="Times New Roman" w:eastAsia="仿宋_GB2312" w:cs="Times New Roman"/>
                <w:color w:val="auto"/>
                <w:sz w:val="18"/>
                <w:szCs w:val="18"/>
                <w:lang w:val="en-US" w:eastAsia="zh-CN" w:bidi="ar"/>
              </w:rPr>
            </w:pPr>
          </w:p>
        </w:tc>
        <w:tc>
          <w:tcPr>
            <w:tcW w:w="946" w:type="dxa"/>
            <w:tcBorders>
              <w:tl2br w:val="nil"/>
              <w:tr2bl w:val="nil"/>
            </w:tcBorders>
            <w:noWrap w:val="0"/>
            <w:vAlign w:val="center"/>
          </w:tcPr>
          <w:p w14:paraId="498A13F4">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i w:val="0"/>
                <w:iCs w:val="0"/>
                <w:color w:val="000000"/>
                <w:kern w:val="0"/>
                <w:sz w:val="18"/>
                <w:szCs w:val="18"/>
                <w:u w:val="none"/>
                <w:lang w:val="en-US" w:eastAsia="zh-CN" w:bidi="ar"/>
              </w:rPr>
              <w:t>植物措施</w:t>
            </w:r>
          </w:p>
        </w:tc>
        <w:tc>
          <w:tcPr>
            <w:tcW w:w="1778" w:type="dxa"/>
            <w:tcBorders>
              <w:tl2br w:val="nil"/>
              <w:tr2bl w:val="nil"/>
            </w:tcBorders>
            <w:noWrap w:val="0"/>
            <w:vAlign w:val="center"/>
          </w:tcPr>
          <w:p w14:paraId="4543B729">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撒播草籽</w:t>
            </w:r>
          </w:p>
        </w:tc>
        <w:tc>
          <w:tcPr>
            <w:tcW w:w="1164" w:type="dxa"/>
            <w:tcBorders>
              <w:tl2br w:val="nil"/>
              <w:tr2bl w:val="nil"/>
            </w:tcBorders>
            <w:noWrap w:val="0"/>
            <w:vAlign w:val="center"/>
          </w:tcPr>
          <w:p w14:paraId="34B0C870">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hm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p>
        </w:tc>
        <w:tc>
          <w:tcPr>
            <w:tcW w:w="1164" w:type="dxa"/>
            <w:tcBorders>
              <w:tl2br w:val="nil"/>
              <w:tr2bl w:val="nil"/>
            </w:tcBorders>
            <w:noWrap w:val="0"/>
            <w:vAlign w:val="center"/>
          </w:tcPr>
          <w:p w14:paraId="33C75505">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0.12</w:t>
            </w:r>
          </w:p>
        </w:tc>
        <w:tc>
          <w:tcPr>
            <w:tcW w:w="1188" w:type="dxa"/>
            <w:tcBorders>
              <w:tl2br w:val="nil"/>
              <w:tr2bl w:val="nil"/>
            </w:tcBorders>
            <w:noWrap w:val="0"/>
            <w:vAlign w:val="center"/>
          </w:tcPr>
          <w:p w14:paraId="1D95FC4D">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10700.89</w:t>
            </w:r>
          </w:p>
        </w:tc>
        <w:tc>
          <w:tcPr>
            <w:tcW w:w="1188" w:type="dxa"/>
            <w:tcBorders>
              <w:tl2br w:val="nil"/>
              <w:tr2bl w:val="nil"/>
            </w:tcBorders>
            <w:noWrap w:val="0"/>
            <w:vAlign w:val="center"/>
          </w:tcPr>
          <w:p w14:paraId="7ECF4BC0">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0.13 </w:t>
            </w:r>
          </w:p>
        </w:tc>
      </w:tr>
      <w:tr w14:paraId="1410D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4" w:type="dxa"/>
            <w:gridSpan w:val="6"/>
            <w:tcBorders>
              <w:tl2br w:val="nil"/>
              <w:tr2bl w:val="nil"/>
            </w:tcBorders>
            <w:noWrap w:val="0"/>
            <w:vAlign w:val="center"/>
          </w:tcPr>
          <w:p w14:paraId="69CA3A7B">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合计</w:t>
            </w:r>
          </w:p>
        </w:tc>
        <w:tc>
          <w:tcPr>
            <w:tcW w:w="1188" w:type="dxa"/>
            <w:tcBorders>
              <w:tl2br w:val="nil"/>
              <w:tr2bl w:val="nil"/>
            </w:tcBorders>
            <w:noWrap w:val="0"/>
            <w:vAlign w:val="center"/>
          </w:tcPr>
          <w:p w14:paraId="2DEE537A">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21.05 </w:t>
            </w:r>
          </w:p>
        </w:tc>
      </w:tr>
    </w:tbl>
    <w:p w14:paraId="0D8B8850">
      <w:pPr>
        <w:rPr>
          <w:rFonts w:hint="default" w:ascii="Times New Roman" w:hAnsi="Times New Roman" w:eastAsia="仿宋_GB2312" w:cs="Times New Roman"/>
          <w:color w:val="FF0000"/>
          <w:lang w:val="en-US" w:eastAsia="zh-CN"/>
        </w:rPr>
        <w:sectPr>
          <w:headerReference r:id="rId26" w:type="default"/>
          <w:pgSz w:w="11906" w:h="16838"/>
          <w:pgMar w:top="1327" w:right="1514" w:bottom="1327" w:left="1514" w:header="851" w:footer="992" w:gutter="0"/>
          <w:pgBorders>
            <w:top w:val="none" w:sz="0" w:space="0"/>
            <w:left w:val="none" w:sz="0" w:space="0"/>
            <w:bottom w:val="none" w:sz="0" w:space="0"/>
            <w:right w:val="none" w:sz="0" w:space="0"/>
          </w:pgBorders>
          <w:pgNumType w:fmt="decimal"/>
          <w:cols w:space="720" w:num="1"/>
          <w:docGrid w:linePitch="312" w:charSpace="0"/>
        </w:sectPr>
      </w:pPr>
    </w:p>
    <w:p w14:paraId="2BBF2FE4">
      <w:pPr>
        <w:rPr>
          <w:rFonts w:hint="default" w:ascii="Times New Roman" w:hAnsi="Times New Roman" w:eastAsia="仿宋_GB2312" w:cs="Times New Roman"/>
          <w:color w:val="auto"/>
          <w:lang w:val="en-US" w:eastAsia="zh-CN"/>
        </w:rPr>
      </w:pPr>
    </w:p>
    <w:p w14:paraId="7F4E6455">
      <w:pPr>
        <w:jc w:val="center"/>
        <w:outlineLvl w:val="0"/>
        <w:rPr>
          <w:rFonts w:hint="default" w:ascii="Times New Roman" w:hAnsi="Times New Roman" w:eastAsia="仿宋_GB2312" w:cs="Times New Roman"/>
          <w:b/>
          <w:color w:val="auto"/>
          <w:sz w:val="32"/>
          <w:szCs w:val="32"/>
          <w:lang w:val="en-US" w:eastAsia="zh-CN"/>
        </w:rPr>
      </w:pPr>
      <w:bookmarkStart w:id="119" w:name="_Toc5485"/>
      <w:r>
        <w:rPr>
          <w:rFonts w:hint="default" w:ascii="Times New Roman" w:hAnsi="Times New Roman" w:eastAsia="仿宋_GB2312" w:cs="Times New Roman"/>
          <w:b/>
          <w:color w:val="auto"/>
          <w:sz w:val="32"/>
          <w:szCs w:val="32"/>
          <w:lang w:val="en-US" w:eastAsia="zh-CN"/>
        </w:rPr>
        <w:t>4 水土流失分析</w:t>
      </w:r>
      <w:bookmarkEnd w:id="118"/>
      <w:r>
        <w:rPr>
          <w:rFonts w:hint="default" w:ascii="Times New Roman" w:hAnsi="Times New Roman" w:eastAsia="仿宋_GB2312" w:cs="Times New Roman"/>
          <w:b/>
          <w:color w:val="auto"/>
          <w:sz w:val="32"/>
          <w:szCs w:val="32"/>
          <w:lang w:val="en-US" w:eastAsia="zh-CN"/>
        </w:rPr>
        <w:t>与</w:t>
      </w:r>
      <w:bookmarkEnd w:id="119"/>
      <w:r>
        <w:rPr>
          <w:rFonts w:hint="default" w:ascii="Times New Roman" w:hAnsi="Times New Roman" w:eastAsia="仿宋_GB2312" w:cs="Times New Roman"/>
          <w:b/>
          <w:color w:val="auto"/>
          <w:sz w:val="32"/>
          <w:szCs w:val="32"/>
          <w:lang w:val="en-US" w:eastAsia="zh-CN"/>
        </w:rPr>
        <w:t>调查</w:t>
      </w:r>
    </w:p>
    <w:p w14:paraId="1F0E1DF3">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eastAsia="ar"/>
        </w:rPr>
      </w:pPr>
      <w:bookmarkStart w:id="120" w:name="_Toc9840865"/>
      <w:bookmarkStart w:id="121" w:name="_Toc673"/>
      <w:bookmarkStart w:id="122" w:name="_Toc19080"/>
      <w:r>
        <w:rPr>
          <w:rFonts w:hint="default" w:ascii="Times New Roman" w:hAnsi="Times New Roman" w:eastAsia="仿宋_GB2312" w:cs="Times New Roman"/>
          <w:b/>
          <w:bCs/>
          <w:color w:val="auto"/>
          <w:szCs w:val="24"/>
          <w:lang w:eastAsia="ar"/>
        </w:rPr>
        <w:t>4.1水土流失现状</w:t>
      </w:r>
      <w:bookmarkEnd w:id="120"/>
      <w:bookmarkEnd w:id="121"/>
      <w:bookmarkEnd w:id="122"/>
    </w:p>
    <w:p w14:paraId="316EECA1">
      <w:pPr>
        <w:widowControl/>
        <w:spacing w:line="360" w:lineRule="auto"/>
        <w:ind w:firstLine="480" w:firstLineChars="200"/>
        <w:jc w:val="left"/>
        <w:rPr>
          <w:rFonts w:hint="default" w:ascii="Times New Roman" w:hAnsi="Times New Roman" w:eastAsia="仿宋_GB2312" w:cs="Times New Roman"/>
          <w:b w:val="0"/>
          <w:bCs/>
          <w:color w:val="auto"/>
          <w:sz w:val="24"/>
        </w:rPr>
      </w:pPr>
      <w:bookmarkStart w:id="123" w:name="_Toc6021"/>
      <w:bookmarkStart w:id="124" w:name="_Toc13248"/>
      <w:bookmarkStart w:id="125" w:name="_Toc9840866"/>
      <w:r>
        <w:rPr>
          <w:rFonts w:hint="default" w:ascii="Times New Roman" w:hAnsi="Times New Roman" w:eastAsia="仿宋_GB2312" w:cs="Times New Roman"/>
          <w:b w:val="0"/>
          <w:bCs/>
          <w:color w:val="auto"/>
          <w:sz w:val="24"/>
        </w:rPr>
        <w:t>1、区域水土流失现状</w:t>
      </w:r>
    </w:p>
    <w:p w14:paraId="79A12A99">
      <w:pPr>
        <w:widowControl w:val="0"/>
        <w:spacing w:line="360" w:lineRule="auto"/>
        <w:ind w:firstLine="480" w:firstLineChars="200"/>
        <w:contextualSpacing/>
        <w:jc w:val="both"/>
        <w:rPr>
          <w:rFonts w:hint="default" w:ascii="Times New Roman" w:hAnsi="Times New Roman" w:eastAsia="仿宋_GB2312" w:cs="Times New Roman"/>
          <w:color w:val="auto"/>
          <w:kern w:val="2"/>
          <w:sz w:val="24"/>
          <w:szCs w:val="24"/>
          <w:lang w:val="zh-CN" w:eastAsia="zh-CN" w:bidi="ar-SA"/>
        </w:rPr>
      </w:pPr>
      <w:r>
        <w:rPr>
          <w:rFonts w:hint="default" w:ascii="Times New Roman" w:hAnsi="Times New Roman" w:eastAsia="仿宋_GB2312" w:cs="Times New Roman"/>
          <w:color w:val="auto"/>
          <w:kern w:val="2"/>
          <w:sz w:val="24"/>
          <w:szCs w:val="24"/>
          <w:lang w:val="zh-CN" w:eastAsia="zh-CN" w:bidi="ar-SA"/>
        </w:rPr>
        <w:t>根据《全国水土保持规划国家级水土流失重点预防区和重点治理区复核划分成果》（办水保</w:t>
      </w:r>
      <w:r>
        <w:rPr>
          <w:rFonts w:hint="default" w:ascii="Times New Roman" w:hAnsi="Times New Roman" w:eastAsia="仿宋_GB2312" w:cs="Times New Roman"/>
          <w:b w:val="0"/>
          <w:bCs/>
          <w:color w:val="auto"/>
          <w:sz w:val="24"/>
          <w:szCs w:val="24"/>
          <w:lang w:val="en-US" w:eastAsia="zh-CN"/>
        </w:rPr>
        <w:t>〔2013〕</w:t>
      </w:r>
      <w:r>
        <w:rPr>
          <w:rFonts w:hint="default" w:ascii="Times New Roman" w:hAnsi="Times New Roman" w:eastAsia="仿宋_GB2312" w:cs="Times New Roman"/>
          <w:color w:val="auto"/>
          <w:kern w:val="2"/>
          <w:sz w:val="24"/>
          <w:szCs w:val="24"/>
          <w:lang w:val="zh-CN" w:eastAsia="zh-CN" w:bidi="ar-SA"/>
        </w:rPr>
        <w:t>188号），本工程涉及的剑阁县属于国家级水土流失重点治理区（嘉陵江及沱江中下游国家级水土流失重点治理区），根据区域水土流失遥感资料分析及水土流失现状调查，项目区水土流失类型主要为水力侵蚀，尤其以面蚀、片蚀、沟蚀等类型为主，面蚀主要发生在疏幼林中，片蚀主要发生在植被局部遭受破坏的山坡，沟蚀是在面蚀和片蚀的基础上产生的，主要发生在岩性松软的裸露山坡地带。项目区土壤侵蚀见附图。</w:t>
      </w:r>
    </w:p>
    <w:p w14:paraId="1583B243">
      <w:pPr>
        <w:widowControl w:val="0"/>
        <w:spacing w:line="360" w:lineRule="auto"/>
        <w:ind w:firstLine="480" w:firstLineChars="200"/>
        <w:contextualSpacing/>
        <w:jc w:val="both"/>
        <w:rPr>
          <w:rFonts w:hint="default" w:ascii="Times New Roman" w:hAnsi="Times New Roman" w:eastAsia="仿宋_GB2312" w:cs="Times New Roman"/>
          <w:color w:val="auto"/>
          <w:kern w:val="2"/>
          <w:sz w:val="24"/>
          <w:szCs w:val="24"/>
          <w:lang w:val="zh-CN" w:eastAsia="zh-CN" w:bidi="ar-SA"/>
        </w:rPr>
      </w:pPr>
      <w:r>
        <w:rPr>
          <w:rFonts w:hint="default" w:ascii="Times New Roman" w:hAnsi="Times New Roman" w:eastAsia="仿宋_GB2312" w:cs="Times New Roman"/>
          <w:color w:val="auto"/>
          <w:kern w:val="2"/>
          <w:sz w:val="24"/>
          <w:szCs w:val="24"/>
          <w:lang w:val="zh-CN" w:eastAsia="zh-CN" w:bidi="ar-SA"/>
        </w:rPr>
        <w:t>剑阁县全境幅员面积</w:t>
      </w:r>
      <w:r>
        <w:rPr>
          <w:rFonts w:hint="default" w:ascii="Times New Roman" w:hAnsi="Times New Roman" w:eastAsia="仿宋_GB2312" w:cs="Times New Roman"/>
          <w:color w:val="auto"/>
          <w:kern w:val="2"/>
          <w:sz w:val="24"/>
          <w:szCs w:val="24"/>
          <w:lang w:val="en-US" w:eastAsia="zh-CN" w:bidi="ar-SA"/>
        </w:rPr>
        <w:t>3204</w:t>
      </w:r>
      <w:r>
        <w:rPr>
          <w:rFonts w:hint="default" w:ascii="Times New Roman" w:hAnsi="Times New Roman" w:eastAsia="仿宋_GB2312" w:cs="Times New Roman"/>
          <w:color w:val="auto"/>
          <w:kern w:val="2"/>
          <w:sz w:val="24"/>
          <w:szCs w:val="24"/>
          <w:lang w:val="zh-CN" w:eastAsia="zh-CN" w:bidi="ar-SA"/>
        </w:rPr>
        <w:t>k</w:t>
      </w:r>
      <w:r>
        <w:rPr>
          <w:rFonts w:hint="default" w:ascii="Times New Roman" w:hAnsi="Times New Roman" w:eastAsia="仿宋_GB2312" w:cs="Times New Roman"/>
          <w:color w:val="auto"/>
          <w:kern w:val="0"/>
          <w:sz w:val="24"/>
          <w:szCs w:val="24"/>
          <w:lang w:val="zh-CN" w:eastAsia="zh-CN" w:bidi="ar-SA"/>
        </w:rPr>
        <w:t>m</w:t>
      </w:r>
      <w:r>
        <w:rPr>
          <w:rFonts w:hint="default" w:ascii="Times New Roman" w:hAnsi="Times New Roman" w:eastAsia="仿宋_GB2312" w:cs="Times New Roman"/>
          <w:color w:val="auto"/>
          <w:kern w:val="0"/>
          <w:sz w:val="24"/>
          <w:szCs w:val="24"/>
          <w:vertAlign w:val="superscript"/>
          <w:lang w:val="zh-CN" w:eastAsia="zh-CN" w:bidi="ar-SA"/>
        </w:rPr>
        <w:t>2</w:t>
      </w:r>
      <w:r>
        <w:rPr>
          <w:rFonts w:hint="default" w:ascii="Times New Roman" w:hAnsi="Times New Roman" w:eastAsia="仿宋_GB2312" w:cs="Times New Roman"/>
          <w:color w:val="auto"/>
          <w:kern w:val="2"/>
          <w:sz w:val="24"/>
          <w:szCs w:val="24"/>
          <w:lang w:val="zh-CN" w:eastAsia="zh-CN" w:bidi="ar-SA"/>
        </w:rPr>
        <w:t>，轻度及以上水土流失面积</w:t>
      </w:r>
      <w:r>
        <w:rPr>
          <w:rFonts w:hint="default" w:ascii="Times New Roman" w:hAnsi="Times New Roman" w:eastAsia="仿宋_GB2312" w:cs="Times New Roman"/>
          <w:color w:val="auto"/>
          <w:kern w:val="2"/>
          <w:sz w:val="24"/>
          <w:szCs w:val="24"/>
          <w:lang w:val="en-US" w:eastAsia="zh-CN" w:bidi="ar-SA"/>
        </w:rPr>
        <w:t>1383.39</w:t>
      </w:r>
      <w:r>
        <w:rPr>
          <w:rFonts w:hint="default" w:ascii="Times New Roman" w:hAnsi="Times New Roman" w:eastAsia="仿宋_GB2312" w:cs="Times New Roman"/>
          <w:color w:val="auto"/>
          <w:kern w:val="2"/>
          <w:sz w:val="24"/>
          <w:szCs w:val="24"/>
          <w:lang w:val="zh-CN" w:eastAsia="zh-CN" w:bidi="ar-SA"/>
        </w:rPr>
        <w:t>k</w:t>
      </w:r>
      <w:r>
        <w:rPr>
          <w:rFonts w:hint="default" w:ascii="Times New Roman" w:hAnsi="Times New Roman" w:eastAsia="仿宋_GB2312" w:cs="Times New Roman"/>
          <w:color w:val="auto"/>
          <w:kern w:val="0"/>
          <w:sz w:val="24"/>
          <w:szCs w:val="24"/>
          <w:lang w:val="zh-CN" w:eastAsia="zh-CN" w:bidi="ar-SA"/>
        </w:rPr>
        <w:t>m</w:t>
      </w:r>
      <w:r>
        <w:rPr>
          <w:rFonts w:hint="default" w:ascii="Times New Roman" w:hAnsi="Times New Roman" w:eastAsia="仿宋_GB2312" w:cs="Times New Roman"/>
          <w:color w:val="auto"/>
          <w:kern w:val="0"/>
          <w:sz w:val="24"/>
          <w:szCs w:val="24"/>
          <w:vertAlign w:val="superscript"/>
          <w:lang w:val="zh-CN" w:eastAsia="zh-CN" w:bidi="ar-SA"/>
        </w:rPr>
        <w:t>2</w:t>
      </w:r>
      <w:r>
        <w:rPr>
          <w:rFonts w:hint="default" w:ascii="Times New Roman" w:hAnsi="Times New Roman" w:eastAsia="仿宋_GB2312" w:cs="Times New Roman"/>
          <w:color w:val="auto"/>
          <w:kern w:val="2"/>
          <w:sz w:val="24"/>
          <w:szCs w:val="24"/>
          <w:lang w:val="zh-CN" w:eastAsia="zh-CN" w:bidi="ar-SA"/>
        </w:rPr>
        <w:t>，占幅员面积的</w:t>
      </w:r>
      <w:r>
        <w:rPr>
          <w:rFonts w:hint="default" w:ascii="Times New Roman" w:hAnsi="Times New Roman" w:eastAsia="仿宋_GB2312" w:cs="Times New Roman"/>
          <w:color w:val="auto"/>
          <w:kern w:val="2"/>
          <w:sz w:val="24"/>
          <w:szCs w:val="24"/>
          <w:lang w:val="en-US" w:eastAsia="zh-CN" w:bidi="ar-SA"/>
        </w:rPr>
        <w:t>43.18</w:t>
      </w:r>
      <w:r>
        <w:rPr>
          <w:rFonts w:hint="default" w:ascii="Times New Roman" w:hAnsi="Times New Roman" w:eastAsia="仿宋_GB2312" w:cs="Times New Roman"/>
          <w:color w:val="auto"/>
          <w:kern w:val="2"/>
          <w:sz w:val="24"/>
          <w:szCs w:val="24"/>
          <w:lang w:val="zh-CN" w:eastAsia="zh-CN" w:bidi="ar-SA"/>
        </w:rPr>
        <w:t>%，总体侵蚀强度属</w:t>
      </w:r>
      <w:r>
        <w:rPr>
          <w:rFonts w:hint="default" w:ascii="Times New Roman" w:hAnsi="Times New Roman" w:eastAsia="仿宋_GB2312" w:cs="Times New Roman"/>
          <w:color w:val="auto"/>
          <w:kern w:val="2"/>
          <w:sz w:val="24"/>
          <w:szCs w:val="24"/>
          <w:lang w:val="en-US" w:eastAsia="zh-CN" w:bidi="ar-SA"/>
        </w:rPr>
        <w:t>轻</w:t>
      </w:r>
      <w:r>
        <w:rPr>
          <w:rFonts w:hint="default" w:ascii="Times New Roman" w:hAnsi="Times New Roman" w:eastAsia="仿宋_GB2312" w:cs="Times New Roman"/>
          <w:color w:val="auto"/>
          <w:kern w:val="2"/>
          <w:sz w:val="24"/>
          <w:szCs w:val="24"/>
          <w:lang w:val="zh-CN" w:eastAsia="zh-CN" w:bidi="ar-SA"/>
        </w:rPr>
        <w:t>度侵蚀，流失类型以水力侵蚀为主，侵蚀形式主要表现为面蚀和沟蚀。</w:t>
      </w:r>
    </w:p>
    <w:p w14:paraId="7B97AF7A">
      <w:pPr>
        <w:widowControl/>
        <w:spacing w:line="360" w:lineRule="auto"/>
        <w:ind w:firstLine="480" w:firstLineChars="200"/>
        <w:jc w:val="left"/>
        <w:rPr>
          <w:rFonts w:hint="default" w:ascii="Times New Roman" w:hAnsi="Times New Roman" w:eastAsia="仿宋_GB2312" w:cs="Times New Roman"/>
          <w:b w:val="0"/>
          <w:bCs/>
          <w:color w:val="auto"/>
          <w:sz w:val="24"/>
          <w:lang w:eastAsia="zh-CN"/>
        </w:rPr>
      </w:pPr>
      <w:r>
        <w:rPr>
          <w:rFonts w:hint="default" w:ascii="Times New Roman" w:hAnsi="Times New Roman" w:eastAsia="仿宋_GB2312" w:cs="Times New Roman"/>
          <w:b w:val="0"/>
          <w:bCs/>
          <w:color w:val="auto"/>
          <w:sz w:val="24"/>
        </w:rPr>
        <w:t>2、项目</w:t>
      </w:r>
      <w:r>
        <w:rPr>
          <w:rFonts w:hint="default" w:ascii="Times New Roman" w:hAnsi="Times New Roman" w:eastAsia="仿宋_GB2312" w:cs="Times New Roman"/>
          <w:b w:val="0"/>
          <w:bCs/>
          <w:color w:val="auto"/>
          <w:sz w:val="24"/>
          <w:lang w:eastAsia="zh-CN"/>
        </w:rPr>
        <w:t>建设</w:t>
      </w:r>
      <w:r>
        <w:rPr>
          <w:rFonts w:hint="default" w:ascii="Times New Roman" w:hAnsi="Times New Roman" w:eastAsia="仿宋_GB2312" w:cs="Times New Roman"/>
          <w:b w:val="0"/>
          <w:bCs/>
          <w:color w:val="auto"/>
          <w:sz w:val="24"/>
        </w:rPr>
        <w:t>区水土流失</w:t>
      </w:r>
      <w:r>
        <w:rPr>
          <w:rFonts w:hint="default" w:ascii="Times New Roman" w:hAnsi="Times New Roman" w:eastAsia="仿宋_GB2312" w:cs="Times New Roman"/>
          <w:b w:val="0"/>
          <w:bCs/>
          <w:color w:val="auto"/>
          <w:sz w:val="24"/>
          <w:lang w:eastAsia="zh-CN"/>
        </w:rPr>
        <w:t>现状</w:t>
      </w:r>
    </w:p>
    <w:p w14:paraId="272BD0A4">
      <w:pPr>
        <w:autoSpaceDE w:val="0"/>
        <w:autoSpaceDN w:val="0"/>
        <w:adjustRightInd w:val="0"/>
        <w:spacing w:line="360" w:lineRule="auto"/>
        <w:ind w:firstLine="480" w:firstLineChars="200"/>
        <w:rPr>
          <w:rFonts w:hint="default" w:ascii="Times New Roman" w:hAnsi="Times New Roman" w:eastAsia="仿宋_GB2312" w:cs="Times New Roman"/>
          <w:color w:val="auto"/>
          <w:sz w:val="24"/>
          <w:szCs w:val="24"/>
          <w:lang w:val="zh-CN"/>
        </w:rPr>
      </w:pPr>
      <w:r>
        <w:rPr>
          <w:rFonts w:hint="default" w:ascii="Times New Roman" w:hAnsi="Times New Roman" w:eastAsia="仿宋_GB2312" w:cs="Times New Roman"/>
          <w:color w:val="auto"/>
          <w:sz w:val="24"/>
          <w:szCs w:val="24"/>
          <w:lang w:val="zh-CN"/>
        </w:rPr>
        <w:t>根据水利普查数据，结合项目区地形图分析，并经现场踏勘调查项目区土地利用类型、面积、地形坡度和植被覆盖率等，参考《土壤侵蚀分类分级标准》（SL 190-2007）中的“土壤侵蚀强度分级标准表”、“面蚀分级指标表”以及《生产建设项目水土流失防治标准》（GB /T50434-2018）等相关规程规范，结合区域地形地貌、地表植被及土壤等水土流失因子进行综合分析。按照《土壤侵蚀分类分级标准》(SL190-2007)确定，对水域、硬化地面、裸岩等无土体的微度流失区可不计背景值；根据《四川省水利厅关于印发&lt;四川省水土保持方案编制与审查若干技术问题暂行规定&gt;的函》（川水函</w:t>
      </w:r>
      <w:r>
        <w:rPr>
          <w:rFonts w:hint="default" w:ascii="Times New Roman" w:hAnsi="Times New Roman" w:eastAsia="仿宋_GB2312" w:cs="Times New Roman"/>
          <w:b w:val="0"/>
          <w:bCs/>
          <w:color w:val="auto"/>
          <w:sz w:val="24"/>
          <w:szCs w:val="24"/>
          <w:lang w:val="en-US" w:eastAsia="zh-CN"/>
        </w:rPr>
        <w:t>〔2014〕</w:t>
      </w:r>
      <w:r>
        <w:rPr>
          <w:rFonts w:hint="default" w:ascii="Times New Roman" w:hAnsi="Times New Roman" w:eastAsia="仿宋_GB2312" w:cs="Times New Roman"/>
          <w:color w:val="auto"/>
          <w:sz w:val="24"/>
          <w:szCs w:val="24"/>
          <w:lang w:val="zh-CN"/>
        </w:rPr>
        <w:t>1723号）规定，对有土体的微度流失区，背景值可直接取300t/km²·a。轻度及以上的流失区，背景值一般取标准中的区间平均值。</w:t>
      </w:r>
    </w:p>
    <w:p w14:paraId="40DE8038">
      <w:pPr>
        <w:widowControl w:val="0"/>
        <w:spacing w:line="360" w:lineRule="auto"/>
        <w:ind w:firstLine="480" w:firstLineChars="200"/>
        <w:jc w:val="both"/>
        <w:rPr>
          <w:rFonts w:hint="default" w:ascii="Times New Roman" w:hAnsi="Times New Roman" w:eastAsia="仿宋_GB2312" w:cs="Times New Roman"/>
          <w:color w:val="auto"/>
          <w:szCs w:val="20"/>
          <w:highlight w:val="none"/>
        </w:rPr>
      </w:pPr>
      <w:r>
        <w:rPr>
          <w:rFonts w:hint="default" w:ascii="Times New Roman" w:hAnsi="Times New Roman" w:eastAsia="仿宋_GB2312" w:cs="Times New Roman"/>
          <w:color w:val="auto"/>
          <w:sz w:val="24"/>
          <w:szCs w:val="24"/>
          <w:highlight w:val="none"/>
          <w:lang w:eastAsia="zh-CN"/>
        </w:rPr>
        <w:t>经调查测算，</w:t>
      </w:r>
      <w:r>
        <w:rPr>
          <w:rFonts w:hint="default" w:ascii="Times New Roman" w:hAnsi="Times New Roman" w:eastAsia="仿宋_GB2312" w:cs="Times New Roman"/>
          <w:color w:val="auto"/>
          <w:sz w:val="24"/>
          <w:szCs w:val="24"/>
          <w:highlight w:val="none"/>
        </w:rPr>
        <w:t>确定水土流失强度主要表现为</w:t>
      </w:r>
      <w:r>
        <w:rPr>
          <w:rFonts w:hint="default" w:ascii="Times New Roman" w:hAnsi="Times New Roman" w:eastAsia="仿宋_GB2312" w:cs="Times New Roman"/>
          <w:color w:val="auto"/>
          <w:sz w:val="24"/>
          <w:szCs w:val="24"/>
          <w:highlight w:val="none"/>
          <w:lang w:eastAsia="zh-CN"/>
        </w:rPr>
        <w:t>轻</w:t>
      </w:r>
      <w:r>
        <w:rPr>
          <w:rFonts w:hint="default" w:ascii="Times New Roman" w:hAnsi="Times New Roman" w:eastAsia="仿宋_GB2312" w:cs="Times New Roman"/>
          <w:color w:val="auto"/>
          <w:sz w:val="24"/>
          <w:szCs w:val="24"/>
          <w:highlight w:val="none"/>
        </w:rPr>
        <w:t>度侵蚀，水土流失类型主要为面浊和沟蚀，水土流失形式以水力侵蚀为主，项目占地区域的土壤侵蚀模数背景值为</w:t>
      </w:r>
      <w:r>
        <w:rPr>
          <w:rFonts w:hint="default" w:ascii="Times New Roman" w:hAnsi="Times New Roman" w:eastAsia="仿宋_GB2312" w:cs="Times New Roman"/>
          <w:color w:val="auto"/>
          <w:sz w:val="24"/>
          <w:szCs w:val="24"/>
          <w:highlight w:val="none"/>
          <w:lang w:val="en-US" w:eastAsia="zh-CN"/>
        </w:rPr>
        <w:t>850</w:t>
      </w:r>
      <w:r>
        <w:rPr>
          <w:rFonts w:hint="default" w:ascii="Times New Roman" w:hAnsi="Times New Roman" w:eastAsia="仿宋_GB2312" w:cs="Times New Roman"/>
          <w:bCs/>
          <w:snapToGrid w:val="0"/>
          <w:color w:val="auto"/>
          <w:kern w:val="0"/>
          <w:sz w:val="24"/>
          <w:szCs w:val="24"/>
          <w:lang w:val="en-US" w:eastAsia="zh-CN" w:bidi="ar-SA"/>
        </w:rPr>
        <w:t>k</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2</w:t>
      </w:r>
      <w:r>
        <w:rPr>
          <w:rFonts w:hint="default" w:ascii="Times New Roman" w:hAnsi="Times New Roman" w:eastAsia="仿宋_GB2312" w:cs="Times New Roman"/>
          <w:bCs/>
          <w:snapToGrid w:val="0"/>
          <w:color w:val="auto"/>
          <w:kern w:val="0"/>
          <w:sz w:val="24"/>
          <w:szCs w:val="24"/>
          <w:lang w:val="en-US" w:eastAsia="zh-CN" w:bidi="ar-SA"/>
        </w:rPr>
        <w:t>·a</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项目占地范围内年平均土壤侵蚀量约为</w:t>
      </w:r>
      <w:r>
        <w:rPr>
          <w:rFonts w:hint="default" w:ascii="Times New Roman" w:hAnsi="Times New Roman" w:eastAsia="仿宋_GB2312" w:cs="Times New Roman"/>
          <w:color w:val="auto"/>
          <w:sz w:val="24"/>
          <w:szCs w:val="24"/>
          <w:highlight w:val="none"/>
          <w:lang w:val="en-US" w:eastAsia="zh-CN"/>
        </w:rPr>
        <w:t>2.81t</w:t>
      </w:r>
      <w:r>
        <w:rPr>
          <w:rFonts w:hint="default" w:ascii="Times New Roman" w:hAnsi="Times New Roman" w:eastAsia="仿宋_GB2312" w:cs="Times New Roman"/>
          <w:color w:val="auto"/>
          <w:sz w:val="24"/>
          <w:szCs w:val="24"/>
          <w:highlight w:val="none"/>
        </w:rPr>
        <w:t>。</w:t>
      </w:r>
    </w:p>
    <w:p w14:paraId="59471C89">
      <w:pPr>
        <w:autoSpaceDE w:val="0"/>
        <w:autoSpaceDN w:val="0"/>
        <w:adjustRightInd w:val="0"/>
        <w:spacing w:line="360" w:lineRule="auto"/>
        <w:ind w:firstLine="480" w:firstLineChars="200"/>
        <w:rPr>
          <w:rFonts w:hint="default" w:ascii="Times New Roman" w:hAnsi="Times New Roman" w:eastAsia="仿宋_GB2312" w:cs="Times New Roman"/>
          <w:color w:val="auto"/>
          <w:sz w:val="24"/>
          <w:szCs w:val="24"/>
          <w:lang w:val="zh-CN"/>
        </w:rPr>
      </w:pPr>
      <w:r>
        <w:rPr>
          <w:rFonts w:hint="default" w:ascii="Times New Roman" w:hAns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lang w:val="zh-CN"/>
        </w:rPr>
        <w:t>项目区所处的水土流失重点防治区</w:t>
      </w:r>
    </w:p>
    <w:p w14:paraId="619B54C7">
      <w:pPr>
        <w:autoSpaceDE w:val="0"/>
        <w:autoSpaceDN w:val="0"/>
        <w:adjustRightInd w:val="0"/>
        <w:spacing w:line="360" w:lineRule="auto"/>
        <w:ind w:firstLine="480" w:firstLineChars="200"/>
        <w:rPr>
          <w:rFonts w:hint="default" w:ascii="Times New Roman" w:hAnsi="Times New Roman" w:eastAsia="仿宋_GB2312" w:cs="Times New Roman"/>
          <w:color w:val="auto"/>
          <w:sz w:val="24"/>
          <w:szCs w:val="20"/>
        </w:rPr>
      </w:pPr>
      <w:r>
        <w:rPr>
          <w:rFonts w:hint="default" w:ascii="Times New Roman" w:hAnsi="Times New Roman" w:eastAsia="仿宋_GB2312" w:cs="Times New Roman"/>
          <w:color w:val="auto"/>
          <w:sz w:val="24"/>
          <w:szCs w:val="24"/>
          <w:lang w:val="zh-CN"/>
        </w:rPr>
        <w:t>根据《全国水土保持规划国家级水土流失</w:t>
      </w:r>
      <w:r>
        <w:rPr>
          <w:rFonts w:hint="default" w:ascii="Times New Roman" w:hAnsi="Times New Roman" w:eastAsia="仿宋_GB2312" w:cs="Times New Roman"/>
          <w:bCs/>
          <w:color w:val="auto"/>
          <w:kern w:val="0"/>
          <w:sz w:val="24"/>
          <w:szCs w:val="24"/>
        </w:rPr>
        <w:t>重点预防区和重点治理区划分成果》（</w:t>
      </w:r>
      <w:r>
        <w:rPr>
          <w:rFonts w:hint="default" w:ascii="Times New Roman" w:hAnsi="Times New Roman" w:eastAsia="仿宋_GB2312" w:cs="Times New Roman"/>
          <w:color w:val="auto"/>
          <w:kern w:val="0"/>
          <w:sz w:val="24"/>
          <w:szCs w:val="22"/>
          <w:lang w:val="zh-CN"/>
        </w:rPr>
        <w:t>办水保〔2013〕188号），</w:t>
      </w:r>
      <w:r>
        <w:rPr>
          <w:rFonts w:hint="default" w:ascii="Times New Roman" w:hAnsi="Times New Roman" w:eastAsia="仿宋_GB2312" w:cs="Times New Roman"/>
          <w:bCs/>
          <w:color w:val="auto"/>
          <w:kern w:val="0"/>
          <w:sz w:val="24"/>
          <w:szCs w:val="24"/>
        </w:rPr>
        <w:t>项目所在地广元市</w:t>
      </w:r>
      <w:r>
        <w:rPr>
          <w:rFonts w:hint="default" w:ascii="Times New Roman" w:hAnsi="Times New Roman" w:eastAsia="仿宋_GB2312" w:cs="Times New Roman"/>
          <w:bCs/>
          <w:color w:val="auto"/>
          <w:kern w:val="0"/>
          <w:sz w:val="24"/>
          <w:szCs w:val="24"/>
          <w:lang w:eastAsia="zh-CN"/>
        </w:rPr>
        <w:t>剑阁县</w:t>
      </w:r>
      <w:r>
        <w:rPr>
          <w:rFonts w:hint="default" w:ascii="Times New Roman" w:hAnsi="Times New Roman" w:eastAsia="仿宋_GB2312" w:cs="Times New Roman"/>
          <w:bCs/>
          <w:color w:val="auto"/>
          <w:kern w:val="0"/>
          <w:sz w:val="24"/>
          <w:szCs w:val="24"/>
        </w:rPr>
        <w:t>属于国家级水土流失重点</w:t>
      </w:r>
      <w:r>
        <w:rPr>
          <w:rFonts w:hint="default" w:ascii="Times New Roman" w:hAnsi="Times New Roman" w:eastAsia="仿宋_GB2312" w:cs="Times New Roman"/>
          <w:bCs/>
          <w:color w:val="auto"/>
          <w:kern w:val="0"/>
          <w:sz w:val="24"/>
          <w:szCs w:val="24"/>
          <w:lang w:eastAsia="zh-CN"/>
        </w:rPr>
        <w:t>治理</w:t>
      </w:r>
      <w:r>
        <w:rPr>
          <w:rFonts w:hint="default" w:ascii="Times New Roman" w:hAnsi="Times New Roman" w:eastAsia="仿宋_GB2312" w:cs="Times New Roman"/>
          <w:bCs/>
          <w:color w:val="auto"/>
          <w:kern w:val="0"/>
          <w:sz w:val="24"/>
          <w:szCs w:val="24"/>
        </w:rPr>
        <w:t>区“</w:t>
      </w:r>
      <w:r>
        <w:rPr>
          <w:rFonts w:hint="default" w:ascii="Times New Roman" w:hAnsi="Times New Roman" w:eastAsia="仿宋_GB2312" w:cs="Times New Roman"/>
          <w:bCs/>
          <w:color w:val="auto"/>
          <w:kern w:val="0"/>
          <w:sz w:val="24"/>
          <w:szCs w:val="24"/>
          <w:lang w:eastAsia="zh-CN"/>
        </w:rPr>
        <w:t>嘉陵江及沱江中下游国家级水土流失重点治理区</w:t>
      </w:r>
      <w:r>
        <w:rPr>
          <w:rFonts w:hint="default" w:ascii="Times New Roman" w:hAnsi="Times New Roman" w:eastAsia="仿宋_GB2312" w:cs="Times New Roman"/>
          <w:bCs/>
          <w:color w:val="auto"/>
          <w:kern w:val="0"/>
          <w:sz w:val="24"/>
          <w:szCs w:val="24"/>
        </w:rPr>
        <w:t>”，</w:t>
      </w:r>
      <w:r>
        <w:rPr>
          <w:rFonts w:hint="default" w:ascii="Times New Roman" w:hAnsi="Times New Roman" w:eastAsia="仿宋_GB2312" w:cs="Times New Roman"/>
          <w:color w:val="auto"/>
          <w:sz w:val="24"/>
          <w:szCs w:val="20"/>
        </w:rPr>
        <w:t>项目区水土流失以水力侵蚀为主，按照《土壤侵蚀分类分级标准》（SL190-2007），项目区容许土壤流失量为500t/km</w:t>
      </w:r>
      <w:r>
        <w:rPr>
          <w:rFonts w:hint="default" w:ascii="Times New Roman" w:hAnsi="Times New Roman" w:eastAsia="仿宋_GB2312" w:cs="Times New Roman"/>
          <w:color w:val="auto"/>
          <w:sz w:val="24"/>
          <w:szCs w:val="20"/>
          <w:vertAlign w:val="superscript"/>
        </w:rPr>
        <w:t>2</w:t>
      </w:r>
      <w:r>
        <w:rPr>
          <w:rFonts w:hint="default" w:ascii="Times New Roman" w:hAnsi="Times New Roman" w:eastAsia="仿宋_GB2312" w:cs="Times New Roman"/>
          <w:color w:val="auto"/>
          <w:sz w:val="24"/>
          <w:szCs w:val="20"/>
        </w:rPr>
        <w:t>.a。</w:t>
      </w:r>
    </w:p>
    <w:p w14:paraId="53F2EAE7">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color w:val="auto"/>
          <w:sz w:val="30"/>
          <w:szCs w:val="30"/>
        </w:rPr>
      </w:pPr>
      <w:bookmarkStart w:id="126" w:name="_Toc23487"/>
      <w:r>
        <w:rPr>
          <w:rFonts w:hint="default" w:ascii="Times New Roman" w:hAnsi="Times New Roman" w:eastAsia="仿宋_GB2312" w:cs="Times New Roman"/>
          <w:b/>
          <w:bCs/>
          <w:color w:val="auto"/>
          <w:szCs w:val="24"/>
          <w:lang w:eastAsia="ar"/>
        </w:rPr>
        <w:t>4.2</w:t>
      </w:r>
      <w:bookmarkEnd w:id="123"/>
      <w:bookmarkEnd w:id="124"/>
      <w:bookmarkEnd w:id="125"/>
      <w:r>
        <w:rPr>
          <w:rFonts w:hint="default" w:ascii="Times New Roman" w:hAnsi="Times New Roman" w:eastAsia="仿宋_GB2312" w:cs="Times New Roman"/>
          <w:color w:val="auto"/>
          <w:sz w:val="30"/>
          <w:szCs w:val="30"/>
        </w:rPr>
        <w:t>水土流失影响因素分析</w:t>
      </w:r>
      <w:bookmarkEnd w:id="126"/>
    </w:p>
    <w:p w14:paraId="2006D1CC">
      <w:pPr>
        <w:keepNext/>
        <w:keepLines/>
        <w:spacing w:line="360" w:lineRule="auto"/>
        <w:outlineLvl w:val="2"/>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4.2.1 工程建设与生产对水土流失的影响</w:t>
      </w:r>
    </w:p>
    <w:p w14:paraId="722A8819">
      <w:pPr>
        <w:rPr>
          <w:rFonts w:hint="default" w:ascii="Times New Roman" w:hAnsi="Times New Roman" w:cs="Times New Roman"/>
          <w:lang w:eastAsia="ar"/>
        </w:rPr>
      </w:pPr>
    </w:p>
    <w:p w14:paraId="34F6023C">
      <w:pPr>
        <w:widowControl w:val="0"/>
        <w:spacing w:line="360" w:lineRule="auto"/>
        <w:ind w:firstLine="480" w:firstLineChars="200"/>
        <w:jc w:val="both"/>
        <w:rPr>
          <w:rFonts w:hint="default" w:ascii="Times New Roman" w:hAnsi="Times New Roman" w:eastAsia="仿宋_GB2312" w:cs="Times New Roman"/>
          <w:color w:val="auto"/>
          <w:sz w:val="24"/>
          <w:szCs w:val="24"/>
        </w:rPr>
      </w:pPr>
      <w:bookmarkStart w:id="127" w:name="_Toc18654"/>
      <w:bookmarkStart w:id="128" w:name="_Toc10628"/>
      <w:bookmarkStart w:id="129" w:name="_Toc19279"/>
      <w:r>
        <w:rPr>
          <w:rFonts w:hint="default" w:ascii="Times New Roman" w:hAnsi="Times New Roman" w:eastAsia="仿宋_GB2312" w:cs="Times New Roman"/>
          <w:color w:val="auto"/>
          <w:sz w:val="24"/>
          <w:szCs w:val="24"/>
          <w:lang w:val="zh-CN"/>
        </w:rPr>
        <w:t>本项目在建设过程中新增水土流失主要是由于人为扰动地表、构筑人工再塑地貌等活动，由于人为因素损毁原有地貌和地表结皮，改变了侵蚀营力与土体抵抗力之间形成的自然相对平衡，破坏了土地的水土保持功能，使潜在的自然因素在人为因素的诱发下发挥作用，导致原地面水土流失加剧。</w:t>
      </w:r>
    </w:p>
    <w:p w14:paraId="2686E3FB">
      <w:pPr>
        <w:widowControl w:val="0"/>
        <w:spacing w:line="360" w:lineRule="auto"/>
        <w:ind w:firstLine="480" w:firstLineChars="200"/>
        <w:jc w:val="both"/>
        <w:rPr>
          <w:rFonts w:hint="default" w:ascii="Times New Roman" w:hAnsi="Times New Roman" w:eastAsia="仿宋_GB2312" w:cs="Times New Roman"/>
          <w:color w:val="auto"/>
          <w:sz w:val="24"/>
          <w:szCs w:val="24"/>
          <w:lang w:val="zh-CN"/>
        </w:rPr>
      </w:pPr>
      <w:r>
        <w:rPr>
          <w:rFonts w:hint="default" w:ascii="Times New Roman" w:hAnsi="Times New Roman" w:eastAsia="仿宋_GB2312" w:cs="Times New Roman"/>
          <w:color w:val="auto"/>
          <w:sz w:val="24"/>
          <w:szCs w:val="24"/>
          <w:lang w:val="zh-CN"/>
        </w:rPr>
        <w:t>本项目建设施工对水土流失的影响人为因素主要表现在以下方面：</w:t>
      </w:r>
    </w:p>
    <w:p w14:paraId="78CBCED0">
      <w:pPr>
        <w:widowControl w:val="0"/>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①工程</w:t>
      </w:r>
      <w:r>
        <w:rPr>
          <w:rFonts w:hint="default" w:ascii="Times New Roman" w:hAnsi="Times New Roman" w:eastAsia="仿宋_GB2312" w:cs="Times New Roman"/>
          <w:color w:val="auto"/>
          <w:sz w:val="24"/>
          <w:szCs w:val="24"/>
          <w:lang w:val="en-US" w:eastAsia="zh-CN"/>
        </w:rPr>
        <w:t>开挖与回填</w:t>
      </w:r>
      <w:r>
        <w:rPr>
          <w:rFonts w:hint="default" w:ascii="Times New Roman" w:hAnsi="Times New Roman" w:eastAsia="仿宋_GB2312" w:cs="Times New Roman"/>
          <w:color w:val="auto"/>
          <w:sz w:val="24"/>
          <w:szCs w:val="24"/>
        </w:rPr>
        <w:t>对水土流失的影响</w:t>
      </w:r>
    </w:p>
    <w:p w14:paraId="4F4115A3">
      <w:pPr>
        <w:widowControl w:val="0"/>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13"/>
          <w:sz w:val="24"/>
          <w:szCs w:val="24"/>
          <w:lang w:val="en-US" w:eastAsia="zh-CN"/>
        </w:rPr>
        <w:t>工程在建设过程中，开挖和填筑将会对沿线的原始地貌造成较大的变化，产生大量的光滑、裸露的边坡，这将导致坡面径流速度加大，冲刷力增强。同时，施工过程中将直接导致地表原始植被的丧失和土壤结构的破坏，使得地表土壤的抗冲蚀能力降低，为水土流失的加剧创造了条件</w:t>
      </w:r>
      <w:r>
        <w:rPr>
          <w:rFonts w:hint="default" w:ascii="Times New Roman" w:hAnsi="Times New Roman" w:eastAsia="仿宋_GB2312" w:cs="Times New Roman"/>
          <w:color w:val="auto"/>
          <w:sz w:val="24"/>
          <w:szCs w:val="24"/>
        </w:rPr>
        <w:t>。</w:t>
      </w:r>
    </w:p>
    <w:p w14:paraId="7928DD7B">
      <w:pPr>
        <w:widowControl w:val="0"/>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②扰动原地表对水土流失的影响</w:t>
      </w:r>
    </w:p>
    <w:p w14:paraId="0D3E926F">
      <w:pPr>
        <w:widowControl w:val="0"/>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项目</w:t>
      </w:r>
      <w:r>
        <w:rPr>
          <w:rFonts w:hint="default" w:ascii="Times New Roman" w:hAnsi="Times New Roman" w:eastAsia="仿宋_GB2312" w:cs="Times New Roman"/>
          <w:color w:val="auto"/>
          <w:sz w:val="24"/>
          <w:szCs w:val="24"/>
          <w:lang w:eastAsia="zh-CN"/>
        </w:rPr>
        <w:t>建设期间</w:t>
      </w:r>
      <w:r>
        <w:rPr>
          <w:rFonts w:hint="default" w:ascii="Times New Roman" w:hAnsi="Times New Roman" w:eastAsia="仿宋_GB2312" w:cs="Times New Roman"/>
          <w:color w:val="auto"/>
          <w:sz w:val="24"/>
          <w:szCs w:val="24"/>
        </w:rPr>
        <w:t>，将项目占地区域产生占压或开挖的扰动，将原有地表结皮及地表植被破坏，导致地表土层松散，在无排水、遮盖、拦挡等措施防护的情况，极易因降雨大风等发生水土流失。</w:t>
      </w:r>
    </w:p>
    <w:p w14:paraId="19716034">
      <w:pPr>
        <w:keepNext/>
        <w:keepLines/>
        <w:spacing w:line="360" w:lineRule="auto"/>
        <w:outlineLvl w:val="2"/>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4.2.2 扰动地表、损毁植被面积</w:t>
      </w:r>
    </w:p>
    <w:p w14:paraId="1B692245">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本项目扰动地表面积为0.33h</w:t>
      </w:r>
      <w:r>
        <w:rPr>
          <w:rFonts w:hint="default" w:ascii="Times New Roman" w:hAnsi="Times New Roman" w:eastAsia="仿宋_GB2312" w:cs="Times New Roman"/>
          <w:color w:val="auto"/>
          <w:sz w:val="24"/>
          <w:szCs w:val="20"/>
        </w:rPr>
        <w:t>m</w:t>
      </w:r>
      <w:r>
        <w:rPr>
          <w:rFonts w:hint="default" w:ascii="Times New Roman" w:hAnsi="Times New Roman" w:eastAsia="仿宋_GB2312" w:cs="Times New Roman"/>
          <w:color w:val="auto"/>
          <w:sz w:val="24"/>
          <w:szCs w:val="20"/>
          <w:vertAlign w:val="superscript"/>
        </w:rPr>
        <w:t>2</w:t>
      </w:r>
      <w:r>
        <w:rPr>
          <w:rFonts w:hint="default" w:ascii="Times New Roman" w:hAnsi="Times New Roman" w:eastAsia="仿宋_GB2312" w:cs="Times New Roman"/>
          <w:color w:val="auto"/>
          <w:kern w:val="0"/>
          <w:sz w:val="24"/>
          <w:szCs w:val="24"/>
          <w:lang w:val="en-US" w:eastAsia="zh-CN" w:bidi="ar"/>
        </w:rPr>
        <w:t xml:space="preserve">，均为本项目建设用地。损坏植被面积为本项目 </w:t>
      </w:r>
    </w:p>
    <w:p w14:paraId="408BC889">
      <w:pPr>
        <w:keepNext w:val="0"/>
        <w:keepLines w:val="0"/>
        <w:widowControl/>
        <w:suppressLineNumbers w:val="0"/>
        <w:spacing w:line="360" w:lineRule="auto"/>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占地中原有绿化面积，共0.08h</w:t>
      </w:r>
      <w:r>
        <w:rPr>
          <w:rFonts w:hint="default" w:ascii="Times New Roman" w:hAnsi="Times New Roman" w:eastAsia="仿宋_GB2312" w:cs="Times New Roman"/>
          <w:color w:val="auto"/>
          <w:sz w:val="24"/>
          <w:szCs w:val="20"/>
        </w:rPr>
        <w:t>m</w:t>
      </w:r>
      <w:r>
        <w:rPr>
          <w:rFonts w:hint="default" w:ascii="Times New Roman" w:hAnsi="Times New Roman" w:eastAsia="仿宋_GB2312" w:cs="Times New Roman"/>
          <w:color w:val="auto"/>
          <w:sz w:val="24"/>
          <w:szCs w:val="20"/>
          <w:vertAlign w:val="superscript"/>
        </w:rPr>
        <w:t>2</w:t>
      </w:r>
      <w:r>
        <w:rPr>
          <w:rFonts w:hint="default" w:ascii="Times New Roman" w:hAnsi="Times New Roman" w:eastAsia="仿宋_GB2312" w:cs="Times New Roman"/>
          <w:color w:val="auto"/>
          <w:kern w:val="0"/>
          <w:sz w:val="24"/>
          <w:szCs w:val="24"/>
          <w:lang w:val="en-US" w:eastAsia="zh-CN" w:bidi="ar"/>
        </w:rPr>
        <w:t>。</w:t>
      </w:r>
    </w:p>
    <w:p w14:paraId="44017BB2">
      <w:pPr>
        <w:keepNext w:val="0"/>
        <w:keepLines w:val="0"/>
        <w:widowControl/>
        <w:suppressLineNumbers w:val="0"/>
        <w:spacing w:line="360" w:lineRule="auto"/>
        <w:jc w:val="center"/>
        <w:rPr>
          <w:rFonts w:hint="default" w:ascii="Times New Roman" w:hAnsi="Times New Roman" w:eastAsia="仿宋_GB2312" w:cs="Times New Roman"/>
          <w:b/>
          <w:bCs/>
          <w:color w:val="auto"/>
          <w:sz w:val="21"/>
          <w:szCs w:val="21"/>
          <w:vertAlign w:val="baseline"/>
          <w:lang w:val="en-US"/>
        </w:rPr>
      </w:pPr>
      <w:r>
        <w:rPr>
          <w:rFonts w:hint="default" w:ascii="Times New Roman" w:hAnsi="Times New Roman" w:eastAsia="仿宋_GB2312" w:cs="Times New Roman"/>
          <w:b/>
          <w:bCs/>
          <w:color w:val="auto"/>
          <w:kern w:val="0"/>
          <w:sz w:val="21"/>
          <w:szCs w:val="21"/>
          <w:lang w:val="en-US" w:eastAsia="zh-CN" w:bidi="ar"/>
        </w:rPr>
        <w:t>4.2-1工程建设扰动地表、谁坏植被面积情况表</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31"/>
        <w:gridCol w:w="3033"/>
      </w:tblGrid>
      <w:tr w14:paraId="70939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65" w:type="pct"/>
            <w:tcBorders>
              <w:tl2br w:val="nil"/>
              <w:tr2bl w:val="nil"/>
            </w:tcBorders>
            <w:vAlign w:val="top"/>
          </w:tcPr>
          <w:p w14:paraId="1D1B90AD">
            <w:pPr>
              <w:keepNext w:val="0"/>
              <w:keepLines w:val="0"/>
              <w:widowControl/>
              <w:suppressLineNumbers w:val="0"/>
              <w:spacing w:line="360" w:lineRule="auto"/>
              <w:jc w:val="center"/>
              <w:rPr>
                <w:rFonts w:hint="default" w:ascii="Times New Roman" w:hAnsi="Times New Roman" w:eastAsia="仿宋_GB2312" w:cs="Times New Roman"/>
                <w:b w:val="0"/>
                <w:bCs w:val="0"/>
                <w:color w:val="auto"/>
                <w:sz w:val="18"/>
                <w:szCs w:val="18"/>
                <w:vertAlign w:val="baseline"/>
                <w:lang w:val="en-US" w:eastAsia="zh-CN"/>
              </w:rPr>
            </w:pPr>
            <w:r>
              <w:rPr>
                <w:rFonts w:hint="default" w:ascii="Times New Roman" w:hAnsi="Times New Roman" w:eastAsia="仿宋_GB2312" w:cs="Times New Roman"/>
                <w:b w:val="0"/>
                <w:bCs w:val="0"/>
                <w:color w:val="auto"/>
                <w:sz w:val="18"/>
                <w:szCs w:val="18"/>
                <w:vertAlign w:val="baseline"/>
                <w:lang w:val="en-US" w:eastAsia="zh-CN"/>
              </w:rPr>
              <w:t>项目分区</w:t>
            </w:r>
          </w:p>
        </w:tc>
        <w:tc>
          <w:tcPr>
            <w:tcW w:w="1666" w:type="pct"/>
            <w:tcBorders>
              <w:tl2br w:val="nil"/>
              <w:tr2bl w:val="nil"/>
            </w:tcBorders>
            <w:vAlign w:val="top"/>
          </w:tcPr>
          <w:p w14:paraId="2057B0FE">
            <w:pPr>
              <w:keepNext w:val="0"/>
              <w:keepLines w:val="0"/>
              <w:widowControl/>
              <w:suppressLineNumbers w:val="0"/>
              <w:spacing w:line="360" w:lineRule="auto"/>
              <w:jc w:val="center"/>
              <w:rPr>
                <w:rFonts w:hint="default" w:ascii="Times New Roman" w:hAnsi="Times New Roman" w:eastAsia="仿宋_GB2312" w:cs="Times New Roman"/>
                <w:b w:val="0"/>
                <w:bCs w:val="0"/>
                <w:color w:val="auto"/>
                <w:sz w:val="18"/>
                <w:szCs w:val="18"/>
                <w:vertAlign w:val="baseline"/>
                <w:lang w:val="en-US" w:eastAsia="zh-CN"/>
              </w:rPr>
            </w:pPr>
            <w:r>
              <w:rPr>
                <w:rFonts w:hint="default" w:ascii="Times New Roman" w:hAnsi="Times New Roman" w:eastAsia="仿宋_GB2312" w:cs="Times New Roman"/>
                <w:b w:val="0"/>
                <w:bCs w:val="0"/>
                <w:color w:val="auto"/>
                <w:sz w:val="18"/>
                <w:szCs w:val="18"/>
                <w:vertAlign w:val="baseline"/>
                <w:lang w:val="en-US" w:eastAsia="zh-CN"/>
              </w:rPr>
              <w:t>占地面积（</w:t>
            </w:r>
            <w:r>
              <w:rPr>
                <w:rFonts w:hint="default" w:ascii="Times New Roman" w:hAnsi="Times New Roman" w:eastAsia="仿宋_GB2312" w:cs="Times New Roman"/>
                <w:color w:val="auto"/>
                <w:kern w:val="0"/>
                <w:sz w:val="18"/>
                <w:szCs w:val="18"/>
                <w:lang w:val="en-US" w:eastAsia="zh-CN" w:bidi="ar"/>
              </w:rPr>
              <w:t>h</w:t>
            </w: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rPr>
              <w:t>2</w:t>
            </w:r>
            <w:r>
              <w:rPr>
                <w:rFonts w:hint="default" w:ascii="Times New Roman" w:hAnsi="Times New Roman" w:eastAsia="仿宋_GB2312" w:cs="Times New Roman"/>
                <w:b w:val="0"/>
                <w:bCs w:val="0"/>
                <w:color w:val="auto"/>
                <w:sz w:val="18"/>
                <w:szCs w:val="18"/>
                <w:vertAlign w:val="baseline"/>
                <w:lang w:val="en-US" w:eastAsia="zh-CN"/>
              </w:rPr>
              <w:t>）</w:t>
            </w:r>
          </w:p>
        </w:tc>
        <w:tc>
          <w:tcPr>
            <w:tcW w:w="1667" w:type="pct"/>
            <w:tcBorders>
              <w:tl2br w:val="nil"/>
              <w:tr2bl w:val="nil"/>
            </w:tcBorders>
            <w:vAlign w:val="top"/>
          </w:tcPr>
          <w:p w14:paraId="50549D3D">
            <w:pPr>
              <w:keepNext w:val="0"/>
              <w:keepLines w:val="0"/>
              <w:widowControl/>
              <w:suppressLineNumbers w:val="0"/>
              <w:spacing w:line="360" w:lineRule="auto"/>
              <w:jc w:val="center"/>
              <w:rPr>
                <w:rFonts w:hint="default" w:ascii="Times New Roman" w:hAnsi="Times New Roman" w:eastAsia="仿宋_GB2312" w:cs="Times New Roman"/>
                <w:b w:val="0"/>
                <w:bCs w:val="0"/>
                <w:color w:val="auto"/>
                <w:sz w:val="18"/>
                <w:szCs w:val="18"/>
                <w:vertAlign w:val="baseline"/>
                <w:lang w:val="en-US" w:eastAsia="zh-CN"/>
              </w:rPr>
            </w:pPr>
            <w:r>
              <w:rPr>
                <w:rFonts w:hint="default" w:ascii="Times New Roman" w:hAnsi="Times New Roman" w:eastAsia="仿宋_GB2312" w:cs="Times New Roman"/>
                <w:b w:val="0"/>
                <w:bCs w:val="0"/>
                <w:color w:val="auto"/>
                <w:sz w:val="18"/>
                <w:szCs w:val="18"/>
                <w:vertAlign w:val="baseline"/>
                <w:lang w:val="en-US" w:eastAsia="zh-CN"/>
              </w:rPr>
              <w:t>损坏植被面积（</w:t>
            </w:r>
            <w:r>
              <w:rPr>
                <w:rFonts w:hint="default" w:ascii="Times New Roman" w:hAnsi="Times New Roman" w:eastAsia="仿宋_GB2312" w:cs="Times New Roman"/>
                <w:color w:val="auto"/>
                <w:kern w:val="0"/>
                <w:sz w:val="18"/>
                <w:szCs w:val="18"/>
                <w:lang w:val="en-US" w:eastAsia="zh-CN" w:bidi="ar"/>
              </w:rPr>
              <w:t>h</w:t>
            </w: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rPr>
              <w:t>2</w:t>
            </w:r>
            <w:r>
              <w:rPr>
                <w:rFonts w:hint="default" w:ascii="Times New Roman" w:hAnsi="Times New Roman" w:eastAsia="仿宋_GB2312" w:cs="Times New Roman"/>
                <w:b w:val="0"/>
                <w:bCs w:val="0"/>
                <w:color w:val="auto"/>
                <w:sz w:val="18"/>
                <w:szCs w:val="18"/>
                <w:vertAlign w:val="baseline"/>
                <w:lang w:val="en-US" w:eastAsia="zh-CN"/>
              </w:rPr>
              <w:t>）</w:t>
            </w:r>
          </w:p>
        </w:tc>
      </w:tr>
      <w:tr w14:paraId="3A25D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65" w:type="pct"/>
            <w:tcBorders>
              <w:tl2br w:val="nil"/>
              <w:tr2bl w:val="nil"/>
            </w:tcBorders>
            <w:vAlign w:val="center"/>
          </w:tcPr>
          <w:p w14:paraId="587F94EB">
            <w:pPr>
              <w:ind w:firstLine="0" w:firstLineChars="0"/>
              <w:jc w:val="center"/>
              <w:rPr>
                <w:rFonts w:hint="default" w:ascii="Times New Roman" w:hAnsi="Times New Roman" w:eastAsia="仿宋_GB2312" w:cs="Times New Roman"/>
                <w:b w:val="0"/>
                <w:bCs w:val="0"/>
                <w:color w:val="auto"/>
                <w:sz w:val="18"/>
                <w:szCs w:val="18"/>
                <w:vertAlign w:val="baseline"/>
                <w:lang w:val="en-US" w:eastAsia="zh-CN"/>
              </w:rPr>
            </w:pPr>
            <w:r>
              <w:rPr>
                <w:rFonts w:hint="default" w:ascii="Times New Roman" w:hAnsi="Times New Roman" w:eastAsia="仿宋_GB2312" w:cs="Times New Roman"/>
                <w:color w:val="auto"/>
                <w:kern w:val="0"/>
                <w:sz w:val="18"/>
                <w:szCs w:val="18"/>
                <w:lang w:eastAsia="zh-CN"/>
              </w:rPr>
              <w:t>建构筑物</w:t>
            </w:r>
            <w:r>
              <w:rPr>
                <w:rFonts w:hint="default" w:ascii="Times New Roman" w:hAnsi="Times New Roman" w:eastAsia="仿宋_GB2312" w:cs="Times New Roman"/>
                <w:color w:val="auto"/>
                <w:kern w:val="0"/>
                <w:sz w:val="18"/>
                <w:szCs w:val="18"/>
              </w:rPr>
              <w:t>工程</w:t>
            </w:r>
          </w:p>
        </w:tc>
        <w:tc>
          <w:tcPr>
            <w:tcW w:w="1666" w:type="pct"/>
            <w:tcBorders>
              <w:tl2br w:val="nil"/>
              <w:tr2bl w:val="nil"/>
            </w:tcBorders>
            <w:vAlign w:val="center"/>
          </w:tcPr>
          <w:p w14:paraId="4711D88F">
            <w:pPr>
              <w:numPr>
                <w:ilvl w:val="0"/>
                <w:numId w:val="0"/>
              </w:numPr>
              <w:spacing w:line="360" w:lineRule="auto"/>
              <w:ind w:left="0" w:leftChars="0" w:firstLine="0" w:firstLineChars="0"/>
              <w:jc w:val="center"/>
              <w:rPr>
                <w:rFonts w:hint="default" w:ascii="Times New Roman" w:hAnsi="Times New Roman" w:eastAsia="仿宋_GB2312" w:cs="Times New Roman"/>
                <w:b w:val="0"/>
                <w:bCs w:val="0"/>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0.04</w:t>
            </w:r>
          </w:p>
        </w:tc>
        <w:tc>
          <w:tcPr>
            <w:tcW w:w="1667" w:type="pct"/>
            <w:tcBorders>
              <w:tl2br w:val="nil"/>
              <w:tr2bl w:val="nil"/>
            </w:tcBorders>
            <w:shd w:val="clear" w:color="auto" w:fill="auto"/>
            <w:vAlign w:val="center"/>
          </w:tcPr>
          <w:p w14:paraId="522097BF">
            <w:pPr>
              <w:numPr>
                <w:ilvl w:val="0"/>
                <w:numId w:val="0"/>
              </w:numPr>
              <w:spacing w:line="360" w:lineRule="auto"/>
              <w:ind w:left="0" w:leftChars="0" w:firstLine="0" w:firstLineChars="0"/>
              <w:jc w:val="center"/>
              <w:rPr>
                <w:rFonts w:hint="default" w:ascii="Times New Roman" w:hAnsi="Times New Roman" w:eastAsia="仿宋_GB2312" w:cs="Times New Roman"/>
                <w:color w:val="auto"/>
                <w:kern w:val="2"/>
                <w:sz w:val="18"/>
                <w:szCs w:val="18"/>
                <w:vertAlign w:val="baseline"/>
                <w:lang w:val="en-US" w:eastAsia="zh-CN" w:bidi="ar-SA"/>
              </w:rPr>
            </w:pPr>
          </w:p>
        </w:tc>
      </w:tr>
      <w:tr w14:paraId="4EE05A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65" w:type="pct"/>
            <w:tcBorders>
              <w:tl2br w:val="nil"/>
              <w:tr2bl w:val="nil"/>
            </w:tcBorders>
            <w:vAlign w:val="center"/>
          </w:tcPr>
          <w:p w14:paraId="42ED8EAE">
            <w:pPr>
              <w:ind w:firstLine="0" w:firstLineChars="0"/>
              <w:jc w:val="center"/>
              <w:rPr>
                <w:rFonts w:hint="default" w:ascii="Times New Roman" w:hAnsi="Times New Roman" w:eastAsia="仿宋_GB2312" w:cs="Times New Roman"/>
                <w:b w:val="0"/>
                <w:bCs w:val="0"/>
                <w:color w:val="auto"/>
                <w:sz w:val="18"/>
                <w:szCs w:val="18"/>
                <w:vertAlign w:val="baseline"/>
                <w:lang w:val="en-US" w:eastAsia="zh-CN"/>
              </w:rPr>
            </w:pPr>
            <w:r>
              <w:rPr>
                <w:rFonts w:hint="default" w:ascii="Times New Roman" w:hAnsi="Times New Roman" w:eastAsia="仿宋_GB2312" w:cs="Times New Roman"/>
                <w:color w:val="auto"/>
                <w:kern w:val="0"/>
                <w:sz w:val="18"/>
                <w:szCs w:val="18"/>
                <w:lang w:eastAsia="zh-CN"/>
              </w:rPr>
              <w:t>硬化工程</w:t>
            </w:r>
          </w:p>
        </w:tc>
        <w:tc>
          <w:tcPr>
            <w:tcW w:w="1666" w:type="pct"/>
            <w:tcBorders>
              <w:tl2br w:val="nil"/>
              <w:tr2bl w:val="nil"/>
            </w:tcBorders>
            <w:vAlign w:val="center"/>
          </w:tcPr>
          <w:p w14:paraId="267172AB">
            <w:pPr>
              <w:numPr>
                <w:ilvl w:val="0"/>
                <w:numId w:val="0"/>
              </w:numPr>
              <w:spacing w:line="360" w:lineRule="auto"/>
              <w:ind w:left="0" w:leftChars="0" w:firstLine="0" w:firstLineChars="0"/>
              <w:jc w:val="center"/>
              <w:rPr>
                <w:rFonts w:hint="default" w:ascii="Times New Roman" w:hAnsi="Times New Roman" w:eastAsia="仿宋_GB2312" w:cs="Times New Roman"/>
                <w:b w:val="0"/>
                <w:bCs w:val="0"/>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0.17</w:t>
            </w:r>
          </w:p>
        </w:tc>
        <w:tc>
          <w:tcPr>
            <w:tcW w:w="1667" w:type="pct"/>
            <w:tcBorders>
              <w:tl2br w:val="nil"/>
              <w:tr2bl w:val="nil"/>
            </w:tcBorders>
            <w:shd w:val="clear" w:color="auto" w:fill="auto"/>
            <w:vAlign w:val="center"/>
          </w:tcPr>
          <w:p w14:paraId="0CCD16D9">
            <w:pPr>
              <w:numPr>
                <w:ilvl w:val="0"/>
                <w:numId w:val="0"/>
              </w:numPr>
              <w:spacing w:line="360" w:lineRule="auto"/>
              <w:ind w:left="0" w:leftChars="0" w:firstLine="0" w:firstLineChars="0"/>
              <w:jc w:val="center"/>
              <w:rPr>
                <w:rFonts w:hint="default" w:ascii="Times New Roman" w:hAnsi="Times New Roman" w:eastAsia="仿宋_GB2312" w:cs="Times New Roman"/>
                <w:color w:val="auto"/>
                <w:kern w:val="2"/>
                <w:sz w:val="18"/>
                <w:szCs w:val="18"/>
                <w:vertAlign w:val="baseline"/>
                <w:lang w:val="en-US" w:eastAsia="zh-CN" w:bidi="ar-SA"/>
              </w:rPr>
            </w:pPr>
            <w:r>
              <w:rPr>
                <w:rFonts w:hint="default" w:ascii="Times New Roman" w:hAnsi="Times New Roman" w:eastAsia="仿宋_GB2312" w:cs="Times New Roman"/>
                <w:color w:val="auto"/>
                <w:sz w:val="18"/>
                <w:szCs w:val="18"/>
                <w:vertAlign w:val="baseline"/>
                <w:lang w:val="en-US" w:eastAsia="zh-CN"/>
              </w:rPr>
              <w:t>0.02</w:t>
            </w:r>
          </w:p>
        </w:tc>
      </w:tr>
      <w:tr w14:paraId="0BD7C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65" w:type="pct"/>
            <w:tcBorders>
              <w:tl2br w:val="nil"/>
              <w:tr2bl w:val="nil"/>
            </w:tcBorders>
            <w:vAlign w:val="center"/>
          </w:tcPr>
          <w:p w14:paraId="64E89DF3">
            <w:pPr>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绿化工程</w:t>
            </w:r>
          </w:p>
        </w:tc>
        <w:tc>
          <w:tcPr>
            <w:tcW w:w="1666" w:type="pct"/>
            <w:tcBorders>
              <w:tl2br w:val="nil"/>
              <w:tr2bl w:val="nil"/>
            </w:tcBorders>
            <w:vAlign w:val="center"/>
          </w:tcPr>
          <w:p w14:paraId="11E3B922">
            <w:pPr>
              <w:numPr>
                <w:ilvl w:val="0"/>
                <w:numId w:val="0"/>
              </w:numPr>
              <w:spacing w:line="360" w:lineRule="auto"/>
              <w:ind w:left="0" w:leftChars="0"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vertAlign w:val="baseline"/>
                <w:lang w:val="en-US" w:eastAsia="zh-CN"/>
              </w:rPr>
              <w:t>0.12</w:t>
            </w:r>
          </w:p>
        </w:tc>
        <w:tc>
          <w:tcPr>
            <w:tcW w:w="1667" w:type="pct"/>
            <w:tcBorders>
              <w:tl2br w:val="nil"/>
              <w:tr2bl w:val="nil"/>
            </w:tcBorders>
            <w:shd w:val="clear" w:color="auto" w:fill="auto"/>
            <w:vAlign w:val="center"/>
          </w:tcPr>
          <w:p w14:paraId="6C87ABAB">
            <w:pPr>
              <w:numPr>
                <w:ilvl w:val="0"/>
                <w:numId w:val="0"/>
              </w:numPr>
              <w:spacing w:line="360" w:lineRule="auto"/>
              <w:ind w:left="0" w:leftChars="0" w:firstLine="0" w:firstLineChars="0"/>
              <w:jc w:val="center"/>
              <w:rPr>
                <w:rFonts w:hint="default" w:ascii="Times New Roman" w:hAnsi="Times New Roman" w:eastAsia="仿宋_GB2312" w:cs="Times New Roman"/>
                <w:color w:val="auto"/>
                <w:kern w:val="2"/>
                <w:sz w:val="18"/>
                <w:szCs w:val="18"/>
                <w:vertAlign w:val="baseline"/>
                <w:lang w:val="en-US" w:eastAsia="zh-CN" w:bidi="ar-SA"/>
              </w:rPr>
            </w:pPr>
            <w:r>
              <w:rPr>
                <w:rFonts w:hint="default" w:ascii="Times New Roman" w:hAnsi="Times New Roman" w:eastAsia="仿宋_GB2312" w:cs="Times New Roman"/>
                <w:color w:val="auto"/>
                <w:sz w:val="18"/>
                <w:szCs w:val="18"/>
                <w:vertAlign w:val="baseline"/>
                <w:lang w:val="en-US" w:eastAsia="zh-CN"/>
              </w:rPr>
              <w:t>0.06</w:t>
            </w:r>
          </w:p>
        </w:tc>
      </w:tr>
      <w:tr w14:paraId="6193FF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65" w:type="pct"/>
            <w:tcBorders>
              <w:tl2br w:val="nil"/>
              <w:tr2bl w:val="nil"/>
            </w:tcBorders>
            <w:vAlign w:val="top"/>
          </w:tcPr>
          <w:p w14:paraId="5EE0FADA">
            <w:pPr>
              <w:keepNext w:val="0"/>
              <w:keepLines w:val="0"/>
              <w:widowControl/>
              <w:suppressLineNumbers w:val="0"/>
              <w:spacing w:line="360" w:lineRule="auto"/>
              <w:jc w:val="center"/>
              <w:rPr>
                <w:rFonts w:hint="default" w:ascii="Times New Roman" w:hAnsi="Times New Roman" w:eastAsia="仿宋_GB2312" w:cs="Times New Roman"/>
                <w:b w:val="0"/>
                <w:bCs w:val="0"/>
                <w:color w:val="auto"/>
                <w:sz w:val="18"/>
                <w:szCs w:val="18"/>
                <w:vertAlign w:val="baseline"/>
                <w:lang w:val="en-US" w:eastAsia="zh-CN"/>
              </w:rPr>
            </w:pPr>
            <w:r>
              <w:rPr>
                <w:rFonts w:hint="default" w:ascii="Times New Roman" w:hAnsi="Times New Roman" w:eastAsia="仿宋_GB2312" w:cs="Times New Roman"/>
                <w:b w:val="0"/>
                <w:bCs w:val="0"/>
                <w:color w:val="auto"/>
                <w:sz w:val="18"/>
                <w:szCs w:val="18"/>
                <w:vertAlign w:val="baseline"/>
                <w:lang w:val="en-US" w:eastAsia="zh-CN"/>
              </w:rPr>
              <w:t>合计</w:t>
            </w:r>
          </w:p>
        </w:tc>
        <w:tc>
          <w:tcPr>
            <w:tcW w:w="1666" w:type="pct"/>
            <w:tcBorders>
              <w:tl2br w:val="nil"/>
              <w:tr2bl w:val="nil"/>
            </w:tcBorders>
            <w:vAlign w:val="center"/>
          </w:tcPr>
          <w:p w14:paraId="23D72187">
            <w:pPr>
              <w:numPr>
                <w:ilvl w:val="0"/>
                <w:numId w:val="0"/>
              </w:numPr>
              <w:spacing w:line="360" w:lineRule="auto"/>
              <w:ind w:left="0" w:leftChars="0" w:firstLine="0" w:firstLineChars="0"/>
              <w:jc w:val="center"/>
              <w:rPr>
                <w:rFonts w:hint="default" w:ascii="Times New Roman" w:hAnsi="Times New Roman" w:eastAsia="仿宋_GB2312" w:cs="Times New Roman"/>
                <w:b w:val="0"/>
                <w:bCs w:val="0"/>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0.33</w:t>
            </w:r>
          </w:p>
        </w:tc>
        <w:tc>
          <w:tcPr>
            <w:tcW w:w="1667" w:type="pct"/>
            <w:tcBorders>
              <w:tl2br w:val="nil"/>
              <w:tr2bl w:val="nil"/>
            </w:tcBorders>
            <w:shd w:val="clear" w:color="auto" w:fill="auto"/>
            <w:vAlign w:val="center"/>
          </w:tcPr>
          <w:p w14:paraId="007BBC62">
            <w:pPr>
              <w:numPr>
                <w:ilvl w:val="0"/>
                <w:numId w:val="0"/>
              </w:numPr>
              <w:spacing w:line="360" w:lineRule="auto"/>
              <w:ind w:left="0" w:leftChars="0" w:firstLine="0" w:firstLineChars="0"/>
              <w:jc w:val="center"/>
              <w:rPr>
                <w:rFonts w:hint="default" w:ascii="Times New Roman" w:hAnsi="Times New Roman" w:eastAsia="仿宋_GB2312" w:cs="Times New Roman"/>
                <w:color w:val="auto"/>
                <w:kern w:val="2"/>
                <w:sz w:val="18"/>
                <w:szCs w:val="18"/>
                <w:vertAlign w:val="baseline"/>
                <w:lang w:val="en-US" w:eastAsia="zh-CN" w:bidi="ar-SA"/>
              </w:rPr>
            </w:pPr>
            <w:r>
              <w:rPr>
                <w:rFonts w:hint="default" w:ascii="Times New Roman" w:hAnsi="Times New Roman" w:eastAsia="仿宋_GB2312" w:cs="Times New Roman"/>
                <w:color w:val="auto"/>
                <w:sz w:val="18"/>
                <w:szCs w:val="18"/>
                <w:vertAlign w:val="baseline"/>
                <w:lang w:val="en-US" w:eastAsia="zh-CN"/>
              </w:rPr>
              <w:t>0.08</w:t>
            </w:r>
          </w:p>
        </w:tc>
      </w:tr>
      <w:bookmarkEnd w:id="127"/>
      <w:bookmarkEnd w:id="128"/>
      <w:bookmarkEnd w:id="129"/>
    </w:tbl>
    <w:p w14:paraId="190FD536">
      <w:pPr>
        <w:keepNext/>
        <w:keepLines/>
        <w:pageBreakBefore w:val="0"/>
        <w:widowControl/>
        <w:kinsoku/>
        <w:wordWrap/>
        <w:overflowPunct/>
        <w:topLinePunct w:val="0"/>
        <w:autoSpaceDE/>
        <w:autoSpaceDN/>
        <w:bidi w:val="0"/>
        <w:adjustRightInd/>
        <w:snapToGrid/>
        <w:spacing w:before="164" w:beforeLines="50" w:line="360" w:lineRule="auto"/>
        <w:textAlignment w:val="auto"/>
        <w:outlineLvl w:val="2"/>
        <w:rPr>
          <w:rFonts w:hint="default" w:ascii="Times New Roman" w:hAnsi="Times New Roman" w:eastAsia="仿宋_GB2312" w:cs="Times New Roman"/>
          <w:b/>
          <w:bCs/>
          <w:color w:val="auto"/>
          <w:sz w:val="28"/>
          <w:szCs w:val="28"/>
          <w:lang w:val="en-US" w:eastAsia="zh-CN"/>
        </w:rPr>
      </w:pPr>
      <w:bookmarkStart w:id="130" w:name="_Toc9840867"/>
      <w:bookmarkStart w:id="131" w:name="_Toc12011"/>
      <w:r>
        <w:rPr>
          <w:rFonts w:hint="default" w:ascii="Times New Roman" w:hAnsi="Times New Roman" w:eastAsia="仿宋_GB2312" w:cs="Times New Roman"/>
          <w:b/>
          <w:bCs/>
          <w:color w:val="auto"/>
          <w:sz w:val="28"/>
          <w:szCs w:val="28"/>
          <w:lang w:val="en-US" w:eastAsia="zh-CN"/>
        </w:rPr>
        <w:t>4.2.3 废弃土（石、渣、灰、矸石、尾矿）量</w:t>
      </w:r>
    </w:p>
    <w:p w14:paraId="378CCB2C">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本项目挖方总量为0.36万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auto"/>
          <w:kern w:val="0"/>
          <w:sz w:val="24"/>
          <w:szCs w:val="24"/>
          <w:lang w:val="en-US" w:eastAsia="zh-CN" w:bidi="ar"/>
        </w:rPr>
        <w:t>其中表土剥离0.02</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），填方总量为0.36万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auto"/>
          <w:kern w:val="0"/>
          <w:sz w:val="24"/>
          <w:szCs w:val="24"/>
          <w:lang w:val="en-US" w:eastAsia="zh-CN" w:bidi="ar"/>
        </w:rPr>
        <w:t>其中表土回覆0.02</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），无借方，无余方。</w:t>
      </w:r>
    </w:p>
    <w:p w14:paraId="30EED257">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eastAsia="zh-CN"/>
        </w:rPr>
      </w:pPr>
      <w:bookmarkStart w:id="132" w:name="_Toc25387"/>
      <w:r>
        <w:rPr>
          <w:rFonts w:hint="default" w:ascii="Times New Roman" w:hAnsi="Times New Roman" w:eastAsia="仿宋_GB2312" w:cs="Times New Roman"/>
          <w:b/>
          <w:bCs/>
          <w:color w:val="auto"/>
          <w:szCs w:val="24"/>
          <w:lang w:eastAsia="ar"/>
        </w:rPr>
        <w:t>4.</w:t>
      </w:r>
      <w:r>
        <w:rPr>
          <w:rFonts w:hint="default" w:ascii="Times New Roman" w:hAnsi="Times New Roman" w:cs="Times New Roman"/>
          <w:b/>
          <w:bCs/>
          <w:color w:val="auto"/>
          <w:szCs w:val="24"/>
          <w:lang w:val="en-US" w:eastAsia="zh-CN"/>
        </w:rPr>
        <w:t>3</w:t>
      </w:r>
      <w:r>
        <w:rPr>
          <w:rFonts w:hint="default" w:ascii="Times New Roman" w:hAnsi="Times New Roman" w:eastAsia="仿宋_GB2312" w:cs="Times New Roman"/>
          <w:b/>
          <w:bCs/>
          <w:color w:val="auto"/>
          <w:szCs w:val="24"/>
          <w:lang w:eastAsia="ar"/>
        </w:rPr>
        <w:t>土壤流失量</w:t>
      </w:r>
      <w:bookmarkEnd w:id="130"/>
      <w:bookmarkEnd w:id="131"/>
      <w:r>
        <w:rPr>
          <w:rFonts w:hint="default" w:ascii="Times New Roman" w:hAnsi="Times New Roman" w:eastAsia="仿宋_GB2312" w:cs="Times New Roman"/>
          <w:b/>
          <w:bCs/>
          <w:color w:val="auto"/>
          <w:szCs w:val="24"/>
          <w:lang w:eastAsia="zh-CN"/>
        </w:rPr>
        <w:t>调查</w:t>
      </w:r>
      <w:bookmarkEnd w:id="132"/>
    </w:p>
    <w:p w14:paraId="54E2BB84">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仿宋_GB2312" w:cs="Times New Roman"/>
          <w:color w:val="auto"/>
          <w:sz w:val="24"/>
          <w:szCs w:val="24"/>
        </w:rPr>
      </w:pPr>
      <w:bookmarkStart w:id="133" w:name="_Toc28064"/>
      <w:bookmarkStart w:id="134" w:name="_Toc22897"/>
      <w:bookmarkStart w:id="135" w:name="_Toc286912400"/>
      <w:bookmarkStart w:id="136" w:name="_Toc234919638"/>
      <w:bookmarkStart w:id="137" w:name="_Toc8687"/>
      <w:bookmarkStart w:id="138" w:name="_Toc216774876"/>
      <w:bookmarkStart w:id="139" w:name="_Toc216854025"/>
      <w:bookmarkStart w:id="140" w:name="_Toc23591"/>
      <w:r>
        <w:rPr>
          <w:rFonts w:hint="default" w:ascii="Times New Roman" w:hAnsi="Times New Roman" w:eastAsia="仿宋_GB2312" w:cs="Times New Roman"/>
          <w:color w:val="auto"/>
          <w:sz w:val="24"/>
          <w:szCs w:val="24"/>
        </w:rPr>
        <w:t>根据对项目区水土流失现状调查及项目建设对水土流失的相关性分析，如果不采取任何防护和治理措施，项目建设将加剧建设区水土流失。新增水土流失主要集中在项目建设期间；项目运行期无开挖等活动，不再增加新的水土流失，此时项目区的水土流失主要是建设期工程新增水土流失的延后和项目区原有水土流失的继续。</w:t>
      </w:r>
    </w:p>
    <w:p w14:paraId="4C65CDB8">
      <w:pPr>
        <w:pStyle w:val="4"/>
        <w:keepNext w:val="0"/>
        <w:keepLines w:val="0"/>
        <w:pageBreakBefore w:val="0"/>
        <w:widowControl w:val="0"/>
        <w:kinsoku/>
        <w:wordWrap/>
        <w:overflowPunct/>
        <w:topLinePunct w:val="0"/>
        <w:autoSpaceDE/>
        <w:autoSpaceDN/>
        <w:bidi w:val="0"/>
        <w:adjustRightInd/>
        <w:snapToGrid/>
        <w:spacing w:after="120" w:afterLines="50"/>
        <w:textAlignment w:val="auto"/>
        <w:rPr>
          <w:rFonts w:hint="default" w:ascii="Times New Roman" w:hAnsi="Times New Roman" w:eastAsia="仿宋_GB2312" w:cs="Times New Roman"/>
          <w:b/>
          <w:color w:val="auto"/>
          <w:szCs w:val="24"/>
          <w:lang w:eastAsia="zh-CN"/>
        </w:rPr>
      </w:pPr>
      <w:r>
        <w:rPr>
          <w:rFonts w:hint="default" w:ascii="Times New Roman" w:hAnsi="Times New Roman" w:eastAsia="仿宋_GB2312" w:cs="Times New Roman"/>
          <w:b/>
          <w:color w:val="auto"/>
          <w:szCs w:val="24"/>
        </w:rPr>
        <w:t>4.</w:t>
      </w:r>
      <w:r>
        <w:rPr>
          <w:rFonts w:hint="default" w:ascii="Times New Roman" w:hAnsi="Times New Roman" w:cs="Times New Roman"/>
          <w:b/>
          <w:color w:val="auto"/>
          <w:szCs w:val="24"/>
          <w:lang w:val="en-US" w:eastAsia="zh-CN"/>
        </w:rPr>
        <w:t>3</w:t>
      </w:r>
      <w:r>
        <w:rPr>
          <w:rFonts w:hint="default" w:ascii="Times New Roman" w:hAnsi="Times New Roman" w:eastAsia="仿宋_GB2312" w:cs="Times New Roman"/>
          <w:b/>
          <w:color w:val="auto"/>
          <w:szCs w:val="24"/>
        </w:rPr>
        <w:t>.1</w:t>
      </w:r>
      <w:r>
        <w:rPr>
          <w:rFonts w:hint="default" w:ascii="Times New Roman" w:hAnsi="Times New Roman" w:eastAsia="仿宋_GB2312" w:cs="Times New Roman"/>
          <w:b/>
          <w:color w:val="auto"/>
          <w:szCs w:val="24"/>
          <w:lang w:eastAsia="zh-CN"/>
        </w:rPr>
        <w:t>调查</w:t>
      </w:r>
      <w:bookmarkEnd w:id="133"/>
      <w:bookmarkEnd w:id="134"/>
      <w:bookmarkEnd w:id="135"/>
      <w:bookmarkEnd w:id="136"/>
      <w:bookmarkEnd w:id="137"/>
      <w:bookmarkEnd w:id="138"/>
      <w:bookmarkEnd w:id="139"/>
      <w:bookmarkEnd w:id="140"/>
      <w:r>
        <w:rPr>
          <w:rFonts w:hint="default" w:ascii="Times New Roman" w:hAnsi="Times New Roman" w:eastAsia="仿宋_GB2312" w:cs="Times New Roman"/>
          <w:b/>
          <w:color w:val="auto"/>
          <w:szCs w:val="24"/>
          <w:lang w:eastAsia="zh-CN"/>
        </w:rPr>
        <w:t>单元划分</w:t>
      </w:r>
    </w:p>
    <w:p w14:paraId="6A1D20C4">
      <w:pPr>
        <w:widowControl/>
        <w:spacing w:line="360" w:lineRule="auto"/>
        <w:jc w:val="left"/>
        <w:rPr>
          <w:rFonts w:hint="default" w:ascii="Times New Roman" w:hAnsi="Times New Roman" w:eastAsia="仿宋_GB2312" w:cs="Times New Roman"/>
          <w:b/>
          <w:color w:val="auto"/>
          <w:sz w:val="24"/>
          <w:lang w:val="en-US" w:eastAsia="zh-CN"/>
        </w:rPr>
      </w:pPr>
      <w:r>
        <w:rPr>
          <w:rFonts w:hint="default" w:ascii="Times New Roman" w:hAnsi="Times New Roman" w:eastAsia="仿宋_GB2312" w:cs="Times New Roman"/>
          <w:b/>
          <w:color w:val="auto"/>
          <w:sz w:val="24"/>
        </w:rPr>
        <w:t xml:space="preserve"> </w:t>
      </w:r>
      <w:r>
        <w:rPr>
          <w:rFonts w:hint="default" w:ascii="Times New Roman" w:hAnsi="Times New Roman" w:eastAsia="仿宋_GB2312" w:cs="Times New Roman"/>
          <w:b/>
          <w:color w:val="auto"/>
          <w:sz w:val="24"/>
          <w:lang w:val="en-US" w:eastAsia="zh-CN"/>
        </w:rPr>
        <w:t xml:space="preserve">  </w:t>
      </w:r>
      <w:r>
        <w:rPr>
          <w:rFonts w:hint="default" w:ascii="Times New Roman" w:hAnsi="Times New Roman" w:eastAsia="仿宋_GB2312" w:cs="Times New Roman"/>
          <w:b w:val="0"/>
          <w:bCs/>
          <w:color w:val="auto"/>
          <w:sz w:val="24"/>
          <w:lang w:val="en-US" w:eastAsia="zh-CN"/>
        </w:rPr>
        <w:t xml:space="preserve"> </w:t>
      </w:r>
      <w:r>
        <w:rPr>
          <w:rFonts w:hint="default" w:ascii="Times New Roman" w:hAnsi="Times New Roman" w:eastAsia="仿宋_GB2312" w:cs="Times New Roman"/>
          <w:b w:val="0"/>
          <w:bCs/>
          <w:color w:val="auto"/>
          <w:sz w:val="24"/>
        </w:rPr>
        <w:t>1、</w:t>
      </w:r>
      <w:r>
        <w:rPr>
          <w:rFonts w:hint="default" w:ascii="Times New Roman" w:hAnsi="Times New Roman" w:eastAsia="仿宋_GB2312" w:cs="Times New Roman"/>
          <w:b w:val="0"/>
          <w:bCs/>
          <w:color w:val="auto"/>
          <w:sz w:val="24"/>
          <w:lang w:val="en-US" w:eastAsia="zh-CN"/>
        </w:rPr>
        <w:t>施工期</w:t>
      </w:r>
    </w:p>
    <w:p w14:paraId="360850A4">
      <w:pPr>
        <w:adjustRightInd w:val="0"/>
        <w:snapToGrid w:val="0"/>
        <w:spacing w:line="360" w:lineRule="auto"/>
        <w:ind w:firstLine="480" w:firstLineChars="200"/>
        <w:rPr>
          <w:rFonts w:hint="default" w:ascii="Times New Roman" w:hAnsi="Times New Roman" w:eastAsia="仿宋_GB2312" w:cs="Times New Roman"/>
          <w:kern w:val="0"/>
          <w:sz w:val="24"/>
          <w:szCs w:val="22"/>
          <w:lang w:val="en-US" w:eastAsia="zh-CN"/>
        </w:rPr>
      </w:pPr>
      <w:r>
        <w:rPr>
          <w:rFonts w:hint="default" w:ascii="Times New Roman" w:hAnsi="Times New Roman" w:eastAsia="仿宋_GB2312" w:cs="Times New Roman"/>
          <w:sz w:val="24"/>
          <w:szCs w:val="24"/>
        </w:rPr>
        <w:t>本方案对</w:t>
      </w:r>
      <w:r>
        <w:rPr>
          <w:rFonts w:hint="default" w:ascii="Times New Roman" w:hAnsi="Times New Roman" w:eastAsia="仿宋_GB2312" w:cs="Times New Roman"/>
          <w:sz w:val="24"/>
          <w:szCs w:val="24"/>
          <w:lang w:val="en-US" w:eastAsia="zh-CN"/>
        </w:rPr>
        <w:t>施工期</w:t>
      </w:r>
      <w:r>
        <w:rPr>
          <w:rFonts w:hint="default" w:ascii="Times New Roman" w:hAnsi="Times New Roman" w:eastAsia="仿宋_GB2312" w:cs="Times New Roman"/>
          <w:sz w:val="24"/>
          <w:szCs w:val="24"/>
        </w:rPr>
        <w:t>采取水土流失回顾调查，调查单元</w:t>
      </w:r>
      <w:r>
        <w:rPr>
          <w:rFonts w:hint="default" w:ascii="Times New Roman" w:hAnsi="Times New Roman" w:eastAsia="仿宋_GB2312" w:cs="Times New Roman"/>
          <w:kern w:val="0"/>
          <w:sz w:val="24"/>
          <w:szCs w:val="22"/>
        </w:rPr>
        <w:t>划分为</w:t>
      </w:r>
      <w:r>
        <w:rPr>
          <w:rFonts w:hint="default" w:ascii="Times New Roman" w:hAnsi="Times New Roman" w:eastAsia="仿宋_GB2312" w:cs="Times New Roman"/>
          <w:kern w:val="0"/>
          <w:sz w:val="24"/>
          <w:szCs w:val="22"/>
          <w:lang w:val="en-US" w:eastAsia="zh-CN"/>
        </w:rPr>
        <w:t>3</w:t>
      </w:r>
      <w:r>
        <w:rPr>
          <w:rFonts w:hint="default" w:ascii="Times New Roman" w:hAnsi="Times New Roman" w:eastAsia="仿宋_GB2312" w:cs="Times New Roman"/>
          <w:kern w:val="0"/>
          <w:sz w:val="24"/>
          <w:szCs w:val="22"/>
        </w:rPr>
        <w:t>个调查单元：</w:t>
      </w:r>
      <w:r>
        <w:rPr>
          <w:rFonts w:hint="default" w:ascii="Times New Roman" w:hAnsi="Times New Roman" w:eastAsia="仿宋_GB2312" w:cs="Times New Roman"/>
          <w:kern w:val="0"/>
          <w:sz w:val="24"/>
          <w:szCs w:val="22"/>
          <w:lang w:eastAsia="zh-CN"/>
        </w:rPr>
        <w:t>建构筑物</w:t>
      </w:r>
      <w:r>
        <w:rPr>
          <w:rFonts w:hint="default" w:ascii="Times New Roman" w:hAnsi="Times New Roman" w:eastAsia="仿宋_GB2312" w:cs="Times New Roman"/>
          <w:kern w:val="0"/>
          <w:sz w:val="24"/>
          <w:szCs w:val="22"/>
        </w:rPr>
        <w:t>工程</w:t>
      </w:r>
      <w:r>
        <w:rPr>
          <w:rFonts w:hint="default" w:ascii="Times New Roman" w:hAnsi="Times New Roman" w:eastAsia="仿宋_GB2312" w:cs="Times New Roman"/>
          <w:kern w:val="0"/>
          <w:sz w:val="24"/>
          <w:szCs w:val="22"/>
          <w:lang w:val="en-US" w:eastAsia="zh-CN"/>
        </w:rPr>
        <w:t>单元</w:t>
      </w:r>
      <w:r>
        <w:rPr>
          <w:rFonts w:hint="default" w:ascii="Times New Roman" w:hAnsi="Times New Roman" w:eastAsia="仿宋_GB2312" w:cs="Times New Roman"/>
          <w:kern w:val="0"/>
          <w:sz w:val="24"/>
          <w:szCs w:val="22"/>
          <w:lang w:eastAsia="zh-CN"/>
        </w:rPr>
        <w:t>、硬化工程</w:t>
      </w:r>
      <w:r>
        <w:rPr>
          <w:rFonts w:hint="default" w:ascii="Times New Roman" w:hAnsi="Times New Roman" w:eastAsia="仿宋_GB2312" w:cs="Times New Roman"/>
          <w:kern w:val="0"/>
          <w:sz w:val="24"/>
          <w:szCs w:val="22"/>
          <w:lang w:val="en-US" w:eastAsia="zh-CN"/>
        </w:rPr>
        <w:t>单元</w:t>
      </w:r>
      <w:r>
        <w:rPr>
          <w:rFonts w:hint="default" w:ascii="Times New Roman" w:hAnsi="Times New Roman" w:eastAsia="仿宋_GB2312" w:cs="Times New Roman"/>
          <w:kern w:val="0"/>
          <w:sz w:val="24"/>
          <w:szCs w:val="22"/>
          <w:lang w:eastAsia="zh-CN"/>
        </w:rPr>
        <w:t>、绿化工程区</w:t>
      </w:r>
      <w:r>
        <w:rPr>
          <w:rFonts w:hint="default" w:ascii="Times New Roman" w:hAnsi="Times New Roman" w:eastAsia="仿宋_GB2312" w:cs="Times New Roman"/>
          <w:kern w:val="0"/>
          <w:sz w:val="24"/>
          <w:szCs w:val="22"/>
          <w:lang w:val="en-US" w:eastAsia="zh-CN"/>
        </w:rPr>
        <w:t>单元</w:t>
      </w:r>
      <w:r>
        <w:rPr>
          <w:rFonts w:hint="default" w:ascii="Times New Roman" w:hAnsi="Times New Roman" w:eastAsia="仿宋_GB2312" w:cs="Times New Roman"/>
          <w:sz w:val="24"/>
          <w:szCs w:val="24"/>
        </w:rPr>
        <w:t>。</w:t>
      </w:r>
      <w:r>
        <w:rPr>
          <w:rFonts w:hint="default" w:ascii="Times New Roman" w:hAnsi="Times New Roman" w:eastAsia="仿宋_GB2312" w:cs="Times New Roman"/>
          <w:kern w:val="0"/>
          <w:sz w:val="24"/>
          <w:szCs w:val="22"/>
        </w:rPr>
        <w:t>根据扰动方式、扰动后地表的物质组成、气象特征等相近的</w:t>
      </w:r>
      <w:r>
        <w:rPr>
          <w:rFonts w:hint="default" w:ascii="Times New Roman" w:hAnsi="Times New Roman" w:eastAsia="仿宋_GB2312" w:cs="Times New Roman"/>
          <w:kern w:val="0"/>
          <w:sz w:val="24"/>
          <w:szCs w:val="24"/>
        </w:rPr>
        <w:t>原则划分</w:t>
      </w:r>
      <w:r>
        <w:rPr>
          <w:rFonts w:hint="default" w:ascii="Times New Roman" w:hAnsi="Times New Roman" w:eastAsia="仿宋_GB2312" w:cs="Times New Roman"/>
          <w:kern w:val="0"/>
          <w:sz w:val="24"/>
          <w:szCs w:val="24"/>
          <w:lang w:eastAsia="zh-CN"/>
        </w:rPr>
        <w:t>为</w:t>
      </w:r>
      <w:r>
        <w:rPr>
          <w:rFonts w:hint="default" w:ascii="Times New Roman" w:hAnsi="Times New Roman" w:eastAsia="仿宋_GB2312" w:cs="Times New Roman"/>
          <w:color w:val="auto"/>
          <w:kern w:val="0"/>
          <w:sz w:val="24"/>
          <w:szCs w:val="24"/>
          <w:highlight w:val="none"/>
          <w:lang w:val="en-US" w:eastAsia="zh-CN"/>
        </w:rPr>
        <w:t>工程开挖面1</w:t>
      </w:r>
      <w:r>
        <w:rPr>
          <w:rFonts w:hint="default" w:ascii="Times New Roman" w:hAnsi="Times New Roman" w:eastAsia="仿宋_GB2312" w:cs="Times New Roman"/>
          <w:kern w:val="0"/>
          <w:sz w:val="24"/>
          <w:szCs w:val="24"/>
        </w:rPr>
        <w:t>个</w:t>
      </w:r>
      <w:r>
        <w:rPr>
          <w:rFonts w:hint="default" w:ascii="Times New Roman" w:hAnsi="Times New Roman" w:eastAsia="仿宋_GB2312" w:cs="Times New Roman"/>
          <w:kern w:val="0"/>
          <w:sz w:val="24"/>
          <w:szCs w:val="22"/>
        </w:rPr>
        <w:t>二级</w:t>
      </w:r>
      <w:r>
        <w:rPr>
          <w:rFonts w:hint="default" w:ascii="Times New Roman" w:hAnsi="Times New Roman" w:eastAsia="仿宋_GB2312" w:cs="Times New Roman"/>
          <w:kern w:val="0"/>
          <w:sz w:val="24"/>
          <w:szCs w:val="22"/>
          <w:lang w:val="en-US" w:eastAsia="zh-CN"/>
        </w:rPr>
        <w:t>调查</w:t>
      </w:r>
      <w:r>
        <w:rPr>
          <w:rFonts w:hint="default" w:ascii="Times New Roman" w:hAnsi="Times New Roman" w:eastAsia="仿宋_GB2312" w:cs="Times New Roman"/>
          <w:kern w:val="0"/>
          <w:sz w:val="24"/>
          <w:szCs w:val="22"/>
        </w:rPr>
        <w:t>单元。</w:t>
      </w:r>
      <w:r>
        <w:rPr>
          <w:rFonts w:hint="default" w:ascii="Times New Roman" w:hAnsi="Times New Roman" w:eastAsia="仿宋_GB2312" w:cs="Times New Roman"/>
          <w:sz w:val="24"/>
          <w:szCs w:val="24"/>
        </w:rPr>
        <w:t>施工期调查范围面积为</w:t>
      </w:r>
      <w:r>
        <w:rPr>
          <w:rFonts w:hint="default" w:ascii="Times New Roman" w:hAnsi="Times New Roman" w:eastAsia="仿宋_GB2312" w:cs="Times New Roman"/>
          <w:sz w:val="24"/>
          <w:szCs w:val="24"/>
          <w:lang w:val="en-US" w:eastAsia="zh-CN"/>
        </w:rPr>
        <w:t>0.33</w:t>
      </w:r>
      <w:r>
        <w:rPr>
          <w:rFonts w:hint="default" w:ascii="Times New Roman" w:hAnsi="Times New Roman" w:eastAsia="仿宋_GB2312" w:cs="Times New Roman"/>
          <w:sz w:val="24"/>
          <w:szCs w:val="24"/>
        </w:rPr>
        <w:t>hm</w:t>
      </w:r>
      <w:r>
        <w:rPr>
          <w:rFonts w:hint="default" w:ascii="Times New Roman" w:hAnsi="Times New Roman" w:eastAsia="仿宋_GB2312" w:cs="Times New Roman"/>
          <w:sz w:val="24"/>
          <w:szCs w:val="24"/>
          <w:vertAlign w:val="superscript"/>
        </w:rPr>
        <w:t>2</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ab/>
      </w:r>
    </w:p>
    <w:p w14:paraId="413B0E7F">
      <w:pPr>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b w:val="0"/>
          <w:bCs/>
          <w:color w:val="auto"/>
          <w:sz w:val="24"/>
          <w:lang w:val="en-US" w:eastAsia="zh-CN"/>
        </w:rPr>
        <w:t>2、</w:t>
      </w:r>
      <w:r>
        <w:rPr>
          <w:rFonts w:hint="default" w:ascii="Times New Roman" w:hAnsi="Times New Roman" w:eastAsia="仿宋_GB2312" w:cs="Times New Roman"/>
          <w:color w:val="auto"/>
          <w:sz w:val="24"/>
          <w:szCs w:val="24"/>
          <w:lang w:val="en-US" w:eastAsia="zh-CN"/>
        </w:rPr>
        <w:t>自然恢复期</w:t>
      </w:r>
    </w:p>
    <w:p w14:paraId="7C06C08E">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szCs w:val="24"/>
        </w:rPr>
        <w:t>本方案对</w:t>
      </w:r>
      <w:r>
        <w:rPr>
          <w:rFonts w:hint="default" w:ascii="Times New Roman" w:hAnsi="Times New Roman" w:eastAsia="仿宋_GB2312" w:cs="Times New Roman"/>
          <w:color w:val="auto"/>
          <w:sz w:val="24"/>
          <w:szCs w:val="24"/>
          <w:lang w:val="en-US" w:eastAsia="zh-CN"/>
        </w:rPr>
        <w:t>自然恢复期</w:t>
      </w:r>
      <w:r>
        <w:rPr>
          <w:rFonts w:hint="default" w:ascii="Times New Roman" w:hAnsi="Times New Roman" w:eastAsia="仿宋_GB2312" w:cs="Times New Roman"/>
          <w:color w:val="auto"/>
          <w:sz w:val="24"/>
          <w:szCs w:val="24"/>
        </w:rPr>
        <w:t>采取水土流失</w:t>
      </w:r>
      <w:r>
        <w:rPr>
          <w:rFonts w:hint="default" w:ascii="Times New Roman" w:hAnsi="Times New Roman" w:eastAsia="仿宋_GB2312" w:cs="Times New Roman"/>
          <w:color w:val="auto"/>
          <w:sz w:val="24"/>
          <w:szCs w:val="24"/>
          <w:lang w:val="en-US" w:eastAsia="zh-CN"/>
        </w:rPr>
        <w:t>调查</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kern w:val="0"/>
          <w:sz w:val="24"/>
          <w:szCs w:val="22"/>
        </w:rPr>
        <w:t>划分为</w:t>
      </w:r>
      <w:r>
        <w:rPr>
          <w:rFonts w:hint="default" w:ascii="Times New Roman" w:hAnsi="Times New Roman" w:eastAsia="仿宋_GB2312" w:cs="Times New Roman"/>
          <w:color w:val="auto"/>
          <w:kern w:val="0"/>
          <w:sz w:val="24"/>
          <w:szCs w:val="22"/>
          <w:lang w:val="en-US" w:eastAsia="zh-CN"/>
        </w:rPr>
        <w:t>1</w:t>
      </w:r>
      <w:r>
        <w:rPr>
          <w:rFonts w:hint="default" w:ascii="Times New Roman" w:hAnsi="Times New Roman" w:eastAsia="仿宋_GB2312" w:cs="Times New Roman"/>
          <w:color w:val="auto"/>
          <w:kern w:val="0"/>
          <w:sz w:val="24"/>
          <w:szCs w:val="22"/>
        </w:rPr>
        <w:t>个</w:t>
      </w:r>
      <w:r>
        <w:rPr>
          <w:rFonts w:hint="default" w:ascii="Times New Roman" w:hAnsi="Times New Roman" w:eastAsia="仿宋_GB2312" w:cs="Times New Roman"/>
          <w:color w:val="auto"/>
          <w:kern w:val="0"/>
          <w:sz w:val="24"/>
          <w:szCs w:val="22"/>
          <w:lang w:val="en-US" w:eastAsia="zh-CN"/>
        </w:rPr>
        <w:t>调查</w:t>
      </w:r>
      <w:r>
        <w:rPr>
          <w:rFonts w:hint="default" w:ascii="Times New Roman" w:hAnsi="Times New Roman" w:eastAsia="仿宋_GB2312" w:cs="Times New Roman"/>
          <w:color w:val="auto"/>
          <w:kern w:val="0"/>
          <w:sz w:val="24"/>
          <w:szCs w:val="22"/>
        </w:rPr>
        <w:t>单元：</w:t>
      </w:r>
      <w:r>
        <w:rPr>
          <w:rFonts w:hint="default" w:ascii="Times New Roman" w:hAnsi="Times New Roman" w:eastAsia="仿宋_GB2312" w:cs="Times New Roman"/>
          <w:kern w:val="0"/>
          <w:sz w:val="24"/>
          <w:szCs w:val="22"/>
          <w:lang w:eastAsia="zh-CN"/>
        </w:rPr>
        <w:t>绿化工程</w:t>
      </w:r>
      <w:r>
        <w:rPr>
          <w:rFonts w:hint="default" w:ascii="Times New Roman" w:hAnsi="Times New Roman" w:eastAsia="仿宋_GB2312" w:cs="Times New Roman"/>
          <w:kern w:val="0"/>
          <w:sz w:val="24"/>
          <w:szCs w:val="22"/>
          <w:lang w:val="en-US" w:eastAsia="zh-CN"/>
        </w:rPr>
        <w:t>单元</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根据现场调查，现阶段表土已全部回覆，故本次水土流失预测仅针对</w:t>
      </w:r>
      <w:r>
        <w:rPr>
          <w:rFonts w:hint="default" w:ascii="Times New Roman" w:hAnsi="Times New Roman" w:eastAsia="仿宋_GB2312" w:cs="Times New Roman"/>
          <w:kern w:val="0"/>
          <w:sz w:val="24"/>
          <w:szCs w:val="22"/>
          <w:lang w:eastAsia="zh-CN"/>
        </w:rPr>
        <w:t>绿化工程</w:t>
      </w:r>
      <w:r>
        <w:rPr>
          <w:rFonts w:hint="default" w:ascii="Times New Roman" w:hAnsi="Times New Roman" w:eastAsia="仿宋_GB2312" w:cs="Times New Roman"/>
          <w:kern w:val="0"/>
          <w:sz w:val="24"/>
          <w:szCs w:val="22"/>
          <w:lang w:val="en-US" w:eastAsia="zh-CN"/>
        </w:rPr>
        <w:t>单元</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kern w:val="0"/>
          <w:sz w:val="24"/>
          <w:szCs w:val="22"/>
        </w:rPr>
        <w:t>根据扰动方式、扰动后地表的物质组成、气象特征等相近的原则划分</w:t>
      </w:r>
      <w:r>
        <w:rPr>
          <w:rFonts w:hint="default" w:ascii="Times New Roman" w:hAnsi="Times New Roman" w:eastAsia="仿宋_GB2312" w:cs="Times New Roman"/>
          <w:color w:val="auto"/>
          <w:kern w:val="0"/>
          <w:sz w:val="24"/>
          <w:szCs w:val="22"/>
          <w:lang w:val="en-US" w:eastAsia="zh-CN"/>
        </w:rPr>
        <w:t>一般扰动地表</w:t>
      </w:r>
      <w:r>
        <w:rPr>
          <w:rFonts w:hint="default" w:ascii="Times New Roman" w:hAnsi="Times New Roman" w:eastAsia="仿宋_GB2312" w:cs="Times New Roman"/>
          <w:color w:val="auto"/>
          <w:kern w:val="0"/>
          <w:sz w:val="24"/>
          <w:szCs w:val="22"/>
        </w:rPr>
        <w:t>1个二级预测单元。</w:t>
      </w:r>
      <w:r>
        <w:rPr>
          <w:rFonts w:hint="default" w:ascii="Times New Roman" w:hAnsi="Times New Roman" w:eastAsia="仿宋_GB2312" w:cs="Times New Roman"/>
          <w:color w:val="auto"/>
          <w:sz w:val="24"/>
          <w:szCs w:val="24"/>
          <w:lang w:eastAsia="zh-CN"/>
        </w:rPr>
        <w:t>自然恢复</w:t>
      </w:r>
      <w:r>
        <w:rPr>
          <w:rFonts w:hint="default" w:ascii="Times New Roman" w:hAnsi="Times New Roman" w:eastAsia="仿宋_GB2312" w:cs="Times New Roman"/>
          <w:color w:val="auto"/>
          <w:sz w:val="24"/>
          <w:szCs w:val="24"/>
        </w:rPr>
        <w:t>期预测范围面积为</w:t>
      </w:r>
      <w:r>
        <w:rPr>
          <w:rFonts w:hint="default" w:ascii="Times New Roman" w:hAnsi="Times New Roman" w:eastAsia="仿宋_GB2312" w:cs="Times New Roman"/>
          <w:color w:val="auto"/>
          <w:sz w:val="24"/>
          <w:szCs w:val="24"/>
          <w:lang w:val="en-US" w:eastAsia="zh-CN"/>
        </w:rPr>
        <w:t>0.12</w:t>
      </w:r>
      <w:r>
        <w:rPr>
          <w:rFonts w:hint="default" w:ascii="Times New Roman" w:hAnsi="Times New Roman" w:eastAsia="仿宋_GB2312" w:cs="Times New Roman"/>
          <w:color w:val="auto"/>
          <w:sz w:val="24"/>
          <w:szCs w:val="24"/>
        </w:rPr>
        <w:t>hm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w:t>
      </w:r>
    </w:p>
    <w:p w14:paraId="1234CB39">
      <w:pPr>
        <w:pStyle w:val="4"/>
        <w:widowControl/>
        <w:spacing w:after="120" w:afterLines="50"/>
        <w:rPr>
          <w:rFonts w:hint="default" w:ascii="Times New Roman" w:hAnsi="Times New Roman" w:eastAsia="仿宋_GB2312" w:cs="Times New Roman"/>
          <w:b/>
          <w:color w:val="auto"/>
          <w:szCs w:val="24"/>
          <w:lang w:eastAsia="zh-CN"/>
        </w:rPr>
      </w:pPr>
      <w:r>
        <w:rPr>
          <w:rFonts w:hint="default" w:ascii="Times New Roman" w:hAnsi="Times New Roman" w:eastAsia="仿宋_GB2312" w:cs="Times New Roman"/>
          <w:b/>
          <w:color w:val="auto"/>
          <w:szCs w:val="24"/>
        </w:rPr>
        <w:t>4.</w:t>
      </w:r>
      <w:r>
        <w:rPr>
          <w:rFonts w:hint="default" w:ascii="Times New Roman" w:hAnsi="Times New Roman" w:cs="Times New Roman"/>
          <w:b/>
          <w:color w:val="auto"/>
          <w:szCs w:val="24"/>
          <w:lang w:val="en-US" w:eastAsia="zh-CN"/>
        </w:rPr>
        <w:t>3</w:t>
      </w:r>
      <w:r>
        <w:rPr>
          <w:rFonts w:hint="default" w:ascii="Times New Roman" w:hAnsi="Times New Roman" w:eastAsia="仿宋_GB2312" w:cs="Times New Roman"/>
          <w:b/>
          <w:color w:val="auto"/>
          <w:szCs w:val="24"/>
        </w:rPr>
        <w:t>.</w:t>
      </w:r>
      <w:r>
        <w:rPr>
          <w:rFonts w:hint="default" w:ascii="Times New Roman" w:hAnsi="Times New Roman" w:eastAsia="仿宋_GB2312" w:cs="Times New Roman"/>
          <w:b/>
          <w:color w:val="auto"/>
          <w:szCs w:val="24"/>
          <w:lang w:val="en-US" w:eastAsia="zh-CN"/>
        </w:rPr>
        <w:t>2</w:t>
      </w:r>
      <w:r>
        <w:rPr>
          <w:rFonts w:hint="default" w:ascii="Times New Roman" w:hAnsi="Times New Roman" w:eastAsia="仿宋_GB2312" w:cs="Times New Roman"/>
          <w:b/>
          <w:color w:val="auto"/>
          <w:szCs w:val="24"/>
          <w:lang w:eastAsia="zh-CN"/>
        </w:rPr>
        <w:t>调查时段</w:t>
      </w:r>
    </w:p>
    <w:p w14:paraId="42B0DCA7">
      <w:pPr>
        <w:spacing w:line="360" w:lineRule="auto"/>
        <w:ind w:firstLine="480" w:firstLineChars="200"/>
        <w:rPr>
          <w:rFonts w:hint="default" w:ascii="Times New Roman" w:hAnsi="Times New Roman" w:eastAsia="仿宋_GB2312" w:cs="Times New Roman"/>
          <w:color w:val="auto"/>
          <w:kern w:val="0"/>
          <w:sz w:val="24"/>
          <w:szCs w:val="22"/>
        </w:rPr>
      </w:pPr>
      <w:r>
        <w:rPr>
          <w:rFonts w:hint="default" w:ascii="Times New Roman" w:hAnsi="Times New Roman" w:eastAsia="仿宋_GB2312" w:cs="Times New Roman"/>
          <w:color w:val="auto"/>
          <w:sz w:val="24"/>
          <w:szCs w:val="24"/>
        </w:rPr>
        <w:t>根据</w:t>
      </w:r>
      <w:r>
        <w:rPr>
          <w:rFonts w:hint="default" w:ascii="Times New Roman" w:hAnsi="Times New Roman" w:eastAsia="仿宋_GB2312" w:cs="Times New Roman"/>
          <w:color w:val="auto"/>
          <w:sz w:val="24"/>
          <w:szCs w:val="24"/>
          <w:lang w:eastAsia="zh-CN"/>
        </w:rPr>
        <w:t>现场踏勘及查阅施工资料</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b w:val="0"/>
          <w:bCs w:val="0"/>
          <w:color w:val="auto"/>
          <w:kern w:val="2"/>
          <w:sz w:val="24"/>
          <w:szCs w:val="24"/>
          <w:lang w:val="en-US" w:eastAsia="zh-CN" w:bidi="ar"/>
        </w:rPr>
        <w:t>本项目已于</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2022年7月开工建设，2023年8月竣工</w:t>
      </w:r>
      <w:r>
        <w:rPr>
          <w:rFonts w:hint="default" w:ascii="Times New Roman" w:hAnsi="Times New Roman" w:eastAsia="仿宋_GB2312" w:cs="Times New Roman"/>
          <w:color w:val="auto"/>
          <w:sz w:val="24"/>
          <w:szCs w:val="24"/>
        </w:rPr>
        <w:t>。由于施工准备期较短，本项目将施工准备期和施工期合并为一个时段，水土流失分为施工期（含施工准备期）和自然恢复期两个时段。按照《开发建设项目水土保持技术规范》（GB50433-2008）中水土流失预测的要求，根据各单元的施工扰动时间，结合产生水土流失的季节，按最不利的条件确定。</w:t>
      </w:r>
    </w:p>
    <w:p w14:paraId="5791160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jc w:val="both"/>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w:t>
      </w:r>
      <w:r>
        <w:rPr>
          <w:rFonts w:hint="default" w:ascii="Times New Roman" w:hAnsi="Times New Roman" w:eastAsia="仿宋_GB2312" w:cs="Times New Roman"/>
          <w:color w:val="auto"/>
          <w:sz w:val="24"/>
          <w:szCs w:val="24"/>
          <w:highlight w:val="none"/>
          <w:lang w:val="en-US" w:eastAsia="zh-CN"/>
        </w:rPr>
        <w:t>施工期</w:t>
      </w:r>
    </w:p>
    <w:p w14:paraId="41B5788B">
      <w:pPr>
        <w:spacing w:line="360" w:lineRule="auto"/>
        <w:ind w:firstLine="480" w:firstLineChars="20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本项目</w:t>
      </w:r>
      <w:r>
        <w:rPr>
          <w:rFonts w:hint="default" w:ascii="Times New Roman" w:hAnsi="Times New Roman" w:eastAsia="仿宋_GB2312" w:cs="Times New Roman"/>
          <w:color w:val="auto"/>
          <w:sz w:val="24"/>
          <w:szCs w:val="24"/>
          <w:highlight w:val="none"/>
          <w:lang w:val="en-US" w:eastAsia="zh-CN"/>
        </w:rPr>
        <w:t>施工期调查时段</w:t>
      </w:r>
      <w:r>
        <w:rPr>
          <w:rFonts w:hint="default" w:ascii="Times New Roman" w:hAnsi="Times New Roman" w:eastAsia="仿宋_GB2312" w:cs="Times New Roman"/>
          <w:color w:val="auto"/>
          <w:sz w:val="24"/>
          <w:szCs w:val="24"/>
          <w:highlight w:val="none"/>
        </w:rPr>
        <w:t>为202</w:t>
      </w:r>
      <w:r>
        <w:rPr>
          <w:rFonts w:hint="default" w:ascii="Times New Roman" w:hAnsi="Times New Roman"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rPr>
        <w:t>年</w:t>
      </w:r>
      <w:r>
        <w:rPr>
          <w:rFonts w:hint="default" w:ascii="Times New Roman" w:hAnsi="Times New Roman" w:eastAsia="仿宋_GB2312" w:cs="Times New Roman"/>
          <w:color w:val="auto"/>
          <w:sz w:val="24"/>
          <w:szCs w:val="24"/>
          <w:highlight w:val="none"/>
          <w:lang w:val="en-US" w:eastAsia="zh-CN"/>
        </w:rPr>
        <w:t>7</w:t>
      </w:r>
      <w:r>
        <w:rPr>
          <w:rFonts w:hint="default" w:ascii="Times New Roman" w:hAnsi="Times New Roman" w:eastAsia="仿宋_GB2312" w:cs="Times New Roman"/>
          <w:color w:val="auto"/>
          <w:sz w:val="24"/>
          <w:szCs w:val="24"/>
          <w:highlight w:val="none"/>
        </w:rPr>
        <w:t>月~202</w:t>
      </w:r>
      <w:r>
        <w:rPr>
          <w:rFonts w:hint="default" w:ascii="Times New Roman" w:hAnsi="Times New Roman" w:eastAsia="仿宋_GB2312" w:cs="Times New Roman"/>
          <w:color w:val="auto"/>
          <w:sz w:val="24"/>
          <w:szCs w:val="24"/>
          <w:highlight w:val="none"/>
          <w:lang w:val="en-US" w:eastAsia="zh-CN"/>
        </w:rPr>
        <w:t>3</w:t>
      </w:r>
      <w:r>
        <w:rPr>
          <w:rFonts w:hint="default" w:ascii="Times New Roman" w:hAnsi="Times New Roman" w:eastAsia="仿宋_GB2312" w:cs="Times New Roman"/>
          <w:color w:val="auto"/>
          <w:sz w:val="24"/>
          <w:szCs w:val="24"/>
          <w:highlight w:val="none"/>
        </w:rPr>
        <w:t>年</w:t>
      </w:r>
      <w:r>
        <w:rPr>
          <w:rFonts w:hint="default" w:ascii="Times New Roman" w:hAnsi="Times New Roman" w:eastAsia="仿宋_GB2312" w:cs="Times New Roman"/>
          <w:color w:val="auto"/>
          <w:sz w:val="24"/>
          <w:szCs w:val="24"/>
          <w:highlight w:val="none"/>
          <w:lang w:val="en-US" w:eastAsia="zh-CN"/>
        </w:rPr>
        <w:t>8</w:t>
      </w:r>
      <w:r>
        <w:rPr>
          <w:rFonts w:hint="default" w:ascii="Times New Roman" w:hAnsi="Times New Roman" w:eastAsia="仿宋_GB2312" w:cs="Times New Roman"/>
          <w:color w:val="auto"/>
          <w:sz w:val="24"/>
          <w:szCs w:val="24"/>
          <w:highlight w:val="none"/>
        </w:rPr>
        <w:t>月，共计</w:t>
      </w:r>
      <w:r>
        <w:rPr>
          <w:rFonts w:hint="default" w:ascii="Times New Roman" w:hAnsi="Times New Roman" w:eastAsia="仿宋_GB2312" w:cs="Times New Roman"/>
          <w:color w:val="auto"/>
          <w:sz w:val="24"/>
          <w:szCs w:val="24"/>
          <w:highlight w:val="none"/>
          <w:lang w:val="en-US" w:eastAsia="zh-CN"/>
        </w:rPr>
        <w:t>14</w:t>
      </w:r>
      <w:r>
        <w:rPr>
          <w:rFonts w:hint="default" w:ascii="Times New Roman" w:hAnsi="Times New Roman" w:eastAsia="仿宋_GB2312" w:cs="Times New Roman"/>
          <w:color w:val="auto"/>
          <w:sz w:val="24"/>
          <w:szCs w:val="24"/>
          <w:highlight w:val="none"/>
        </w:rPr>
        <w:t>个月，</w:t>
      </w:r>
      <w:r>
        <w:rPr>
          <w:rFonts w:hint="default" w:ascii="Times New Roman" w:hAnsi="Times New Roman" w:eastAsia="仿宋_GB2312" w:cs="Times New Roman"/>
          <w:color w:val="auto"/>
          <w:sz w:val="24"/>
          <w:szCs w:val="24"/>
          <w:highlight w:val="none"/>
          <w:lang w:eastAsia="zh-CN"/>
        </w:rPr>
        <w:t>根据《生产建设项目水土保持技术标准》</w:t>
      </w:r>
      <w:r>
        <w:rPr>
          <w:rFonts w:hint="default" w:ascii="Times New Roman" w:hAnsi="Times New Roman" w:eastAsia="仿宋_GB2312" w:cs="Times New Roman"/>
          <w:color w:val="auto"/>
          <w:sz w:val="24"/>
          <w:szCs w:val="24"/>
          <w:highlight w:val="none"/>
          <w:lang w:val="en-US" w:eastAsia="zh-CN"/>
        </w:rPr>
        <w:t>GB50433-2018，施工期预测时间应按连续12个月为一年计，不足12个月，但到达一个雨（风）季长度的，按一年计，不足一个雨（风）季长度的，按占雨（风）季长度的比例计算，故本项目施工期调查时段为1.50</w:t>
      </w:r>
      <w:r>
        <w:rPr>
          <w:rFonts w:hint="default" w:ascii="Times New Roman" w:hAnsi="Times New Roman" w:eastAsia="仿宋_GB2312" w:cs="Times New Roman"/>
          <w:color w:val="auto"/>
          <w:sz w:val="24"/>
          <w:szCs w:val="24"/>
          <w:highlight w:val="none"/>
        </w:rPr>
        <w:t>年。</w:t>
      </w:r>
    </w:p>
    <w:p w14:paraId="0B49442B">
      <w:pPr>
        <w:spacing w:line="360" w:lineRule="auto"/>
        <w:ind w:firstLine="480" w:firstLineChars="200"/>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val="en-US" w:eastAsia="zh-CN"/>
        </w:rPr>
        <w:t>（2）自然恢复期</w:t>
      </w:r>
    </w:p>
    <w:p w14:paraId="2228D466">
      <w:pPr>
        <w:spacing w:line="360" w:lineRule="auto"/>
        <w:ind w:firstLine="480" w:firstLineChars="200"/>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工程施工结束后，因施工引起水土流失的各项因素逐渐消失，地表扰动基本停止，植被得到逐步恢复，松散裸露面逐步趋于稳定，水土流失将逐步减小，但自然恢复期仍有一定量的水土流失。</w:t>
      </w:r>
      <w:r>
        <w:rPr>
          <w:rFonts w:hint="default" w:ascii="Times New Roman" w:hAnsi="Times New Roman" w:eastAsia="仿宋_GB2312" w:cs="Times New Roman"/>
          <w:color w:val="auto"/>
          <w:sz w:val="24"/>
          <w:szCs w:val="24"/>
          <w:lang w:val="en-US" w:eastAsia="zh-CN"/>
        </w:rPr>
        <w:t>广元市剑阁县多年平均降水量1086.60mm，多年平均蒸发量1002.00mm，干燥度（最大可能蒸发量与降水量之比）采用近似估算为0.92，对比气候大区年干燥度指标，</w:t>
      </w:r>
      <w:r>
        <w:rPr>
          <w:rFonts w:hint="default" w:ascii="Times New Roman" w:hAnsi="Times New Roman" w:eastAsia="仿宋_GB2312" w:cs="Times New Roman"/>
          <w:color w:val="auto"/>
          <w:sz w:val="24"/>
          <w:szCs w:val="24"/>
          <w:lang w:eastAsia="zh-CN"/>
        </w:rPr>
        <w:t>本项目</w:t>
      </w:r>
      <w:r>
        <w:rPr>
          <w:rFonts w:hint="default" w:ascii="Times New Roman" w:hAnsi="Times New Roman" w:eastAsia="仿宋_GB2312" w:cs="Times New Roman"/>
          <w:color w:val="auto"/>
          <w:sz w:val="24"/>
          <w:szCs w:val="24"/>
          <w:lang w:val="en-US" w:eastAsia="zh-CN"/>
        </w:rPr>
        <w:t>位于湿润区</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因此本项目各单元自然恢复期按</w:t>
      </w:r>
      <w:r>
        <w:rPr>
          <w:rFonts w:hint="default"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lang w:eastAsia="zh-CN"/>
        </w:rPr>
        <w:t>年计算，预测范围为</w:t>
      </w:r>
      <w:r>
        <w:rPr>
          <w:rFonts w:hint="default" w:ascii="Times New Roman" w:hAnsi="Times New Roman" w:eastAsia="仿宋_GB2312" w:cs="Times New Roman"/>
          <w:color w:val="auto"/>
          <w:sz w:val="24"/>
          <w:szCs w:val="24"/>
          <w:lang w:val="en-US" w:eastAsia="zh-CN"/>
        </w:rPr>
        <w:t>绿化区域</w:t>
      </w:r>
      <w:r>
        <w:rPr>
          <w:rFonts w:hint="default" w:ascii="Times New Roman" w:hAnsi="Times New Roman" w:eastAsia="仿宋_GB2312" w:cs="Times New Roman"/>
          <w:color w:val="auto"/>
          <w:sz w:val="24"/>
          <w:szCs w:val="24"/>
          <w:lang w:eastAsia="zh-CN"/>
        </w:rPr>
        <w:t>，共计</w:t>
      </w:r>
      <w:r>
        <w:rPr>
          <w:rFonts w:hint="default" w:ascii="Times New Roman" w:hAnsi="Times New Roman" w:eastAsia="仿宋_GB2312" w:cs="Times New Roman"/>
          <w:color w:val="auto"/>
          <w:sz w:val="24"/>
          <w:szCs w:val="24"/>
          <w:lang w:val="en-US" w:eastAsia="zh-CN"/>
        </w:rPr>
        <w:t>0.12</w:t>
      </w:r>
      <w:r>
        <w:rPr>
          <w:rFonts w:hint="default" w:ascii="Times New Roman" w:hAnsi="Times New Roman" w:eastAsia="仿宋_GB2312" w:cs="Times New Roman"/>
          <w:color w:val="auto"/>
          <w:sz w:val="24"/>
          <w:szCs w:val="24"/>
          <w:lang w:eastAsia="zh-CN"/>
        </w:rPr>
        <w:t>hm</w:t>
      </w:r>
      <w:r>
        <w:rPr>
          <w:rFonts w:hint="default" w:ascii="Times New Roman" w:hAnsi="Times New Roman" w:eastAsia="仿宋_GB2312" w:cs="Times New Roman"/>
          <w:color w:val="auto"/>
          <w:sz w:val="24"/>
          <w:szCs w:val="24"/>
          <w:vertAlign w:val="superscript"/>
          <w:lang w:eastAsia="zh-CN"/>
        </w:rPr>
        <w:t>2</w:t>
      </w:r>
      <w:r>
        <w:rPr>
          <w:rFonts w:hint="default" w:ascii="Times New Roman" w:hAnsi="Times New Roman" w:eastAsia="仿宋_GB2312" w:cs="Times New Roman"/>
          <w:color w:val="auto"/>
          <w:sz w:val="24"/>
          <w:szCs w:val="24"/>
          <w:lang w:eastAsia="zh-CN"/>
        </w:rPr>
        <w:t>。</w:t>
      </w:r>
    </w:p>
    <w:p w14:paraId="0B77F5B1">
      <w:pPr>
        <w:spacing w:line="360" w:lineRule="auto"/>
        <w:ind w:firstLine="48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水土流失</w:t>
      </w:r>
      <w:r>
        <w:rPr>
          <w:rFonts w:hint="default" w:ascii="Times New Roman" w:hAnsi="Times New Roman" w:eastAsia="仿宋_GB2312" w:cs="Times New Roman"/>
          <w:color w:val="auto"/>
          <w:sz w:val="24"/>
          <w:lang w:eastAsia="zh-CN"/>
        </w:rPr>
        <w:t>调查</w:t>
      </w:r>
      <w:r>
        <w:rPr>
          <w:rFonts w:hint="default" w:ascii="Times New Roman" w:hAnsi="Times New Roman" w:eastAsia="仿宋_GB2312" w:cs="Times New Roman"/>
          <w:color w:val="auto"/>
          <w:sz w:val="24"/>
        </w:rPr>
        <w:t>详见下表4.</w:t>
      </w:r>
      <w:r>
        <w:rPr>
          <w:rFonts w:hint="default" w:ascii="Times New Roman" w:hAnsi="Times New Roman" w:eastAsia="仿宋_GB2312" w:cs="Times New Roman"/>
          <w:color w:val="auto"/>
          <w:sz w:val="24"/>
          <w:lang w:val="en-US" w:eastAsia="zh-CN"/>
        </w:rPr>
        <w:t>4</w:t>
      </w:r>
      <w:r>
        <w:rPr>
          <w:rFonts w:hint="default" w:ascii="Times New Roman" w:hAnsi="Times New Roman" w:eastAsia="仿宋_GB2312" w:cs="Times New Roman"/>
          <w:color w:val="auto"/>
          <w:sz w:val="24"/>
        </w:rPr>
        <w:t>-1</w:t>
      </w:r>
    </w:p>
    <w:p w14:paraId="60A9B48A">
      <w:pPr>
        <w:pStyle w:val="27"/>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表4.</w:t>
      </w:r>
      <w:r>
        <w:rPr>
          <w:rFonts w:hint="default" w:ascii="Times New Roman" w:hAnsi="Times New Roman" w:eastAsia="仿宋_GB2312" w:cs="Times New Roman"/>
          <w:color w:val="auto"/>
          <w:sz w:val="21"/>
          <w:szCs w:val="21"/>
          <w:lang w:val="en-US" w:eastAsia="zh-CN"/>
        </w:rPr>
        <w:t>4</w:t>
      </w:r>
      <w:r>
        <w:rPr>
          <w:rFonts w:hint="default" w:ascii="Times New Roman" w:hAnsi="Times New Roman" w:eastAsia="仿宋_GB2312" w:cs="Times New Roman"/>
          <w:color w:val="auto"/>
          <w:sz w:val="21"/>
          <w:szCs w:val="21"/>
        </w:rPr>
        <w:t>-1</w:t>
      </w:r>
      <w:r>
        <w:rPr>
          <w:rFonts w:hint="default" w:ascii="Times New Roman" w:hAnsi="Times New Roman" w:eastAsia="仿宋_GB2312" w:cs="Times New Roman"/>
          <w:color w:val="auto"/>
          <w:sz w:val="21"/>
          <w:szCs w:val="21"/>
          <w:lang w:val="en-US" w:eastAsia="zh-CN"/>
        </w:rPr>
        <w:t xml:space="preserve">  </w:t>
      </w:r>
      <w:r>
        <w:rPr>
          <w:rFonts w:hint="default" w:ascii="Times New Roman" w:hAnsi="Times New Roman" w:eastAsia="仿宋_GB2312" w:cs="Times New Roman"/>
          <w:color w:val="auto"/>
          <w:sz w:val="21"/>
          <w:szCs w:val="21"/>
          <w:lang w:eastAsia="zh-CN"/>
        </w:rPr>
        <w:t>水土流失调查情况表</w:t>
      </w:r>
    </w:p>
    <w:tbl>
      <w:tblPr>
        <w:tblStyle w:val="18"/>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611"/>
        <w:gridCol w:w="2353"/>
        <w:gridCol w:w="2416"/>
        <w:gridCol w:w="2526"/>
      </w:tblGrid>
      <w:tr w14:paraId="51153A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2225" w:type="pct"/>
            <w:gridSpan w:val="2"/>
            <w:vMerge w:val="restart"/>
            <w:tcBorders>
              <w:tl2br w:val="nil"/>
              <w:tr2bl w:val="nil"/>
            </w:tcBorders>
            <w:noWrap w:val="0"/>
            <w:tcMar>
              <w:top w:w="15" w:type="dxa"/>
              <w:left w:w="15" w:type="dxa"/>
              <w:right w:w="15" w:type="dxa"/>
            </w:tcMar>
            <w:vAlign w:val="center"/>
          </w:tcPr>
          <w:p w14:paraId="1212E041">
            <w:pPr>
              <w:jc w:val="center"/>
              <w:rPr>
                <w:rFonts w:hint="default" w:ascii="Times New Roman" w:hAnsi="Times New Roman" w:eastAsia="仿宋_GB2312" w:cs="Times New Roman"/>
                <w:bCs/>
                <w:color w:val="auto"/>
                <w:sz w:val="18"/>
                <w:szCs w:val="18"/>
                <w:lang w:val="en-US" w:eastAsia="zh-CN"/>
              </w:rPr>
            </w:pPr>
            <w:r>
              <w:rPr>
                <w:rFonts w:hint="default" w:ascii="Times New Roman" w:hAnsi="Times New Roman" w:eastAsia="仿宋_GB2312" w:cs="Times New Roman"/>
                <w:bCs/>
                <w:color w:val="auto"/>
                <w:sz w:val="18"/>
                <w:szCs w:val="18"/>
                <w:lang w:val="en-US" w:eastAsia="zh-CN"/>
              </w:rPr>
              <w:t>调查单元</w:t>
            </w:r>
          </w:p>
        </w:tc>
        <w:tc>
          <w:tcPr>
            <w:tcW w:w="2774" w:type="pct"/>
            <w:gridSpan w:val="2"/>
            <w:tcBorders>
              <w:tl2br w:val="nil"/>
              <w:tr2bl w:val="nil"/>
            </w:tcBorders>
            <w:noWrap w:val="0"/>
            <w:tcMar>
              <w:top w:w="15" w:type="dxa"/>
              <w:left w:w="15" w:type="dxa"/>
              <w:right w:w="15" w:type="dxa"/>
            </w:tcMar>
            <w:vAlign w:val="center"/>
          </w:tcPr>
          <w:p w14:paraId="4FEBF724">
            <w:pPr>
              <w:jc w:val="center"/>
              <w:rPr>
                <w:rFonts w:hint="default" w:ascii="Times New Roman" w:hAnsi="Times New Roman" w:eastAsia="仿宋_GB2312" w:cs="Times New Roman"/>
                <w:bCs/>
                <w:color w:val="auto"/>
                <w:sz w:val="18"/>
                <w:szCs w:val="18"/>
                <w:lang w:val="en-US" w:eastAsia="zh-CN"/>
              </w:rPr>
            </w:pPr>
            <w:r>
              <w:rPr>
                <w:rFonts w:hint="default" w:ascii="Times New Roman" w:hAnsi="Times New Roman" w:eastAsia="仿宋_GB2312" w:cs="Times New Roman"/>
                <w:bCs/>
                <w:color w:val="auto"/>
                <w:sz w:val="18"/>
                <w:szCs w:val="18"/>
                <w:lang w:val="en-US" w:eastAsia="zh-CN"/>
              </w:rPr>
              <w:t>调查时段及面积</w:t>
            </w:r>
          </w:p>
        </w:tc>
      </w:tr>
      <w:tr w14:paraId="6B7C55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2225" w:type="pct"/>
            <w:gridSpan w:val="2"/>
            <w:vMerge w:val="continue"/>
            <w:tcBorders>
              <w:tl2br w:val="nil"/>
              <w:tr2bl w:val="nil"/>
            </w:tcBorders>
            <w:noWrap w:val="0"/>
            <w:tcMar>
              <w:top w:w="15" w:type="dxa"/>
              <w:left w:w="15" w:type="dxa"/>
              <w:right w:w="15" w:type="dxa"/>
            </w:tcMar>
            <w:vAlign w:val="center"/>
          </w:tcPr>
          <w:p w14:paraId="0DDB3FEA">
            <w:pPr>
              <w:jc w:val="center"/>
              <w:rPr>
                <w:rFonts w:hint="default" w:ascii="Times New Roman" w:hAnsi="Times New Roman" w:eastAsia="仿宋_GB2312" w:cs="Times New Roman"/>
                <w:bCs/>
                <w:color w:val="auto"/>
                <w:sz w:val="18"/>
                <w:szCs w:val="18"/>
                <w:lang w:val="en-US" w:eastAsia="zh-CN"/>
              </w:rPr>
            </w:pPr>
          </w:p>
        </w:tc>
        <w:tc>
          <w:tcPr>
            <w:tcW w:w="1356" w:type="pct"/>
            <w:tcBorders>
              <w:tl2br w:val="nil"/>
              <w:tr2bl w:val="nil"/>
            </w:tcBorders>
            <w:noWrap w:val="0"/>
            <w:tcMar>
              <w:top w:w="15" w:type="dxa"/>
              <w:left w:w="15" w:type="dxa"/>
              <w:right w:w="15" w:type="dxa"/>
            </w:tcMar>
            <w:vAlign w:val="center"/>
          </w:tcPr>
          <w:p w14:paraId="50176BE0">
            <w:pPr>
              <w:jc w:val="center"/>
              <w:rPr>
                <w:rFonts w:hint="default" w:ascii="Times New Roman" w:hAnsi="Times New Roman" w:eastAsia="仿宋_GB2312" w:cs="Times New Roman"/>
                <w:bCs/>
                <w:color w:val="auto"/>
                <w:sz w:val="18"/>
                <w:szCs w:val="18"/>
                <w:lang w:val="en-US" w:eastAsia="zh-CN"/>
              </w:rPr>
            </w:pPr>
            <w:r>
              <w:rPr>
                <w:rFonts w:hint="default" w:ascii="Times New Roman" w:hAnsi="Times New Roman" w:eastAsia="仿宋_GB2312" w:cs="Times New Roman"/>
                <w:bCs/>
                <w:color w:val="auto"/>
                <w:sz w:val="18"/>
                <w:szCs w:val="18"/>
                <w:lang w:val="en-US" w:eastAsia="zh-CN"/>
              </w:rPr>
              <w:t>调查面积（hm</w:t>
            </w:r>
            <w:r>
              <w:rPr>
                <w:rFonts w:hint="default" w:ascii="Times New Roman" w:hAnsi="Times New Roman" w:eastAsia="仿宋_GB2312" w:cs="Times New Roman"/>
                <w:bCs/>
                <w:color w:val="auto"/>
                <w:sz w:val="18"/>
                <w:szCs w:val="18"/>
                <w:vertAlign w:val="superscript"/>
                <w:lang w:val="en-US" w:eastAsia="zh-CN"/>
              </w:rPr>
              <w:t>2</w:t>
            </w:r>
            <w:r>
              <w:rPr>
                <w:rFonts w:hint="default" w:ascii="Times New Roman" w:hAnsi="Times New Roman" w:eastAsia="仿宋_GB2312" w:cs="Times New Roman"/>
                <w:bCs/>
                <w:color w:val="auto"/>
                <w:sz w:val="18"/>
                <w:szCs w:val="18"/>
                <w:lang w:val="en-US" w:eastAsia="zh-CN"/>
              </w:rPr>
              <w:t>）</w:t>
            </w:r>
          </w:p>
        </w:tc>
        <w:tc>
          <w:tcPr>
            <w:tcW w:w="1418" w:type="pct"/>
            <w:tcBorders>
              <w:tl2br w:val="nil"/>
              <w:tr2bl w:val="nil"/>
            </w:tcBorders>
            <w:noWrap w:val="0"/>
            <w:tcMar>
              <w:top w:w="15" w:type="dxa"/>
              <w:left w:w="15" w:type="dxa"/>
              <w:right w:w="15" w:type="dxa"/>
            </w:tcMar>
            <w:vAlign w:val="center"/>
          </w:tcPr>
          <w:p w14:paraId="0EEA788E">
            <w:pPr>
              <w:jc w:val="center"/>
              <w:rPr>
                <w:rFonts w:hint="default" w:ascii="Times New Roman" w:hAnsi="Times New Roman" w:eastAsia="仿宋_GB2312" w:cs="Times New Roman"/>
                <w:bCs/>
                <w:color w:val="auto"/>
                <w:sz w:val="18"/>
                <w:szCs w:val="18"/>
                <w:lang w:val="en-US" w:eastAsia="zh-CN"/>
              </w:rPr>
            </w:pPr>
            <w:r>
              <w:rPr>
                <w:rFonts w:hint="default" w:ascii="Times New Roman" w:hAnsi="Times New Roman" w:eastAsia="仿宋_GB2312" w:cs="Times New Roman"/>
                <w:bCs/>
                <w:color w:val="auto"/>
                <w:sz w:val="18"/>
                <w:szCs w:val="18"/>
                <w:lang w:val="en-US" w:eastAsia="zh-CN"/>
              </w:rPr>
              <w:t>调查时段（a）</w:t>
            </w:r>
          </w:p>
        </w:tc>
      </w:tr>
      <w:tr w14:paraId="7A1506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904" w:type="pct"/>
            <w:vMerge w:val="restart"/>
            <w:tcBorders>
              <w:tl2br w:val="nil"/>
              <w:tr2bl w:val="nil"/>
            </w:tcBorders>
            <w:noWrap w:val="0"/>
            <w:tcMar>
              <w:top w:w="15" w:type="dxa"/>
              <w:left w:w="15" w:type="dxa"/>
              <w:right w:w="15" w:type="dxa"/>
            </w:tcMar>
            <w:vAlign w:val="center"/>
          </w:tcPr>
          <w:p w14:paraId="29DFD5C0">
            <w:pPr>
              <w:jc w:val="center"/>
              <w:rPr>
                <w:rFonts w:hint="default" w:ascii="Times New Roman" w:hAnsi="Times New Roman" w:eastAsia="仿宋_GB2312" w:cs="Times New Roman"/>
                <w:bCs/>
                <w:color w:val="auto"/>
                <w:sz w:val="18"/>
                <w:szCs w:val="18"/>
                <w:lang w:val="en-US" w:eastAsia="zh-CN"/>
              </w:rPr>
            </w:pPr>
            <w:r>
              <w:rPr>
                <w:rFonts w:hint="default" w:ascii="Times New Roman" w:hAnsi="Times New Roman" w:eastAsia="仿宋_GB2312" w:cs="Times New Roman"/>
                <w:bCs/>
                <w:color w:val="auto"/>
                <w:sz w:val="18"/>
                <w:szCs w:val="18"/>
                <w:lang w:val="en-US" w:eastAsia="zh-CN"/>
              </w:rPr>
              <w:t>施工期</w:t>
            </w:r>
          </w:p>
        </w:tc>
        <w:tc>
          <w:tcPr>
            <w:tcW w:w="1320" w:type="pct"/>
            <w:tcBorders>
              <w:tl2br w:val="nil"/>
              <w:tr2bl w:val="nil"/>
            </w:tcBorders>
            <w:noWrap w:val="0"/>
            <w:tcMar>
              <w:top w:w="15" w:type="dxa"/>
              <w:left w:w="15" w:type="dxa"/>
              <w:right w:w="15" w:type="dxa"/>
            </w:tcMar>
            <w:vAlign w:val="center"/>
          </w:tcPr>
          <w:p w14:paraId="55A9A9FA">
            <w:pPr>
              <w:adjustRightInd w:val="0"/>
              <w:snapToGrid w:val="0"/>
              <w:jc w:val="center"/>
              <w:textAlignment w:val="center"/>
              <w:rPr>
                <w:rFonts w:hint="default" w:ascii="Times New Roman" w:hAnsi="Times New Roman" w:eastAsia="仿宋_GB2312" w:cs="Times New Roman"/>
                <w:bCs/>
                <w:color w:val="auto"/>
                <w:sz w:val="18"/>
                <w:szCs w:val="18"/>
                <w:lang w:val="en-US" w:eastAsia="zh-CN"/>
              </w:rPr>
            </w:pPr>
            <w:r>
              <w:rPr>
                <w:rFonts w:hint="default" w:ascii="Times New Roman" w:hAnsi="Times New Roman" w:eastAsia="仿宋_GB2312" w:cs="Times New Roman"/>
                <w:b w:val="0"/>
                <w:bCs/>
                <w:color w:val="auto"/>
                <w:kern w:val="0"/>
                <w:sz w:val="18"/>
                <w:szCs w:val="18"/>
                <w:lang w:eastAsia="zh-CN" w:bidi="ar"/>
              </w:rPr>
              <w:t>建构筑物</w:t>
            </w:r>
            <w:r>
              <w:rPr>
                <w:rFonts w:hint="default" w:ascii="Times New Roman" w:hAnsi="Times New Roman" w:eastAsia="仿宋_GB2312" w:cs="Times New Roman"/>
                <w:b w:val="0"/>
                <w:bCs/>
                <w:color w:val="auto"/>
                <w:kern w:val="0"/>
                <w:sz w:val="18"/>
                <w:szCs w:val="18"/>
                <w:lang w:bidi="ar"/>
              </w:rPr>
              <w:t>工程</w:t>
            </w:r>
            <w:r>
              <w:rPr>
                <w:rFonts w:hint="default" w:ascii="Times New Roman" w:hAnsi="Times New Roman" w:eastAsia="仿宋_GB2312" w:cs="Times New Roman"/>
                <w:b w:val="0"/>
                <w:bCs/>
                <w:color w:val="auto"/>
                <w:kern w:val="0"/>
                <w:sz w:val="18"/>
                <w:szCs w:val="18"/>
                <w:lang w:val="en-US" w:eastAsia="zh-CN" w:bidi="ar"/>
              </w:rPr>
              <w:t>单元</w:t>
            </w:r>
          </w:p>
        </w:tc>
        <w:tc>
          <w:tcPr>
            <w:tcW w:w="1356" w:type="pct"/>
            <w:tcBorders>
              <w:tl2br w:val="nil"/>
              <w:tr2bl w:val="nil"/>
            </w:tcBorders>
            <w:shd w:val="clear" w:color="auto" w:fill="auto"/>
            <w:noWrap w:val="0"/>
            <w:tcMar>
              <w:top w:w="15" w:type="dxa"/>
              <w:left w:w="15" w:type="dxa"/>
              <w:right w:w="15" w:type="dxa"/>
            </w:tcMar>
            <w:vAlign w:val="center"/>
          </w:tcPr>
          <w:p w14:paraId="1D17946C">
            <w:pPr>
              <w:numPr>
                <w:ilvl w:val="0"/>
                <w:numId w:val="0"/>
              </w:numPr>
              <w:spacing w:line="360" w:lineRule="auto"/>
              <w:ind w:left="0" w:leftChars="0"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仿宋_GB2312" w:cs="Times New Roman"/>
                <w:color w:val="auto"/>
                <w:sz w:val="18"/>
                <w:szCs w:val="18"/>
                <w:vertAlign w:val="baseline"/>
                <w:lang w:val="en-US" w:eastAsia="zh-CN"/>
              </w:rPr>
              <w:t>0.04</w:t>
            </w:r>
          </w:p>
        </w:tc>
        <w:tc>
          <w:tcPr>
            <w:tcW w:w="1418" w:type="pct"/>
            <w:tcBorders>
              <w:tl2br w:val="nil"/>
              <w:tr2bl w:val="nil"/>
            </w:tcBorders>
            <w:noWrap w:val="0"/>
            <w:tcMar>
              <w:top w:w="15" w:type="dxa"/>
              <w:left w:w="15" w:type="dxa"/>
              <w:right w:w="15" w:type="dxa"/>
            </w:tcMar>
            <w:vAlign w:val="center"/>
          </w:tcPr>
          <w:p w14:paraId="0D7EB056">
            <w:pPr>
              <w:jc w:val="center"/>
              <w:rPr>
                <w:rFonts w:hint="default" w:ascii="Times New Roman" w:hAnsi="Times New Roman" w:eastAsia="仿宋_GB2312" w:cs="Times New Roman"/>
                <w:bCs/>
                <w:color w:val="auto"/>
                <w:sz w:val="18"/>
                <w:szCs w:val="18"/>
                <w:lang w:val="en-US" w:eastAsia="zh-CN"/>
              </w:rPr>
            </w:pPr>
            <w:r>
              <w:rPr>
                <w:rFonts w:hint="default" w:ascii="Times New Roman" w:hAnsi="Times New Roman" w:eastAsia="仿宋_GB2312" w:cs="Times New Roman"/>
                <w:bCs/>
                <w:color w:val="auto"/>
                <w:sz w:val="18"/>
                <w:szCs w:val="18"/>
                <w:lang w:val="en-US" w:eastAsia="zh-CN"/>
              </w:rPr>
              <w:t>1.50</w:t>
            </w:r>
          </w:p>
        </w:tc>
      </w:tr>
      <w:tr w14:paraId="70D367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904" w:type="pct"/>
            <w:vMerge w:val="continue"/>
            <w:tcBorders>
              <w:tl2br w:val="nil"/>
              <w:tr2bl w:val="nil"/>
            </w:tcBorders>
            <w:noWrap w:val="0"/>
            <w:tcMar>
              <w:top w:w="15" w:type="dxa"/>
              <w:left w:w="15" w:type="dxa"/>
              <w:right w:w="15" w:type="dxa"/>
            </w:tcMar>
            <w:vAlign w:val="center"/>
          </w:tcPr>
          <w:p w14:paraId="1E97B402">
            <w:pPr>
              <w:jc w:val="center"/>
              <w:rPr>
                <w:rFonts w:hint="default" w:ascii="Times New Roman" w:hAnsi="Times New Roman" w:eastAsia="仿宋_GB2312" w:cs="Times New Roman"/>
                <w:bCs/>
                <w:color w:val="auto"/>
                <w:sz w:val="18"/>
                <w:szCs w:val="18"/>
                <w:lang w:val="en-US" w:eastAsia="zh-CN"/>
              </w:rPr>
            </w:pPr>
          </w:p>
        </w:tc>
        <w:tc>
          <w:tcPr>
            <w:tcW w:w="1320" w:type="pct"/>
            <w:tcBorders>
              <w:tl2br w:val="nil"/>
              <w:tr2bl w:val="nil"/>
            </w:tcBorders>
            <w:noWrap w:val="0"/>
            <w:tcMar>
              <w:top w:w="15" w:type="dxa"/>
              <w:left w:w="15" w:type="dxa"/>
              <w:right w:w="15" w:type="dxa"/>
            </w:tcMar>
            <w:vAlign w:val="center"/>
          </w:tcPr>
          <w:p w14:paraId="4EE01903">
            <w:pPr>
              <w:adjustRightInd w:val="0"/>
              <w:snapToGrid w:val="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b w:val="0"/>
                <w:bCs/>
                <w:color w:val="auto"/>
                <w:kern w:val="0"/>
                <w:sz w:val="18"/>
                <w:szCs w:val="18"/>
                <w:lang w:eastAsia="zh-CN" w:bidi="ar"/>
              </w:rPr>
              <w:t>硬化工程</w:t>
            </w:r>
            <w:r>
              <w:rPr>
                <w:rFonts w:hint="default" w:ascii="Times New Roman" w:hAnsi="Times New Roman" w:eastAsia="仿宋_GB2312" w:cs="Times New Roman"/>
                <w:b w:val="0"/>
                <w:bCs/>
                <w:color w:val="auto"/>
                <w:kern w:val="0"/>
                <w:sz w:val="18"/>
                <w:szCs w:val="18"/>
                <w:lang w:val="en-US" w:eastAsia="zh-CN" w:bidi="ar"/>
              </w:rPr>
              <w:t>单元</w:t>
            </w:r>
          </w:p>
        </w:tc>
        <w:tc>
          <w:tcPr>
            <w:tcW w:w="1356" w:type="pct"/>
            <w:tcBorders>
              <w:tl2br w:val="nil"/>
              <w:tr2bl w:val="nil"/>
            </w:tcBorders>
            <w:shd w:val="clear" w:color="auto" w:fill="auto"/>
            <w:noWrap w:val="0"/>
            <w:tcMar>
              <w:top w:w="15" w:type="dxa"/>
              <w:left w:w="15" w:type="dxa"/>
              <w:right w:w="15" w:type="dxa"/>
            </w:tcMar>
            <w:vAlign w:val="center"/>
          </w:tcPr>
          <w:p w14:paraId="78283954">
            <w:pPr>
              <w:numPr>
                <w:ilvl w:val="0"/>
                <w:numId w:val="0"/>
              </w:numPr>
              <w:spacing w:line="360" w:lineRule="auto"/>
              <w:ind w:left="0" w:leftChars="0"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仿宋_GB2312" w:cs="Times New Roman"/>
                <w:color w:val="auto"/>
                <w:sz w:val="18"/>
                <w:szCs w:val="18"/>
                <w:vertAlign w:val="baseline"/>
                <w:lang w:val="en-US" w:eastAsia="zh-CN"/>
              </w:rPr>
              <w:t>0.17</w:t>
            </w:r>
          </w:p>
        </w:tc>
        <w:tc>
          <w:tcPr>
            <w:tcW w:w="1418" w:type="pct"/>
            <w:tcBorders>
              <w:tl2br w:val="nil"/>
              <w:tr2bl w:val="nil"/>
            </w:tcBorders>
            <w:noWrap w:val="0"/>
            <w:tcMar>
              <w:top w:w="15" w:type="dxa"/>
              <w:left w:w="15" w:type="dxa"/>
              <w:right w:w="15" w:type="dxa"/>
            </w:tcMar>
            <w:vAlign w:val="center"/>
          </w:tcPr>
          <w:p w14:paraId="322889C7">
            <w:pPr>
              <w:jc w:val="center"/>
              <w:rPr>
                <w:rFonts w:hint="default" w:ascii="Times New Roman" w:hAnsi="Times New Roman" w:eastAsia="仿宋_GB2312" w:cs="Times New Roman"/>
                <w:bCs/>
                <w:color w:val="auto"/>
                <w:sz w:val="18"/>
                <w:szCs w:val="18"/>
                <w:lang w:val="en-US" w:eastAsia="zh-CN"/>
              </w:rPr>
            </w:pPr>
            <w:r>
              <w:rPr>
                <w:rFonts w:hint="default" w:ascii="Times New Roman" w:hAnsi="Times New Roman" w:eastAsia="仿宋_GB2312" w:cs="Times New Roman"/>
                <w:bCs/>
                <w:color w:val="auto"/>
                <w:sz w:val="18"/>
                <w:szCs w:val="18"/>
                <w:lang w:val="en-US" w:eastAsia="zh-CN"/>
              </w:rPr>
              <w:t>1.50</w:t>
            </w:r>
          </w:p>
        </w:tc>
      </w:tr>
      <w:tr w14:paraId="6DD162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904" w:type="pct"/>
            <w:vMerge w:val="continue"/>
            <w:tcBorders>
              <w:tl2br w:val="nil"/>
              <w:tr2bl w:val="nil"/>
            </w:tcBorders>
            <w:noWrap w:val="0"/>
            <w:tcMar>
              <w:top w:w="15" w:type="dxa"/>
              <w:left w:w="15" w:type="dxa"/>
              <w:right w:w="15" w:type="dxa"/>
            </w:tcMar>
            <w:vAlign w:val="center"/>
          </w:tcPr>
          <w:p w14:paraId="22430BBE">
            <w:pPr>
              <w:jc w:val="center"/>
              <w:rPr>
                <w:rFonts w:hint="default" w:ascii="Times New Roman" w:hAnsi="Times New Roman" w:eastAsia="仿宋_GB2312" w:cs="Times New Roman"/>
                <w:bCs/>
                <w:color w:val="auto"/>
                <w:sz w:val="18"/>
                <w:szCs w:val="18"/>
                <w:lang w:val="en-US" w:eastAsia="zh-CN"/>
              </w:rPr>
            </w:pPr>
          </w:p>
        </w:tc>
        <w:tc>
          <w:tcPr>
            <w:tcW w:w="1320" w:type="pct"/>
            <w:tcBorders>
              <w:tl2br w:val="nil"/>
              <w:tr2bl w:val="nil"/>
            </w:tcBorders>
            <w:noWrap w:val="0"/>
            <w:tcMar>
              <w:top w:w="15" w:type="dxa"/>
              <w:left w:w="15" w:type="dxa"/>
              <w:right w:w="15" w:type="dxa"/>
            </w:tcMar>
            <w:vAlign w:val="center"/>
          </w:tcPr>
          <w:p w14:paraId="79177105">
            <w:pPr>
              <w:adjustRightInd w:val="0"/>
              <w:snapToGrid w:val="0"/>
              <w:jc w:val="center"/>
              <w:textAlignment w:val="center"/>
              <w:rPr>
                <w:rFonts w:hint="default" w:ascii="Times New Roman" w:hAnsi="Times New Roman" w:eastAsia="仿宋_GB2312" w:cs="Times New Roman"/>
                <w:bCs/>
                <w:color w:val="auto"/>
                <w:sz w:val="18"/>
                <w:szCs w:val="18"/>
                <w:lang w:val="en-US" w:eastAsia="zh-CN"/>
              </w:rPr>
            </w:pPr>
            <w:r>
              <w:rPr>
                <w:rFonts w:hint="default" w:ascii="Times New Roman" w:hAnsi="Times New Roman" w:eastAsia="仿宋_GB2312" w:cs="Times New Roman"/>
                <w:b w:val="0"/>
                <w:bCs/>
                <w:color w:val="auto"/>
                <w:kern w:val="0"/>
                <w:sz w:val="18"/>
                <w:szCs w:val="18"/>
                <w:lang w:eastAsia="zh-CN" w:bidi="ar"/>
              </w:rPr>
              <w:t>绿化工程</w:t>
            </w:r>
            <w:r>
              <w:rPr>
                <w:rFonts w:hint="default" w:ascii="Times New Roman" w:hAnsi="Times New Roman" w:eastAsia="仿宋_GB2312" w:cs="Times New Roman"/>
                <w:b w:val="0"/>
                <w:bCs/>
                <w:color w:val="auto"/>
                <w:kern w:val="0"/>
                <w:sz w:val="18"/>
                <w:szCs w:val="18"/>
                <w:lang w:val="en-US" w:eastAsia="zh-CN" w:bidi="ar"/>
              </w:rPr>
              <w:t>单元</w:t>
            </w:r>
          </w:p>
        </w:tc>
        <w:tc>
          <w:tcPr>
            <w:tcW w:w="1356" w:type="pct"/>
            <w:tcBorders>
              <w:tl2br w:val="nil"/>
              <w:tr2bl w:val="nil"/>
            </w:tcBorders>
            <w:shd w:val="clear" w:color="auto" w:fill="auto"/>
            <w:noWrap w:val="0"/>
            <w:tcMar>
              <w:top w:w="15" w:type="dxa"/>
              <w:left w:w="15" w:type="dxa"/>
              <w:right w:w="15" w:type="dxa"/>
            </w:tcMar>
            <w:vAlign w:val="center"/>
          </w:tcPr>
          <w:p w14:paraId="48B6E6BD">
            <w:pPr>
              <w:numPr>
                <w:ilvl w:val="0"/>
                <w:numId w:val="0"/>
              </w:numPr>
              <w:spacing w:line="360" w:lineRule="auto"/>
              <w:ind w:left="0" w:leftChars="0"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sz w:val="18"/>
                <w:szCs w:val="18"/>
                <w:vertAlign w:val="baseline"/>
                <w:lang w:val="en-US" w:eastAsia="zh-CN"/>
              </w:rPr>
              <w:t>0.12</w:t>
            </w:r>
          </w:p>
        </w:tc>
        <w:tc>
          <w:tcPr>
            <w:tcW w:w="1418" w:type="pct"/>
            <w:tcBorders>
              <w:tl2br w:val="nil"/>
              <w:tr2bl w:val="nil"/>
            </w:tcBorders>
            <w:shd w:val="clear" w:color="auto" w:fill="auto"/>
            <w:noWrap w:val="0"/>
            <w:tcMar>
              <w:top w:w="15" w:type="dxa"/>
              <w:left w:w="15" w:type="dxa"/>
              <w:right w:w="15" w:type="dxa"/>
            </w:tcMar>
            <w:vAlign w:val="center"/>
          </w:tcPr>
          <w:p w14:paraId="2236B9D3">
            <w:pPr>
              <w:jc w:val="center"/>
              <w:rPr>
                <w:rFonts w:hint="default" w:ascii="Times New Roman" w:hAnsi="Times New Roman" w:eastAsia="仿宋_GB2312" w:cs="Times New Roman"/>
                <w:bCs/>
                <w:color w:val="auto"/>
                <w:kern w:val="2"/>
                <w:sz w:val="18"/>
                <w:szCs w:val="18"/>
                <w:lang w:val="en-US" w:eastAsia="zh-CN" w:bidi="ar-SA"/>
              </w:rPr>
            </w:pPr>
            <w:r>
              <w:rPr>
                <w:rFonts w:hint="default" w:ascii="Times New Roman" w:hAnsi="Times New Roman" w:eastAsia="仿宋_GB2312" w:cs="Times New Roman"/>
                <w:bCs/>
                <w:color w:val="auto"/>
                <w:sz w:val="18"/>
                <w:szCs w:val="18"/>
                <w:lang w:val="en-US" w:eastAsia="zh-CN"/>
              </w:rPr>
              <w:t>1.50</w:t>
            </w:r>
          </w:p>
        </w:tc>
      </w:tr>
      <w:tr w14:paraId="0233CB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904" w:type="pct"/>
            <w:tcBorders>
              <w:tl2br w:val="nil"/>
              <w:tr2bl w:val="nil"/>
            </w:tcBorders>
            <w:noWrap w:val="0"/>
            <w:tcMar>
              <w:top w:w="15" w:type="dxa"/>
              <w:left w:w="15" w:type="dxa"/>
              <w:right w:w="15" w:type="dxa"/>
            </w:tcMar>
            <w:vAlign w:val="center"/>
          </w:tcPr>
          <w:p w14:paraId="617C73CD">
            <w:pPr>
              <w:jc w:val="center"/>
              <w:rPr>
                <w:rFonts w:hint="default" w:ascii="Times New Roman" w:hAnsi="Times New Roman" w:eastAsia="仿宋_GB2312" w:cs="Times New Roman"/>
                <w:bCs/>
                <w:color w:val="auto"/>
                <w:sz w:val="18"/>
                <w:szCs w:val="18"/>
                <w:lang w:val="en-US" w:eastAsia="zh-CN"/>
              </w:rPr>
            </w:pPr>
            <w:r>
              <w:rPr>
                <w:rFonts w:hint="default" w:ascii="Times New Roman" w:hAnsi="Times New Roman" w:eastAsia="仿宋_GB2312" w:cs="Times New Roman"/>
                <w:bCs/>
                <w:color w:val="auto"/>
                <w:sz w:val="18"/>
                <w:szCs w:val="18"/>
                <w:lang w:val="en-US" w:eastAsia="zh-CN"/>
              </w:rPr>
              <w:t>自然恢复期</w:t>
            </w:r>
          </w:p>
        </w:tc>
        <w:tc>
          <w:tcPr>
            <w:tcW w:w="1320" w:type="pct"/>
            <w:tcBorders>
              <w:tl2br w:val="nil"/>
              <w:tr2bl w:val="nil"/>
            </w:tcBorders>
            <w:noWrap w:val="0"/>
            <w:tcMar>
              <w:top w:w="15" w:type="dxa"/>
              <w:left w:w="15" w:type="dxa"/>
              <w:right w:w="15" w:type="dxa"/>
            </w:tcMar>
            <w:vAlign w:val="center"/>
          </w:tcPr>
          <w:p w14:paraId="2F2ADB74">
            <w:pPr>
              <w:jc w:val="center"/>
              <w:rPr>
                <w:rFonts w:hint="default" w:ascii="Times New Roman" w:hAnsi="Times New Roman" w:eastAsia="仿宋_GB2312" w:cs="Times New Roman"/>
                <w:bCs/>
                <w:color w:val="auto"/>
                <w:sz w:val="18"/>
                <w:szCs w:val="18"/>
                <w:lang w:val="en-US" w:eastAsia="zh-CN"/>
              </w:rPr>
            </w:pPr>
            <w:r>
              <w:rPr>
                <w:rFonts w:hint="default" w:ascii="Times New Roman" w:hAnsi="Times New Roman" w:eastAsia="仿宋_GB2312" w:cs="Times New Roman"/>
                <w:b w:val="0"/>
                <w:bCs/>
                <w:color w:val="auto"/>
                <w:kern w:val="0"/>
                <w:sz w:val="18"/>
                <w:szCs w:val="18"/>
                <w:lang w:eastAsia="zh-CN" w:bidi="ar"/>
              </w:rPr>
              <w:t>绿化工程</w:t>
            </w:r>
            <w:r>
              <w:rPr>
                <w:rFonts w:hint="default" w:ascii="Times New Roman" w:hAnsi="Times New Roman" w:eastAsia="仿宋_GB2312" w:cs="Times New Roman"/>
                <w:b w:val="0"/>
                <w:bCs/>
                <w:color w:val="auto"/>
                <w:kern w:val="0"/>
                <w:sz w:val="18"/>
                <w:szCs w:val="18"/>
                <w:lang w:val="en-US" w:eastAsia="zh-CN" w:bidi="ar"/>
              </w:rPr>
              <w:t>单元</w:t>
            </w:r>
          </w:p>
        </w:tc>
        <w:tc>
          <w:tcPr>
            <w:tcW w:w="1356" w:type="pct"/>
            <w:tcBorders>
              <w:tl2br w:val="nil"/>
              <w:tr2bl w:val="nil"/>
            </w:tcBorders>
            <w:noWrap w:val="0"/>
            <w:tcMar>
              <w:top w:w="15" w:type="dxa"/>
              <w:left w:w="15" w:type="dxa"/>
              <w:right w:w="15" w:type="dxa"/>
            </w:tcMar>
            <w:vAlign w:val="center"/>
          </w:tcPr>
          <w:p w14:paraId="3453FA27">
            <w:pPr>
              <w:jc w:val="center"/>
              <w:rPr>
                <w:rFonts w:hint="default" w:ascii="Times New Roman" w:hAnsi="Times New Roman" w:eastAsia="仿宋_GB2312" w:cs="Times New Roman"/>
                <w:bCs/>
                <w:color w:val="auto"/>
                <w:sz w:val="18"/>
                <w:szCs w:val="18"/>
                <w:lang w:val="en-US" w:eastAsia="zh-CN"/>
              </w:rPr>
            </w:pPr>
            <w:r>
              <w:rPr>
                <w:rFonts w:hint="default" w:ascii="Times New Roman" w:hAnsi="Times New Roman" w:eastAsia="仿宋_GB2312" w:cs="Times New Roman"/>
                <w:bCs/>
                <w:color w:val="auto"/>
                <w:sz w:val="18"/>
                <w:szCs w:val="18"/>
                <w:lang w:val="en-US" w:eastAsia="zh-CN"/>
              </w:rPr>
              <w:t>0.12</w:t>
            </w:r>
          </w:p>
        </w:tc>
        <w:tc>
          <w:tcPr>
            <w:tcW w:w="1418" w:type="pct"/>
            <w:tcBorders>
              <w:tl2br w:val="nil"/>
              <w:tr2bl w:val="nil"/>
            </w:tcBorders>
            <w:noWrap w:val="0"/>
            <w:tcMar>
              <w:top w:w="15" w:type="dxa"/>
              <w:left w:w="15" w:type="dxa"/>
              <w:right w:w="15" w:type="dxa"/>
            </w:tcMar>
            <w:vAlign w:val="center"/>
          </w:tcPr>
          <w:p w14:paraId="4086E843">
            <w:pPr>
              <w:jc w:val="center"/>
              <w:rPr>
                <w:rFonts w:hint="default" w:ascii="Times New Roman" w:hAnsi="Times New Roman" w:eastAsia="仿宋_GB2312" w:cs="Times New Roman"/>
                <w:bCs/>
                <w:color w:val="auto"/>
                <w:sz w:val="18"/>
                <w:szCs w:val="18"/>
                <w:lang w:val="en-US" w:eastAsia="zh-CN"/>
              </w:rPr>
            </w:pPr>
            <w:r>
              <w:rPr>
                <w:rFonts w:hint="default" w:ascii="Times New Roman" w:hAnsi="Times New Roman" w:eastAsia="仿宋_GB2312" w:cs="Times New Roman"/>
                <w:bCs/>
                <w:color w:val="auto"/>
                <w:sz w:val="18"/>
                <w:szCs w:val="18"/>
                <w:lang w:val="en-US" w:eastAsia="zh-CN"/>
              </w:rPr>
              <w:t>2.00</w:t>
            </w:r>
          </w:p>
        </w:tc>
      </w:tr>
    </w:tbl>
    <w:p w14:paraId="50B073E6">
      <w:pPr>
        <w:pStyle w:val="27"/>
        <w:jc w:val="center"/>
        <w:rPr>
          <w:rFonts w:hint="default" w:ascii="Times New Roman" w:hAnsi="Times New Roman" w:eastAsia="仿宋_GB2312" w:cs="Times New Roman"/>
          <w:color w:val="auto"/>
          <w:sz w:val="21"/>
          <w:szCs w:val="21"/>
          <w:lang w:eastAsia="zh-CN"/>
        </w:rPr>
      </w:pPr>
    </w:p>
    <w:p w14:paraId="2CDA4A52">
      <w:pPr>
        <w:pStyle w:val="4"/>
        <w:widowControl/>
        <w:spacing w:after="120" w:afterLines="50"/>
        <w:rPr>
          <w:rFonts w:hint="default" w:ascii="Times New Roman" w:hAnsi="Times New Roman" w:eastAsia="仿宋_GB2312" w:cs="Times New Roman"/>
          <w:b/>
          <w:color w:val="auto"/>
          <w:szCs w:val="24"/>
          <w:lang w:eastAsia="zh-CN"/>
        </w:rPr>
      </w:pPr>
      <w:bookmarkStart w:id="141" w:name="_Toc27182"/>
      <w:bookmarkStart w:id="142" w:name="_Toc7488"/>
      <w:bookmarkStart w:id="143" w:name="_Toc14192"/>
      <w:bookmarkStart w:id="144" w:name="_Toc13482"/>
      <w:r>
        <w:rPr>
          <w:rFonts w:hint="default" w:ascii="Times New Roman" w:hAnsi="Times New Roman" w:eastAsia="仿宋_GB2312" w:cs="Times New Roman"/>
          <w:b/>
          <w:color w:val="auto"/>
          <w:szCs w:val="24"/>
        </w:rPr>
        <w:t>4.</w:t>
      </w:r>
      <w:r>
        <w:rPr>
          <w:rFonts w:hint="default" w:ascii="Times New Roman" w:hAnsi="Times New Roman" w:cs="Times New Roman"/>
          <w:b/>
          <w:color w:val="auto"/>
          <w:szCs w:val="24"/>
          <w:lang w:val="en-US" w:eastAsia="zh-CN"/>
        </w:rPr>
        <w:t>3</w:t>
      </w:r>
      <w:r>
        <w:rPr>
          <w:rFonts w:hint="default" w:ascii="Times New Roman" w:hAnsi="Times New Roman" w:eastAsia="仿宋_GB2312" w:cs="Times New Roman"/>
          <w:b/>
          <w:color w:val="auto"/>
          <w:szCs w:val="24"/>
        </w:rPr>
        <w:t>.</w:t>
      </w:r>
      <w:r>
        <w:rPr>
          <w:rFonts w:hint="default" w:ascii="Times New Roman" w:hAnsi="Times New Roman" w:eastAsia="仿宋_GB2312" w:cs="Times New Roman"/>
          <w:b/>
          <w:color w:val="auto"/>
          <w:szCs w:val="24"/>
          <w:lang w:val="en-US" w:eastAsia="zh-CN"/>
        </w:rPr>
        <w:t>3</w:t>
      </w:r>
      <w:r>
        <w:rPr>
          <w:rFonts w:hint="default" w:ascii="Times New Roman" w:hAnsi="Times New Roman" w:eastAsia="仿宋_GB2312" w:cs="Times New Roman"/>
          <w:b/>
          <w:color w:val="auto"/>
          <w:szCs w:val="24"/>
          <w:lang w:eastAsia="zh-CN"/>
        </w:rPr>
        <w:t>土壤侵蚀模数</w:t>
      </w:r>
    </w:p>
    <w:p w14:paraId="2AF0C784">
      <w:pPr>
        <w:pStyle w:val="5"/>
        <w:keepNext/>
        <w:keepLines/>
        <w:pageBreakBefore w:val="0"/>
        <w:widowControl/>
        <w:kinsoku/>
        <w:wordWrap/>
        <w:overflowPunct/>
        <w:topLinePunct w:val="0"/>
        <w:autoSpaceDE/>
        <w:autoSpaceDN/>
        <w:bidi w:val="0"/>
        <w:adjustRightInd/>
        <w:snapToGrid/>
        <w:spacing w:before="0" w:after="0" w:afterLines="0" w:line="360" w:lineRule="auto"/>
        <w:textAlignment w:val="auto"/>
        <w:outlineLvl w:val="3"/>
        <w:rPr>
          <w:rFonts w:hint="default" w:ascii="Times New Roman" w:hAnsi="Times New Roman" w:eastAsia="仿宋_GB2312" w:cs="Times New Roman"/>
          <w:b/>
          <w:bCs w:val="0"/>
          <w:color w:val="auto"/>
          <w:sz w:val="24"/>
          <w:szCs w:val="24"/>
          <w:lang w:val="en-US" w:eastAsia="zh-CN"/>
        </w:rPr>
      </w:pPr>
      <w:r>
        <w:rPr>
          <w:rFonts w:hint="default" w:ascii="Times New Roman" w:hAnsi="Times New Roman" w:eastAsia="仿宋_GB2312" w:cs="Times New Roman"/>
          <w:b/>
          <w:bCs w:val="0"/>
          <w:color w:val="auto"/>
          <w:sz w:val="24"/>
          <w:szCs w:val="24"/>
          <w:lang w:val="en-US" w:eastAsia="zh-CN"/>
        </w:rPr>
        <w:t>4.3.3.1扰动前土壤侵蚀模数</w:t>
      </w:r>
    </w:p>
    <w:p w14:paraId="7C983945">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根据对项目区水土流失特点分析和区域现状调查，按照《土壤侵蚀分类分级标准》（SL190-2007）中侵蚀等级划分，结合项目区地形地貌条件、土壤植被等影响水土流失的自然因素，确定</w:t>
      </w:r>
      <w:r>
        <w:rPr>
          <w:rFonts w:hint="default" w:ascii="Times New Roman" w:hAnsi="Times New Roman" w:eastAsia="仿宋_GB2312" w:cs="Times New Roman"/>
          <w:color w:val="auto"/>
          <w:sz w:val="24"/>
          <w:szCs w:val="24"/>
          <w:lang w:eastAsia="zh-CN"/>
        </w:rPr>
        <w:t>项目区</w:t>
      </w:r>
      <w:r>
        <w:rPr>
          <w:rFonts w:hint="default" w:ascii="Times New Roman" w:hAnsi="Times New Roman" w:eastAsia="仿宋_GB2312" w:cs="Times New Roman"/>
          <w:color w:val="auto"/>
          <w:sz w:val="24"/>
          <w:szCs w:val="24"/>
        </w:rPr>
        <w:t>总体侵蚀强度属</w:t>
      </w:r>
      <w:r>
        <w:rPr>
          <w:rFonts w:hint="default" w:ascii="Times New Roman" w:hAnsi="Times New Roman" w:eastAsia="仿宋_GB2312" w:cs="Times New Roman"/>
          <w:color w:val="auto"/>
          <w:sz w:val="24"/>
          <w:szCs w:val="24"/>
          <w:lang w:val="en-US" w:eastAsia="zh-CN"/>
        </w:rPr>
        <w:t>轻</w:t>
      </w:r>
      <w:r>
        <w:rPr>
          <w:rFonts w:hint="default" w:ascii="Times New Roman" w:hAnsi="Times New Roman" w:eastAsia="仿宋_GB2312" w:cs="Times New Roman"/>
          <w:color w:val="auto"/>
          <w:sz w:val="24"/>
          <w:szCs w:val="24"/>
        </w:rPr>
        <w:t>度侵蚀</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流失类型以水力侵蚀为主</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工程占地范围内平均水土流失背景值</w:t>
      </w:r>
      <w:r>
        <w:rPr>
          <w:rFonts w:hint="default" w:ascii="Times New Roman" w:hAnsi="Times New Roman" w:eastAsia="仿宋_GB2312" w:cs="Times New Roman"/>
          <w:color w:val="auto"/>
          <w:sz w:val="24"/>
          <w:szCs w:val="24"/>
          <w:lang w:eastAsia="zh-CN"/>
        </w:rPr>
        <w:t>取</w:t>
      </w:r>
      <w:r>
        <w:rPr>
          <w:rFonts w:hint="default" w:ascii="Times New Roman" w:hAnsi="Times New Roman" w:eastAsia="仿宋_GB2312" w:cs="Times New Roman"/>
          <w:color w:val="auto"/>
          <w:sz w:val="24"/>
          <w:szCs w:val="24"/>
          <w:lang w:val="en-US" w:eastAsia="zh-CN"/>
        </w:rPr>
        <w:t>850</w:t>
      </w:r>
      <w:r>
        <w:rPr>
          <w:rFonts w:hint="default" w:ascii="Times New Roman" w:hAnsi="Times New Roman" w:eastAsia="仿宋_GB2312" w:cs="Times New Roman"/>
          <w:color w:val="auto"/>
          <w:sz w:val="24"/>
          <w:szCs w:val="24"/>
        </w:rPr>
        <w:t>t/km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·a。</w:t>
      </w:r>
    </w:p>
    <w:p w14:paraId="25B66E78">
      <w:pPr>
        <w:pStyle w:val="5"/>
        <w:keepNext/>
        <w:keepLines/>
        <w:pageBreakBefore w:val="0"/>
        <w:widowControl/>
        <w:kinsoku/>
        <w:wordWrap/>
        <w:overflowPunct/>
        <w:topLinePunct w:val="0"/>
        <w:autoSpaceDE/>
        <w:autoSpaceDN/>
        <w:bidi w:val="0"/>
        <w:adjustRightInd/>
        <w:snapToGrid/>
        <w:spacing w:before="0" w:after="0" w:afterLines="0" w:line="360" w:lineRule="auto"/>
        <w:textAlignment w:val="auto"/>
        <w:outlineLvl w:val="3"/>
        <w:rPr>
          <w:rFonts w:hint="default" w:ascii="Times New Roman" w:hAnsi="Times New Roman" w:eastAsia="仿宋_GB2312" w:cs="Times New Roman"/>
          <w:b/>
          <w:bCs w:val="0"/>
          <w:color w:val="auto"/>
          <w:sz w:val="24"/>
          <w:szCs w:val="24"/>
          <w:lang w:val="en-US" w:eastAsia="zh-CN"/>
        </w:rPr>
      </w:pPr>
      <w:r>
        <w:rPr>
          <w:rFonts w:hint="default" w:ascii="Times New Roman" w:hAnsi="Times New Roman" w:eastAsia="仿宋_GB2312" w:cs="Times New Roman"/>
          <w:b/>
          <w:bCs w:val="0"/>
          <w:color w:val="auto"/>
          <w:sz w:val="24"/>
          <w:szCs w:val="24"/>
          <w:lang w:val="en-US" w:eastAsia="zh-CN"/>
        </w:rPr>
        <w:t>4.3.3.2扰动后土壤侵蚀模数</w:t>
      </w:r>
    </w:p>
    <w:p w14:paraId="587FFC26">
      <w:pPr>
        <w:keepNext/>
        <w:keepLines/>
        <w:spacing w:line="360" w:lineRule="auto"/>
        <w:outlineLvl w:val="4"/>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4.3.3.2</w:t>
      </w:r>
      <w:r>
        <w:rPr>
          <w:rFonts w:hint="default" w:ascii="Times New Roman" w:hAnsi="Times New Roman" w:eastAsia="仿宋_GB2312" w:cs="Times New Roman"/>
          <w:b/>
          <w:bCs/>
          <w:color w:val="auto"/>
          <w:sz w:val="24"/>
          <w:szCs w:val="24"/>
          <w:lang w:val="en-US" w:eastAsia="zh-CN"/>
        </w:rPr>
        <w:t>.1施工期</w:t>
      </w:r>
      <w:r>
        <w:rPr>
          <w:rFonts w:hint="default" w:ascii="Times New Roman" w:hAnsi="Times New Roman" w:eastAsia="仿宋_GB2312" w:cs="Times New Roman"/>
          <w:b/>
          <w:bCs/>
          <w:color w:val="auto"/>
          <w:sz w:val="24"/>
          <w:szCs w:val="24"/>
        </w:rPr>
        <w:t>土壤侵蚀模数</w:t>
      </w:r>
    </w:p>
    <w:p w14:paraId="503815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rPr>
        <w:t>本项目</w:t>
      </w:r>
      <w:r>
        <w:rPr>
          <w:rFonts w:hint="default" w:ascii="Times New Roman" w:hAnsi="Times New Roman" w:eastAsia="仿宋_GB2312" w:cs="Times New Roman"/>
          <w:color w:val="auto"/>
          <w:sz w:val="24"/>
          <w:szCs w:val="24"/>
          <w:lang w:val="en-US" w:eastAsia="zh-CN"/>
        </w:rPr>
        <w:t>施工期</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2022年7月~2023年8月）</w:t>
      </w:r>
      <w:r>
        <w:rPr>
          <w:rFonts w:hint="default" w:ascii="Times New Roman" w:hAnsi="Times New Roman" w:eastAsia="仿宋_GB2312" w:cs="Times New Roman"/>
          <w:color w:val="auto"/>
          <w:sz w:val="24"/>
          <w:szCs w:val="24"/>
        </w:rPr>
        <w:t>土壤侵蚀模数采用</w:t>
      </w:r>
      <w:r>
        <w:rPr>
          <w:rFonts w:hint="default" w:ascii="Times New Roman" w:hAnsi="Times New Roman" w:eastAsia="仿宋_GB2312" w:cs="Times New Roman"/>
          <w:color w:val="auto"/>
          <w:sz w:val="24"/>
          <w:szCs w:val="24"/>
          <w:lang w:eastAsia="zh-CN"/>
        </w:rPr>
        <w:t>试验观测法</w:t>
      </w:r>
      <w:r>
        <w:rPr>
          <w:rFonts w:hint="default" w:ascii="Times New Roman" w:hAnsi="Times New Roman" w:eastAsia="仿宋_GB2312" w:cs="Times New Roman"/>
          <w:color w:val="auto"/>
          <w:sz w:val="24"/>
          <w:szCs w:val="24"/>
        </w:rPr>
        <w:t>确定</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通过采用无人机遥感监测，延施工作业区域规划航迹，确保影像重叠度≥40%，搭载RTK-GPS获取地面控制点坐标。而后进行数据处理：通过Agisoft Photoscan等软件生成高密度点云数据，提取侵蚀沟边界，进而计算侵蚀沟与缓冲区DEM差值，得到平均侵蚀深度，结合面积计算侵蚀模数。</w:t>
      </w:r>
    </w:p>
    <w:p w14:paraId="31CD1B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szCs w:val="24"/>
          <w:lang w:eastAsia="zh-CN"/>
        </w:rPr>
      </w:pPr>
      <w:r>
        <w:rPr>
          <w:rFonts w:hint="default" w:ascii="Times New Roman" w:hAnsi="Times New Roman" w:eastAsia="仿宋_GB2312" w:cs="Times New Roman"/>
          <w:color w:val="auto"/>
          <w:sz w:val="24"/>
          <w:szCs w:val="24"/>
          <w:lang w:val="en-US" w:eastAsia="zh-CN"/>
        </w:rPr>
        <w:t>侵蚀模数统一按最不利因素考虑，经计算，确定</w:t>
      </w:r>
      <w:r>
        <w:rPr>
          <w:rFonts w:hint="default" w:ascii="Times New Roman" w:hAnsi="Times New Roman" w:eastAsia="仿宋_GB2312" w:cs="Times New Roman"/>
          <w:color w:val="auto"/>
          <w:kern w:val="0"/>
          <w:sz w:val="24"/>
          <w:szCs w:val="24"/>
          <w:highlight w:val="none"/>
          <w:lang w:val="en-US" w:eastAsia="zh-CN"/>
        </w:rPr>
        <w:t>建构筑物工程单元</w:t>
      </w:r>
      <w:r>
        <w:rPr>
          <w:rFonts w:hint="default" w:ascii="Times New Roman" w:hAnsi="Times New Roman" w:eastAsia="仿宋_GB2312" w:cs="Times New Roman"/>
          <w:color w:val="auto"/>
          <w:kern w:val="0"/>
          <w:sz w:val="24"/>
          <w:szCs w:val="24"/>
          <w:highlight w:val="none"/>
        </w:rPr>
        <w:t>、</w:t>
      </w:r>
      <w:r>
        <w:rPr>
          <w:rFonts w:hint="default" w:ascii="Times New Roman" w:hAnsi="Times New Roman" w:eastAsia="仿宋_GB2312" w:cs="Times New Roman"/>
          <w:color w:val="auto"/>
          <w:kern w:val="0"/>
          <w:sz w:val="24"/>
          <w:szCs w:val="24"/>
          <w:highlight w:val="none"/>
          <w:lang w:val="en-US" w:eastAsia="zh-CN"/>
        </w:rPr>
        <w:t>硬化工程单元、绿化工程单元</w:t>
      </w:r>
      <w:r>
        <w:rPr>
          <w:rFonts w:hint="default" w:ascii="Times New Roman" w:hAnsi="Times New Roman" w:eastAsia="仿宋_GB2312" w:cs="Times New Roman"/>
          <w:snapToGrid w:val="0"/>
          <w:color w:val="auto"/>
          <w:sz w:val="24"/>
          <w:szCs w:val="24"/>
          <w:lang w:val="en-US" w:eastAsia="zh-CN"/>
        </w:rPr>
        <w:t>土壤侵蚀模数分别</w:t>
      </w:r>
      <w:r>
        <w:rPr>
          <w:rFonts w:hint="default" w:ascii="Times New Roman" w:hAnsi="Times New Roman" w:eastAsia="仿宋_GB2312" w:cs="Times New Roman"/>
          <w:color w:val="auto"/>
          <w:sz w:val="24"/>
          <w:szCs w:val="24"/>
          <w:lang w:val="en-US" w:eastAsia="zh-CN"/>
        </w:rPr>
        <w:t>为2500</w:t>
      </w:r>
      <w:r>
        <w:rPr>
          <w:rFonts w:hint="default" w:ascii="Times New Roman" w:hAnsi="Times New Roman" w:eastAsia="仿宋_GB2312" w:cs="Times New Roman"/>
          <w:color w:val="auto"/>
          <w:sz w:val="24"/>
          <w:szCs w:val="24"/>
        </w:rPr>
        <w:t>t/km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color w:val="auto"/>
          <w:sz w:val="24"/>
          <w:szCs w:val="24"/>
          <w:lang w:val="en-US" w:eastAsia="zh-CN"/>
        </w:rPr>
        <w:t>、2000</w:t>
      </w:r>
      <w:r>
        <w:rPr>
          <w:rFonts w:hint="default" w:ascii="Times New Roman" w:hAnsi="Times New Roman" w:eastAsia="仿宋_GB2312" w:cs="Times New Roman"/>
          <w:color w:val="auto"/>
          <w:sz w:val="24"/>
          <w:szCs w:val="24"/>
        </w:rPr>
        <w:t>t/km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color w:val="auto"/>
          <w:sz w:val="24"/>
          <w:szCs w:val="24"/>
          <w:lang w:val="en-US" w:eastAsia="zh-CN"/>
        </w:rPr>
        <w:t>、3000</w:t>
      </w:r>
      <w:r>
        <w:rPr>
          <w:rFonts w:hint="default" w:ascii="Times New Roman" w:hAnsi="Times New Roman" w:eastAsia="仿宋_GB2312" w:cs="Times New Roman"/>
          <w:color w:val="auto"/>
          <w:sz w:val="24"/>
          <w:szCs w:val="24"/>
        </w:rPr>
        <w:t>t/km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color w:val="auto"/>
          <w:sz w:val="24"/>
          <w:szCs w:val="24"/>
          <w:lang w:eastAsia="zh-CN"/>
        </w:rPr>
        <w:t>。</w:t>
      </w:r>
    </w:p>
    <w:p w14:paraId="720699FB">
      <w:pPr>
        <w:numPr>
          <w:ilvl w:val="0"/>
          <w:numId w:val="0"/>
        </w:numPr>
        <w:kinsoku w:val="0"/>
        <w:overflowPunct w:val="0"/>
        <w:snapToGrid w:val="0"/>
        <w:spacing w:line="360" w:lineRule="auto"/>
        <w:jc w:val="left"/>
        <w:outlineLvl w:val="4"/>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bCs/>
          <w:color w:val="auto"/>
          <w:sz w:val="24"/>
          <w:szCs w:val="24"/>
        </w:rPr>
        <w:t>4.3.3.2</w:t>
      </w:r>
      <w:r>
        <w:rPr>
          <w:rFonts w:hint="default" w:ascii="Times New Roman" w:hAnsi="Times New Roman" w:eastAsia="仿宋_GB2312" w:cs="Times New Roman"/>
          <w:b/>
          <w:bCs/>
          <w:color w:val="auto"/>
          <w:sz w:val="24"/>
          <w:szCs w:val="24"/>
          <w:lang w:val="en-US" w:eastAsia="zh-CN"/>
        </w:rPr>
        <w:t>.2自然恢复期</w:t>
      </w:r>
      <w:r>
        <w:rPr>
          <w:rFonts w:hint="default" w:ascii="Times New Roman" w:hAnsi="Times New Roman" w:eastAsia="仿宋_GB2312" w:cs="Times New Roman"/>
          <w:b/>
          <w:bCs/>
          <w:color w:val="auto"/>
          <w:sz w:val="24"/>
          <w:szCs w:val="24"/>
        </w:rPr>
        <w:t>土壤侵蚀模数</w:t>
      </w:r>
    </w:p>
    <w:p w14:paraId="171790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自然恢复期土壤侵蚀模数根据自然恢复期土壤侵蚀模数计算，侵蚀模数按恢复2年后逐渐降低至背景值综合考虑取值，</w:t>
      </w:r>
      <w:r>
        <w:rPr>
          <w:rFonts w:hint="default" w:ascii="Times New Roman" w:hAnsi="Times New Roman" w:eastAsia="仿宋_GB2312" w:cs="Times New Roman"/>
          <w:color w:val="auto"/>
          <w:sz w:val="24"/>
          <w:szCs w:val="24"/>
        </w:rPr>
        <w:t>根据《生产建设项目土壤流失量测算导则》SL 773-2018，自然恢复期土壤侵蚀模数按下式计算：</w:t>
      </w:r>
    </w:p>
    <w:p w14:paraId="5A6459C9">
      <w:pPr>
        <w:spacing w:line="360" w:lineRule="auto"/>
        <w:ind w:firstLine="48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植被破坏型一般扰动地表</w:t>
      </w:r>
      <w:r>
        <w:rPr>
          <w:rFonts w:hint="default" w:ascii="Times New Roman" w:hAnsi="Times New Roman" w:eastAsia="仿宋_GB2312" w:cs="Times New Roman"/>
          <w:color w:val="auto"/>
          <w:sz w:val="24"/>
          <w:szCs w:val="24"/>
        </w:rPr>
        <w:t>土壤侵蚀模数</w:t>
      </w:r>
      <w:r>
        <w:rPr>
          <w:rFonts w:hint="default" w:ascii="Times New Roman" w:hAnsi="Times New Roman" w:eastAsia="仿宋_GB2312" w:cs="Times New Roman"/>
          <w:color w:val="auto"/>
          <w:sz w:val="24"/>
          <w:szCs w:val="24"/>
          <w:highlight w:val="none"/>
          <w:lang w:val="en-US" w:eastAsia="zh-CN"/>
        </w:rPr>
        <w:t>测算公式如下：</w:t>
      </w:r>
    </w:p>
    <w:p w14:paraId="296313BF">
      <w:pPr>
        <w:spacing w:line="360" w:lineRule="auto"/>
        <w:ind w:firstLine="480"/>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object>
          <v:shape id="_x0000_i1025" o:spt="75" type="#_x0000_t75" style="height:19pt;width:114.95pt;" o:ole="t" filled="f" o:preferrelative="t" stroked="f" coordsize="21600,21600">
            <v:path/>
            <v:fill on="f" focussize="0,0"/>
            <v:stroke on="f"/>
            <v:imagedata r:id="rId44" o:title=""/>
            <o:lock v:ext="edit" aspectratio="t"/>
            <w10:wrap type="none"/>
            <w10:anchorlock/>
          </v:shape>
          <o:OLEObject Type="Embed" ProgID="Equation.KSEE3" ShapeID="_x0000_i1025" DrawAspect="Content" ObjectID="_1468075725" r:id="rId43">
            <o:LockedField>false</o:LockedField>
          </o:OLEObject>
        </w:object>
      </w:r>
    </w:p>
    <w:p w14:paraId="6BF9B815">
      <w:pPr>
        <w:spacing w:line="360" w:lineRule="auto"/>
        <w:ind w:firstLine="48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式中：Myd——植被破坏型一般扰动地表计算单元土壤流失量，t/km</w:t>
      </w:r>
      <w:r>
        <w:rPr>
          <w:rFonts w:hint="default" w:ascii="Times New Roman" w:hAnsi="Times New Roman" w:eastAsia="仿宋_GB2312" w:cs="Times New Roman"/>
          <w:color w:val="auto"/>
          <w:sz w:val="24"/>
          <w:szCs w:val="24"/>
          <w:highlight w:val="none"/>
          <w:vertAlign w:val="superscript"/>
          <w:lang w:val="en-US" w:eastAsia="zh-CN"/>
        </w:rPr>
        <w:t>2</w:t>
      </w:r>
      <w:r>
        <w:rPr>
          <w:rFonts w:hint="default" w:ascii="Times New Roman" w:hAnsi="Times New Roman" w:eastAsia="仿宋_GB2312" w:cs="Times New Roman"/>
          <w:color w:val="auto"/>
          <w:sz w:val="24"/>
          <w:szCs w:val="24"/>
          <w:highlight w:val="none"/>
          <w:lang w:val="en-US" w:eastAsia="zh-CN"/>
        </w:rPr>
        <w:t>·a；</w:t>
      </w:r>
    </w:p>
    <w:p w14:paraId="3CC49CF3">
      <w:pPr>
        <w:spacing w:line="360" w:lineRule="auto"/>
        <w:ind w:firstLine="48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R——降雨侵蚀力因子，MJ·mm/(hm</w:t>
      </w:r>
      <w:r>
        <w:rPr>
          <w:rFonts w:hint="default" w:ascii="Times New Roman" w:hAnsi="Times New Roman" w:eastAsia="仿宋_GB2312" w:cs="Times New Roman"/>
          <w:color w:val="auto"/>
          <w:sz w:val="24"/>
          <w:szCs w:val="24"/>
          <w:highlight w:val="none"/>
          <w:vertAlign w:val="superscript"/>
          <w:lang w:val="en-US" w:eastAsia="zh-CN"/>
        </w:rPr>
        <w:t>2</w:t>
      </w:r>
      <w:r>
        <w:rPr>
          <w:rFonts w:hint="default" w:ascii="Times New Roman" w:hAnsi="Times New Roman" w:eastAsia="仿宋_GB2312" w:cs="Times New Roman"/>
          <w:color w:val="auto"/>
          <w:sz w:val="24"/>
          <w:szCs w:val="24"/>
          <w:highlight w:val="none"/>
          <w:lang w:val="en-US" w:eastAsia="zh-CN"/>
        </w:rPr>
        <w:t>·h)；</w:t>
      </w:r>
    </w:p>
    <w:p w14:paraId="5B1FB34E">
      <w:pPr>
        <w:spacing w:line="360" w:lineRule="auto"/>
        <w:ind w:firstLine="48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Kyd——地表翻扰后土壤可侵蚀因子，t·hm</w:t>
      </w:r>
      <w:r>
        <w:rPr>
          <w:rFonts w:hint="default" w:ascii="Times New Roman" w:hAnsi="Times New Roman" w:eastAsia="仿宋_GB2312" w:cs="Times New Roman"/>
          <w:color w:val="auto"/>
          <w:sz w:val="24"/>
          <w:szCs w:val="24"/>
          <w:highlight w:val="none"/>
          <w:vertAlign w:val="superscript"/>
          <w:lang w:val="en-US" w:eastAsia="zh-CN"/>
        </w:rPr>
        <w:t>2</w:t>
      </w:r>
      <w:r>
        <w:rPr>
          <w:rFonts w:hint="default" w:ascii="Times New Roman" w:hAnsi="Times New Roman" w:eastAsia="仿宋_GB2312" w:cs="Times New Roman"/>
          <w:color w:val="auto"/>
          <w:sz w:val="24"/>
          <w:szCs w:val="24"/>
          <w:highlight w:val="none"/>
          <w:lang w:val="en-US" w:eastAsia="zh-CN"/>
        </w:rPr>
        <w:t>·h(hm</w:t>
      </w:r>
      <w:r>
        <w:rPr>
          <w:rFonts w:hint="default" w:ascii="Times New Roman" w:hAnsi="Times New Roman" w:eastAsia="仿宋_GB2312" w:cs="Times New Roman"/>
          <w:color w:val="auto"/>
          <w:sz w:val="24"/>
          <w:szCs w:val="24"/>
          <w:highlight w:val="none"/>
          <w:vertAlign w:val="superscript"/>
          <w:lang w:val="en-US" w:eastAsia="zh-CN"/>
        </w:rPr>
        <w:t>2</w:t>
      </w:r>
      <w:r>
        <w:rPr>
          <w:rFonts w:hint="default" w:ascii="Times New Roman" w:hAnsi="Times New Roman" w:eastAsia="仿宋_GB2312" w:cs="Times New Roman"/>
          <w:color w:val="auto"/>
          <w:sz w:val="24"/>
          <w:szCs w:val="24"/>
          <w:highlight w:val="none"/>
          <w:lang w:val="en-US" w:eastAsia="zh-CN"/>
        </w:rPr>
        <w:t>·MJ·mm)；</w:t>
      </w:r>
    </w:p>
    <w:p w14:paraId="3BAC9541">
      <w:pPr>
        <w:spacing w:line="360" w:lineRule="auto"/>
        <w:ind w:firstLine="48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Ly——坡长因子，无量纲；</w:t>
      </w:r>
    </w:p>
    <w:p w14:paraId="1BB2E650">
      <w:pPr>
        <w:spacing w:line="360" w:lineRule="auto"/>
        <w:ind w:firstLine="48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Sy——坡度因子，无量纲；</w:t>
      </w:r>
    </w:p>
    <w:p w14:paraId="0E88DF27">
      <w:pPr>
        <w:spacing w:line="360" w:lineRule="auto"/>
        <w:ind w:firstLine="48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B——植被覆盖因子，无量纲；</w:t>
      </w:r>
    </w:p>
    <w:p w14:paraId="31A85FB8">
      <w:pPr>
        <w:spacing w:line="360" w:lineRule="auto"/>
        <w:ind w:firstLine="48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E——工程措施因子，无量纲：</w:t>
      </w:r>
    </w:p>
    <w:p w14:paraId="17FF6711">
      <w:pPr>
        <w:spacing w:line="360" w:lineRule="auto"/>
        <w:ind w:firstLine="48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T——耕作措施因子，无量纲。</w:t>
      </w:r>
    </w:p>
    <w:p w14:paraId="27A124A0">
      <w:pPr>
        <w:keepNext w:val="0"/>
        <w:keepLines w:val="0"/>
        <w:pageBreakBefore w:val="0"/>
        <w:widowControl w:val="0"/>
        <w:kinsoku w:val="0"/>
        <w:wordWrap/>
        <w:overflowPunct w:val="0"/>
        <w:topLinePunct w:val="0"/>
        <w:autoSpaceDE/>
        <w:autoSpaceDN/>
        <w:bidi w:val="0"/>
        <w:adjustRightInd/>
        <w:snapToGrid w:val="0"/>
        <w:spacing w:line="360" w:lineRule="auto"/>
        <w:ind w:firstLine="480" w:firstLineChars="200"/>
        <w:jc w:val="left"/>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kern w:val="0"/>
          <w:sz w:val="24"/>
          <w:szCs w:val="24"/>
          <w:highlight w:val="none"/>
        </w:rPr>
        <w:t>根据上式计算，</w:t>
      </w:r>
      <w:r>
        <w:rPr>
          <w:rFonts w:hint="default" w:ascii="Times New Roman" w:hAnsi="Times New Roman" w:eastAsia="仿宋_GB2312" w:cs="Times New Roman"/>
          <w:color w:val="auto"/>
          <w:sz w:val="24"/>
          <w:szCs w:val="24"/>
          <w:highlight w:val="none"/>
          <w:lang w:val="en-US" w:eastAsia="zh-CN"/>
        </w:rPr>
        <w:t>植被破坏型一般扰动地表</w:t>
      </w:r>
      <w:r>
        <w:rPr>
          <w:rFonts w:hint="default" w:ascii="Times New Roman" w:hAnsi="Times New Roman" w:eastAsia="仿宋_GB2312" w:cs="Times New Roman"/>
          <w:color w:val="auto"/>
          <w:kern w:val="0"/>
          <w:sz w:val="24"/>
          <w:szCs w:val="24"/>
          <w:highlight w:val="none"/>
        </w:rPr>
        <w:t>土壤侵蚀模数计算详见</w:t>
      </w:r>
      <w:r>
        <w:rPr>
          <w:rFonts w:hint="default" w:ascii="Times New Roman" w:hAnsi="Times New Roman" w:eastAsia="仿宋_GB2312" w:cs="Times New Roman"/>
          <w:color w:val="auto"/>
          <w:sz w:val="24"/>
          <w:szCs w:val="24"/>
          <w:lang w:val="en-US" w:eastAsia="zh-CN"/>
        </w:rPr>
        <w:t>表4.3-4。</w:t>
      </w:r>
    </w:p>
    <w:p w14:paraId="67470B2A">
      <w:pPr>
        <w:keepNext w:val="0"/>
        <w:keepLines w:val="0"/>
        <w:pageBreakBefore w:val="0"/>
        <w:widowControl w:val="0"/>
        <w:kinsoku w:val="0"/>
        <w:wordWrap/>
        <w:overflowPunct w:val="0"/>
        <w:topLinePunct w:val="0"/>
        <w:autoSpaceDE/>
        <w:autoSpaceDN/>
        <w:bidi w:val="0"/>
        <w:adjustRightInd/>
        <w:snapToGrid w:val="0"/>
        <w:spacing w:line="360" w:lineRule="auto"/>
        <w:jc w:val="center"/>
        <w:textAlignment w:val="auto"/>
        <w:rPr>
          <w:rFonts w:hint="default" w:ascii="Times New Roman" w:hAnsi="Times New Roman" w:eastAsia="仿宋_GB2312" w:cs="Times New Roman"/>
          <w:color w:val="auto"/>
          <w:kern w:val="0"/>
          <w:sz w:val="21"/>
          <w:lang w:eastAsia="zh-CN"/>
        </w:rPr>
      </w:pPr>
      <w:r>
        <w:rPr>
          <w:rFonts w:hint="default" w:ascii="Times New Roman" w:hAnsi="Times New Roman" w:eastAsia="仿宋_GB2312" w:cs="Times New Roman"/>
          <w:b/>
          <w:bCs/>
          <w:color w:val="auto"/>
          <w:kern w:val="0"/>
          <w:sz w:val="21"/>
        </w:rPr>
        <w:t>表4.3-</w:t>
      </w:r>
      <w:r>
        <w:rPr>
          <w:rFonts w:hint="default" w:ascii="Times New Roman" w:hAnsi="Times New Roman" w:eastAsia="仿宋_GB2312" w:cs="Times New Roman"/>
          <w:b/>
          <w:bCs/>
          <w:color w:val="auto"/>
          <w:kern w:val="0"/>
          <w:sz w:val="21"/>
          <w:lang w:val="en-US" w:eastAsia="zh-CN"/>
        </w:rPr>
        <w:t xml:space="preserve">4  </w:t>
      </w:r>
      <w:r>
        <w:rPr>
          <w:rFonts w:hint="default" w:ascii="Times New Roman" w:hAnsi="Times New Roman" w:eastAsia="仿宋_GB2312" w:cs="Times New Roman"/>
          <w:b/>
          <w:bCs/>
          <w:color w:val="auto"/>
          <w:kern w:val="0"/>
          <w:sz w:val="21"/>
          <w:lang w:eastAsia="zh-CN"/>
        </w:rPr>
        <w:t>本项目自然恢复期土壤侵蚀模数取值</w:t>
      </w:r>
    </w:p>
    <w:tbl>
      <w:tblPr>
        <w:tblStyle w:val="19"/>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2"/>
        <w:gridCol w:w="2384"/>
        <w:gridCol w:w="550"/>
        <w:gridCol w:w="2122"/>
        <w:gridCol w:w="2582"/>
        <w:gridCol w:w="967"/>
      </w:tblGrid>
      <w:tr w14:paraId="792F8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265" w:type="pct"/>
            <w:noWrap w:val="0"/>
            <w:vAlign w:val="center"/>
          </w:tcPr>
          <w:p w14:paraId="73F290DD">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序号</w:t>
            </w:r>
          </w:p>
        </w:tc>
        <w:tc>
          <w:tcPr>
            <w:tcW w:w="1311" w:type="pct"/>
            <w:noWrap w:val="0"/>
            <w:vAlign w:val="center"/>
          </w:tcPr>
          <w:p w14:paraId="341005DD">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项目</w:t>
            </w:r>
          </w:p>
        </w:tc>
        <w:tc>
          <w:tcPr>
            <w:tcW w:w="302" w:type="pct"/>
            <w:noWrap w:val="0"/>
            <w:vAlign w:val="center"/>
          </w:tcPr>
          <w:p w14:paraId="3D098D31">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因子</w:t>
            </w:r>
          </w:p>
        </w:tc>
        <w:tc>
          <w:tcPr>
            <w:tcW w:w="1167" w:type="pct"/>
            <w:noWrap w:val="0"/>
            <w:vAlign w:val="center"/>
          </w:tcPr>
          <w:p w14:paraId="0FC20B6F">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单位</w:t>
            </w:r>
          </w:p>
        </w:tc>
        <w:tc>
          <w:tcPr>
            <w:tcW w:w="1420" w:type="pct"/>
            <w:noWrap w:val="0"/>
            <w:vAlign w:val="center"/>
          </w:tcPr>
          <w:p w14:paraId="2A00AEA6">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公式/说明</w:t>
            </w:r>
          </w:p>
        </w:tc>
        <w:tc>
          <w:tcPr>
            <w:tcW w:w="532" w:type="pct"/>
            <w:noWrap w:val="0"/>
            <w:vAlign w:val="center"/>
          </w:tcPr>
          <w:p w14:paraId="2BD381FA">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rPr>
              <w:t>绿化区域</w:t>
            </w:r>
          </w:p>
        </w:tc>
      </w:tr>
      <w:tr w14:paraId="72296F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14:paraId="7BB5589B">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1</w:t>
            </w:r>
          </w:p>
        </w:tc>
        <w:tc>
          <w:tcPr>
            <w:tcW w:w="1311" w:type="pct"/>
            <w:noWrap w:val="0"/>
            <w:vAlign w:val="center"/>
          </w:tcPr>
          <w:p w14:paraId="07E8717E">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rPr>
              <w:t>植被破坏</w:t>
            </w:r>
            <w:r>
              <w:rPr>
                <w:rFonts w:hint="default" w:ascii="Times New Roman" w:hAnsi="Times New Roman" w:eastAsia="仿宋_GB2312" w:cs="Times New Roman"/>
                <w:b w:val="0"/>
                <w:bCs w:val="0"/>
                <w:color w:val="auto"/>
                <w:sz w:val="18"/>
                <w:szCs w:val="18"/>
                <w:highlight w:val="none"/>
              </w:rPr>
              <w:t>型土壤</w:t>
            </w:r>
            <w:r>
              <w:rPr>
                <w:rFonts w:hint="default" w:ascii="Times New Roman" w:hAnsi="Times New Roman" w:eastAsia="仿宋_GB2312" w:cs="Times New Roman"/>
                <w:b w:val="0"/>
                <w:bCs w:val="0"/>
                <w:color w:val="auto"/>
                <w:sz w:val="18"/>
                <w:szCs w:val="18"/>
                <w:highlight w:val="none"/>
                <w:lang w:val="en-US" w:eastAsia="zh-CN"/>
              </w:rPr>
              <w:t>侵蚀模数</w:t>
            </w:r>
          </w:p>
        </w:tc>
        <w:tc>
          <w:tcPr>
            <w:tcW w:w="302" w:type="pct"/>
            <w:noWrap w:val="0"/>
            <w:vAlign w:val="center"/>
          </w:tcPr>
          <w:p w14:paraId="0581C53D">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M</w:t>
            </w:r>
            <w:r>
              <w:rPr>
                <w:rFonts w:hint="default" w:ascii="Times New Roman" w:hAnsi="Times New Roman" w:eastAsia="仿宋_GB2312" w:cs="Times New Roman"/>
                <w:b w:val="0"/>
                <w:bCs w:val="0"/>
                <w:color w:val="auto"/>
                <w:sz w:val="18"/>
                <w:szCs w:val="18"/>
                <w:highlight w:val="none"/>
                <w:vertAlign w:val="subscript"/>
              </w:rPr>
              <w:t>yd</w:t>
            </w:r>
          </w:p>
        </w:tc>
        <w:tc>
          <w:tcPr>
            <w:tcW w:w="1167" w:type="pct"/>
            <w:noWrap w:val="0"/>
            <w:vAlign w:val="center"/>
          </w:tcPr>
          <w:p w14:paraId="28E98E7E">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t</w:t>
            </w:r>
            <w:r>
              <w:rPr>
                <w:rFonts w:hint="default" w:ascii="Times New Roman" w:hAnsi="Times New Roman" w:eastAsia="仿宋_GB2312" w:cs="Times New Roman"/>
                <w:b w:val="0"/>
                <w:bCs w:val="0"/>
                <w:color w:val="auto"/>
                <w:sz w:val="18"/>
                <w:szCs w:val="18"/>
                <w:highlight w:val="none"/>
                <w:lang w:bidi="ar"/>
              </w:rPr>
              <w:t>/km²·a</w:t>
            </w:r>
          </w:p>
        </w:tc>
        <w:tc>
          <w:tcPr>
            <w:tcW w:w="1420" w:type="pct"/>
            <w:noWrap w:val="0"/>
            <w:vAlign w:val="center"/>
          </w:tcPr>
          <w:p w14:paraId="417F4A01">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M</w:t>
            </w:r>
            <w:r>
              <w:rPr>
                <w:rFonts w:hint="default" w:ascii="Times New Roman" w:hAnsi="Times New Roman" w:eastAsia="仿宋_GB2312" w:cs="Times New Roman"/>
                <w:b w:val="0"/>
                <w:bCs w:val="0"/>
                <w:color w:val="auto"/>
                <w:sz w:val="18"/>
                <w:szCs w:val="18"/>
                <w:highlight w:val="none"/>
                <w:vertAlign w:val="subscript"/>
              </w:rPr>
              <w:t>yz</w:t>
            </w:r>
            <w:r>
              <w:rPr>
                <w:rFonts w:hint="default" w:ascii="Times New Roman" w:hAnsi="Times New Roman" w:eastAsia="仿宋_GB2312" w:cs="Times New Roman"/>
                <w:b w:val="0"/>
                <w:bCs w:val="0"/>
                <w:color w:val="auto"/>
                <w:sz w:val="18"/>
                <w:szCs w:val="18"/>
                <w:highlight w:val="none"/>
              </w:rPr>
              <w:t>=100RKL</w:t>
            </w:r>
            <w:r>
              <w:rPr>
                <w:rFonts w:hint="default" w:ascii="Times New Roman" w:hAnsi="Times New Roman" w:eastAsia="仿宋_GB2312" w:cs="Times New Roman"/>
                <w:b w:val="0"/>
                <w:bCs w:val="0"/>
                <w:color w:val="auto"/>
                <w:sz w:val="18"/>
                <w:szCs w:val="18"/>
                <w:highlight w:val="none"/>
                <w:vertAlign w:val="subscript"/>
              </w:rPr>
              <w:t>y</w:t>
            </w:r>
            <w:r>
              <w:rPr>
                <w:rFonts w:hint="default" w:ascii="Times New Roman" w:hAnsi="Times New Roman" w:eastAsia="仿宋_GB2312" w:cs="Times New Roman"/>
                <w:b w:val="0"/>
                <w:bCs w:val="0"/>
                <w:color w:val="auto"/>
                <w:sz w:val="18"/>
                <w:szCs w:val="18"/>
                <w:highlight w:val="none"/>
              </w:rPr>
              <w:t>S</w:t>
            </w:r>
            <w:r>
              <w:rPr>
                <w:rFonts w:hint="default" w:ascii="Times New Roman" w:hAnsi="Times New Roman" w:eastAsia="仿宋_GB2312" w:cs="Times New Roman"/>
                <w:b w:val="0"/>
                <w:bCs w:val="0"/>
                <w:color w:val="auto"/>
                <w:sz w:val="18"/>
                <w:szCs w:val="18"/>
                <w:highlight w:val="none"/>
                <w:vertAlign w:val="subscript"/>
              </w:rPr>
              <w:t>y</w:t>
            </w:r>
            <w:r>
              <w:rPr>
                <w:rFonts w:hint="default" w:ascii="Times New Roman" w:hAnsi="Times New Roman" w:eastAsia="仿宋_GB2312" w:cs="Times New Roman"/>
                <w:b w:val="0"/>
                <w:bCs w:val="0"/>
                <w:color w:val="auto"/>
                <w:sz w:val="18"/>
                <w:szCs w:val="18"/>
                <w:highlight w:val="none"/>
              </w:rPr>
              <w:t>BET</w:t>
            </w:r>
          </w:p>
        </w:tc>
        <w:tc>
          <w:tcPr>
            <w:tcW w:w="532" w:type="pct"/>
            <w:noWrap w:val="0"/>
            <w:vAlign w:val="center"/>
          </w:tcPr>
          <w:p w14:paraId="5D110BA4">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rPr>
              <w:t>1050</w:t>
            </w:r>
          </w:p>
        </w:tc>
      </w:tr>
      <w:tr w14:paraId="1E7F22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14:paraId="40F92C57">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2</w:t>
            </w:r>
          </w:p>
        </w:tc>
        <w:tc>
          <w:tcPr>
            <w:tcW w:w="1311" w:type="pct"/>
            <w:noWrap w:val="0"/>
            <w:vAlign w:val="center"/>
          </w:tcPr>
          <w:p w14:paraId="6C7C268A">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降雨侵蚀力因子</w:t>
            </w:r>
          </w:p>
        </w:tc>
        <w:tc>
          <w:tcPr>
            <w:tcW w:w="302" w:type="pct"/>
            <w:noWrap w:val="0"/>
            <w:vAlign w:val="center"/>
          </w:tcPr>
          <w:p w14:paraId="28E95A51">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R</w:t>
            </w:r>
          </w:p>
        </w:tc>
        <w:tc>
          <w:tcPr>
            <w:tcW w:w="1167" w:type="pct"/>
            <w:noWrap w:val="0"/>
            <w:vAlign w:val="center"/>
          </w:tcPr>
          <w:p w14:paraId="7363E145">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MJ·mm/(hm</w:t>
            </w:r>
            <w:r>
              <w:rPr>
                <w:rFonts w:hint="default" w:ascii="Times New Roman" w:hAnsi="Times New Roman" w:eastAsia="仿宋_GB2312" w:cs="Times New Roman"/>
                <w:b w:val="0"/>
                <w:bCs w:val="0"/>
                <w:color w:val="auto"/>
                <w:sz w:val="18"/>
                <w:szCs w:val="18"/>
                <w:highlight w:val="none"/>
                <w:vertAlign w:val="superscript"/>
              </w:rPr>
              <w:t>2</w:t>
            </w:r>
            <w:r>
              <w:rPr>
                <w:rFonts w:hint="default" w:ascii="Times New Roman" w:hAnsi="Times New Roman" w:eastAsia="仿宋_GB2312" w:cs="Times New Roman"/>
                <w:b w:val="0"/>
                <w:bCs w:val="0"/>
                <w:color w:val="auto"/>
                <w:sz w:val="18"/>
                <w:szCs w:val="18"/>
                <w:highlight w:val="none"/>
              </w:rPr>
              <w:t>·h)</w:t>
            </w:r>
          </w:p>
        </w:tc>
        <w:tc>
          <w:tcPr>
            <w:tcW w:w="1420" w:type="pct"/>
            <w:noWrap w:val="0"/>
            <w:vAlign w:val="center"/>
          </w:tcPr>
          <w:p w14:paraId="65F3201C">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参照SL773-2018“附录C”</w:t>
            </w:r>
          </w:p>
        </w:tc>
        <w:tc>
          <w:tcPr>
            <w:tcW w:w="532" w:type="pct"/>
            <w:noWrap w:val="0"/>
            <w:vAlign w:val="center"/>
          </w:tcPr>
          <w:p w14:paraId="52C429FD">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 w:cs="Times New Roman"/>
                <w:color w:val="auto"/>
                <w:kern w:val="0"/>
                <w:sz w:val="18"/>
                <w:szCs w:val="18"/>
                <w:lang w:val="en-US" w:eastAsia="zh-CN"/>
              </w:rPr>
              <w:t>4443.70</w:t>
            </w:r>
          </w:p>
        </w:tc>
      </w:tr>
      <w:tr w14:paraId="48630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14:paraId="24DF73D4">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3</w:t>
            </w:r>
          </w:p>
        </w:tc>
        <w:tc>
          <w:tcPr>
            <w:tcW w:w="1311" w:type="pct"/>
            <w:noWrap w:val="0"/>
            <w:vAlign w:val="center"/>
          </w:tcPr>
          <w:p w14:paraId="07AA3B4A">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土壤可蚀性因子</w:t>
            </w:r>
          </w:p>
        </w:tc>
        <w:tc>
          <w:tcPr>
            <w:tcW w:w="302" w:type="pct"/>
            <w:noWrap w:val="0"/>
            <w:vAlign w:val="center"/>
          </w:tcPr>
          <w:p w14:paraId="7770C6A0">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K</w:t>
            </w:r>
          </w:p>
        </w:tc>
        <w:tc>
          <w:tcPr>
            <w:tcW w:w="1167" w:type="pct"/>
            <w:noWrap w:val="0"/>
            <w:vAlign w:val="center"/>
          </w:tcPr>
          <w:p w14:paraId="7B0E0154">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t·hm</w:t>
            </w:r>
            <w:r>
              <w:rPr>
                <w:rFonts w:hint="default" w:ascii="Times New Roman" w:hAnsi="Times New Roman" w:eastAsia="仿宋_GB2312" w:cs="Times New Roman"/>
                <w:b w:val="0"/>
                <w:bCs w:val="0"/>
                <w:color w:val="auto"/>
                <w:sz w:val="18"/>
                <w:szCs w:val="18"/>
                <w:highlight w:val="none"/>
                <w:vertAlign w:val="superscript"/>
              </w:rPr>
              <w:t>2</w:t>
            </w:r>
            <w:r>
              <w:rPr>
                <w:rFonts w:hint="default" w:ascii="Times New Roman" w:hAnsi="Times New Roman" w:eastAsia="仿宋_GB2312" w:cs="Times New Roman"/>
                <w:b w:val="0"/>
                <w:bCs w:val="0"/>
                <w:color w:val="auto"/>
                <w:sz w:val="18"/>
                <w:szCs w:val="18"/>
                <w:highlight w:val="none"/>
              </w:rPr>
              <w:t>·h(hm</w:t>
            </w:r>
            <w:r>
              <w:rPr>
                <w:rFonts w:hint="default" w:ascii="Times New Roman" w:hAnsi="Times New Roman" w:eastAsia="仿宋_GB2312" w:cs="Times New Roman"/>
                <w:b w:val="0"/>
                <w:bCs w:val="0"/>
                <w:color w:val="auto"/>
                <w:sz w:val="18"/>
                <w:szCs w:val="18"/>
                <w:highlight w:val="none"/>
                <w:vertAlign w:val="superscript"/>
              </w:rPr>
              <w:t>2</w:t>
            </w:r>
            <w:r>
              <w:rPr>
                <w:rFonts w:hint="default" w:ascii="Times New Roman" w:hAnsi="Times New Roman" w:eastAsia="仿宋_GB2312" w:cs="Times New Roman"/>
                <w:b w:val="0"/>
                <w:bCs w:val="0"/>
                <w:color w:val="auto"/>
                <w:sz w:val="18"/>
                <w:szCs w:val="18"/>
                <w:highlight w:val="none"/>
              </w:rPr>
              <w:t>·MJ·mm)</w:t>
            </w:r>
          </w:p>
        </w:tc>
        <w:tc>
          <w:tcPr>
            <w:tcW w:w="1420" w:type="pct"/>
            <w:noWrap w:val="0"/>
            <w:vAlign w:val="center"/>
          </w:tcPr>
          <w:p w14:paraId="739D3AAB">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参照SL773-2018“附录C”</w:t>
            </w:r>
          </w:p>
        </w:tc>
        <w:tc>
          <w:tcPr>
            <w:tcW w:w="532" w:type="pct"/>
            <w:noWrap w:val="0"/>
            <w:vAlign w:val="center"/>
          </w:tcPr>
          <w:p w14:paraId="76390C80">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vertAlign w:val="baseline"/>
                <w:lang w:val="en-US" w:eastAsia="zh-CN"/>
              </w:rPr>
              <w:t>0.007</w:t>
            </w:r>
          </w:p>
        </w:tc>
      </w:tr>
      <w:tr w14:paraId="0B294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14:paraId="266074DD">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4</w:t>
            </w:r>
          </w:p>
        </w:tc>
        <w:tc>
          <w:tcPr>
            <w:tcW w:w="1311" w:type="pct"/>
            <w:noWrap w:val="0"/>
            <w:vAlign w:val="center"/>
          </w:tcPr>
          <w:p w14:paraId="2924662B">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坡长因子</w:t>
            </w:r>
          </w:p>
        </w:tc>
        <w:tc>
          <w:tcPr>
            <w:tcW w:w="302" w:type="pct"/>
            <w:noWrap w:val="0"/>
            <w:vAlign w:val="center"/>
          </w:tcPr>
          <w:p w14:paraId="3907FACA">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L</w:t>
            </w:r>
            <w:r>
              <w:rPr>
                <w:rFonts w:hint="default" w:ascii="Times New Roman" w:hAnsi="Times New Roman" w:eastAsia="仿宋_GB2312" w:cs="Times New Roman"/>
                <w:b w:val="0"/>
                <w:bCs w:val="0"/>
                <w:color w:val="auto"/>
                <w:sz w:val="18"/>
                <w:szCs w:val="18"/>
                <w:highlight w:val="none"/>
                <w:vertAlign w:val="subscript"/>
              </w:rPr>
              <w:t>y</w:t>
            </w:r>
          </w:p>
        </w:tc>
        <w:tc>
          <w:tcPr>
            <w:tcW w:w="1167" w:type="pct"/>
            <w:noWrap w:val="0"/>
            <w:vAlign w:val="center"/>
          </w:tcPr>
          <w:p w14:paraId="53A2FE46">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p>
        </w:tc>
        <w:tc>
          <w:tcPr>
            <w:tcW w:w="1420" w:type="pct"/>
            <w:noWrap w:val="0"/>
            <w:vAlign w:val="center"/>
          </w:tcPr>
          <w:p w14:paraId="2A1F1B49">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L</w:t>
            </w:r>
            <w:r>
              <w:rPr>
                <w:rFonts w:hint="default" w:ascii="Times New Roman" w:hAnsi="Times New Roman" w:eastAsia="仿宋_GB2312" w:cs="Times New Roman"/>
                <w:b w:val="0"/>
                <w:bCs w:val="0"/>
                <w:color w:val="auto"/>
                <w:sz w:val="18"/>
                <w:szCs w:val="18"/>
                <w:highlight w:val="none"/>
                <w:vertAlign w:val="subscript"/>
              </w:rPr>
              <w:t>y</w:t>
            </w:r>
            <w:r>
              <w:rPr>
                <w:rFonts w:hint="default" w:ascii="Times New Roman" w:hAnsi="Times New Roman" w:eastAsia="仿宋_GB2312" w:cs="Times New Roman"/>
                <w:b w:val="0"/>
                <w:bCs w:val="0"/>
                <w:color w:val="auto"/>
                <w:sz w:val="18"/>
                <w:szCs w:val="18"/>
                <w:highlight w:val="none"/>
              </w:rPr>
              <w:t>=（λ/20）</w:t>
            </w:r>
            <w:r>
              <w:rPr>
                <w:rFonts w:hint="default" w:ascii="Times New Roman" w:hAnsi="Times New Roman" w:eastAsia="仿宋_GB2312" w:cs="Times New Roman"/>
                <w:b w:val="0"/>
                <w:bCs w:val="0"/>
                <w:color w:val="auto"/>
                <w:sz w:val="18"/>
                <w:szCs w:val="18"/>
                <w:highlight w:val="none"/>
                <w:vertAlign w:val="superscript"/>
              </w:rPr>
              <w:t>m</w:t>
            </w:r>
          </w:p>
        </w:tc>
        <w:tc>
          <w:tcPr>
            <w:tcW w:w="532" w:type="pct"/>
            <w:noWrap w:val="0"/>
            <w:vAlign w:val="center"/>
          </w:tcPr>
          <w:p w14:paraId="524F22F7">
            <w:pPr>
              <w:widowControl w:val="0"/>
              <w:spacing w:line="240" w:lineRule="auto"/>
              <w:ind w:left="0" w:leftChars="0"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rPr>
              <w:t>0.54</w:t>
            </w:r>
          </w:p>
        </w:tc>
      </w:tr>
      <w:tr w14:paraId="38A6C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14:paraId="5E31E857">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4.1</w:t>
            </w:r>
          </w:p>
        </w:tc>
        <w:tc>
          <w:tcPr>
            <w:tcW w:w="1311" w:type="pct"/>
            <w:noWrap w:val="0"/>
            <w:vAlign w:val="center"/>
          </w:tcPr>
          <w:p w14:paraId="54C1B663">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水平投影长度</w:t>
            </w:r>
          </w:p>
        </w:tc>
        <w:tc>
          <w:tcPr>
            <w:tcW w:w="302" w:type="pct"/>
            <w:noWrap w:val="0"/>
            <w:vAlign w:val="center"/>
          </w:tcPr>
          <w:p w14:paraId="2A19C65E">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λ</w:t>
            </w:r>
          </w:p>
        </w:tc>
        <w:tc>
          <w:tcPr>
            <w:tcW w:w="1167" w:type="pct"/>
            <w:noWrap w:val="0"/>
            <w:vAlign w:val="center"/>
          </w:tcPr>
          <w:p w14:paraId="15C5EBF8">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m</w:t>
            </w:r>
          </w:p>
        </w:tc>
        <w:tc>
          <w:tcPr>
            <w:tcW w:w="1420" w:type="pct"/>
            <w:noWrap w:val="0"/>
            <w:vAlign w:val="center"/>
          </w:tcPr>
          <w:p w14:paraId="09381095">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λ=λ</w:t>
            </w:r>
            <w:r>
              <w:rPr>
                <w:rFonts w:hint="default" w:ascii="Times New Roman" w:hAnsi="Times New Roman" w:eastAsia="仿宋_GB2312" w:cs="Times New Roman"/>
                <w:b w:val="0"/>
                <w:bCs w:val="0"/>
                <w:color w:val="auto"/>
                <w:sz w:val="18"/>
                <w:szCs w:val="18"/>
                <w:highlight w:val="none"/>
                <w:vertAlign w:val="subscript"/>
              </w:rPr>
              <w:t>x</w:t>
            </w:r>
            <w:r>
              <w:rPr>
                <w:rFonts w:hint="default" w:ascii="Times New Roman" w:hAnsi="Times New Roman" w:eastAsia="仿宋_GB2312" w:cs="Times New Roman"/>
                <w:b w:val="0"/>
                <w:bCs w:val="0"/>
                <w:color w:val="auto"/>
                <w:sz w:val="18"/>
                <w:szCs w:val="18"/>
                <w:highlight w:val="none"/>
              </w:rPr>
              <w:t>cosθ</w:t>
            </w:r>
          </w:p>
        </w:tc>
        <w:tc>
          <w:tcPr>
            <w:tcW w:w="532" w:type="pct"/>
            <w:noWrap w:val="0"/>
            <w:vAlign w:val="center"/>
          </w:tcPr>
          <w:p w14:paraId="05643E3C">
            <w:pPr>
              <w:widowControl w:val="0"/>
              <w:spacing w:line="240" w:lineRule="auto"/>
              <w:ind w:left="0" w:leftChars="0"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rPr>
              <w:t>49.93</w:t>
            </w:r>
          </w:p>
        </w:tc>
      </w:tr>
      <w:tr w14:paraId="7013E7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14:paraId="2E96EE03">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4.2</w:t>
            </w:r>
          </w:p>
        </w:tc>
        <w:tc>
          <w:tcPr>
            <w:tcW w:w="1311" w:type="pct"/>
            <w:noWrap w:val="0"/>
            <w:vAlign w:val="center"/>
          </w:tcPr>
          <w:p w14:paraId="4E80D73B">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斜坡长度</w:t>
            </w:r>
          </w:p>
        </w:tc>
        <w:tc>
          <w:tcPr>
            <w:tcW w:w="302" w:type="pct"/>
            <w:noWrap w:val="0"/>
            <w:vAlign w:val="center"/>
          </w:tcPr>
          <w:p w14:paraId="504E6284">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λ</w:t>
            </w:r>
            <w:r>
              <w:rPr>
                <w:rFonts w:hint="default" w:ascii="Times New Roman" w:hAnsi="Times New Roman" w:eastAsia="仿宋_GB2312" w:cs="Times New Roman"/>
                <w:b w:val="0"/>
                <w:bCs w:val="0"/>
                <w:color w:val="auto"/>
                <w:sz w:val="18"/>
                <w:szCs w:val="18"/>
                <w:highlight w:val="none"/>
                <w:vertAlign w:val="subscript"/>
              </w:rPr>
              <w:t>x</w:t>
            </w:r>
          </w:p>
        </w:tc>
        <w:tc>
          <w:tcPr>
            <w:tcW w:w="1167" w:type="pct"/>
            <w:noWrap w:val="0"/>
            <w:vAlign w:val="center"/>
          </w:tcPr>
          <w:p w14:paraId="016B803B">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m</w:t>
            </w:r>
          </w:p>
        </w:tc>
        <w:tc>
          <w:tcPr>
            <w:tcW w:w="1420" w:type="pct"/>
            <w:noWrap w:val="0"/>
            <w:vAlign w:val="center"/>
          </w:tcPr>
          <w:p w14:paraId="7DB935BF">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p>
        </w:tc>
        <w:tc>
          <w:tcPr>
            <w:tcW w:w="532" w:type="pct"/>
            <w:noWrap w:val="0"/>
            <w:vAlign w:val="center"/>
          </w:tcPr>
          <w:p w14:paraId="05F0BAB9">
            <w:pPr>
              <w:widowControl w:val="0"/>
              <w:spacing w:line="240" w:lineRule="auto"/>
              <w:ind w:left="0" w:leftChars="0"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vertAlign w:val="baseline"/>
                <w:lang w:val="en-US" w:eastAsia="zh-CN"/>
              </w:rPr>
              <w:t>14</w:t>
            </w:r>
          </w:p>
        </w:tc>
      </w:tr>
      <w:tr w14:paraId="7A446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14:paraId="25C3D715">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4.3</w:t>
            </w:r>
          </w:p>
        </w:tc>
        <w:tc>
          <w:tcPr>
            <w:tcW w:w="1311" w:type="pct"/>
            <w:noWrap w:val="0"/>
            <w:vAlign w:val="center"/>
          </w:tcPr>
          <w:p w14:paraId="57CF91B0">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坡度</w:t>
            </w:r>
          </w:p>
        </w:tc>
        <w:tc>
          <w:tcPr>
            <w:tcW w:w="302" w:type="pct"/>
            <w:noWrap w:val="0"/>
            <w:vAlign w:val="center"/>
          </w:tcPr>
          <w:p w14:paraId="52431E4F">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θ</w:t>
            </w:r>
          </w:p>
        </w:tc>
        <w:tc>
          <w:tcPr>
            <w:tcW w:w="1167" w:type="pct"/>
            <w:noWrap w:val="0"/>
            <w:vAlign w:val="center"/>
          </w:tcPr>
          <w:p w14:paraId="5071659E">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w:t>
            </w:r>
          </w:p>
        </w:tc>
        <w:tc>
          <w:tcPr>
            <w:tcW w:w="1420" w:type="pct"/>
            <w:noWrap w:val="0"/>
            <w:vAlign w:val="center"/>
          </w:tcPr>
          <w:p w14:paraId="7F0D7D5D">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lang w:val="en-US" w:eastAsia="zh-CN"/>
              </w:rPr>
            </w:pPr>
          </w:p>
        </w:tc>
        <w:tc>
          <w:tcPr>
            <w:tcW w:w="532" w:type="pct"/>
            <w:noWrap w:val="0"/>
            <w:vAlign w:val="center"/>
          </w:tcPr>
          <w:p w14:paraId="14D4B688">
            <w:pPr>
              <w:widowControl w:val="0"/>
              <w:spacing w:line="240" w:lineRule="auto"/>
              <w:ind w:left="0" w:leftChars="0"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kern w:val="2"/>
                <w:sz w:val="18"/>
                <w:szCs w:val="18"/>
                <w:highlight w:val="none"/>
                <w:vertAlign w:val="baseline"/>
                <w:lang w:val="en-US" w:eastAsia="zh-CN" w:bidi="ar-SA"/>
              </w:rPr>
              <w:t>45</w:t>
            </w:r>
          </w:p>
        </w:tc>
      </w:tr>
      <w:tr w14:paraId="436F0C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14:paraId="2F99831B">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4.4</w:t>
            </w:r>
          </w:p>
        </w:tc>
        <w:tc>
          <w:tcPr>
            <w:tcW w:w="1311" w:type="pct"/>
            <w:noWrap w:val="0"/>
            <w:vAlign w:val="center"/>
          </w:tcPr>
          <w:p w14:paraId="16F0D764">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坡长指数</w:t>
            </w:r>
          </w:p>
        </w:tc>
        <w:tc>
          <w:tcPr>
            <w:tcW w:w="302" w:type="pct"/>
            <w:noWrap w:val="0"/>
            <w:vAlign w:val="center"/>
          </w:tcPr>
          <w:p w14:paraId="3E1E1A21">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m</w:t>
            </w:r>
          </w:p>
        </w:tc>
        <w:tc>
          <w:tcPr>
            <w:tcW w:w="1167" w:type="pct"/>
            <w:noWrap w:val="0"/>
            <w:vAlign w:val="center"/>
          </w:tcPr>
          <w:p w14:paraId="27BEB6D7">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p>
        </w:tc>
        <w:tc>
          <w:tcPr>
            <w:tcW w:w="1420" w:type="pct"/>
            <w:noWrap w:val="0"/>
            <w:vAlign w:val="center"/>
          </w:tcPr>
          <w:p w14:paraId="1C16206F">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p>
        </w:tc>
        <w:tc>
          <w:tcPr>
            <w:tcW w:w="532" w:type="pct"/>
            <w:noWrap w:val="0"/>
            <w:vAlign w:val="center"/>
          </w:tcPr>
          <w:p w14:paraId="78E59AED">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rPr>
              <w:t>0.406</w:t>
            </w:r>
          </w:p>
        </w:tc>
      </w:tr>
      <w:tr w14:paraId="191AF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14:paraId="7F7D02C4">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5</w:t>
            </w:r>
          </w:p>
        </w:tc>
        <w:tc>
          <w:tcPr>
            <w:tcW w:w="1311" w:type="pct"/>
            <w:noWrap w:val="0"/>
            <w:vAlign w:val="center"/>
          </w:tcPr>
          <w:p w14:paraId="6449D81C">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坡度因子</w:t>
            </w:r>
          </w:p>
        </w:tc>
        <w:tc>
          <w:tcPr>
            <w:tcW w:w="302" w:type="pct"/>
            <w:noWrap w:val="0"/>
            <w:vAlign w:val="center"/>
          </w:tcPr>
          <w:p w14:paraId="206416ED">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S</w:t>
            </w:r>
            <w:r>
              <w:rPr>
                <w:rFonts w:hint="default" w:ascii="Times New Roman" w:hAnsi="Times New Roman" w:eastAsia="仿宋_GB2312" w:cs="Times New Roman"/>
                <w:b w:val="0"/>
                <w:bCs w:val="0"/>
                <w:color w:val="auto"/>
                <w:sz w:val="18"/>
                <w:szCs w:val="18"/>
                <w:highlight w:val="none"/>
                <w:vertAlign w:val="subscript"/>
              </w:rPr>
              <w:t>y</w:t>
            </w:r>
          </w:p>
        </w:tc>
        <w:tc>
          <w:tcPr>
            <w:tcW w:w="1167" w:type="pct"/>
            <w:noWrap w:val="0"/>
            <w:vAlign w:val="center"/>
          </w:tcPr>
          <w:p w14:paraId="00A180C9">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p>
        </w:tc>
        <w:tc>
          <w:tcPr>
            <w:tcW w:w="1420" w:type="pct"/>
            <w:noWrap w:val="0"/>
            <w:vAlign w:val="center"/>
          </w:tcPr>
          <w:p w14:paraId="298586D1">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S</w:t>
            </w:r>
            <w:r>
              <w:rPr>
                <w:rFonts w:hint="default" w:ascii="Times New Roman" w:hAnsi="Times New Roman" w:eastAsia="仿宋_GB2312" w:cs="Times New Roman"/>
                <w:b w:val="0"/>
                <w:bCs w:val="0"/>
                <w:color w:val="auto"/>
                <w:sz w:val="18"/>
                <w:szCs w:val="18"/>
                <w:highlight w:val="none"/>
                <w:vertAlign w:val="subscript"/>
              </w:rPr>
              <w:t>y</w:t>
            </w:r>
            <w:r>
              <w:rPr>
                <w:rFonts w:hint="default" w:ascii="Times New Roman" w:hAnsi="Times New Roman" w:eastAsia="仿宋_GB2312" w:cs="Times New Roman"/>
                <w:b w:val="0"/>
                <w:bCs w:val="0"/>
                <w:color w:val="auto"/>
                <w:sz w:val="18"/>
                <w:szCs w:val="18"/>
                <w:highlight w:val="none"/>
              </w:rPr>
              <w:t>=-1.5+17/[1+e</w:t>
            </w:r>
            <w:r>
              <w:rPr>
                <w:rFonts w:hint="default" w:ascii="Times New Roman" w:hAnsi="Times New Roman" w:eastAsia="仿宋_GB2312" w:cs="Times New Roman"/>
                <w:b w:val="0"/>
                <w:bCs w:val="0"/>
                <w:color w:val="auto"/>
                <w:sz w:val="18"/>
                <w:szCs w:val="18"/>
                <w:highlight w:val="none"/>
                <w:vertAlign w:val="superscript"/>
              </w:rPr>
              <w:t>（2.3-6.1sinθ）</w:t>
            </w:r>
            <w:r>
              <w:rPr>
                <w:rFonts w:hint="default" w:ascii="Times New Roman" w:hAnsi="Times New Roman" w:eastAsia="仿宋_GB2312" w:cs="Times New Roman"/>
                <w:b w:val="0"/>
                <w:bCs w:val="0"/>
                <w:color w:val="auto"/>
                <w:sz w:val="18"/>
                <w:szCs w:val="18"/>
                <w:highlight w:val="none"/>
              </w:rPr>
              <w:t>]</w:t>
            </w:r>
          </w:p>
        </w:tc>
        <w:tc>
          <w:tcPr>
            <w:tcW w:w="532" w:type="pct"/>
            <w:noWrap w:val="0"/>
            <w:vAlign w:val="center"/>
          </w:tcPr>
          <w:p w14:paraId="78258259">
            <w:pPr>
              <w:widowControl w:val="0"/>
              <w:spacing w:line="240" w:lineRule="auto"/>
              <w:ind w:left="0" w:leftChars="0"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rPr>
              <w:t>0.58</w:t>
            </w:r>
          </w:p>
        </w:tc>
      </w:tr>
      <w:tr w14:paraId="0CA3A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14:paraId="12B0208B">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5.1</w:t>
            </w:r>
          </w:p>
        </w:tc>
        <w:tc>
          <w:tcPr>
            <w:tcW w:w="1311" w:type="pct"/>
            <w:noWrap w:val="0"/>
            <w:vAlign w:val="center"/>
          </w:tcPr>
          <w:p w14:paraId="42ABFF4B">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自然对数的底</w:t>
            </w:r>
          </w:p>
        </w:tc>
        <w:tc>
          <w:tcPr>
            <w:tcW w:w="302" w:type="pct"/>
            <w:noWrap w:val="0"/>
            <w:vAlign w:val="center"/>
          </w:tcPr>
          <w:p w14:paraId="0CE911D6">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e</w:t>
            </w:r>
          </w:p>
        </w:tc>
        <w:tc>
          <w:tcPr>
            <w:tcW w:w="1167" w:type="pct"/>
            <w:noWrap w:val="0"/>
            <w:vAlign w:val="center"/>
          </w:tcPr>
          <w:p w14:paraId="16F628A4">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p>
        </w:tc>
        <w:tc>
          <w:tcPr>
            <w:tcW w:w="1420" w:type="pct"/>
            <w:noWrap w:val="0"/>
            <w:vAlign w:val="center"/>
          </w:tcPr>
          <w:p w14:paraId="56B6FC64">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取2.72</w:t>
            </w:r>
          </w:p>
        </w:tc>
        <w:tc>
          <w:tcPr>
            <w:tcW w:w="532" w:type="pct"/>
            <w:noWrap w:val="0"/>
            <w:vAlign w:val="center"/>
          </w:tcPr>
          <w:p w14:paraId="4E352039">
            <w:pPr>
              <w:widowControl w:val="0"/>
              <w:spacing w:line="240" w:lineRule="auto"/>
              <w:ind w:left="0" w:leftChars="0"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rPr>
              <w:t>2.72</w:t>
            </w:r>
          </w:p>
        </w:tc>
      </w:tr>
      <w:tr w14:paraId="4AB3C5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14:paraId="7A803F1A">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6</w:t>
            </w:r>
          </w:p>
        </w:tc>
        <w:tc>
          <w:tcPr>
            <w:tcW w:w="1311" w:type="pct"/>
            <w:noWrap w:val="0"/>
            <w:vAlign w:val="center"/>
          </w:tcPr>
          <w:p w14:paraId="7EEB3892">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植被覆盖因子</w:t>
            </w:r>
          </w:p>
        </w:tc>
        <w:tc>
          <w:tcPr>
            <w:tcW w:w="302" w:type="pct"/>
            <w:noWrap w:val="0"/>
            <w:vAlign w:val="center"/>
          </w:tcPr>
          <w:p w14:paraId="7761CE86">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B</w:t>
            </w:r>
          </w:p>
        </w:tc>
        <w:tc>
          <w:tcPr>
            <w:tcW w:w="1167" w:type="pct"/>
            <w:noWrap w:val="0"/>
            <w:vAlign w:val="center"/>
          </w:tcPr>
          <w:p w14:paraId="5875E3B9">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p>
        </w:tc>
        <w:tc>
          <w:tcPr>
            <w:tcW w:w="1420" w:type="pct"/>
            <w:noWrap w:val="0"/>
            <w:vAlign w:val="center"/>
          </w:tcPr>
          <w:p w14:paraId="5174304C">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参照SL773-2018“6.2.6节”</w:t>
            </w:r>
          </w:p>
        </w:tc>
        <w:tc>
          <w:tcPr>
            <w:tcW w:w="532" w:type="pct"/>
            <w:noWrap w:val="0"/>
            <w:vAlign w:val="center"/>
          </w:tcPr>
          <w:p w14:paraId="43AF783C">
            <w:pPr>
              <w:widowControl w:val="0"/>
              <w:spacing w:line="240" w:lineRule="auto"/>
              <w:ind w:left="0" w:leftChars="0"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rPr>
              <w:t>0.242</w:t>
            </w:r>
          </w:p>
        </w:tc>
      </w:tr>
      <w:tr w14:paraId="0AE78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14:paraId="010535B8">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7</w:t>
            </w:r>
          </w:p>
        </w:tc>
        <w:tc>
          <w:tcPr>
            <w:tcW w:w="1311" w:type="pct"/>
            <w:noWrap w:val="0"/>
            <w:vAlign w:val="center"/>
          </w:tcPr>
          <w:p w14:paraId="583EF771">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工程措施因子</w:t>
            </w:r>
          </w:p>
        </w:tc>
        <w:tc>
          <w:tcPr>
            <w:tcW w:w="302" w:type="pct"/>
            <w:noWrap w:val="0"/>
            <w:vAlign w:val="center"/>
          </w:tcPr>
          <w:p w14:paraId="0D897AF7">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E</w:t>
            </w:r>
          </w:p>
        </w:tc>
        <w:tc>
          <w:tcPr>
            <w:tcW w:w="1167" w:type="pct"/>
            <w:noWrap w:val="0"/>
            <w:vAlign w:val="center"/>
          </w:tcPr>
          <w:p w14:paraId="6AB38008">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p>
        </w:tc>
        <w:tc>
          <w:tcPr>
            <w:tcW w:w="1420" w:type="pct"/>
            <w:noWrap w:val="0"/>
            <w:vAlign w:val="center"/>
          </w:tcPr>
          <w:p w14:paraId="131EC7DB">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参照SL773-2018“6.2.7节”</w:t>
            </w:r>
          </w:p>
        </w:tc>
        <w:tc>
          <w:tcPr>
            <w:tcW w:w="532" w:type="pct"/>
            <w:noWrap w:val="0"/>
            <w:vAlign w:val="center"/>
          </w:tcPr>
          <w:p w14:paraId="2BF2A945">
            <w:pPr>
              <w:widowControl w:val="0"/>
              <w:spacing w:line="240" w:lineRule="auto"/>
              <w:ind w:left="0" w:leftChars="0" w:firstLine="0" w:firstLineChars="0"/>
              <w:jc w:val="center"/>
              <w:rPr>
                <w:rFonts w:hint="default" w:ascii="Times New Roman" w:hAnsi="Times New Roman" w:eastAsia="仿宋_GB2312" w:cs="Times New Roman"/>
                <w:b w:val="0"/>
                <w:bCs w:val="0"/>
                <w:color w:val="auto"/>
                <w:sz w:val="18"/>
                <w:szCs w:val="18"/>
                <w:highlight w:val="none"/>
                <w:vertAlign w:val="baseline"/>
                <w:lang w:val="en-US" w:eastAsia="zh-CN"/>
              </w:rPr>
            </w:pPr>
            <w:r>
              <w:rPr>
                <w:rFonts w:hint="default" w:ascii="Times New Roman" w:hAnsi="Times New Roman" w:eastAsia="仿宋_GB2312" w:cs="Times New Roman"/>
                <w:b w:val="0"/>
                <w:bCs w:val="0"/>
                <w:color w:val="auto"/>
                <w:sz w:val="18"/>
                <w:szCs w:val="18"/>
                <w:highlight w:val="none"/>
                <w:lang w:val="en-US" w:eastAsia="zh-CN"/>
              </w:rPr>
              <w:t>1</w:t>
            </w:r>
          </w:p>
        </w:tc>
      </w:tr>
      <w:tr w14:paraId="7F5D47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14:paraId="7D75A337">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8</w:t>
            </w:r>
          </w:p>
        </w:tc>
        <w:tc>
          <w:tcPr>
            <w:tcW w:w="1311" w:type="pct"/>
            <w:noWrap w:val="0"/>
            <w:vAlign w:val="center"/>
          </w:tcPr>
          <w:p w14:paraId="531B5BC5">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耕作措施因子</w:t>
            </w:r>
          </w:p>
        </w:tc>
        <w:tc>
          <w:tcPr>
            <w:tcW w:w="302" w:type="pct"/>
            <w:noWrap w:val="0"/>
            <w:vAlign w:val="center"/>
          </w:tcPr>
          <w:p w14:paraId="4B3562D5">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T</w:t>
            </w:r>
          </w:p>
        </w:tc>
        <w:tc>
          <w:tcPr>
            <w:tcW w:w="1167" w:type="pct"/>
            <w:noWrap w:val="0"/>
            <w:vAlign w:val="center"/>
          </w:tcPr>
          <w:p w14:paraId="2B02632D">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p>
        </w:tc>
        <w:tc>
          <w:tcPr>
            <w:tcW w:w="1420" w:type="pct"/>
            <w:noWrap w:val="0"/>
            <w:vAlign w:val="center"/>
          </w:tcPr>
          <w:p w14:paraId="16B66007">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参照SL773-2018“6.2.8节”</w:t>
            </w:r>
          </w:p>
        </w:tc>
        <w:tc>
          <w:tcPr>
            <w:tcW w:w="532" w:type="pct"/>
            <w:noWrap w:val="0"/>
            <w:vAlign w:val="center"/>
          </w:tcPr>
          <w:p w14:paraId="0C6EF282">
            <w:pPr>
              <w:widowControl w:val="0"/>
              <w:spacing w:line="240" w:lineRule="auto"/>
              <w:ind w:left="0" w:leftChars="0" w:firstLine="0" w:firstLineChars="0"/>
              <w:jc w:val="center"/>
              <w:rPr>
                <w:rFonts w:hint="default" w:ascii="Times New Roman" w:hAnsi="Times New Roman" w:eastAsia="仿宋_GB2312" w:cs="Times New Roman"/>
                <w:b w:val="0"/>
                <w:bCs w:val="0"/>
                <w:color w:val="auto"/>
                <w:sz w:val="18"/>
                <w:szCs w:val="18"/>
                <w:highlight w:val="none"/>
                <w:vertAlign w:val="baseline"/>
                <w:lang w:val="en-US" w:eastAsia="zh-CN"/>
              </w:rPr>
            </w:pPr>
            <w:r>
              <w:rPr>
                <w:rFonts w:hint="default" w:ascii="Times New Roman" w:hAnsi="Times New Roman" w:eastAsia="仿宋_GB2312" w:cs="Times New Roman"/>
                <w:b w:val="0"/>
                <w:bCs w:val="0"/>
                <w:color w:val="auto"/>
                <w:sz w:val="18"/>
                <w:szCs w:val="18"/>
                <w:highlight w:val="none"/>
                <w:lang w:val="en-US" w:eastAsia="zh-CN"/>
              </w:rPr>
              <w:t>1</w:t>
            </w:r>
          </w:p>
        </w:tc>
      </w:tr>
    </w:tbl>
    <w:p w14:paraId="2C902D9A">
      <w:pPr>
        <w:keepNext w:val="0"/>
        <w:keepLines w:val="0"/>
        <w:pageBreakBefore w:val="0"/>
        <w:widowControl w:val="0"/>
        <w:kinsoku/>
        <w:wordWrap/>
        <w:overflowPunct/>
        <w:topLinePunct w:val="0"/>
        <w:autoSpaceDE/>
        <w:autoSpaceDN/>
        <w:bidi w:val="0"/>
        <w:adjustRightInd/>
        <w:snapToGrid/>
        <w:spacing w:beforeLines="50" w:after="0" w:line="360" w:lineRule="auto"/>
        <w:ind w:firstLine="422" w:firstLineChars="200"/>
        <w:textAlignment w:val="auto"/>
        <w:outlineLvl w:val="9"/>
        <w:rPr>
          <w:rFonts w:hint="default" w:ascii="Times New Roman" w:hAnsi="Times New Roman" w:eastAsia="仿宋_GB2312" w:cs="Times New Roman"/>
          <w:color w:val="auto"/>
          <w:sz w:val="21"/>
          <w:szCs w:val="21"/>
        </w:rPr>
      </w:pPr>
      <w:r>
        <w:rPr>
          <w:rFonts w:hint="default" w:ascii="Times New Roman" w:hAnsi="Times New Roman" w:eastAsia="仿宋_GB2312" w:cs="Times New Roman"/>
          <w:b/>
          <w:bCs/>
          <w:color w:val="auto"/>
          <w:kern w:val="0"/>
          <w:sz w:val="21"/>
          <w:lang w:eastAsia="zh-CN"/>
        </w:rPr>
        <w:t>注：</w:t>
      </w:r>
      <w:r>
        <w:rPr>
          <w:rFonts w:hint="default" w:ascii="Times New Roman" w:hAnsi="Times New Roman" w:eastAsia="仿宋_GB2312" w:cs="Times New Roman"/>
          <w:b/>
          <w:bCs/>
          <w:color w:val="auto"/>
          <w:kern w:val="0"/>
          <w:sz w:val="21"/>
          <w:szCs w:val="21"/>
          <w:lang w:eastAsia="zh-CN"/>
        </w:rPr>
        <w:t>上表计算结果为自然恢复期</w:t>
      </w:r>
      <w:r>
        <w:rPr>
          <w:rFonts w:hint="default" w:ascii="Times New Roman" w:hAnsi="Times New Roman" w:eastAsia="仿宋_GB2312" w:cs="Times New Roman"/>
          <w:b/>
          <w:bCs/>
          <w:color w:val="auto"/>
          <w:sz w:val="21"/>
          <w:szCs w:val="21"/>
          <w:lang w:val="en-US" w:eastAsia="zh-CN"/>
        </w:rPr>
        <w:t>土壤侵蚀模数平均值</w:t>
      </w:r>
    </w:p>
    <w:p w14:paraId="09A4D725">
      <w:pPr>
        <w:pStyle w:val="4"/>
        <w:widowControl/>
        <w:spacing w:after="120" w:afterLines="50" w:line="360" w:lineRule="auto"/>
        <w:outlineLvl w:val="2"/>
        <w:rPr>
          <w:rFonts w:hint="default" w:ascii="Times New Roman" w:hAnsi="Times New Roman" w:eastAsia="仿宋_GB2312" w:cs="Times New Roman"/>
          <w:b/>
          <w:color w:val="auto"/>
          <w:szCs w:val="24"/>
          <w:lang w:eastAsia="zh-CN"/>
        </w:rPr>
      </w:pPr>
      <w:r>
        <w:rPr>
          <w:rFonts w:hint="default" w:ascii="Times New Roman" w:hAnsi="Times New Roman" w:eastAsia="仿宋_GB2312" w:cs="Times New Roman"/>
          <w:b/>
          <w:color w:val="auto"/>
          <w:szCs w:val="24"/>
        </w:rPr>
        <w:t>4.</w:t>
      </w:r>
      <w:r>
        <w:rPr>
          <w:rFonts w:hint="default" w:ascii="Times New Roman" w:hAnsi="Times New Roman" w:cs="Times New Roman"/>
          <w:b/>
          <w:color w:val="auto"/>
          <w:szCs w:val="24"/>
          <w:lang w:val="en-US" w:eastAsia="zh-CN"/>
        </w:rPr>
        <w:t>3</w:t>
      </w:r>
      <w:r>
        <w:rPr>
          <w:rFonts w:hint="default" w:ascii="Times New Roman" w:hAnsi="Times New Roman" w:eastAsia="仿宋_GB2312" w:cs="Times New Roman"/>
          <w:b/>
          <w:color w:val="auto"/>
          <w:szCs w:val="24"/>
        </w:rPr>
        <w:t>.</w:t>
      </w:r>
      <w:r>
        <w:rPr>
          <w:rFonts w:hint="default" w:ascii="Times New Roman" w:hAnsi="Times New Roman" w:eastAsia="仿宋_GB2312" w:cs="Times New Roman"/>
          <w:b/>
          <w:color w:val="auto"/>
          <w:szCs w:val="24"/>
          <w:lang w:val="en-US" w:eastAsia="zh-CN"/>
        </w:rPr>
        <w:t>4</w:t>
      </w:r>
      <w:r>
        <w:rPr>
          <w:rFonts w:hint="default" w:ascii="Times New Roman" w:hAnsi="Times New Roman" w:eastAsia="仿宋_GB2312" w:cs="Times New Roman"/>
          <w:b/>
          <w:color w:val="auto"/>
          <w:szCs w:val="24"/>
          <w:lang w:eastAsia="zh-CN"/>
        </w:rPr>
        <w:t>调查结果</w:t>
      </w:r>
    </w:p>
    <w:p w14:paraId="21579F08">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调查与预测时段、土壤侵蚀模数、水土流失面积等，对施工期、自然恢复期水土流失量分别进行定量计算，当调查与预测单元土壤侵蚀强度恢复到原地貌土壤侵蚀模数以下时，不再计算。本项目区水土流失类型主要为水力侵蚀，水土流失</w:t>
      </w:r>
      <w:r>
        <w:rPr>
          <w:rFonts w:hint="default" w:ascii="Times New Roman" w:hAnsi="Times New Roman" w:eastAsia="仿宋_GB2312" w:cs="Times New Roman"/>
          <w:color w:val="auto"/>
          <w:sz w:val="24"/>
          <w:szCs w:val="24"/>
          <w:lang w:eastAsia="zh-CN"/>
        </w:rPr>
        <w:t>调查与</w:t>
      </w:r>
      <w:r>
        <w:rPr>
          <w:rFonts w:hint="default" w:ascii="Times New Roman" w:hAnsi="Times New Roman" w:eastAsia="仿宋_GB2312" w:cs="Times New Roman"/>
          <w:color w:val="auto"/>
          <w:sz w:val="24"/>
          <w:szCs w:val="24"/>
        </w:rPr>
        <w:t>预测采用《生产建设项目水土保持技术标准》（GB 50433-2018）推荐的经验公式进行计算预测，水土流失量计算公式如下：</w:t>
      </w:r>
    </w:p>
    <w:p w14:paraId="3A4821AE">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rPr>
        <w:drawing>
          <wp:inline distT="0" distB="0" distL="114300" distR="114300">
            <wp:extent cx="1714500" cy="485140"/>
            <wp:effectExtent l="0" t="0" r="0" b="11430"/>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1"/>
                    </pic:cNvPicPr>
                  </pic:nvPicPr>
                  <pic:blipFill>
                    <a:blip r:embed="rId45" cstate="print"/>
                    <a:stretch>
                      <a:fillRect/>
                    </a:stretch>
                  </pic:blipFill>
                  <pic:spPr>
                    <a:xfrm>
                      <a:off x="0" y="0"/>
                      <a:ext cx="1714500" cy="485140"/>
                    </a:xfrm>
                    <a:prstGeom prst="rect">
                      <a:avLst/>
                    </a:prstGeom>
                    <a:noFill/>
                    <a:ln>
                      <a:noFill/>
                    </a:ln>
                  </pic:spPr>
                </pic:pic>
              </a:graphicData>
            </a:graphic>
          </wp:inline>
        </w:drawing>
      </w:r>
      <w:r>
        <w:rPr>
          <w:rFonts w:hint="default" w:ascii="Times New Roman" w:hAnsi="Times New Roman" w:eastAsia="仿宋_GB2312" w:cs="Times New Roman"/>
          <w:color w:val="auto"/>
          <w:sz w:val="24"/>
          <w:szCs w:val="24"/>
        </w:rPr>
        <w:t xml:space="preserve">     （1）</w:t>
      </w:r>
    </w:p>
    <w:p w14:paraId="2C6FDB8B">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drawing>
          <wp:inline distT="0" distB="0" distL="114300" distR="114300">
            <wp:extent cx="1876425" cy="485140"/>
            <wp:effectExtent l="0" t="0" r="0" b="1143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46" cstate="print"/>
                    <a:stretch>
                      <a:fillRect/>
                    </a:stretch>
                  </pic:blipFill>
                  <pic:spPr>
                    <a:xfrm>
                      <a:off x="0" y="0"/>
                      <a:ext cx="1876425" cy="485140"/>
                    </a:xfrm>
                    <a:prstGeom prst="rect">
                      <a:avLst/>
                    </a:prstGeom>
                    <a:noFill/>
                    <a:ln>
                      <a:noFill/>
                    </a:ln>
                  </pic:spPr>
                </pic:pic>
              </a:graphicData>
            </a:graphic>
          </wp:inline>
        </w:drawing>
      </w:r>
      <w:r>
        <w:rPr>
          <w:rFonts w:hint="default" w:ascii="Times New Roman" w:hAnsi="Times New Roman" w:eastAsia="仿宋_GB2312" w:cs="Times New Roman"/>
          <w:color w:val="auto"/>
          <w:sz w:val="24"/>
          <w:szCs w:val="24"/>
        </w:rPr>
        <w:t xml:space="preserve">    （2）</w:t>
      </w:r>
    </w:p>
    <w:p w14:paraId="434E62C8">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drawing>
          <wp:inline distT="0" distB="0" distL="114300" distR="114300">
            <wp:extent cx="2038350" cy="428625"/>
            <wp:effectExtent l="0" t="0" r="0" b="889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47" cstate="print"/>
                    <a:stretch>
                      <a:fillRect/>
                    </a:stretch>
                  </pic:blipFill>
                  <pic:spPr>
                    <a:xfrm>
                      <a:off x="0" y="0"/>
                      <a:ext cx="2038350" cy="428625"/>
                    </a:xfrm>
                    <a:prstGeom prst="rect">
                      <a:avLst/>
                    </a:prstGeom>
                    <a:noFill/>
                    <a:ln>
                      <a:noFill/>
                    </a:ln>
                  </pic:spPr>
                </pic:pic>
              </a:graphicData>
            </a:graphic>
          </wp:inline>
        </w:drawing>
      </w:r>
      <w:r>
        <w:rPr>
          <w:rFonts w:hint="default" w:ascii="Times New Roman" w:hAnsi="Times New Roman" w:eastAsia="仿宋_GB2312" w:cs="Times New Roman"/>
          <w:color w:val="auto"/>
          <w:sz w:val="24"/>
          <w:szCs w:val="24"/>
        </w:rPr>
        <w:t xml:space="preserve">  （3）</w:t>
      </w:r>
    </w:p>
    <w:p w14:paraId="14166F8E">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式中：W——扰动地表土壤流失量，t；</w:t>
      </w:r>
    </w:p>
    <w:p w14:paraId="7E4080B4">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2"/>
        </w:rPr>
        <mc:AlternateContent>
          <mc:Choice Requires="wps">
            <w:drawing>
              <wp:anchor distT="0" distB="0" distL="114300" distR="114300" simplePos="0" relativeHeight="251678720" behindDoc="0" locked="0" layoutInCell="1" allowOverlap="1">
                <wp:simplePos x="0" y="0"/>
                <wp:positionH relativeFrom="column">
                  <wp:posOffset>292735</wp:posOffset>
                </wp:positionH>
                <wp:positionV relativeFrom="paragraph">
                  <wp:posOffset>47625</wp:posOffset>
                </wp:positionV>
                <wp:extent cx="76200" cy="93980"/>
                <wp:effectExtent l="9525" t="17145" r="9525" b="22225"/>
                <wp:wrapNone/>
                <wp:docPr id="66" name="等腰三角形 66"/>
                <wp:cNvGraphicFramePr/>
                <a:graphic xmlns:a="http://schemas.openxmlformats.org/drawingml/2006/main">
                  <a:graphicData uri="http://schemas.microsoft.com/office/word/2010/wordprocessingShape">
                    <wps:wsp>
                      <wps:cNvSpPr/>
                      <wps:spPr>
                        <a:xfrm>
                          <a:off x="4544060" y="2882900"/>
                          <a:ext cx="76200" cy="93980"/>
                        </a:xfrm>
                        <a:prstGeom prst="triangle">
                          <a:avLst>
                            <a:gd name="adj" fmla="val 50000"/>
                          </a:avLst>
                        </a:prstGeom>
                        <a:solidFill>
                          <a:schemeClr val="bg1"/>
                        </a:solid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4AB2D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3.05pt;margin-top:3.75pt;height:7.4pt;width:6pt;z-index:251678720;v-text-anchor:middle;mso-width-relative:page;mso-height-relative:page;" fillcolor="#FFFFFF [3212]" filled="t" stroked="t" coordsize="21600,21600" o:gfxdata="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FYOFo/XAAAABgEAAA8AAAAAAAAA&#10;AQAgAAAAIgAAAGRycy9kb3ducmV2LnhtbFBLAQIUABQAAAAIAIdO4kDsEuIZvQIAAGUFAAAOAAAA&#10;AAAAAAEAIAAAACYBAABkcnMvZTJvRG9jLnhtbFBLBQYAAAAABgAGAFkBAABVBgAAAAA=&#10;" adj="10800">
                <v:fill on="t" focussize="0,0"/>
                <v:stroke weight="1pt" color="#000000 [3204]" miterlimit="8" joinstyle="miter"/>
                <v:imagedata o:title=""/>
                <o:lock v:ext="edit" aspectratio="f"/>
                <v:textbox>
                  <w:txbxContent>
                    <w:p w14:paraId="384AB2D5">
                      <w:pPr>
                        <w:jc w:val="center"/>
                      </w:pPr>
                    </w:p>
                  </w:txbxContent>
                </v:textbox>
              </v:shape>
            </w:pict>
          </mc:Fallback>
        </mc:AlternateContent>
      </w:r>
      <w:r>
        <w:rPr>
          <w:rFonts w:hint="default" w:ascii="Times New Roman" w:hAnsi="Times New Roman" w:eastAsia="仿宋_GB2312" w:cs="Times New Roman"/>
          <w:color w:val="auto"/>
          <w:sz w:val="24"/>
          <w:szCs w:val="24"/>
        </w:rPr>
        <w:t xml:space="preserve"> W——扰动地表新增土壤流失量，t；</w:t>
      </w:r>
    </w:p>
    <w:p w14:paraId="08826AD9">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i ——</w:t>
      </w:r>
      <w:r>
        <w:rPr>
          <w:rFonts w:hint="default" w:ascii="Times New Roman" w:hAnsi="Times New Roman" w:eastAsia="仿宋_GB2312" w:cs="Times New Roman"/>
          <w:color w:val="auto"/>
          <w:sz w:val="24"/>
          <w:szCs w:val="24"/>
          <w:lang w:eastAsia="zh-CN"/>
        </w:rPr>
        <w:t>调查</w:t>
      </w:r>
      <w:r>
        <w:rPr>
          <w:rFonts w:hint="default" w:ascii="Times New Roman" w:hAnsi="Times New Roman" w:eastAsia="仿宋_GB2312" w:cs="Times New Roman"/>
          <w:color w:val="auto"/>
          <w:sz w:val="24"/>
          <w:szCs w:val="24"/>
        </w:rPr>
        <w:t>单元，1，2，3，……， n；</w:t>
      </w:r>
    </w:p>
    <w:p w14:paraId="7DBC71E4">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k ——</w:t>
      </w:r>
      <w:r>
        <w:rPr>
          <w:rFonts w:hint="default" w:ascii="Times New Roman" w:hAnsi="Times New Roman" w:eastAsia="仿宋_GB2312" w:cs="Times New Roman"/>
          <w:color w:val="auto"/>
          <w:sz w:val="24"/>
          <w:szCs w:val="24"/>
          <w:lang w:eastAsia="zh-CN"/>
        </w:rPr>
        <w:t>调查</w:t>
      </w:r>
      <w:r>
        <w:rPr>
          <w:rFonts w:hint="default" w:ascii="Times New Roman" w:hAnsi="Times New Roman" w:eastAsia="仿宋_GB2312" w:cs="Times New Roman"/>
          <w:color w:val="auto"/>
          <w:sz w:val="24"/>
          <w:szCs w:val="24"/>
        </w:rPr>
        <w:t>时段，1，2，3，指施工准备期、施工期和自然恢复期；</w:t>
      </w:r>
    </w:p>
    <w:p w14:paraId="262A8EDE">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Fi ——第i个</w:t>
      </w:r>
      <w:r>
        <w:rPr>
          <w:rFonts w:hint="default" w:ascii="Times New Roman" w:hAnsi="Times New Roman" w:eastAsia="仿宋_GB2312" w:cs="Times New Roman"/>
          <w:color w:val="auto"/>
          <w:sz w:val="24"/>
          <w:szCs w:val="24"/>
          <w:lang w:eastAsia="zh-CN"/>
        </w:rPr>
        <w:t>调查</w:t>
      </w:r>
      <w:r>
        <w:rPr>
          <w:rFonts w:hint="default" w:ascii="Times New Roman" w:hAnsi="Times New Roman" w:eastAsia="仿宋_GB2312" w:cs="Times New Roman"/>
          <w:color w:val="auto"/>
          <w:sz w:val="24"/>
          <w:szCs w:val="24"/>
        </w:rPr>
        <w:t>单元的水土流失面积，km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w:t>
      </w:r>
    </w:p>
    <w:p w14:paraId="6C0E8532">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Mik——扰动后不同单元不同时段土壤侵蚀模数，t/（km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.a）；</w:t>
      </w:r>
    </w:p>
    <w:p w14:paraId="7E179889">
      <w:pPr>
        <w:spacing w:line="360" w:lineRule="auto"/>
        <w:ind w:firstLine="720" w:firstLineChars="3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2"/>
        </w:rPr>
        <mc:AlternateContent>
          <mc:Choice Requires="wps">
            <w:drawing>
              <wp:anchor distT="0" distB="0" distL="114300" distR="114300" simplePos="0" relativeHeight="251679744" behindDoc="0" locked="0" layoutInCell="1" allowOverlap="1">
                <wp:simplePos x="0" y="0"/>
                <wp:positionH relativeFrom="column">
                  <wp:posOffset>342265</wp:posOffset>
                </wp:positionH>
                <wp:positionV relativeFrom="paragraph">
                  <wp:posOffset>59055</wp:posOffset>
                </wp:positionV>
                <wp:extent cx="76200" cy="93980"/>
                <wp:effectExtent l="9525" t="17145" r="9525" b="22225"/>
                <wp:wrapNone/>
                <wp:docPr id="58" name="等腰三角形 58"/>
                <wp:cNvGraphicFramePr/>
                <a:graphic xmlns:a="http://schemas.openxmlformats.org/drawingml/2006/main">
                  <a:graphicData uri="http://schemas.microsoft.com/office/word/2010/wordprocessingShape">
                    <wps:wsp>
                      <wps:cNvSpPr/>
                      <wps:spPr>
                        <a:xfrm>
                          <a:off x="0" y="0"/>
                          <a:ext cx="76200" cy="93980"/>
                        </a:xfrm>
                        <a:prstGeom prst="triangle">
                          <a:avLst>
                            <a:gd name="adj" fmla="val 50000"/>
                          </a:avLst>
                        </a:prstGeom>
                        <a:solidFill>
                          <a:schemeClr val="bg1"/>
                        </a:solid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86207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6.95pt;margin-top:4.65pt;height:7.4pt;width:6pt;z-index:251679744;v-text-anchor:middle;mso-width-relative:page;mso-height-relative:page;" fillcolor="#FFFFFF [3212]" filled="t" stroked="t" coordsize="21600,21600" o:gfxdata="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DfS78TWAAAABgEAAA8AAAAAAAAAAQAgAAAAIgAAAGRycy9k&#10;b3ducmV2LnhtbFBLAQIUABQAAAAIAIdO4kDlkl/PrwIAAFkFAAAOAAAAAAAAAAEAIAAAACUBAABk&#10;cnMvZTJvRG9jLnhtbFBLBQYAAAAABgAGAFkBAABGBgAAAAA=&#10;" adj="10800">
                <v:fill on="t" focussize="0,0"/>
                <v:stroke weight="1pt" color="#000000 [3204]" miterlimit="8" joinstyle="miter"/>
                <v:imagedata o:title=""/>
                <o:lock v:ext="edit" aspectratio="f"/>
                <v:textbox>
                  <w:txbxContent>
                    <w:p w14:paraId="6786207A">
                      <w:pPr>
                        <w:jc w:val="center"/>
                      </w:pPr>
                    </w:p>
                  </w:txbxContent>
                </v:textbox>
              </v:shape>
            </w:pict>
          </mc:Fallback>
        </mc:AlternateContent>
      </w:r>
      <w:r>
        <w:rPr>
          <w:rFonts w:hint="default" w:ascii="Times New Roman" w:hAnsi="Times New Roman" w:eastAsia="仿宋_GB2312" w:cs="Times New Roman"/>
          <w:color w:val="auto"/>
          <w:sz w:val="24"/>
          <w:szCs w:val="24"/>
        </w:rPr>
        <w:t>Mik——不同单元各时段新增土壤侵蚀模数，t/（km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.a），只计正值，负值按0计；</w:t>
      </w:r>
    </w:p>
    <w:p w14:paraId="207EA653">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Mi0 ——不同</w:t>
      </w:r>
      <w:r>
        <w:rPr>
          <w:rFonts w:hint="default" w:ascii="Times New Roman" w:hAnsi="Times New Roman" w:eastAsia="仿宋_GB2312" w:cs="Times New Roman"/>
          <w:color w:val="auto"/>
          <w:sz w:val="24"/>
          <w:szCs w:val="24"/>
          <w:lang w:eastAsia="zh-CN"/>
        </w:rPr>
        <w:t>调查</w:t>
      </w:r>
      <w:r>
        <w:rPr>
          <w:rFonts w:hint="default" w:ascii="Times New Roman" w:hAnsi="Times New Roman" w:eastAsia="仿宋_GB2312" w:cs="Times New Roman"/>
          <w:color w:val="auto"/>
          <w:sz w:val="24"/>
          <w:szCs w:val="24"/>
        </w:rPr>
        <w:t>单元土壤侵蚀模数背景值，t/（km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.a）；</w:t>
      </w:r>
    </w:p>
    <w:p w14:paraId="1C90EF72">
      <w:pPr>
        <w:tabs>
          <w:tab w:val="left" w:pos="2420"/>
        </w:tabs>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Ti  ——</w:t>
      </w:r>
      <w:r>
        <w:rPr>
          <w:rFonts w:hint="default" w:ascii="Times New Roman" w:hAnsi="Times New Roman" w:eastAsia="仿宋_GB2312" w:cs="Times New Roman"/>
          <w:color w:val="auto"/>
          <w:sz w:val="24"/>
          <w:szCs w:val="24"/>
          <w:lang w:eastAsia="zh-CN"/>
        </w:rPr>
        <w:t>调查</w:t>
      </w:r>
      <w:r>
        <w:rPr>
          <w:rFonts w:hint="default" w:ascii="Times New Roman" w:hAnsi="Times New Roman" w:eastAsia="仿宋_GB2312" w:cs="Times New Roman"/>
          <w:color w:val="auto"/>
          <w:sz w:val="24"/>
          <w:szCs w:val="24"/>
        </w:rPr>
        <w:t>时段（扰动时段），a。</w:t>
      </w:r>
    </w:p>
    <w:p w14:paraId="7EC99564">
      <w:pPr>
        <w:tabs>
          <w:tab w:val="left" w:pos="2420"/>
        </w:tabs>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eastAsia="zh-CN"/>
        </w:rPr>
        <w:t>项目区调查土壤流失量见表</w:t>
      </w:r>
      <w:r>
        <w:rPr>
          <w:rFonts w:hint="default" w:ascii="Times New Roman" w:hAnsi="Times New Roman" w:eastAsia="仿宋_GB2312" w:cs="Times New Roman"/>
          <w:color w:val="auto"/>
          <w:sz w:val="24"/>
          <w:szCs w:val="24"/>
          <w:lang w:val="en-US" w:eastAsia="zh-CN"/>
        </w:rPr>
        <w:t>4.4-5。</w:t>
      </w:r>
    </w:p>
    <w:p w14:paraId="6F8D91A1">
      <w:pPr>
        <w:tabs>
          <w:tab w:val="left" w:pos="2420"/>
        </w:tabs>
        <w:spacing w:line="360" w:lineRule="auto"/>
        <w:ind w:left="0" w:leftChars="0" w:firstLine="0" w:firstLineChars="0"/>
        <w:jc w:val="center"/>
        <w:rPr>
          <w:rFonts w:hint="default" w:ascii="Times New Roman" w:hAnsi="Times New Roman" w:eastAsia="仿宋_GB2312" w:cs="Times New Roman"/>
          <w:b/>
          <w:color w:val="auto"/>
          <w:sz w:val="21"/>
          <w:szCs w:val="21"/>
        </w:rPr>
      </w:pPr>
    </w:p>
    <w:p w14:paraId="7389EC82">
      <w:pPr>
        <w:tabs>
          <w:tab w:val="left" w:pos="2420"/>
        </w:tabs>
        <w:spacing w:line="360" w:lineRule="auto"/>
        <w:ind w:left="0" w:leftChars="0" w:firstLine="0" w:firstLineChars="0"/>
        <w:jc w:val="center"/>
        <w:rPr>
          <w:rFonts w:hint="default" w:ascii="Times New Roman" w:hAnsi="Times New Roman" w:eastAsia="仿宋_GB2312" w:cs="Times New Roman"/>
          <w:b/>
          <w:color w:val="auto"/>
          <w:sz w:val="21"/>
          <w:szCs w:val="21"/>
        </w:rPr>
      </w:pPr>
    </w:p>
    <w:p w14:paraId="37668A45">
      <w:pPr>
        <w:tabs>
          <w:tab w:val="left" w:pos="2420"/>
        </w:tabs>
        <w:spacing w:line="360" w:lineRule="auto"/>
        <w:ind w:left="0" w:leftChars="0" w:firstLine="0" w:firstLineChars="0"/>
        <w:jc w:val="center"/>
        <w:rPr>
          <w:rFonts w:hint="default" w:ascii="Times New Roman" w:hAnsi="Times New Roman" w:eastAsia="仿宋_GB2312" w:cs="Times New Roman"/>
          <w:b/>
          <w:color w:val="auto"/>
          <w:sz w:val="21"/>
          <w:szCs w:val="21"/>
        </w:rPr>
      </w:pPr>
    </w:p>
    <w:p w14:paraId="4DEE1C15">
      <w:pPr>
        <w:tabs>
          <w:tab w:val="left" w:pos="2420"/>
        </w:tabs>
        <w:spacing w:line="360" w:lineRule="auto"/>
        <w:ind w:left="0" w:leftChars="0" w:firstLine="0" w:firstLineChars="0"/>
        <w:jc w:val="center"/>
        <w:rPr>
          <w:rFonts w:hint="default" w:ascii="Times New Roman" w:hAnsi="Times New Roman" w:eastAsia="仿宋_GB2312" w:cs="Times New Roman"/>
          <w:b/>
          <w:color w:val="auto"/>
          <w:sz w:val="21"/>
          <w:szCs w:val="21"/>
        </w:rPr>
      </w:pPr>
    </w:p>
    <w:p w14:paraId="14441B91">
      <w:pPr>
        <w:tabs>
          <w:tab w:val="left" w:pos="2420"/>
        </w:tabs>
        <w:spacing w:line="360" w:lineRule="auto"/>
        <w:ind w:left="0" w:leftChars="0" w:firstLine="0" w:firstLineChars="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表4.</w:t>
      </w:r>
      <w:r>
        <w:rPr>
          <w:rFonts w:hint="default" w:ascii="Times New Roman" w:hAnsi="Times New Roman" w:eastAsia="仿宋_GB2312" w:cs="Times New Roman"/>
          <w:b/>
          <w:color w:val="auto"/>
          <w:sz w:val="21"/>
          <w:szCs w:val="21"/>
          <w:lang w:val="en-US" w:eastAsia="zh-CN"/>
        </w:rPr>
        <w:t>4</w:t>
      </w:r>
      <w:r>
        <w:rPr>
          <w:rFonts w:hint="default" w:ascii="Times New Roman" w:hAnsi="Times New Roman" w:eastAsia="仿宋_GB2312" w:cs="Times New Roman"/>
          <w:b/>
          <w:color w:val="auto"/>
          <w:sz w:val="21"/>
          <w:szCs w:val="21"/>
        </w:rPr>
        <w:t>-</w:t>
      </w:r>
      <w:r>
        <w:rPr>
          <w:rFonts w:hint="default" w:ascii="Times New Roman" w:hAnsi="Times New Roman" w:eastAsia="仿宋_GB2312" w:cs="Times New Roman"/>
          <w:b/>
          <w:color w:val="auto"/>
          <w:sz w:val="21"/>
          <w:szCs w:val="21"/>
          <w:lang w:val="en-US" w:eastAsia="zh-CN"/>
        </w:rPr>
        <w:t>5</w:t>
      </w:r>
      <w:r>
        <w:rPr>
          <w:rFonts w:hint="default" w:ascii="Times New Roman" w:hAnsi="Times New Roman" w:eastAsia="仿宋_GB2312" w:cs="Times New Roman"/>
          <w:b/>
          <w:color w:val="auto"/>
          <w:sz w:val="21"/>
          <w:szCs w:val="21"/>
        </w:rPr>
        <w:t xml:space="preserve">  项目区土壤流失量计算表</w:t>
      </w:r>
    </w:p>
    <w:tbl>
      <w:tblPr>
        <w:tblStyle w:val="18"/>
        <w:tblW w:w="877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92"/>
        <w:gridCol w:w="800"/>
        <w:gridCol w:w="1045"/>
        <w:gridCol w:w="1104"/>
        <w:gridCol w:w="950"/>
        <w:gridCol w:w="942"/>
        <w:gridCol w:w="939"/>
        <w:gridCol w:w="961"/>
        <w:gridCol w:w="939"/>
      </w:tblGrid>
      <w:tr w14:paraId="466B5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7" w:hRule="exact"/>
        </w:trPr>
        <w:tc>
          <w:tcPr>
            <w:tcW w:w="1092" w:type="dxa"/>
            <w:tcBorders>
              <w:top w:val="single" w:color="000000" w:sz="12" w:space="0"/>
              <w:left w:val="single" w:color="000000" w:sz="12" w:space="0"/>
              <w:bottom w:val="single" w:color="000000" w:sz="8" w:space="0"/>
              <w:right w:val="single" w:color="000000" w:sz="8" w:space="0"/>
            </w:tcBorders>
            <w:shd w:val="clear" w:color="auto" w:fill="auto"/>
            <w:vAlign w:val="center"/>
          </w:tcPr>
          <w:p w14:paraId="1B119F2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调查单元</w:t>
            </w:r>
          </w:p>
        </w:tc>
        <w:tc>
          <w:tcPr>
            <w:tcW w:w="800" w:type="dxa"/>
            <w:tcBorders>
              <w:top w:val="single" w:color="000000" w:sz="12" w:space="0"/>
              <w:left w:val="single" w:color="000000" w:sz="8" w:space="0"/>
              <w:bottom w:val="single" w:color="000000" w:sz="8" w:space="0"/>
              <w:right w:val="single" w:color="000000" w:sz="8" w:space="0"/>
            </w:tcBorders>
            <w:shd w:val="clear" w:color="auto" w:fill="auto"/>
            <w:vAlign w:val="center"/>
          </w:tcPr>
          <w:p w14:paraId="16E95F1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调查时段</w:t>
            </w:r>
          </w:p>
        </w:tc>
        <w:tc>
          <w:tcPr>
            <w:tcW w:w="1045" w:type="dxa"/>
            <w:tcBorders>
              <w:top w:val="single" w:color="000000" w:sz="12" w:space="0"/>
              <w:left w:val="single" w:color="000000" w:sz="8" w:space="0"/>
              <w:bottom w:val="single" w:color="000000" w:sz="8" w:space="0"/>
              <w:right w:val="single" w:color="000000" w:sz="8" w:space="0"/>
            </w:tcBorders>
            <w:shd w:val="clear" w:color="auto" w:fill="auto"/>
            <w:vAlign w:val="center"/>
          </w:tcPr>
          <w:p w14:paraId="7273109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土壤侵蚀背景值（t/km</w:t>
            </w:r>
            <w:r>
              <w:rPr>
                <w:rFonts w:hint="default" w:ascii="Times New Roman" w:hAnsi="Times New Roman" w:eastAsia="仿宋_GB2312" w:cs="Times New Roman"/>
                <w:i w:val="0"/>
                <w:iCs w:val="0"/>
                <w:color w:val="000000"/>
                <w:kern w:val="0"/>
                <w:sz w:val="18"/>
                <w:szCs w:val="18"/>
                <w:u w:val="none"/>
                <w:vertAlign w:val="superscript"/>
                <w:lang w:val="en-US" w:eastAsia="zh-CN" w:bidi="ar"/>
              </w:rPr>
              <w:t>2</w:t>
            </w:r>
            <w:r>
              <w:rPr>
                <w:rFonts w:hint="default" w:ascii="Times New Roman" w:hAnsi="Times New Roman" w:eastAsia="仿宋_GB2312" w:cs="Times New Roman"/>
                <w:i w:val="0"/>
                <w:iCs w:val="0"/>
                <w:color w:val="000000"/>
                <w:kern w:val="0"/>
                <w:sz w:val="18"/>
                <w:szCs w:val="18"/>
                <w:u w:val="none"/>
                <w:lang w:val="en-US" w:eastAsia="zh-CN" w:bidi="ar"/>
              </w:rPr>
              <w:t>·a）</w:t>
            </w:r>
          </w:p>
        </w:tc>
        <w:tc>
          <w:tcPr>
            <w:tcW w:w="1104" w:type="dxa"/>
            <w:tcBorders>
              <w:top w:val="single" w:color="000000" w:sz="12" w:space="0"/>
              <w:left w:val="single" w:color="000000" w:sz="8" w:space="0"/>
              <w:bottom w:val="single" w:color="000000" w:sz="8" w:space="0"/>
              <w:right w:val="single" w:color="000000" w:sz="8" w:space="0"/>
            </w:tcBorders>
            <w:shd w:val="clear" w:color="auto" w:fill="auto"/>
            <w:vAlign w:val="center"/>
          </w:tcPr>
          <w:p w14:paraId="3699B22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扰动后侵蚀模数（t/km</w:t>
            </w:r>
            <w:r>
              <w:rPr>
                <w:rFonts w:hint="default" w:ascii="Times New Roman" w:hAnsi="Times New Roman" w:eastAsia="仿宋_GB2312" w:cs="Times New Roman"/>
                <w:i w:val="0"/>
                <w:iCs w:val="0"/>
                <w:color w:val="000000"/>
                <w:kern w:val="0"/>
                <w:sz w:val="18"/>
                <w:szCs w:val="18"/>
                <w:u w:val="none"/>
                <w:vertAlign w:val="superscript"/>
                <w:lang w:val="en-US" w:eastAsia="zh-CN" w:bidi="ar"/>
              </w:rPr>
              <w:t>2</w:t>
            </w:r>
            <w:r>
              <w:rPr>
                <w:rFonts w:hint="default" w:ascii="Times New Roman" w:hAnsi="Times New Roman" w:eastAsia="仿宋_GB2312" w:cs="Times New Roman"/>
                <w:i w:val="0"/>
                <w:iCs w:val="0"/>
                <w:color w:val="000000"/>
                <w:kern w:val="0"/>
                <w:sz w:val="18"/>
                <w:szCs w:val="18"/>
                <w:u w:val="none"/>
                <w:lang w:val="en-US" w:eastAsia="zh-CN" w:bidi="ar"/>
              </w:rPr>
              <w:t>·a）</w:t>
            </w:r>
          </w:p>
        </w:tc>
        <w:tc>
          <w:tcPr>
            <w:tcW w:w="950" w:type="dxa"/>
            <w:tcBorders>
              <w:top w:val="single" w:color="000000" w:sz="12" w:space="0"/>
              <w:left w:val="single" w:color="000000" w:sz="8" w:space="0"/>
              <w:bottom w:val="single" w:color="000000" w:sz="8" w:space="0"/>
              <w:right w:val="single" w:color="000000" w:sz="8" w:space="0"/>
            </w:tcBorders>
            <w:shd w:val="clear" w:color="auto" w:fill="auto"/>
            <w:vAlign w:val="center"/>
          </w:tcPr>
          <w:p w14:paraId="329F736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侵蚀面积（hm</w:t>
            </w:r>
            <w:r>
              <w:rPr>
                <w:rFonts w:hint="default" w:ascii="Times New Roman" w:hAnsi="Times New Roman" w:eastAsia="仿宋_GB2312" w:cs="Times New Roman"/>
                <w:i w:val="0"/>
                <w:iCs w:val="0"/>
                <w:color w:val="000000"/>
                <w:kern w:val="0"/>
                <w:sz w:val="18"/>
                <w:szCs w:val="18"/>
                <w:u w:val="none"/>
                <w:vertAlign w:val="superscript"/>
                <w:lang w:val="en-US" w:eastAsia="zh-CN" w:bidi="ar"/>
              </w:rPr>
              <w:t>2</w:t>
            </w:r>
            <w:r>
              <w:rPr>
                <w:rFonts w:hint="default" w:ascii="Times New Roman" w:hAnsi="Times New Roman" w:eastAsia="仿宋_GB2312" w:cs="Times New Roman"/>
                <w:i w:val="0"/>
                <w:iCs w:val="0"/>
                <w:color w:val="000000"/>
                <w:kern w:val="0"/>
                <w:sz w:val="18"/>
                <w:szCs w:val="18"/>
                <w:u w:val="none"/>
                <w:lang w:val="en-US" w:eastAsia="zh-CN" w:bidi="ar"/>
              </w:rPr>
              <w:t>)</w:t>
            </w:r>
          </w:p>
        </w:tc>
        <w:tc>
          <w:tcPr>
            <w:tcW w:w="942" w:type="dxa"/>
            <w:tcBorders>
              <w:top w:val="single" w:color="000000" w:sz="12" w:space="0"/>
              <w:left w:val="single" w:color="000000" w:sz="8" w:space="0"/>
              <w:bottom w:val="single" w:color="000000" w:sz="8" w:space="0"/>
              <w:right w:val="single" w:color="000000" w:sz="8" w:space="0"/>
            </w:tcBorders>
            <w:shd w:val="clear" w:color="auto" w:fill="auto"/>
            <w:vAlign w:val="center"/>
          </w:tcPr>
          <w:p w14:paraId="4D249FA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侵蚀时间（a）</w:t>
            </w:r>
          </w:p>
        </w:tc>
        <w:tc>
          <w:tcPr>
            <w:tcW w:w="939" w:type="dxa"/>
            <w:tcBorders>
              <w:top w:val="single" w:color="000000" w:sz="12" w:space="0"/>
              <w:left w:val="single" w:color="000000" w:sz="8" w:space="0"/>
              <w:bottom w:val="single" w:color="000000" w:sz="8" w:space="0"/>
              <w:right w:val="single" w:color="000000" w:sz="8" w:space="0"/>
            </w:tcBorders>
            <w:shd w:val="clear" w:color="auto" w:fill="auto"/>
            <w:vAlign w:val="center"/>
          </w:tcPr>
          <w:p w14:paraId="38CAB6C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背景流失量（t）</w:t>
            </w:r>
          </w:p>
        </w:tc>
        <w:tc>
          <w:tcPr>
            <w:tcW w:w="961" w:type="dxa"/>
            <w:tcBorders>
              <w:top w:val="single" w:color="000000" w:sz="12" w:space="0"/>
              <w:left w:val="single" w:color="000000" w:sz="8" w:space="0"/>
              <w:bottom w:val="single" w:color="000000" w:sz="8" w:space="0"/>
              <w:right w:val="single" w:color="000000" w:sz="8" w:space="0"/>
            </w:tcBorders>
            <w:shd w:val="clear" w:color="auto" w:fill="auto"/>
            <w:vAlign w:val="center"/>
          </w:tcPr>
          <w:p w14:paraId="44A7FEE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调查流失量（t）</w:t>
            </w:r>
          </w:p>
        </w:tc>
        <w:tc>
          <w:tcPr>
            <w:tcW w:w="939" w:type="dxa"/>
            <w:tcBorders>
              <w:top w:val="single" w:color="000000" w:sz="12" w:space="0"/>
              <w:left w:val="single" w:color="000000" w:sz="8" w:space="0"/>
              <w:bottom w:val="single" w:color="000000" w:sz="8" w:space="0"/>
              <w:right w:val="single" w:color="000000" w:sz="12" w:space="0"/>
            </w:tcBorders>
            <w:shd w:val="clear" w:color="auto" w:fill="auto"/>
            <w:vAlign w:val="center"/>
          </w:tcPr>
          <w:p w14:paraId="0B1275A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新增流失量（t）</w:t>
            </w:r>
          </w:p>
        </w:tc>
      </w:tr>
      <w:tr w14:paraId="6E50C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109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0CDBCE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建构筑物工程单元</w:t>
            </w:r>
          </w:p>
        </w:tc>
        <w:tc>
          <w:tcPr>
            <w:tcW w:w="80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9E49BE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施工期</w:t>
            </w:r>
          </w:p>
        </w:tc>
        <w:tc>
          <w:tcPr>
            <w:tcW w:w="104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F13BA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850</w:t>
            </w:r>
          </w:p>
        </w:tc>
        <w:tc>
          <w:tcPr>
            <w:tcW w:w="110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63D1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2500</w:t>
            </w:r>
          </w:p>
        </w:tc>
        <w:tc>
          <w:tcPr>
            <w:tcW w:w="9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9C44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0.04</w:t>
            </w:r>
          </w:p>
        </w:tc>
        <w:tc>
          <w:tcPr>
            <w:tcW w:w="94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B72D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B19D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0.51</w:t>
            </w:r>
          </w:p>
        </w:tc>
        <w:tc>
          <w:tcPr>
            <w:tcW w:w="96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49DF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 </w:t>
            </w:r>
          </w:p>
        </w:tc>
        <w:tc>
          <w:tcPr>
            <w:tcW w:w="939"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45BF3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0.99</w:t>
            </w:r>
          </w:p>
        </w:tc>
      </w:tr>
      <w:tr w14:paraId="4139C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109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34259D1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硬化工程单元</w:t>
            </w:r>
          </w:p>
        </w:tc>
        <w:tc>
          <w:tcPr>
            <w:tcW w:w="8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3EF5FC6">
            <w:pPr>
              <w:jc w:val="center"/>
              <w:rPr>
                <w:rFonts w:hint="default" w:ascii="Times New Roman" w:hAnsi="Times New Roman" w:eastAsia="仿宋_GB2312" w:cs="Times New Roman"/>
                <w:i w:val="0"/>
                <w:iCs w:val="0"/>
                <w:color w:val="000000"/>
                <w:sz w:val="18"/>
                <w:szCs w:val="18"/>
                <w:u w:val="none"/>
              </w:rPr>
            </w:pPr>
          </w:p>
        </w:tc>
        <w:tc>
          <w:tcPr>
            <w:tcW w:w="104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A078F94">
            <w:pPr>
              <w:jc w:val="center"/>
              <w:rPr>
                <w:rFonts w:hint="default" w:ascii="Times New Roman" w:hAnsi="Times New Roman" w:eastAsia="宋体" w:cs="Times New Roman"/>
                <w:i w:val="0"/>
                <w:iCs w:val="0"/>
                <w:color w:val="000000"/>
                <w:sz w:val="18"/>
                <w:szCs w:val="18"/>
                <w:u w:val="none"/>
              </w:rPr>
            </w:pPr>
          </w:p>
        </w:tc>
        <w:tc>
          <w:tcPr>
            <w:tcW w:w="110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D09E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2000</w:t>
            </w:r>
          </w:p>
        </w:tc>
        <w:tc>
          <w:tcPr>
            <w:tcW w:w="9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046E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0.17</w:t>
            </w:r>
          </w:p>
        </w:tc>
        <w:tc>
          <w:tcPr>
            <w:tcW w:w="94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BD56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C9F7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2.17 </w:t>
            </w:r>
          </w:p>
        </w:tc>
        <w:tc>
          <w:tcPr>
            <w:tcW w:w="96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C160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5.10 </w:t>
            </w:r>
          </w:p>
        </w:tc>
        <w:tc>
          <w:tcPr>
            <w:tcW w:w="939"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82D05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2.93 </w:t>
            </w:r>
          </w:p>
        </w:tc>
      </w:tr>
      <w:tr w14:paraId="616F5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109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1D594C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绿化工程单元</w:t>
            </w:r>
          </w:p>
        </w:tc>
        <w:tc>
          <w:tcPr>
            <w:tcW w:w="8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9C924C1">
            <w:pPr>
              <w:jc w:val="center"/>
              <w:rPr>
                <w:rFonts w:hint="default" w:ascii="Times New Roman" w:hAnsi="Times New Roman" w:eastAsia="仿宋_GB2312" w:cs="Times New Roman"/>
                <w:i w:val="0"/>
                <w:iCs w:val="0"/>
                <w:color w:val="000000"/>
                <w:sz w:val="18"/>
                <w:szCs w:val="18"/>
                <w:u w:val="none"/>
              </w:rPr>
            </w:pPr>
          </w:p>
        </w:tc>
        <w:tc>
          <w:tcPr>
            <w:tcW w:w="104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A0EE546">
            <w:pPr>
              <w:jc w:val="center"/>
              <w:rPr>
                <w:rFonts w:hint="default" w:ascii="Times New Roman" w:hAnsi="Times New Roman" w:eastAsia="宋体" w:cs="Times New Roman"/>
                <w:i w:val="0"/>
                <w:iCs w:val="0"/>
                <w:color w:val="000000"/>
                <w:sz w:val="18"/>
                <w:szCs w:val="18"/>
                <w:u w:val="none"/>
              </w:rPr>
            </w:pPr>
          </w:p>
        </w:tc>
        <w:tc>
          <w:tcPr>
            <w:tcW w:w="110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6467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3000</w:t>
            </w:r>
          </w:p>
        </w:tc>
        <w:tc>
          <w:tcPr>
            <w:tcW w:w="9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749E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0.12</w:t>
            </w:r>
          </w:p>
        </w:tc>
        <w:tc>
          <w:tcPr>
            <w:tcW w:w="94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0E98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9004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1.53</w:t>
            </w:r>
          </w:p>
        </w:tc>
        <w:tc>
          <w:tcPr>
            <w:tcW w:w="96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F00C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5.40 </w:t>
            </w:r>
          </w:p>
        </w:tc>
        <w:tc>
          <w:tcPr>
            <w:tcW w:w="939"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48054E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3.87</w:t>
            </w:r>
          </w:p>
        </w:tc>
      </w:tr>
      <w:tr w14:paraId="39CF4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1892" w:type="dxa"/>
            <w:gridSpan w:val="2"/>
            <w:tcBorders>
              <w:top w:val="single" w:color="000000" w:sz="8" w:space="0"/>
              <w:left w:val="single" w:color="000000" w:sz="12" w:space="0"/>
              <w:bottom w:val="single" w:color="000000" w:sz="8" w:space="0"/>
              <w:right w:val="single" w:color="000000" w:sz="8" w:space="0"/>
            </w:tcBorders>
            <w:shd w:val="clear" w:color="auto" w:fill="auto"/>
            <w:vAlign w:val="center"/>
          </w:tcPr>
          <w:p w14:paraId="2A84AAB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小计</w:t>
            </w:r>
          </w:p>
        </w:tc>
        <w:tc>
          <w:tcPr>
            <w:tcW w:w="104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21E0C24">
            <w:pPr>
              <w:jc w:val="center"/>
              <w:rPr>
                <w:rFonts w:hint="default" w:ascii="Times New Roman" w:hAnsi="Times New Roman" w:eastAsia="宋体" w:cs="Times New Roman"/>
                <w:i w:val="0"/>
                <w:iCs w:val="0"/>
                <w:color w:val="000000"/>
                <w:sz w:val="18"/>
                <w:szCs w:val="18"/>
                <w:u w:val="none"/>
              </w:rPr>
            </w:pPr>
          </w:p>
        </w:tc>
        <w:tc>
          <w:tcPr>
            <w:tcW w:w="110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B1EC32">
            <w:pPr>
              <w:jc w:val="center"/>
              <w:rPr>
                <w:rFonts w:hint="default" w:ascii="Times New Roman" w:hAnsi="Times New Roman" w:eastAsia="宋体" w:cs="Times New Roman"/>
                <w:i w:val="0"/>
                <w:iCs w:val="0"/>
                <w:color w:val="000000"/>
                <w:sz w:val="18"/>
                <w:szCs w:val="18"/>
                <w:u w:val="none"/>
              </w:rPr>
            </w:pPr>
          </w:p>
        </w:tc>
        <w:tc>
          <w:tcPr>
            <w:tcW w:w="9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C338CA">
            <w:pPr>
              <w:jc w:val="center"/>
              <w:rPr>
                <w:rFonts w:hint="default" w:ascii="Times New Roman" w:hAnsi="Times New Roman" w:eastAsia="宋体" w:cs="Times New Roman"/>
                <w:i w:val="0"/>
                <w:iCs w:val="0"/>
                <w:color w:val="000000"/>
                <w:sz w:val="18"/>
                <w:szCs w:val="18"/>
                <w:u w:val="none"/>
              </w:rPr>
            </w:pPr>
          </w:p>
        </w:tc>
        <w:tc>
          <w:tcPr>
            <w:tcW w:w="94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AA6FF1">
            <w:pPr>
              <w:jc w:val="center"/>
              <w:rPr>
                <w:rFonts w:hint="default" w:ascii="Times New Roman" w:hAnsi="Times New Roman" w:eastAsia="宋体" w:cs="Times New Roman"/>
                <w:i w:val="0"/>
                <w:iCs w:val="0"/>
                <w:color w:val="000000"/>
                <w:sz w:val="18"/>
                <w:szCs w:val="18"/>
                <w:u w:val="none"/>
              </w:rPr>
            </w:pPr>
          </w:p>
        </w:tc>
        <w:tc>
          <w:tcPr>
            <w:tcW w:w="9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A412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4.21</w:t>
            </w:r>
          </w:p>
        </w:tc>
        <w:tc>
          <w:tcPr>
            <w:tcW w:w="96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3ED26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F7CB9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7.79</w:t>
            </w:r>
          </w:p>
        </w:tc>
      </w:tr>
      <w:tr w14:paraId="6AE9E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109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5B35208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绿化工程单元</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307EA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自然恢复期</w:t>
            </w:r>
          </w:p>
        </w:tc>
        <w:tc>
          <w:tcPr>
            <w:tcW w:w="104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1557A12">
            <w:pPr>
              <w:jc w:val="center"/>
              <w:rPr>
                <w:rFonts w:hint="default" w:ascii="Times New Roman" w:hAnsi="Times New Roman" w:eastAsia="宋体" w:cs="Times New Roman"/>
                <w:i w:val="0"/>
                <w:iCs w:val="0"/>
                <w:color w:val="000000"/>
                <w:sz w:val="18"/>
                <w:szCs w:val="18"/>
                <w:u w:val="none"/>
              </w:rPr>
            </w:pPr>
          </w:p>
        </w:tc>
        <w:tc>
          <w:tcPr>
            <w:tcW w:w="110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7082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1050</w:t>
            </w:r>
          </w:p>
        </w:tc>
        <w:tc>
          <w:tcPr>
            <w:tcW w:w="9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84E3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0.12</w:t>
            </w:r>
          </w:p>
        </w:tc>
        <w:tc>
          <w:tcPr>
            <w:tcW w:w="94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3B72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DA99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2.04</w:t>
            </w:r>
          </w:p>
        </w:tc>
        <w:tc>
          <w:tcPr>
            <w:tcW w:w="96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658A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2.52 </w:t>
            </w:r>
          </w:p>
        </w:tc>
        <w:tc>
          <w:tcPr>
            <w:tcW w:w="939"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738CC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0.48</w:t>
            </w:r>
          </w:p>
        </w:tc>
      </w:tr>
      <w:tr w14:paraId="7A678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1892" w:type="dxa"/>
            <w:gridSpan w:val="2"/>
            <w:tcBorders>
              <w:top w:val="single" w:color="000000" w:sz="8" w:space="0"/>
              <w:left w:val="single" w:color="000000" w:sz="12" w:space="0"/>
              <w:bottom w:val="single" w:color="000000" w:sz="12" w:space="0"/>
              <w:right w:val="single" w:color="000000" w:sz="8" w:space="0"/>
            </w:tcBorders>
            <w:shd w:val="clear" w:color="auto" w:fill="auto"/>
            <w:vAlign w:val="center"/>
          </w:tcPr>
          <w:p w14:paraId="429F6A0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合计</w:t>
            </w:r>
          </w:p>
        </w:tc>
        <w:tc>
          <w:tcPr>
            <w:tcW w:w="1045" w:type="dxa"/>
            <w:tcBorders>
              <w:top w:val="single" w:color="000000" w:sz="8" w:space="0"/>
              <w:left w:val="single" w:color="000000" w:sz="8" w:space="0"/>
              <w:bottom w:val="single" w:color="000000" w:sz="12" w:space="0"/>
              <w:right w:val="single" w:color="000000" w:sz="8" w:space="0"/>
            </w:tcBorders>
            <w:shd w:val="clear" w:color="auto" w:fill="auto"/>
            <w:vAlign w:val="bottom"/>
          </w:tcPr>
          <w:p w14:paraId="753DD1CB">
            <w:pPr>
              <w:jc w:val="center"/>
              <w:rPr>
                <w:rFonts w:hint="default" w:ascii="Times New Roman" w:hAnsi="Times New Roman" w:eastAsia="宋体" w:cs="Times New Roman"/>
                <w:i w:val="0"/>
                <w:iCs w:val="0"/>
                <w:color w:val="000000"/>
                <w:sz w:val="18"/>
                <w:szCs w:val="18"/>
                <w:u w:val="none"/>
              </w:rPr>
            </w:pPr>
          </w:p>
        </w:tc>
        <w:tc>
          <w:tcPr>
            <w:tcW w:w="1104" w:type="dxa"/>
            <w:tcBorders>
              <w:top w:val="single" w:color="000000" w:sz="8" w:space="0"/>
              <w:left w:val="single" w:color="000000" w:sz="8" w:space="0"/>
              <w:bottom w:val="single" w:color="000000" w:sz="12" w:space="0"/>
              <w:right w:val="single" w:color="000000" w:sz="8" w:space="0"/>
            </w:tcBorders>
            <w:shd w:val="clear" w:color="auto" w:fill="auto"/>
            <w:vAlign w:val="bottom"/>
          </w:tcPr>
          <w:p w14:paraId="2A9C2C4F">
            <w:pPr>
              <w:jc w:val="center"/>
              <w:rPr>
                <w:rFonts w:hint="default" w:ascii="Times New Roman" w:hAnsi="Times New Roman" w:eastAsia="宋体" w:cs="Times New Roman"/>
                <w:i w:val="0"/>
                <w:iCs w:val="0"/>
                <w:color w:val="000000"/>
                <w:sz w:val="18"/>
                <w:szCs w:val="18"/>
                <w:u w:val="none"/>
              </w:rPr>
            </w:pPr>
          </w:p>
        </w:tc>
        <w:tc>
          <w:tcPr>
            <w:tcW w:w="950" w:type="dxa"/>
            <w:tcBorders>
              <w:top w:val="single" w:color="000000" w:sz="8" w:space="0"/>
              <w:left w:val="single" w:color="000000" w:sz="8" w:space="0"/>
              <w:bottom w:val="single" w:color="000000" w:sz="12" w:space="0"/>
              <w:right w:val="single" w:color="000000" w:sz="8" w:space="0"/>
            </w:tcBorders>
            <w:shd w:val="clear" w:color="auto" w:fill="auto"/>
            <w:vAlign w:val="bottom"/>
          </w:tcPr>
          <w:p w14:paraId="2CF5E648">
            <w:pPr>
              <w:jc w:val="center"/>
              <w:rPr>
                <w:rFonts w:hint="default" w:ascii="Times New Roman" w:hAnsi="Times New Roman" w:eastAsia="宋体" w:cs="Times New Roman"/>
                <w:i w:val="0"/>
                <w:iCs w:val="0"/>
                <w:color w:val="000000"/>
                <w:sz w:val="18"/>
                <w:szCs w:val="18"/>
                <w:u w:val="none"/>
              </w:rPr>
            </w:pPr>
          </w:p>
        </w:tc>
        <w:tc>
          <w:tcPr>
            <w:tcW w:w="942" w:type="dxa"/>
            <w:tcBorders>
              <w:top w:val="single" w:color="000000" w:sz="8" w:space="0"/>
              <w:left w:val="single" w:color="000000" w:sz="8" w:space="0"/>
              <w:bottom w:val="single" w:color="000000" w:sz="12" w:space="0"/>
              <w:right w:val="single" w:color="000000" w:sz="8" w:space="0"/>
            </w:tcBorders>
            <w:shd w:val="clear" w:color="auto" w:fill="auto"/>
            <w:vAlign w:val="bottom"/>
          </w:tcPr>
          <w:p w14:paraId="7C38127B">
            <w:pPr>
              <w:jc w:val="center"/>
              <w:rPr>
                <w:rFonts w:hint="default" w:ascii="Times New Roman" w:hAnsi="Times New Roman" w:eastAsia="宋体" w:cs="Times New Roman"/>
                <w:i w:val="0"/>
                <w:iCs w:val="0"/>
                <w:color w:val="000000"/>
                <w:sz w:val="18"/>
                <w:szCs w:val="18"/>
                <w:u w:val="none"/>
              </w:rPr>
            </w:pPr>
          </w:p>
        </w:tc>
        <w:tc>
          <w:tcPr>
            <w:tcW w:w="939" w:type="dxa"/>
            <w:tcBorders>
              <w:top w:val="single" w:color="000000" w:sz="8" w:space="0"/>
              <w:left w:val="single" w:color="000000" w:sz="8" w:space="0"/>
              <w:bottom w:val="single" w:color="000000" w:sz="12" w:space="0"/>
              <w:right w:val="single" w:color="000000" w:sz="8" w:space="0"/>
            </w:tcBorders>
            <w:shd w:val="clear" w:color="auto" w:fill="auto"/>
            <w:vAlign w:val="center"/>
          </w:tcPr>
          <w:p w14:paraId="1CDAC6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6.25</w:t>
            </w:r>
          </w:p>
        </w:tc>
        <w:tc>
          <w:tcPr>
            <w:tcW w:w="961" w:type="dxa"/>
            <w:tcBorders>
              <w:top w:val="single" w:color="000000" w:sz="8" w:space="0"/>
              <w:left w:val="single" w:color="000000" w:sz="8" w:space="0"/>
              <w:bottom w:val="single" w:color="000000" w:sz="12" w:space="0"/>
              <w:right w:val="single" w:color="000000" w:sz="8" w:space="0"/>
            </w:tcBorders>
            <w:shd w:val="clear" w:color="auto" w:fill="auto"/>
            <w:vAlign w:val="center"/>
          </w:tcPr>
          <w:p w14:paraId="25A11F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14.52</w:t>
            </w:r>
          </w:p>
        </w:tc>
        <w:tc>
          <w:tcPr>
            <w:tcW w:w="939"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04A521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8.27</w:t>
            </w:r>
          </w:p>
        </w:tc>
      </w:tr>
    </w:tbl>
    <w:p w14:paraId="65A86B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Cs/>
          <w:color w:val="auto"/>
          <w:sz w:val="24"/>
          <w:szCs w:val="24"/>
          <w:lang w:val="en-GB"/>
        </w:rPr>
      </w:pPr>
      <w:r>
        <w:rPr>
          <w:rFonts w:hint="default" w:ascii="Times New Roman" w:hAnsi="Times New Roman" w:eastAsia="仿宋_GB2312" w:cs="Times New Roman"/>
          <w:bCs/>
          <w:color w:val="auto"/>
          <w:sz w:val="24"/>
          <w:szCs w:val="24"/>
          <w:lang w:val="en-GB"/>
        </w:rPr>
        <w:t>从</w:t>
      </w:r>
      <w:r>
        <w:rPr>
          <w:rFonts w:hint="default" w:ascii="Times New Roman" w:hAnsi="Times New Roman" w:eastAsia="仿宋_GB2312" w:cs="Times New Roman"/>
          <w:bCs/>
          <w:color w:val="auto"/>
          <w:sz w:val="24"/>
          <w:szCs w:val="24"/>
        </w:rPr>
        <w:t>项目区土壤流失量计算</w:t>
      </w:r>
      <w:r>
        <w:rPr>
          <w:rFonts w:hint="default" w:ascii="Times New Roman" w:hAnsi="Times New Roman" w:eastAsia="仿宋_GB2312" w:cs="Times New Roman"/>
          <w:bCs/>
          <w:color w:val="auto"/>
          <w:sz w:val="24"/>
          <w:szCs w:val="24"/>
          <w:lang w:val="en-GB"/>
        </w:rPr>
        <w:t>表中可以看出</w:t>
      </w:r>
      <w:r>
        <w:rPr>
          <w:rFonts w:hint="default" w:ascii="Times New Roman" w:hAnsi="Times New Roman" w:eastAsia="仿宋_GB2312" w:cs="Times New Roman"/>
          <w:bCs/>
          <w:color w:val="auto"/>
          <w:sz w:val="24"/>
          <w:szCs w:val="24"/>
          <w:lang w:val="en-GB" w:eastAsia="zh-CN"/>
        </w:rPr>
        <w:t>，</w:t>
      </w:r>
      <w:r>
        <w:rPr>
          <w:rFonts w:hint="default" w:ascii="Times New Roman" w:hAnsi="Times New Roman" w:eastAsia="仿宋_GB2312" w:cs="Times New Roman"/>
          <w:bCs/>
          <w:color w:val="auto"/>
          <w:sz w:val="24"/>
          <w:szCs w:val="24"/>
          <w:lang w:val="en-GB"/>
        </w:rPr>
        <w:t>本</w:t>
      </w:r>
      <w:r>
        <w:rPr>
          <w:rFonts w:hint="default" w:ascii="Times New Roman" w:hAnsi="Times New Roman" w:eastAsia="仿宋_GB2312" w:cs="Times New Roman"/>
          <w:bCs/>
          <w:color w:val="auto"/>
          <w:sz w:val="24"/>
          <w:szCs w:val="24"/>
          <w:lang w:val="en-GB" w:eastAsia="zh-CN"/>
        </w:rPr>
        <w:t>项目</w:t>
      </w:r>
      <w:r>
        <w:rPr>
          <w:rFonts w:hint="default" w:ascii="Times New Roman" w:hAnsi="Times New Roman" w:eastAsia="仿宋_GB2312" w:cs="Times New Roman"/>
          <w:bCs/>
          <w:color w:val="auto"/>
          <w:sz w:val="24"/>
          <w:szCs w:val="24"/>
          <w:lang w:val="en-GB"/>
        </w:rPr>
        <w:t>因工程施工建设可能产生的</w:t>
      </w:r>
      <w:r>
        <w:rPr>
          <w:rFonts w:hint="default" w:ascii="Times New Roman" w:hAnsi="Times New Roman" w:eastAsia="仿宋_GB2312" w:cs="Times New Roman"/>
          <w:bCs/>
          <w:color w:val="auto"/>
          <w:sz w:val="24"/>
          <w:szCs w:val="24"/>
        </w:rPr>
        <w:t>土壤</w:t>
      </w:r>
      <w:r>
        <w:rPr>
          <w:rFonts w:hint="default" w:ascii="Times New Roman" w:hAnsi="Times New Roman" w:eastAsia="仿宋_GB2312" w:cs="Times New Roman"/>
          <w:bCs/>
          <w:color w:val="auto"/>
          <w:sz w:val="24"/>
          <w:szCs w:val="24"/>
          <w:lang w:val="en-GB"/>
        </w:rPr>
        <w:t>流失总量为</w:t>
      </w:r>
      <w:r>
        <w:rPr>
          <w:rFonts w:hint="default" w:ascii="Times New Roman" w:hAnsi="Times New Roman" w:eastAsia="仿宋_GB2312" w:cs="Times New Roman"/>
          <w:bCs/>
          <w:color w:val="auto"/>
          <w:sz w:val="24"/>
          <w:szCs w:val="24"/>
          <w:lang w:val="en-US" w:eastAsia="zh-CN"/>
        </w:rPr>
        <w:t>14.52</w:t>
      </w:r>
      <w:r>
        <w:rPr>
          <w:rFonts w:hint="default" w:ascii="Times New Roman" w:hAnsi="Times New Roman" w:eastAsia="仿宋_GB2312" w:cs="Times New Roman"/>
          <w:bCs/>
          <w:color w:val="auto"/>
          <w:sz w:val="24"/>
          <w:szCs w:val="24"/>
        </w:rPr>
        <w:t>t</w:t>
      </w:r>
      <w:r>
        <w:rPr>
          <w:rFonts w:hint="default" w:ascii="Times New Roman" w:hAnsi="Times New Roman" w:eastAsia="仿宋_GB2312" w:cs="Times New Roman"/>
          <w:bCs/>
          <w:color w:val="auto"/>
          <w:sz w:val="24"/>
          <w:szCs w:val="24"/>
          <w:lang w:val="en-GB"/>
        </w:rPr>
        <w:t>，其中背景水土流失量</w:t>
      </w:r>
      <w:r>
        <w:rPr>
          <w:rFonts w:hint="default" w:ascii="Times New Roman" w:hAnsi="Times New Roman" w:eastAsia="仿宋_GB2312" w:cs="Times New Roman"/>
          <w:bCs/>
          <w:color w:val="auto"/>
          <w:sz w:val="24"/>
          <w:szCs w:val="24"/>
          <w:lang w:val="en-US" w:eastAsia="zh-CN"/>
        </w:rPr>
        <w:t>6.25</w:t>
      </w:r>
      <w:r>
        <w:rPr>
          <w:rFonts w:hint="default" w:ascii="Times New Roman" w:hAnsi="Times New Roman" w:eastAsia="仿宋_GB2312" w:cs="Times New Roman"/>
          <w:bCs/>
          <w:color w:val="auto"/>
          <w:sz w:val="24"/>
          <w:szCs w:val="24"/>
          <w:lang w:val="en-GB"/>
        </w:rPr>
        <w:t>t</w:t>
      </w:r>
      <w:r>
        <w:rPr>
          <w:rFonts w:hint="default" w:ascii="Times New Roman" w:hAnsi="Times New Roman" w:eastAsia="仿宋_GB2312" w:cs="Times New Roman"/>
          <w:bCs/>
          <w:color w:val="auto"/>
          <w:sz w:val="24"/>
          <w:szCs w:val="24"/>
          <w:lang w:val="en-GB" w:eastAsia="zh-CN"/>
        </w:rPr>
        <w:t>，</w:t>
      </w:r>
      <w:r>
        <w:rPr>
          <w:rFonts w:hint="default" w:ascii="Times New Roman" w:hAnsi="Times New Roman" w:eastAsia="仿宋_GB2312" w:cs="Times New Roman"/>
          <w:bCs/>
          <w:color w:val="auto"/>
          <w:sz w:val="24"/>
          <w:szCs w:val="24"/>
          <w:lang w:val="en-GB"/>
        </w:rPr>
        <w:t>因项目建设扰动新增</w:t>
      </w:r>
      <w:r>
        <w:rPr>
          <w:rFonts w:hint="default" w:ascii="Times New Roman" w:hAnsi="Times New Roman" w:eastAsia="仿宋_GB2312" w:cs="Times New Roman"/>
          <w:bCs/>
          <w:color w:val="auto"/>
          <w:sz w:val="24"/>
          <w:szCs w:val="24"/>
        </w:rPr>
        <w:t>土壤</w:t>
      </w:r>
      <w:r>
        <w:rPr>
          <w:rFonts w:hint="default" w:ascii="Times New Roman" w:hAnsi="Times New Roman" w:eastAsia="仿宋_GB2312" w:cs="Times New Roman"/>
          <w:bCs/>
          <w:color w:val="auto"/>
          <w:sz w:val="24"/>
          <w:szCs w:val="24"/>
          <w:lang w:val="en-GB"/>
        </w:rPr>
        <w:t>流失量</w:t>
      </w:r>
      <w:r>
        <w:rPr>
          <w:rFonts w:hint="default" w:ascii="Times New Roman" w:hAnsi="Times New Roman" w:eastAsia="仿宋_GB2312" w:cs="Times New Roman"/>
          <w:bCs/>
          <w:color w:val="auto"/>
          <w:sz w:val="24"/>
          <w:szCs w:val="24"/>
          <w:lang w:val="en-US" w:eastAsia="zh-CN"/>
        </w:rPr>
        <w:t>8.27</w:t>
      </w:r>
      <w:r>
        <w:rPr>
          <w:rFonts w:hint="default" w:ascii="Times New Roman" w:hAnsi="Times New Roman" w:eastAsia="仿宋_GB2312" w:cs="Times New Roman"/>
          <w:bCs/>
          <w:color w:val="auto"/>
          <w:sz w:val="24"/>
          <w:szCs w:val="24"/>
        </w:rPr>
        <w:t>t</w:t>
      </w:r>
      <w:r>
        <w:rPr>
          <w:rFonts w:hint="default" w:ascii="Times New Roman" w:hAnsi="Times New Roman" w:eastAsia="仿宋_GB2312" w:cs="Times New Roman"/>
          <w:bCs/>
          <w:color w:val="auto"/>
          <w:sz w:val="24"/>
          <w:szCs w:val="24"/>
          <w:lang w:val="en-GB"/>
        </w:rPr>
        <w:t>，新增</w:t>
      </w:r>
      <w:r>
        <w:rPr>
          <w:rFonts w:hint="default" w:ascii="Times New Roman" w:hAnsi="Times New Roman" w:eastAsia="仿宋_GB2312" w:cs="Times New Roman"/>
          <w:bCs/>
          <w:color w:val="auto"/>
          <w:sz w:val="24"/>
          <w:szCs w:val="24"/>
        </w:rPr>
        <w:t>土壤</w:t>
      </w:r>
      <w:r>
        <w:rPr>
          <w:rFonts w:hint="default" w:ascii="Times New Roman" w:hAnsi="Times New Roman" w:eastAsia="仿宋_GB2312" w:cs="Times New Roman"/>
          <w:bCs/>
          <w:color w:val="auto"/>
          <w:sz w:val="24"/>
          <w:szCs w:val="24"/>
          <w:lang w:val="en-GB"/>
        </w:rPr>
        <w:t>流失量占总</w:t>
      </w:r>
      <w:r>
        <w:rPr>
          <w:rFonts w:hint="default" w:ascii="Times New Roman" w:hAnsi="Times New Roman" w:eastAsia="仿宋_GB2312" w:cs="Times New Roman"/>
          <w:bCs/>
          <w:color w:val="auto"/>
          <w:sz w:val="24"/>
          <w:szCs w:val="24"/>
        </w:rPr>
        <w:t>土壤</w:t>
      </w:r>
      <w:r>
        <w:rPr>
          <w:rFonts w:hint="default" w:ascii="Times New Roman" w:hAnsi="Times New Roman" w:eastAsia="仿宋_GB2312" w:cs="Times New Roman"/>
          <w:bCs/>
          <w:color w:val="auto"/>
          <w:sz w:val="24"/>
          <w:szCs w:val="24"/>
          <w:lang w:val="en-GB"/>
        </w:rPr>
        <w:t>流失量的</w:t>
      </w:r>
      <w:r>
        <w:rPr>
          <w:rFonts w:hint="default" w:ascii="Times New Roman" w:hAnsi="Times New Roman" w:eastAsia="仿宋_GB2312" w:cs="Times New Roman"/>
          <w:bCs/>
          <w:color w:val="auto"/>
          <w:sz w:val="24"/>
          <w:szCs w:val="24"/>
          <w:lang w:val="en-US" w:eastAsia="zh-CN"/>
        </w:rPr>
        <w:t>56.96%</w:t>
      </w:r>
      <w:r>
        <w:rPr>
          <w:rFonts w:hint="default" w:ascii="Times New Roman" w:hAnsi="Times New Roman" w:eastAsia="仿宋_GB2312" w:cs="Times New Roman"/>
          <w:bCs/>
          <w:color w:val="auto"/>
          <w:sz w:val="24"/>
          <w:szCs w:val="24"/>
          <w:lang w:val="en-GB"/>
        </w:rPr>
        <w:t>，从</w:t>
      </w:r>
      <w:r>
        <w:rPr>
          <w:rFonts w:hint="default" w:ascii="Times New Roman" w:hAnsi="Times New Roman" w:eastAsia="仿宋_GB2312" w:cs="Times New Roman"/>
          <w:bCs/>
          <w:color w:val="auto"/>
          <w:sz w:val="24"/>
          <w:szCs w:val="24"/>
        </w:rPr>
        <w:t>调查与</w:t>
      </w:r>
      <w:r>
        <w:rPr>
          <w:rFonts w:hint="default" w:ascii="Times New Roman" w:hAnsi="Times New Roman" w:eastAsia="仿宋_GB2312" w:cs="Times New Roman"/>
          <w:bCs/>
          <w:color w:val="auto"/>
          <w:sz w:val="24"/>
          <w:szCs w:val="24"/>
          <w:lang w:val="en-GB"/>
        </w:rPr>
        <w:t>预测结果汇总分析表中可以看出，本工程产生水土流失的重点区域为</w:t>
      </w:r>
      <w:r>
        <w:rPr>
          <w:rFonts w:hint="default" w:ascii="Times New Roman" w:hAnsi="Times New Roman" w:eastAsia="仿宋_GB2312" w:cs="Times New Roman"/>
          <w:kern w:val="0"/>
          <w:sz w:val="24"/>
          <w:szCs w:val="22"/>
          <w:lang w:val="en-US" w:eastAsia="zh-CN"/>
        </w:rPr>
        <w:t>绿化</w:t>
      </w:r>
      <w:r>
        <w:rPr>
          <w:rFonts w:hint="default" w:ascii="Times New Roman" w:hAnsi="Times New Roman" w:eastAsia="仿宋_GB2312" w:cs="Times New Roman"/>
          <w:kern w:val="0"/>
          <w:sz w:val="24"/>
          <w:szCs w:val="22"/>
        </w:rPr>
        <w:t>工程</w:t>
      </w:r>
      <w:r>
        <w:rPr>
          <w:rFonts w:hint="default" w:ascii="Times New Roman" w:hAnsi="Times New Roman" w:eastAsia="仿宋_GB2312" w:cs="Times New Roman"/>
          <w:bCs/>
          <w:color w:val="auto"/>
          <w:sz w:val="24"/>
          <w:szCs w:val="24"/>
          <w:lang w:val="en-GB"/>
        </w:rPr>
        <w:t>，项目的水土流失最重要时段是施工期，其新增</w:t>
      </w:r>
      <w:r>
        <w:rPr>
          <w:rFonts w:hint="default" w:ascii="Times New Roman" w:hAnsi="Times New Roman" w:eastAsia="仿宋_GB2312" w:cs="Times New Roman"/>
          <w:bCs/>
          <w:color w:val="auto"/>
          <w:sz w:val="24"/>
          <w:szCs w:val="24"/>
        </w:rPr>
        <w:t>土壤</w:t>
      </w:r>
      <w:r>
        <w:rPr>
          <w:rFonts w:hint="default" w:ascii="Times New Roman" w:hAnsi="Times New Roman" w:eastAsia="仿宋_GB2312" w:cs="Times New Roman"/>
          <w:bCs/>
          <w:color w:val="auto"/>
          <w:sz w:val="24"/>
          <w:szCs w:val="24"/>
          <w:lang w:val="en-GB"/>
        </w:rPr>
        <w:t>流失量占总新增</w:t>
      </w:r>
      <w:r>
        <w:rPr>
          <w:rFonts w:hint="default" w:ascii="Times New Roman" w:hAnsi="Times New Roman" w:eastAsia="仿宋_GB2312" w:cs="Times New Roman"/>
          <w:bCs/>
          <w:color w:val="auto"/>
          <w:sz w:val="24"/>
          <w:szCs w:val="24"/>
        </w:rPr>
        <w:t>土壤</w:t>
      </w:r>
      <w:r>
        <w:rPr>
          <w:rFonts w:hint="default" w:ascii="Times New Roman" w:hAnsi="Times New Roman" w:eastAsia="仿宋_GB2312" w:cs="Times New Roman"/>
          <w:bCs/>
          <w:color w:val="auto"/>
          <w:sz w:val="24"/>
          <w:szCs w:val="24"/>
          <w:lang w:val="en-GB"/>
        </w:rPr>
        <w:t>流失总量的</w:t>
      </w:r>
      <w:r>
        <w:rPr>
          <w:rFonts w:hint="default" w:ascii="Times New Roman" w:hAnsi="Times New Roman" w:eastAsia="仿宋_GB2312" w:cs="Times New Roman"/>
          <w:bCs/>
          <w:color w:val="auto"/>
          <w:sz w:val="24"/>
          <w:szCs w:val="24"/>
          <w:lang w:val="en-US" w:eastAsia="zh-CN"/>
        </w:rPr>
        <w:t>94.20</w:t>
      </w:r>
      <w:r>
        <w:rPr>
          <w:rFonts w:hint="default" w:ascii="Times New Roman" w:hAnsi="Times New Roman" w:eastAsia="仿宋_GB2312" w:cs="Times New Roman"/>
          <w:bCs/>
          <w:color w:val="auto"/>
          <w:sz w:val="24"/>
          <w:szCs w:val="24"/>
          <w:lang w:val="en-GB"/>
        </w:rPr>
        <w:t>%。</w:t>
      </w:r>
      <w:bookmarkEnd w:id="141"/>
      <w:bookmarkEnd w:id="142"/>
      <w:bookmarkEnd w:id="143"/>
      <w:bookmarkEnd w:id="144"/>
    </w:p>
    <w:p w14:paraId="31ADBCA1">
      <w:pPr>
        <w:spacing w:line="360" w:lineRule="auto"/>
        <w:ind w:firstLine="480" w:firstLineChars="200"/>
        <w:rPr>
          <w:rFonts w:hint="default" w:ascii="Times New Roman" w:hAnsi="Times New Roman" w:eastAsia="仿宋_GB2312" w:cs="Times New Roman"/>
          <w:color w:val="auto"/>
          <w:sz w:val="24"/>
          <w:szCs w:val="24"/>
          <w:lang w:eastAsia="zh-CN" w:bidi="ar"/>
        </w:rPr>
        <w:sectPr>
          <w:headerReference r:id="rId27" w:type="default"/>
          <w:pgSz w:w="11906" w:h="16838"/>
          <w:pgMar w:top="1327" w:right="1514" w:bottom="1327" w:left="1514"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仿宋_GB2312" w:cs="Times New Roman"/>
          <w:bCs/>
          <w:color w:val="auto"/>
          <w:sz w:val="24"/>
          <w:szCs w:val="24"/>
          <w:lang w:val="en-GB" w:eastAsia="zh-CN"/>
        </w:rPr>
        <w:t>根据现场踏勘及查阅施工资料，本项目建设虽造成了水土流失，但项目建设过程中基本不存在重大的水土流失危害，通过后期水土保持措施逐步发挥效益，本项目不存在重大的水土流失隐患。</w:t>
      </w:r>
    </w:p>
    <w:p w14:paraId="5B7B649E">
      <w:pPr>
        <w:pStyle w:val="2"/>
        <w:keepNext/>
        <w:keepLines/>
        <w:pageBreakBefore w:val="0"/>
        <w:widowControl w:val="0"/>
        <w:kinsoku/>
        <w:wordWrap/>
        <w:overflowPunct/>
        <w:topLinePunct w:val="0"/>
        <w:autoSpaceDE/>
        <w:autoSpaceDN/>
        <w:bidi w:val="0"/>
        <w:adjustRightInd/>
        <w:snapToGrid/>
        <w:spacing w:before="313" w:beforeLines="100" w:after="313" w:afterLines="100"/>
        <w:textAlignment w:val="auto"/>
        <w:rPr>
          <w:rFonts w:hint="default" w:ascii="Times New Roman" w:hAnsi="Times New Roman" w:eastAsia="仿宋_GB2312" w:cs="Times New Roman"/>
          <w:b/>
          <w:color w:val="auto"/>
          <w:lang w:val="en-US" w:eastAsia="zh-CN"/>
        </w:rPr>
      </w:pPr>
      <w:bookmarkStart w:id="145" w:name="_Toc12343"/>
      <w:bookmarkStart w:id="146" w:name="_Toc30146"/>
      <w:r>
        <w:rPr>
          <w:rFonts w:hint="default" w:ascii="Times New Roman" w:hAnsi="Times New Roman" w:eastAsia="仿宋_GB2312" w:cs="Times New Roman"/>
          <w:b/>
          <w:color w:val="auto"/>
          <w:lang w:val="en-US" w:eastAsia="zh-CN"/>
        </w:rPr>
        <w:t>5 水土流失防治目标及水土保持措施设计</w:t>
      </w:r>
      <w:bookmarkEnd w:id="145"/>
      <w:bookmarkEnd w:id="146"/>
    </w:p>
    <w:p w14:paraId="50E891EC">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eastAsia="ar"/>
        </w:rPr>
      </w:pPr>
      <w:bookmarkStart w:id="147" w:name="_Toc5229"/>
      <w:bookmarkStart w:id="148" w:name="_Toc24536"/>
      <w:r>
        <w:rPr>
          <w:rFonts w:hint="default" w:ascii="Times New Roman" w:hAnsi="Times New Roman" w:eastAsia="仿宋_GB2312" w:cs="Times New Roman"/>
          <w:b/>
          <w:bCs/>
          <w:color w:val="auto"/>
          <w:szCs w:val="24"/>
          <w:lang w:eastAsia="ar"/>
        </w:rPr>
        <w:t>5.1防治区划分</w:t>
      </w:r>
      <w:bookmarkEnd w:id="147"/>
      <w:bookmarkEnd w:id="148"/>
    </w:p>
    <w:p w14:paraId="69303401">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按照《生产建设项目水土保持技术标准》（GB 50433-2018），为了合理布设各项水土保持措施，根据实地调查（勘测）结果，在防治责任范围内，依据工程布局、施工扰动特点、建设时序、地貌特征、自然属性、水土流失影响等进行分区，将本项目的水土流失防治区划分为</w:t>
      </w:r>
      <w:r>
        <w:rPr>
          <w:rFonts w:hint="default" w:ascii="Times New Roman" w:hAnsi="Times New Roman" w:eastAsia="仿宋_GB2312" w:cs="Times New Roman"/>
          <w:kern w:val="0"/>
          <w:sz w:val="24"/>
          <w:szCs w:val="22"/>
          <w:lang w:eastAsia="zh-CN"/>
        </w:rPr>
        <w:t>建构筑物</w:t>
      </w:r>
      <w:r>
        <w:rPr>
          <w:rFonts w:hint="default" w:ascii="Times New Roman" w:hAnsi="Times New Roman" w:eastAsia="仿宋_GB2312" w:cs="Times New Roman"/>
          <w:kern w:val="0"/>
          <w:sz w:val="24"/>
          <w:szCs w:val="22"/>
        </w:rPr>
        <w:t>工程</w:t>
      </w:r>
      <w:r>
        <w:rPr>
          <w:rFonts w:hint="default" w:ascii="Times New Roman" w:hAnsi="Times New Roman" w:eastAsia="仿宋_GB2312" w:cs="Times New Roman"/>
          <w:kern w:val="0"/>
          <w:sz w:val="24"/>
          <w:szCs w:val="22"/>
          <w:lang w:eastAsia="zh-CN"/>
        </w:rPr>
        <w:t>区、硬化工程区、绿化工程区</w:t>
      </w:r>
      <w:r>
        <w:rPr>
          <w:rFonts w:hint="default" w:ascii="Times New Roman" w:hAnsi="Times New Roman" w:eastAsia="仿宋_GB2312" w:cs="Times New Roman"/>
          <w:color w:val="auto"/>
          <w:kern w:val="0"/>
          <w:sz w:val="24"/>
          <w:szCs w:val="24"/>
          <w:lang w:val="en-US" w:eastAsia="zh-CN" w:bidi="ar"/>
        </w:rPr>
        <w:t xml:space="preserve">3个防治分区。具体情况见表 5-1 所示。 </w:t>
      </w:r>
    </w:p>
    <w:p w14:paraId="44E2FD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b/>
          <w:color w:val="auto"/>
          <w:sz w:val="21"/>
          <w:szCs w:val="21"/>
        </w:rPr>
        <w:t>表5.1-1  水土流失防治分区表</w:t>
      </w:r>
    </w:p>
    <w:tbl>
      <w:tblPr>
        <w:tblStyle w:val="18"/>
        <w:tblW w:w="8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500"/>
        <w:gridCol w:w="1320"/>
        <w:gridCol w:w="5135"/>
      </w:tblGrid>
      <w:tr w14:paraId="10FCF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noWrap w:val="0"/>
            <w:vAlign w:val="center"/>
          </w:tcPr>
          <w:p w14:paraId="3F3244EF">
            <w:pPr>
              <w:widowControl/>
              <w:jc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rPr>
              <w:t>项目名称</w:t>
            </w:r>
          </w:p>
        </w:tc>
        <w:tc>
          <w:tcPr>
            <w:tcW w:w="1500" w:type="dxa"/>
            <w:noWrap w:val="0"/>
            <w:vAlign w:val="center"/>
          </w:tcPr>
          <w:p w14:paraId="079401E6">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bidi="ar"/>
              </w:rPr>
              <w:t>防治分区名称</w:t>
            </w:r>
          </w:p>
        </w:tc>
        <w:tc>
          <w:tcPr>
            <w:tcW w:w="1320" w:type="dxa"/>
            <w:noWrap w:val="0"/>
            <w:vAlign w:val="center"/>
          </w:tcPr>
          <w:p w14:paraId="738C6798">
            <w:pPr>
              <w:jc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rPr>
              <w:t>防治责任面积</w:t>
            </w:r>
          </w:p>
        </w:tc>
        <w:tc>
          <w:tcPr>
            <w:tcW w:w="5135" w:type="dxa"/>
            <w:noWrap w:val="0"/>
            <w:vAlign w:val="center"/>
          </w:tcPr>
          <w:p w14:paraId="2A680559">
            <w:pPr>
              <w:widowControl/>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sz w:val="18"/>
                <w:szCs w:val="18"/>
              </w:rPr>
              <w:t>防治责任范围说明</w:t>
            </w:r>
          </w:p>
        </w:tc>
      </w:tr>
      <w:tr w14:paraId="32891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restart"/>
            <w:noWrap w:val="0"/>
            <w:vAlign w:val="center"/>
          </w:tcPr>
          <w:p w14:paraId="091B0F69">
            <w:pPr>
              <w:widowControl/>
              <w:spacing w:line="240" w:lineRule="auto"/>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en-US" w:eastAsia="zh-CN"/>
              </w:rPr>
              <w:t xml:space="preserve"> </w:t>
            </w:r>
            <w:r>
              <w:rPr>
                <w:rFonts w:hint="default" w:ascii="Times New Roman" w:hAnsi="Times New Roman" w:eastAsia="仿宋_GB2312" w:cs="Times New Roman"/>
                <w:color w:val="auto"/>
                <w:kern w:val="0"/>
                <w:sz w:val="18"/>
                <w:szCs w:val="18"/>
                <w:lang w:eastAsia="zh-CN"/>
              </w:rPr>
              <w:t>剑阁县王河镇干部周转房建设项目</w:t>
            </w:r>
          </w:p>
        </w:tc>
        <w:tc>
          <w:tcPr>
            <w:tcW w:w="1500" w:type="dxa"/>
            <w:noWrap w:val="0"/>
            <w:vAlign w:val="center"/>
          </w:tcPr>
          <w:p w14:paraId="408C6E1D">
            <w:pPr>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kern w:val="0"/>
                <w:sz w:val="18"/>
                <w:szCs w:val="18"/>
                <w:lang w:eastAsia="zh-CN"/>
              </w:rPr>
              <w:t>建构筑物</w:t>
            </w:r>
            <w:r>
              <w:rPr>
                <w:rFonts w:hint="default" w:ascii="Times New Roman" w:hAnsi="Times New Roman" w:eastAsia="仿宋_GB2312" w:cs="Times New Roman"/>
                <w:color w:val="auto"/>
                <w:kern w:val="0"/>
                <w:sz w:val="18"/>
                <w:szCs w:val="18"/>
              </w:rPr>
              <w:t>工程区</w:t>
            </w:r>
          </w:p>
        </w:tc>
        <w:tc>
          <w:tcPr>
            <w:tcW w:w="1320" w:type="dxa"/>
            <w:noWrap w:val="0"/>
            <w:vAlign w:val="center"/>
          </w:tcPr>
          <w:p w14:paraId="2B925C87">
            <w:pPr>
              <w:numPr>
                <w:ilvl w:val="0"/>
                <w:numId w:val="0"/>
              </w:numPr>
              <w:spacing w:line="360" w:lineRule="auto"/>
              <w:ind w:left="0" w:leftChars="0"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vertAlign w:val="baseline"/>
                <w:lang w:val="en-US" w:eastAsia="zh-CN"/>
              </w:rPr>
              <w:t>0.04</w:t>
            </w:r>
          </w:p>
        </w:tc>
        <w:tc>
          <w:tcPr>
            <w:tcW w:w="5135" w:type="dxa"/>
            <w:noWrap w:val="0"/>
            <w:vAlign w:val="center"/>
          </w:tcPr>
          <w:p w14:paraId="515F96B2">
            <w:pPr>
              <w:numPr>
                <w:ilvl w:val="0"/>
                <w:numId w:val="0"/>
              </w:numPr>
              <w:spacing w:line="360" w:lineRule="auto"/>
              <w:ind w:left="0" w:leftChars="0"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sz w:val="18"/>
                <w:szCs w:val="18"/>
                <w:vertAlign w:val="baseline"/>
                <w:lang w:val="en-US" w:eastAsia="zh-CN"/>
              </w:rPr>
              <w:t>干部周转房 1 栋</w:t>
            </w:r>
          </w:p>
        </w:tc>
      </w:tr>
      <w:tr w14:paraId="6539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noWrap w:val="0"/>
            <w:vAlign w:val="center"/>
          </w:tcPr>
          <w:p w14:paraId="28A641FB">
            <w:pPr>
              <w:widowControl/>
              <w:spacing w:line="240" w:lineRule="auto"/>
              <w:ind w:firstLine="0" w:firstLineChars="0"/>
              <w:jc w:val="center"/>
              <w:rPr>
                <w:rFonts w:hint="default" w:ascii="Times New Roman" w:hAnsi="Times New Roman" w:eastAsia="仿宋_GB2312" w:cs="Times New Roman"/>
                <w:color w:val="auto"/>
                <w:sz w:val="18"/>
                <w:szCs w:val="18"/>
                <w:lang w:val="en-US" w:eastAsia="zh-CN"/>
              </w:rPr>
            </w:pPr>
          </w:p>
        </w:tc>
        <w:tc>
          <w:tcPr>
            <w:tcW w:w="1500" w:type="dxa"/>
            <w:noWrap w:val="0"/>
            <w:vAlign w:val="center"/>
          </w:tcPr>
          <w:p w14:paraId="33210766">
            <w:pPr>
              <w:ind w:firstLine="0" w:firstLineChars="0"/>
              <w:jc w:val="center"/>
              <w:rPr>
                <w:rFonts w:hint="default" w:ascii="Times New Roman" w:hAnsi="Times New Roman" w:eastAsia="仿宋_GB2312" w:cs="Times New Roman"/>
                <w:color w:val="auto"/>
                <w:kern w:val="0"/>
                <w:sz w:val="18"/>
                <w:szCs w:val="18"/>
                <w:lang w:eastAsia="zh-CN" w:bidi="ar"/>
              </w:rPr>
            </w:pPr>
            <w:r>
              <w:rPr>
                <w:rFonts w:hint="default" w:ascii="Times New Roman" w:hAnsi="Times New Roman" w:eastAsia="仿宋_GB2312" w:cs="Times New Roman"/>
                <w:color w:val="auto"/>
                <w:kern w:val="0"/>
                <w:sz w:val="18"/>
                <w:szCs w:val="18"/>
                <w:lang w:eastAsia="zh-CN"/>
              </w:rPr>
              <w:t>硬化工程区</w:t>
            </w:r>
          </w:p>
        </w:tc>
        <w:tc>
          <w:tcPr>
            <w:tcW w:w="1320" w:type="dxa"/>
            <w:noWrap w:val="0"/>
            <w:vAlign w:val="center"/>
          </w:tcPr>
          <w:p w14:paraId="70DF7BB4">
            <w:pPr>
              <w:numPr>
                <w:ilvl w:val="0"/>
                <w:numId w:val="0"/>
              </w:numPr>
              <w:spacing w:line="360" w:lineRule="auto"/>
              <w:ind w:left="0" w:leftChars="0"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vertAlign w:val="baseline"/>
                <w:lang w:val="en-US" w:eastAsia="zh-CN"/>
              </w:rPr>
              <w:t>0.17</w:t>
            </w:r>
          </w:p>
        </w:tc>
        <w:tc>
          <w:tcPr>
            <w:tcW w:w="5135" w:type="dxa"/>
            <w:noWrap w:val="0"/>
            <w:vAlign w:val="center"/>
          </w:tcPr>
          <w:p w14:paraId="6C1B6DB8">
            <w:pPr>
              <w:numPr>
                <w:ilvl w:val="0"/>
                <w:numId w:val="0"/>
              </w:numPr>
              <w:spacing w:line="360" w:lineRule="auto"/>
              <w:ind w:left="0" w:leftChars="0" w:firstLine="0" w:firstLineChars="0"/>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硬化道路及停车场等硬化场地</w:t>
            </w:r>
          </w:p>
        </w:tc>
      </w:tr>
      <w:tr w14:paraId="7501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noWrap w:val="0"/>
            <w:vAlign w:val="center"/>
          </w:tcPr>
          <w:p w14:paraId="676DB9AE">
            <w:pPr>
              <w:widowControl/>
              <w:spacing w:line="240" w:lineRule="auto"/>
              <w:ind w:firstLine="0" w:firstLineChars="0"/>
              <w:jc w:val="center"/>
              <w:rPr>
                <w:rFonts w:hint="default" w:ascii="Times New Roman" w:hAnsi="Times New Roman" w:eastAsia="仿宋_GB2312" w:cs="Times New Roman"/>
                <w:color w:val="auto"/>
                <w:sz w:val="18"/>
                <w:szCs w:val="18"/>
                <w:lang w:val="en-US" w:eastAsia="zh-CN"/>
              </w:rPr>
            </w:pPr>
          </w:p>
        </w:tc>
        <w:tc>
          <w:tcPr>
            <w:tcW w:w="1500" w:type="dxa"/>
            <w:noWrap w:val="0"/>
            <w:vAlign w:val="center"/>
          </w:tcPr>
          <w:p w14:paraId="3664EAA5">
            <w:pPr>
              <w:ind w:firstLine="0" w:firstLineChars="0"/>
              <w:jc w:val="center"/>
              <w:rPr>
                <w:rFonts w:hint="default" w:ascii="Times New Roman" w:hAnsi="Times New Roman" w:eastAsia="仿宋_GB2312" w:cs="Times New Roman"/>
                <w:color w:val="auto"/>
                <w:kern w:val="0"/>
                <w:sz w:val="18"/>
                <w:szCs w:val="18"/>
                <w:lang w:eastAsia="zh-CN" w:bidi="ar"/>
              </w:rPr>
            </w:pPr>
            <w:r>
              <w:rPr>
                <w:rFonts w:hint="default" w:ascii="Times New Roman" w:hAnsi="Times New Roman" w:eastAsia="仿宋_GB2312" w:cs="Times New Roman"/>
                <w:color w:val="auto"/>
                <w:kern w:val="0"/>
                <w:sz w:val="18"/>
                <w:szCs w:val="18"/>
                <w:lang w:eastAsia="zh-CN"/>
              </w:rPr>
              <w:t>绿化工程区</w:t>
            </w:r>
          </w:p>
        </w:tc>
        <w:tc>
          <w:tcPr>
            <w:tcW w:w="1320" w:type="dxa"/>
            <w:noWrap w:val="0"/>
            <w:vAlign w:val="center"/>
          </w:tcPr>
          <w:p w14:paraId="5261132A">
            <w:pPr>
              <w:numPr>
                <w:ilvl w:val="0"/>
                <w:numId w:val="0"/>
              </w:numPr>
              <w:spacing w:line="360" w:lineRule="auto"/>
              <w:ind w:left="0" w:leftChars="0"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vertAlign w:val="baseline"/>
                <w:lang w:val="en-US" w:eastAsia="zh-CN"/>
              </w:rPr>
              <w:t>0.12</w:t>
            </w:r>
          </w:p>
        </w:tc>
        <w:tc>
          <w:tcPr>
            <w:tcW w:w="5135" w:type="dxa"/>
            <w:noWrap w:val="0"/>
            <w:vAlign w:val="center"/>
          </w:tcPr>
          <w:p w14:paraId="2B91B25F">
            <w:pPr>
              <w:numPr>
                <w:ilvl w:val="0"/>
                <w:numId w:val="0"/>
              </w:numPr>
              <w:spacing w:line="360" w:lineRule="auto"/>
              <w:ind w:left="0" w:leftChars="0" w:firstLine="0" w:firstLineChars="0"/>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lang w:val="en-US" w:eastAsia="zh-CN" w:bidi="ar"/>
              </w:rPr>
              <w:t>主体建筑周围及道路等硬化区域周围绿化区域</w:t>
            </w:r>
          </w:p>
        </w:tc>
      </w:tr>
      <w:tr w14:paraId="7BB46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436" w:type="dxa"/>
            <w:gridSpan w:val="2"/>
            <w:noWrap w:val="0"/>
            <w:vAlign w:val="center"/>
          </w:tcPr>
          <w:p w14:paraId="5F5017DF">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w:t>
            </w:r>
          </w:p>
        </w:tc>
        <w:tc>
          <w:tcPr>
            <w:tcW w:w="1320" w:type="dxa"/>
            <w:noWrap w:val="0"/>
            <w:vAlign w:val="center"/>
          </w:tcPr>
          <w:p w14:paraId="76BBF4A4">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both"/>
              <w:textAlignment w:val="auto"/>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b w:val="0"/>
                <w:bCs w:val="0"/>
                <w:color w:val="auto"/>
                <w:kern w:val="2"/>
                <w:sz w:val="18"/>
                <w:szCs w:val="18"/>
                <w:lang w:val="en-US" w:eastAsia="zh-CN" w:bidi="ar"/>
              </w:rPr>
              <w:t>0.33</w:t>
            </w:r>
          </w:p>
        </w:tc>
        <w:tc>
          <w:tcPr>
            <w:tcW w:w="5135" w:type="dxa"/>
            <w:noWrap w:val="0"/>
            <w:vAlign w:val="center"/>
          </w:tcPr>
          <w:p w14:paraId="4D5B3E4F">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项目建设区</w:t>
            </w:r>
          </w:p>
        </w:tc>
      </w:tr>
    </w:tbl>
    <w:p w14:paraId="5C400F6C">
      <w:pPr>
        <w:pStyle w:val="3"/>
        <w:keepNext/>
        <w:keepLines/>
        <w:pageBreakBefore w:val="0"/>
        <w:widowControl/>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eastAsia="zh-CN"/>
        </w:rPr>
      </w:pPr>
      <w:bookmarkStart w:id="149" w:name="_Toc17550"/>
      <w:bookmarkStart w:id="150" w:name="_Toc9909"/>
      <w:r>
        <w:rPr>
          <w:rFonts w:hint="default" w:ascii="Times New Roman" w:hAnsi="Times New Roman" w:eastAsia="仿宋_GB2312" w:cs="Times New Roman"/>
          <w:b/>
          <w:bCs/>
          <w:color w:val="auto"/>
          <w:szCs w:val="24"/>
          <w:lang w:eastAsia="ar"/>
        </w:rPr>
        <w:t>5.2</w:t>
      </w:r>
      <w:bookmarkEnd w:id="149"/>
      <w:r>
        <w:rPr>
          <w:rFonts w:hint="default" w:ascii="Times New Roman" w:hAnsi="Times New Roman" w:eastAsia="仿宋_GB2312" w:cs="Times New Roman"/>
          <w:b/>
          <w:bCs/>
          <w:color w:val="auto"/>
          <w:szCs w:val="24"/>
          <w:lang w:eastAsia="zh-CN"/>
        </w:rPr>
        <w:t>防治措施总体布局</w:t>
      </w:r>
      <w:bookmarkEnd w:id="150"/>
    </w:p>
    <w:p w14:paraId="50D146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本项目已完成全部主体工程建设，经前期核查，主体工程设计中已包含满足《中华人民共和国水土保持法》《四川省〈中华人民共和国水土保持法〉实施办法》及相关技术标准要求的水土保持措施，无需新增补充性水土保持措施。​</w:t>
      </w:r>
    </w:p>
    <w:p w14:paraId="1E81C5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依据《四川省〈中华人民共和国水土保持法〉实施办法》第二十三条 “对主体工程设计中已满足水土保持要求的措施，在方案中仅进行说明，不再计列投资” 的规定，本方案重点对主体工程原有水土保持措施的合规性、有效性进行梳理与核验，确保其符合 “预防为主、生态优先、与主体工程衔接” 等核心原则，且无遗漏或需补充完善的内容。</w:t>
      </w:r>
    </w:p>
    <w:p w14:paraId="535085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基于项目已完工且无新增措施的特点，设计原则在实际落地中具体体现为：​</w:t>
      </w:r>
    </w:p>
    <w:p w14:paraId="73AA4A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预防为主原则：主体工程施工阶段已通过合理安排施工工序（如分区域开挖、及时回填压实）、控制地表扰动范围（严格按设计红线施工，未超范围破坏植被）等预防性措施，减少施工期水土流失，且完工后无新增扰动，前期预防措施已实现 “水土流失消失在前期状态” 的目标。​</w:t>
      </w:r>
    </w:p>
    <w:p w14:paraId="3B1DA6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2、确保防洪安全原则：主体工程已配套建设排水管网等设施（如排水管、雨水井、雨水口设置），经完工后核查，未出现因工程建设导致周边河道淤积、污染的情况，防洪安全相关措施功能完好。​</w:t>
      </w:r>
    </w:p>
    <w:p w14:paraId="1B934F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3、与主体工程相衔接原则：主体工程设计阶段已同步融入水土保持功能（如场地硬化、绿化等），完工后无需额外补充设计，不存在重复设计或措施脱节问题，完全遵循 “与主体工程同时设计、同时施工、同时投产” 的 “三同时” 要求（符合《四川省〈中华人民共和国水土保持法〉实施办法》第二十四条）。​</w:t>
      </w:r>
    </w:p>
    <w:p w14:paraId="1A5683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4、综合防治原则：主体工程已按 “全面治理与重点治理结合” 思路，划分水土流失防治区域，并配套工程措施（如排水管、雨水井、雨水口）、植物措施（撒播草籽），完工后各类措施均保留且有效，无需新增综合防治手段。​</w:t>
      </w:r>
    </w:p>
    <w:p w14:paraId="129A4B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5、生态优先原则：主体工程选用适宜乡土植物（如</w:t>
      </w:r>
      <w:r>
        <w:rPr>
          <w:rFonts w:hint="default" w:ascii="Times New Roman" w:hAnsi="Times New Roman" w:eastAsia="仿宋_GB2312" w:cs="Times New Roman"/>
          <w:color w:val="auto"/>
          <w:sz w:val="24"/>
          <w:lang w:val="en-US" w:eastAsia="zh-CN" w:bidi="ar"/>
        </w:rPr>
        <w:t>小麦冬</w:t>
      </w:r>
      <w:r>
        <w:rPr>
          <w:rFonts w:hint="default" w:ascii="Times New Roman" w:hAnsi="Times New Roman" w:eastAsia="仿宋_GB2312" w:cs="Times New Roman"/>
          <w:color w:val="auto"/>
          <w:sz w:val="24"/>
          <w:szCs w:val="24"/>
          <w:lang w:val="en-US" w:eastAsia="zh-CN"/>
        </w:rPr>
        <w:t>）进行绿化，与周边自然环境协调，完工后生态景观效果达标，无破坏原有生态环境的情况，符合 “生态效益第一” 要求。​</w:t>
      </w:r>
    </w:p>
    <w:p w14:paraId="2D615B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6、经济可行原则：经核验，主体工程原有水土保持措施已实现 “投资最省、水土流失最低” 的目标，无冗余措施，也无需额外增加投资，完全满足经济合理性要求。</w:t>
      </w:r>
    </w:p>
    <w:p w14:paraId="61EFF3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经综合分析，本项目水土流失防治措施体系见图5.2-1。</w:t>
      </w:r>
    </w:p>
    <w:p w14:paraId="2A15F656">
      <w:pPr>
        <w:adjustRightInd w:val="0"/>
        <w:snapToGrid w:val="0"/>
        <w:spacing w:line="360" w:lineRule="auto"/>
        <w:ind w:firstLine="42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rPr>
        <mc:AlternateContent>
          <mc:Choice Requires="wps">
            <w:drawing>
              <wp:anchor distT="0" distB="0" distL="114300" distR="114300" simplePos="0" relativeHeight="251670528" behindDoc="0" locked="0" layoutInCell="1" allowOverlap="1">
                <wp:simplePos x="0" y="0"/>
                <wp:positionH relativeFrom="column">
                  <wp:posOffset>2640330</wp:posOffset>
                </wp:positionH>
                <wp:positionV relativeFrom="paragraph">
                  <wp:posOffset>102870</wp:posOffset>
                </wp:positionV>
                <wp:extent cx="2862580" cy="254000"/>
                <wp:effectExtent l="4445" t="4445" r="9525" b="8255"/>
                <wp:wrapNone/>
                <wp:docPr id="72" name="文本框 70"/>
                <wp:cNvGraphicFramePr/>
                <a:graphic xmlns:a="http://schemas.openxmlformats.org/drawingml/2006/main">
                  <a:graphicData uri="http://schemas.microsoft.com/office/word/2010/wordprocessingShape">
                    <wps:wsp>
                      <wps:cNvSpPr txBox="1"/>
                      <wps:spPr>
                        <a:xfrm>
                          <a:off x="0" y="0"/>
                          <a:ext cx="286258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447DA1">
                            <w:pPr>
                              <w:spacing w:line="240" w:lineRule="auto"/>
                              <w:ind w:firstLine="0" w:firstLineChars="0"/>
                              <w:jc w:val="cente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w:t>
                            </w:r>
                          </w:p>
                        </w:txbxContent>
                      </wps:txbx>
                      <wps:bodyPr lIns="36000" tIns="36000" rIns="36000" bIns="36000" upright="1"/>
                    </wps:wsp>
                  </a:graphicData>
                </a:graphic>
              </wp:anchor>
            </w:drawing>
          </mc:Choice>
          <mc:Fallback>
            <w:pict>
              <v:shape id="文本框 70" o:spid="_x0000_s1026" o:spt="202" type="#_x0000_t202" style="position:absolute;left:0pt;margin-left:207.9pt;margin-top:8.1pt;height:20pt;width:225.4pt;z-index:251670528;mso-width-relative:page;mso-height-relative:page;" fillcolor="#FFFFFF" filled="t" stroked="t" coordsize="21600,21600" o:gfxdata="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TZZs&#10;2QAAAAkBAAAPAAAAAAAAAAEAIAAAACIAAABkcnMvZG93bnJldi54bWxQSwECFAAUAAAACACHTuJA&#10;q9+akyACAABsBAAADgAAAAAAAAABACAAAAAoAQAAZHJzL2Uyb0RvYy54bWxQSwUGAAAAAAYABgBZ&#10;AQAAugUAAAAA&#10;">
                <v:fill on="t" focussize="0,0"/>
                <v:stroke color="#000000" joinstyle="miter"/>
                <v:imagedata o:title=""/>
                <o:lock v:ext="edit" aspectratio="f"/>
                <v:textbox inset="1mm,1mm,1mm,1mm">
                  <w:txbxContent>
                    <w:p w14:paraId="2C447DA1">
                      <w:pPr>
                        <w:spacing w:line="240" w:lineRule="auto"/>
                        <w:ind w:firstLine="0" w:firstLineChars="0"/>
                        <w:jc w:val="cente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w:t>
                      </w:r>
                    </w:p>
                  </w:txbxContent>
                </v:textbox>
              </v:shape>
            </w:pict>
          </mc:Fallback>
        </mc:AlternateContent>
      </w:r>
      <w:r>
        <w:rPr>
          <w:rFonts w:hint="default" w:ascii="Times New Roman" w:hAnsi="Times New Roman" w:eastAsia="仿宋_GB2312" w:cs="Times New Roman"/>
          <w:color w:val="auto"/>
          <w:sz w:val="21"/>
        </w:rPr>
        <mc:AlternateContent>
          <mc:Choice Requires="wps">
            <w:drawing>
              <wp:anchor distT="0" distB="0" distL="114300" distR="114300" simplePos="0" relativeHeight="251716608" behindDoc="0" locked="0" layoutInCell="1" allowOverlap="1">
                <wp:simplePos x="0" y="0"/>
                <wp:positionH relativeFrom="column">
                  <wp:posOffset>1329055</wp:posOffset>
                </wp:positionH>
                <wp:positionV relativeFrom="paragraph">
                  <wp:posOffset>229870</wp:posOffset>
                </wp:positionV>
                <wp:extent cx="1311275" cy="4445"/>
                <wp:effectExtent l="0" t="0" r="0" b="0"/>
                <wp:wrapNone/>
                <wp:docPr id="70" name="直接连接符 70"/>
                <wp:cNvGraphicFramePr/>
                <a:graphic xmlns:a="http://schemas.openxmlformats.org/drawingml/2006/main">
                  <a:graphicData uri="http://schemas.microsoft.com/office/word/2010/wordprocessingShape">
                    <wps:wsp>
                      <wps:cNvCnPr>
                        <a:endCxn id="72" idx="1"/>
                      </wps:cNvCnPr>
                      <wps:spPr>
                        <a:xfrm flipV="1">
                          <a:off x="0" y="0"/>
                          <a:ext cx="1311275" cy="4445"/>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04.65pt;margin-top:18.1pt;height:0.35pt;width:103.25pt;z-index:251716608;mso-width-relative:page;mso-height-relative:page;" filled="f" stroked="t" coordsize="21600,21600" o:gfxdata="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fI5F1wAAAAkBAAAPAAAAAAAAAAEA&#10;IAAAACIAAABkcnMvZG93bnJldi54bWxQSwECFAAUAAAACACHTuJA5DBjvhACAAAKBAAADgAAAAAA&#10;AAABACAAAAAmAQAAZHJzL2Uyb0RvYy54bWxQSwUGAAAAAAYABgBZAQAAqAUAAAAA&#10;">
                <v:fill on="f" focussize="0,0"/>
                <v:stroke weight="0.5pt" color="#000000 [3200]" miterlimit="8" joinstyle="miter"/>
                <v:imagedata o:title=""/>
                <o:lock v:ext="edit" aspectratio="f"/>
              </v:line>
            </w:pict>
          </mc:Fallback>
        </mc:AlternateContent>
      </w:r>
      <w:r>
        <w:rPr>
          <w:rFonts w:hint="default" w:ascii="Times New Roman" w:hAnsi="Times New Roman" w:eastAsia="仿宋_GB2312" w:cs="Times New Roman"/>
          <w:color w:val="auto"/>
        </w:rPr>
        <mc:AlternateContent>
          <mc:Choice Requires="wps">
            <w:drawing>
              <wp:anchor distT="0" distB="0" distL="114300" distR="114300" simplePos="0" relativeHeight="251676672" behindDoc="0" locked="0" layoutInCell="1" allowOverlap="1">
                <wp:simplePos x="0" y="0"/>
                <wp:positionH relativeFrom="column">
                  <wp:posOffset>443865</wp:posOffset>
                </wp:positionH>
                <wp:positionV relativeFrom="paragraph">
                  <wp:posOffset>106680</wp:posOffset>
                </wp:positionV>
                <wp:extent cx="889000" cy="254000"/>
                <wp:effectExtent l="4445" t="4445" r="20955" b="8255"/>
                <wp:wrapNone/>
                <wp:docPr id="51" name="文本框 70"/>
                <wp:cNvGraphicFramePr/>
                <a:graphic xmlns:a="http://schemas.openxmlformats.org/drawingml/2006/main">
                  <a:graphicData uri="http://schemas.microsoft.com/office/word/2010/wordprocessingShape">
                    <wps:wsp>
                      <wps:cNvSpPr txBox="1"/>
                      <wps:spPr>
                        <a:xfrm>
                          <a:off x="0" y="0"/>
                          <a:ext cx="8890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21731A">
                            <w:r>
                              <w:rPr>
                                <w:rFonts w:hint="eastAsia" w:eastAsia="仿宋_GB2312" w:cs="Times New Roman"/>
                                <w:color w:val="auto"/>
                                <w:kern w:val="0"/>
                                <w:sz w:val="18"/>
                                <w:szCs w:val="18"/>
                                <w:lang w:eastAsia="zh-CN" w:bidi="ar"/>
                              </w:rPr>
                              <w:t>建构筑物</w:t>
                            </w:r>
                            <w:r>
                              <w:rPr>
                                <w:rFonts w:hint="default" w:ascii="Times New Roman" w:hAnsi="Times New Roman" w:eastAsia="仿宋_GB2312" w:cs="Times New Roman"/>
                                <w:color w:val="auto"/>
                                <w:kern w:val="0"/>
                                <w:sz w:val="18"/>
                                <w:szCs w:val="18"/>
                                <w:lang w:eastAsia="zh-CN" w:bidi="ar"/>
                              </w:rPr>
                              <w:t>工程区</w:t>
                            </w:r>
                          </w:p>
                        </w:txbxContent>
                      </wps:txbx>
                      <wps:bodyPr lIns="36000" tIns="36000" rIns="36000" bIns="36000" upright="1"/>
                    </wps:wsp>
                  </a:graphicData>
                </a:graphic>
              </wp:anchor>
            </w:drawing>
          </mc:Choice>
          <mc:Fallback>
            <w:pict>
              <v:shape id="文本框 70" o:spid="_x0000_s1026" o:spt="202" type="#_x0000_t202" style="position:absolute;left:0pt;margin-left:34.95pt;margin-top:8.4pt;height:20pt;width:70pt;z-index:251676672;mso-width-relative:page;mso-height-relative:page;" fillcolor="#FFFFFF" filled="t" stroked="t" coordsize="21600,21600" o:gfxdata="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8G/r/WAAAACAEA&#10;AA8AAAAAAAAAAQAgAAAAIgAAAGRycy9kb3ducmV2LnhtbFBLAQIUABQAAAAIAIdO4kChtgwMHAIA&#10;AGsEAAAOAAAAAAAAAAEAIAAAACUBAABkcnMvZTJvRG9jLnhtbFBLBQYAAAAABgAGAFkBAACzBQAA&#10;AAA=&#10;">
                <v:fill on="t" focussize="0,0"/>
                <v:stroke color="#000000" joinstyle="miter"/>
                <v:imagedata o:title=""/>
                <o:lock v:ext="edit" aspectratio="f"/>
                <v:textbox inset="1mm,1mm,1mm,1mm">
                  <w:txbxContent>
                    <w:p w14:paraId="5B21731A">
                      <w:r>
                        <w:rPr>
                          <w:rFonts w:hint="eastAsia" w:eastAsia="仿宋_GB2312" w:cs="Times New Roman"/>
                          <w:color w:val="auto"/>
                          <w:kern w:val="0"/>
                          <w:sz w:val="18"/>
                          <w:szCs w:val="18"/>
                          <w:lang w:eastAsia="zh-CN" w:bidi="ar"/>
                        </w:rPr>
                        <w:t>建构筑物</w:t>
                      </w:r>
                      <w:r>
                        <w:rPr>
                          <w:rFonts w:hint="default" w:ascii="Times New Roman" w:hAnsi="Times New Roman" w:eastAsia="仿宋_GB2312" w:cs="Times New Roman"/>
                          <w:color w:val="auto"/>
                          <w:kern w:val="0"/>
                          <w:sz w:val="18"/>
                          <w:szCs w:val="18"/>
                          <w:lang w:eastAsia="zh-CN" w:bidi="ar"/>
                        </w:rPr>
                        <w:t>工程区</w:t>
                      </w:r>
                    </w:p>
                  </w:txbxContent>
                </v:textbox>
              </v:shape>
            </w:pict>
          </mc:Fallback>
        </mc:AlternateContent>
      </w:r>
      <w:r>
        <w:rPr>
          <w:rFonts w:hint="default" w:ascii="Times New Roman" w:hAnsi="Times New Roman" w:eastAsia="仿宋_GB2312" w:cs="Times New Roman"/>
          <w:color w:val="auto"/>
        </w:rPr>
        <mc:AlternateContent>
          <mc:Choice Requires="wps">
            <w:drawing>
              <wp:anchor distT="0" distB="0" distL="114300" distR="114300" simplePos="0" relativeHeight="251675648" behindDoc="0" locked="0" layoutInCell="1" allowOverlap="1">
                <wp:simplePos x="0" y="0"/>
                <wp:positionH relativeFrom="column">
                  <wp:posOffset>43180</wp:posOffset>
                </wp:positionH>
                <wp:positionV relativeFrom="paragraph">
                  <wp:posOffset>122555</wp:posOffset>
                </wp:positionV>
                <wp:extent cx="292100" cy="1576070"/>
                <wp:effectExtent l="4445" t="4445" r="8255" b="19685"/>
                <wp:wrapNone/>
                <wp:docPr id="49" name="文本框 69"/>
                <wp:cNvGraphicFramePr/>
                <a:graphic xmlns:a="http://schemas.openxmlformats.org/drawingml/2006/main">
                  <a:graphicData uri="http://schemas.microsoft.com/office/word/2010/wordprocessingShape">
                    <wps:wsp>
                      <wps:cNvSpPr txBox="1"/>
                      <wps:spPr>
                        <a:xfrm>
                          <a:off x="0" y="0"/>
                          <a:ext cx="292100" cy="15760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4CBB33">
                            <w:pPr>
                              <w:spacing w:line="240" w:lineRule="auto"/>
                              <w:ind w:firstLine="0" w:firstLineChars="0"/>
                              <w:jc w:val="distribute"/>
                              <w:rPr>
                                <w:rFonts w:ascii="仿宋_GB2312" w:hAnsi="仿宋_GB2312" w:eastAsia="仿宋_GB2312" w:cs="仿宋_GB2312"/>
                                <w:sz w:val="21"/>
                                <w:szCs w:val="21"/>
                              </w:rPr>
                            </w:pPr>
                            <w:r>
                              <w:rPr>
                                <w:rFonts w:hint="eastAsia" w:ascii="仿宋_GB2312" w:hAnsi="仿宋_GB2312" w:eastAsia="仿宋_GB2312" w:cs="仿宋_GB2312"/>
                                <w:sz w:val="18"/>
                                <w:szCs w:val="18"/>
                              </w:rPr>
                              <w:t>水土流失防治体系框图</w:t>
                            </w:r>
                          </w:p>
                        </w:txbxContent>
                      </wps:txbx>
                      <wps:bodyPr lIns="36000" tIns="36000" rIns="36000" bIns="36000" upright="1"/>
                    </wps:wsp>
                  </a:graphicData>
                </a:graphic>
              </wp:anchor>
            </w:drawing>
          </mc:Choice>
          <mc:Fallback>
            <w:pict>
              <v:shape id="文本框 69" o:spid="_x0000_s1026" o:spt="202" type="#_x0000_t202" style="position:absolute;left:0pt;margin-left:3.4pt;margin-top:9.65pt;height:124.1pt;width:23pt;z-index:251675648;mso-width-relative:page;mso-height-relative:page;" fillcolor="#FFFFFF" filled="t" stroked="t" coordsize="21600,21600" o:gfxdata="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Vya&#10;E9cAAAAHAQAADwAAAAAAAAABACAAAAAiAAAAZHJzL2Rvd25yZXYueG1sUEsBAhQAFAAAAAgAh07i&#10;QHLWbQMjAgAAbAQAAA4AAAAAAAAAAQAgAAAAJgEAAGRycy9lMm9Eb2MueG1sUEsFBgAAAAAGAAYA&#10;WQEAALsFAAAAAA==&#10;">
                <v:fill on="t" focussize="0,0"/>
                <v:stroke color="#000000" joinstyle="miter"/>
                <v:imagedata o:title=""/>
                <o:lock v:ext="edit" aspectratio="f"/>
                <v:textbox inset="1mm,1mm,1mm,1mm">
                  <w:txbxContent>
                    <w:p w14:paraId="2C4CBB33">
                      <w:pPr>
                        <w:spacing w:line="240" w:lineRule="auto"/>
                        <w:ind w:firstLine="0" w:firstLineChars="0"/>
                        <w:jc w:val="distribute"/>
                        <w:rPr>
                          <w:rFonts w:ascii="仿宋_GB2312" w:hAnsi="仿宋_GB2312" w:eastAsia="仿宋_GB2312" w:cs="仿宋_GB2312"/>
                          <w:sz w:val="21"/>
                          <w:szCs w:val="21"/>
                        </w:rPr>
                      </w:pPr>
                      <w:r>
                        <w:rPr>
                          <w:rFonts w:hint="eastAsia" w:ascii="仿宋_GB2312" w:hAnsi="仿宋_GB2312" w:eastAsia="仿宋_GB2312" w:cs="仿宋_GB2312"/>
                          <w:sz w:val="18"/>
                          <w:szCs w:val="18"/>
                        </w:rPr>
                        <w:t>水土流失防治体系框图</w:t>
                      </w:r>
                    </w:p>
                  </w:txbxContent>
                </v:textbox>
              </v:shape>
            </w:pict>
          </mc:Fallback>
        </mc:AlternateContent>
      </w:r>
    </w:p>
    <w:p w14:paraId="06F99C00">
      <w:pPr>
        <w:adjustRightInd w:val="0"/>
        <w:snapToGrid w:val="0"/>
        <w:spacing w:line="360" w:lineRule="auto"/>
        <w:ind w:firstLine="42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1"/>
        </w:rPr>
        <mc:AlternateContent>
          <mc:Choice Requires="wps">
            <w:drawing>
              <wp:anchor distT="0" distB="0" distL="114300" distR="114300" simplePos="0" relativeHeight="251697152" behindDoc="0" locked="0" layoutInCell="1" allowOverlap="1">
                <wp:simplePos x="0" y="0"/>
                <wp:positionH relativeFrom="column">
                  <wp:posOffset>356235</wp:posOffset>
                </wp:positionH>
                <wp:positionV relativeFrom="paragraph">
                  <wp:posOffset>22225</wp:posOffset>
                </wp:positionV>
                <wp:extent cx="89535" cy="1195705"/>
                <wp:effectExtent l="38100" t="4445" r="9525" b="19050"/>
                <wp:wrapNone/>
                <wp:docPr id="32" name="左大括号 32"/>
                <wp:cNvGraphicFramePr/>
                <a:graphic xmlns:a="http://schemas.openxmlformats.org/drawingml/2006/main">
                  <a:graphicData uri="http://schemas.microsoft.com/office/word/2010/wordprocessingShape">
                    <wps:wsp>
                      <wps:cNvSpPr/>
                      <wps:spPr>
                        <a:xfrm>
                          <a:off x="0" y="0"/>
                          <a:ext cx="89535" cy="1195705"/>
                        </a:xfrm>
                        <a:prstGeom prst="leftBrac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87" type="#_x0000_t87" style="position:absolute;left:0pt;margin-left:28.05pt;margin-top:1.75pt;height:94.15pt;width:7.05pt;z-index:251697152;mso-width-relative:page;mso-height-relative:page;" filled="f" stroked="t" coordsize="21600,21600" o:gfxdata="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8iCrdcAAAAHAQAADwAAAAAAAAABACAAAAAiAAAAZHJzL2Rvd25yZXYueG1s&#10;UEsBAhQAFAAAAAgAh07iQHH/AzT5AQAA2wMAAA4AAAAAAAAAAQAgAAAAJgEAAGRycy9lMm9Eb2Mu&#10;eG1sUEsFBgAAAAAGAAYAWQEAAJEFAAAAAA==&#10;" adj="134,10800">
                <v:fill on="f" focussize="0,0"/>
                <v:stroke weight="0.5pt" color="#000000 [3200]" miterlimit="8" joinstyle="miter"/>
                <v:imagedata o:title=""/>
                <o:lock v:ext="edit" aspectratio="f"/>
              </v:shape>
            </w:pict>
          </mc:Fallback>
        </mc:AlternateContent>
      </w:r>
    </w:p>
    <w:p w14:paraId="55885D95">
      <w:pPr>
        <w:adjustRightInd w:val="0"/>
        <w:snapToGrid w:val="0"/>
        <w:spacing w:line="360" w:lineRule="auto"/>
        <w:ind w:firstLine="42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rPr>
        <mc:AlternateContent>
          <mc:Choice Requires="wps">
            <w:drawing>
              <wp:anchor distT="0" distB="0" distL="114300" distR="114300" simplePos="0" relativeHeight="251685888" behindDoc="0" locked="0" layoutInCell="1" allowOverlap="1">
                <wp:simplePos x="0" y="0"/>
                <wp:positionH relativeFrom="column">
                  <wp:posOffset>2672715</wp:posOffset>
                </wp:positionH>
                <wp:positionV relativeFrom="paragraph">
                  <wp:posOffset>85090</wp:posOffset>
                </wp:positionV>
                <wp:extent cx="2835910" cy="254000"/>
                <wp:effectExtent l="4445" t="4445" r="17145" b="8255"/>
                <wp:wrapNone/>
                <wp:docPr id="42" name="文本框 70"/>
                <wp:cNvGraphicFramePr/>
                <a:graphic xmlns:a="http://schemas.openxmlformats.org/drawingml/2006/main">
                  <a:graphicData uri="http://schemas.microsoft.com/office/word/2010/wordprocessingShape">
                    <wps:wsp>
                      <wps:cNvSpPr txBox="1"/>
                      <wps:spPr>
                        <a:xfrm>
                          <a:off x="0" y="0"/>
                          <a:ext cx="283591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DBFBA8">
                            <w:pPr>
                              <w:spacing w:line="240" w:lineRule="auto"/>
                              <w:ind w:firstLine="0" w:firstLineChars="0"/>
                              <w:jc w:val="cente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eastAsia="zh-CN"/>
                              </w:rPr>
                              <w:t>表土剥离、</w:t>
                            </w:r>
                            <w:r>
                              <w:rPr>
                                <w:rFonts w:hint="eastAsia" w:ascii="仿宋_GB2312" w:hAnsi="仿宋_GB2312" w:eastAsia="仿宋_GB2312" w:cs="仿宋_GB2312"/>
                                <w:sz w:val="18"/>
                                <w:szCs w:val="18"/>
                                <w:lang w:val="en-US" w:eastAsia="zh-CN"/>
                              </w:rPr>
                              <w:t>排水管、雨水井、雨水口</w:t>
                            </w:r>
                          </w:p>
                          <w:p w14:paraId="634EBFFC">
                            <w:pPr>
                              <w:rPr>
                                <w:rFonts w:hint="eastAsia"/>
                                <w:lang w:eastAsia="zh-CN"/>
                              </w:rPr>
                            </w:pPr>
                          </w:p>
                        </w:txbxContent>
                      </wps:txbx>
                      <wps:bodyPr lIns="36000" tIns="36000" rIns="36000" bIns="36000" upright="1"/>
                    </wps:wsp>
                  </a:graphicData>
                </a:graphic>
              </wp:anchor>
            </w:drawing>
          </mc:Choice>
          <mc:Fallback>
            <w:pict>
              <v:shape id="文本框 70" o:spid="_x0000_s1026" o:spt="202" type="#_x0000_t202" style="position:absolute;left:0pt;margin-left:210.45pt;margin-top:6.7pt;height:20pt;width:223.3pt;z-index:251685888;mso-width-relative:page;mso-height-relative:page;" fillcolor="#FFFFFF" filled="t" stroked="t" coordsize="21600,21600" o:gfxdata="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jn&#10;raXaAAAACQEAAA8AAAAAAAAAAQAgAAAAIgAAAGRycy9kb3ducmV2LnhtbFBLAQIUABQAAAAIAIdO&#10;4kCt9sp0IQIAAGwEAAAOAAAAAAAAAAEAIAAAACkBAABkcnMvZTJvRG9jLnhtbFBLBQYAAAAABgAG&#10;AFkBAAC8BQAAAAA=&#10;">
                <v:fill on="t" focussize="0,0"/>
                <v:stroke color="#000000" joinstyle="miter"/>
                <v:imagedata o:title=""/>
                <o:lock v:ext="edit" aspectratio="f"/>
                <v:textbox inset="1mm,1mm,1mm,1mm">
                  <w:txbxContent>
                    <w:p w14:paraId="1ADBFBA8">
                      <w:pPr>
                        <w:spacing w:line="240" w:lineRule="auto"/>
                        <w:ind w:firstLine="0" w:firstLineChars="0"/>
                        <w:jc w:val="cente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eastAsia="zh-CN"/>
                        </w:rPr>
                        <w:t>表土剥离、</w:t>
                      </w:r>
                      <w:r>
                        <w:rPr>
                          <w:rFonts w:hint="eastAsia" w:ascii="仿宋_GB2312" w:hAnsi="仿宋_GB2312" w:eastAsia="仿宋_GB2312" w:cs="仿宋_GB2312"/>
                          <w:sz w:val="18"/>
                          <w:szCs w:val="18"/>
                          <w:lang w:val="en-US" w:eastAsia="zh-CN"/>
                        </w:rPr>
                        <w:t>排水管、雨水井、雨水口</w:t>
                      </w:r>
                    </w:p>
                    <w:p w14:paraId="634EBFFC">
                      <w:pPr>
                        <w:rPr>
                          <w:rFonts w:hint="eastAsia"/>
                          <w:lang w:eastAsia="zh-CN"/>
                        </w:rPr>
                      </w:pPr>
                    </w:p>
                  </w:txbxContent>
                </v:textbox>
              </v:shape>
            </w:pict>
          </mc:Fallback>
        </mc:AlternateContent>
      </w:r>
      <w:r>
        <w:rPr>
          <w:rFonts w:hint="default" w:ascii="Times New Roman" w:hAnsi="Times New Roman" w:eastAsia="仿宋_GB2312" w:cs="Times New Roman"/>
          <w:color w:val="auto"/>
          <w:sz w:val="21"/>
        </w:rPr>
        <mc:AlternateContent>
          <mc:Choice Requires="wps">
            <w:drawing>
              <wp:anchor distT="0" distB="0" distL="114300" distR="114300" simplePos="0" relativeHeight="251717632" behindDoc="0" locked="0" layoutInCell="1" allowOverlap="1">
                <wp:simplePos x="0" y="0"/>
                <wp:positionH relativeFrom="column">
                  <wp:posOffset>1350010</wp:posOffset>
                </wp:positionH>
                <wp:positionV relativeFrom="paragraph">
                  <wp:posOffset>207645</wp:posOffset>
                </wp:positionV>
                <wp:extent cx="178435" cy="6985"/>
                <wp:effectExtent l="0" t="4445" r="4445" b="11430"/>
                <wp:wrapNone/>
                <wp:docPr id="73" name="直接连接符 73"/>
                <wp:cNvGraphicFramePr/>
                <a:graphic xmlns:a="http://schemas.openxmlformats.org/drawingml/2006/main">
                  <a:graphicData uri="http://schemas.microsoft.com/office/word/2010/wordprocessingShape">
                    <wps:wsp>
                      <wps:cNvCnPr/>
                      <wps:spPr>
                        <a:xfrm flipV="1">
                          <a:off x="0" y="0"/>
                          <a:ext cx="178435" cy="6985"/>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06.3pt;margin-top:16.35pt;height:0.55pt;width:14.05pt;z-index:251717632;mso-width-relative:page;mso-height-relative:page;" filled="f" stroked="t" coordsize="21600,21600" o:gfxdata="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bz5w7XAAAACQEAAA8AAAAAAAAAAQAgAAAAIgAAAGRycy9kb3du&#10;cmV2LnhtbFBLAQIUABQAAAAIAIdO4kDSmPCHAAIAAOEDAAAOAAAAAAAAAAEAIAAAACYBAABkcnMv&#10;ZTJvRG9jLnhtbFBLBQYAAAAABgAGAFkBAACYBQAAAAA=&#10;">
                <v:fill on="f" focussize="0,0"/>
                <v:stroke weight="0.5pt" color="#000000 [3200]" miterlimit="8" joinstyle="miter"/>
                <v:imagedata o:title=""/>
                <o:lock v:ext="edit" aspectratio="f"/>
              </v:line>
            </w:pict>
          </mc:Fallback>
        </mc:AlternateContent>
      </w:r>
      <w:r>
        <w:rPr>
          <w:rFonts w:hint="default" w:ascii="Times New Roman" w:hAnsi="Times New Roman" w:eastAsia="仿宋_GB2312" w:cs="Times New Roman"/>
          <w:color w:val="auto"/>
        </w:rPr>
        <mc:AlternateContent>
          <mc:Choice Requires="wps">
            <w:drawing>
              <wp:anchor distT="0" distB="0" distL="114300" distR="114300" simplePos="0" relativeHeight="251680768" behindDoc="0" locked="0" layoutInCell="1" allowOverlap="1">
                <wp:simplePos x="0" y="0"/>
                <wp:positionH relativeFrom="column">
                  <wp:posOffset>462915</wp:posOffset>
                </wp:positionH>
                <wp:positionV relativeFrom="paragraph">
                  <wp:posOffset>80645</wp:posOffset>
                </wp:positionV>
                <wp:extent cx="889000" cy="254000"/>
                <wp:effectExtent l="4445" t="4445" r="20955" b="8255"/>
                <wp:wrapNone/>
                <wp:docPr id="118" name="文本框 70"/>
                <wp:cNvGraphicFramePr/>
                <a:graphic xmlns:a="http://schemas.openxmlformats.org/drawingml/2006/main">
                  <a:graphicData uri="http://schemas.microsoft.com/office/word/2010/wordprocessingShape">
                    <wps:wsp>
                      <wps:cNvSpPr txBox="1"/>
                      <wps:spPr>
                        <a:xfrm>
                          <a:off x="0" y="0"/>
                          <a:ext cx="8890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7EA58C">
                            <w:r>
                              <w:rPr>
                                <w:rFonts w:hint="eastAsia" w:eastAsia="仿宋_GB2312" w:cs="Times New Roman"/>
                                <w:color w:val="auto"/>
                                <w:kern w:val="0"/>
                                <w:sz w:val="18"/>
                                <w:szCs w:val="18"/>
                                <w:lang w:eastAsia="zh-CN" w:bidi="ar"/>
                              </w:rPr>
                              <w:t>硬化工程区</w:t>
                            </w:r>
                          </w:p>
                        </w:txbxContent>
                      </wps:txbx>
                      <wps:bodyPr lIns="36000" tIns="36000" rIns="36000" bIns="36000" upright="1"/>
                    </wps:wsp>
                  </a:graphicData>
                </a:graphic>
              </wp:anchor>
            </w:drawing>
          </mc:Choice>
          <mc:Fallback>
            <w:pict>
              <v:shape id="文本框 70" o:spid="_x0000_s1026" o:spt="202" type="#_x0000_t202" style="position:absolute;left:0pt;margin-left:36.45pt;margin-top:6.35pt;height:20pt;width:70pt;z-index:251680768;mso-width-relative:page;mso-height-relative:page;" fillcolor="#FFFFFF" filled="t" stroked="t" coordsize="21600,21600" o:gfxdata="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6PV3A1wAAAAgB&#10;AAAPAAAAAAAAAAEAIAAAACIAAABkcnMvZG93bnJldi54bWxQSwECFAAUAAAACACHTuJAWY4CKRwC&#10;AABsBAAADgAAAAAAAAABACAAAAAmAQAAZHJzL2Uyb0RvYy54bWxQSwUGAAAAAAYABgBZAQAAtAUA&#10;AAAA&#10;">
                <v:fill on="t" focussize="0,0"/>
                <v:stroke color="#000000" joinstyle="miter"/>
                <v:imagedata o:title=""/>
                <o:lock v:ext="edit" aspectratio="f"/>
                <v:textbox inset="1mm,1mm,1mm,1mm">
                  <w:txbxContent>
                    <w:p w14:paraId="7F7EA58C">
                      <w:r>
                        <w:rPr>
                          <w:rFonts w:hint="eastAsia" w:eastAsia="仿宋_GB2312" w:cs="Times New Roman"/>
                          <w:color w:val="auto"/>
                          <w:kern w:val="0"/>
                          <w:sz w:val="18"/>
                          <w:szCs w:val="18"/>
                          <w:lang w:eastAsia="zh-CN" w:bidi="ar"/>
                        </w:rPr>
                        <w:t>硬化工程区</w:t>
                      </w:r>
                    </w:p>
                  </w:txbxContent>
                </v:textbox>
              </v:shape>
            </w:pict>
          </mc:Fallback>
        </mc:AlternateContent>
      </w:r>
      <w:r>
        <w:rPr>
          <w:rFonts w:hint="default" w:ascii="Times New Roman" w:hAnsi="Times New Roman" w:eastAsia="仿宋_GB2312" w:cs="Times New Roman"/>
          <w:color w:val="auto"/>
        </w:rPr>
        <mc:AlternateContent>
          <mc:Choice Requires="wps">
            <w:drawing>
              <wp:anchor distT="0" distB="0" distL="114300" distR="114300" simplePos="0" relativeHeight="251691008" behindDoc="0" locked="0" layoutInCell="1" allowOverlap="1">
                <wp:simplePos x="0" y="0"/>
                <wp:positionH relativeFrom="column">
                  <wp:posOffset>1518285</wp:posOffset>
                </wp:positionH>
                <wp:positionV relativeFrom="paragraph">
                  <wp:posOffset>89535</wp:posOffset>
                </wp:positionV>
                <wp:extent cx="698500" cy="254000"/>
                <wp:effectExtent l="4445" t="4445" r="20955" b="8255"/>
                <wp:wrapNone/>
                <wp:docPr id="18" name="文本框 70"/>
                <wp:cNvGraphicFramePr/>
                <a:graphic xmlns:a="http://schemas.openxmlformats.org/drawingml/2006/main">
                  <a:graphicData uri="http://schemas.microsoft.com/office/word/2010/wordprocessingShape">
                    <wps:wsp>
                      <wps:cNvSpPr txBox="1"/>
                      <wps:spPr>
                        <a:xfrm>
                          <a:off x="0" y="0"/>
                          <a:ext cx="6985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0D35B5">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工程措施</w:t>
                            </w:r>
                          </w:p>
                        </w:txbxContent>
                      </wps:txbx>
                      <wps:bodyPr lIns="36000" tIns="36000" rIns="36000" bIns="36000" upright="1"/>
                    </wps:wsp>
                  </a:graphicData>
                </a:graphic>
              </wp:anchor>
            </w:drawing>
          </mc:Choice>
          <mc:Fallback>
            <w:pict>
              <v:shape id="文本框 70" o:spid="_x0000_s1026" o:spt="202" type="#_x0000_t202" style="position:absolute;left:0pt;margin-left:119.55pt;margin-top:7.05pt;height:20pt;width:55pt;z-index:251691008;mso-width-relative:page;mso-height-relative:page;" fillcolor="#FFFFFF" filled="t" stroked="t" coordsize="21600,21600" o:gfxdata="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cV1tgAAAAJ&#10;AQAADwAAAAAAAAABACAAAAAiAAAAZHJzL2Rvd25yZXYueG1sUEsBAhQAFAAAAAgAh07iQO8W91Uc&#10;AgAAawQAAA4AAAAAAAAAAQAgAAAAJwEAAGRycy9lMm9Eb2MueG1sUEsFBgAAAAAGAAYAWQEAALUF&#10;AAAAAA==&#10;">
                <v:fill on="t" focussize="0,0"/>
                <v:stroke color="#000000" joinstyle="miter"/>
                <v:imagedata o:title=""/>
                <o:lock v:ext="edit" aspectratio="f"/>
                <v:textbox inset="1mm,1mm,1mm,1mm">
                  <w:txbxContent>
                    <w:p w14:paraId="0D0D35B5">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工程措施</w:t>
                      </w:r>
                    </w:p>
                  </w:txbxContent>
                </v:textbox>
              </v:shape>
            </w:pict>
          </mc:Fallback>
        </mc:AlternateContent>
      </w:r>
    </w:p>
    <w:p w14:paraId="5A04D951">
      <w:pPr>
        <w:adjustRightInd w:val="0"/>
        <w:snapToGrid w:val="0"/>
        <w:spacing w:line="360" w:lineRule="auto"/>
        <w:ind w:firstLine="42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rPr>
        <mc:AlternateContent>
          <mc:Choice Requires="wps">
            <w:drawing>
              <wp:anchor distT="0" distB="0" distL="114300" distR="114300" simplePos="0" relativeHeight="251684864" behindDoc="0" locked="0" layoutInCell="1" allowOverlap="1">
                <wp:simplePos x="0" y="0"/>
                <wp:positionH relativeFrom="column">
                  <wp:posOffset>2679065</wp:posOffset>
                </wp:positionH>
                <wp:positionV relativeFrom="paragraph">
                  <wp:posOffset>254000</wp:posOffset>
                </wp:positionV>
                <wp:extent cx="2835910" cy="254000"/>
                <wp:effectExtent l="4445" t="4445" r="17145" b="8255"/>
                <wp:wrapNone/>
                <wp:docPr id="125" name="文本框 70"/>
                <wp:cNvGraphicFramePr/>
                <a:graphic xmlns:a="http://schemas.openxmlformats.org/drawingml/2006/main">
                  <a:graphicData uri="http://schemas.microsoft.com/office/word/2010/wordprocessingShape">
                    <wps:wsp>
                      <wps:cNvSpPr txBox="1"/>
                      <wps:spPr>
                        <a:xfrm>
                          <a:off x="0" y="0"/>
                          <a:ext cx="283591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5E9B75">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表土剥离、</w:t>
                            </w:r>
                            <w:r>
                              <w:rPr>
                                <w:rFonts w:hint="eastAsia" w:ascii="仿宋_GB2312" w:hAnsi="仿宋_GB2312" w:eastAsia="仿宋_GB2312" w:cs="仿宋_GB2312"/>
                                <w:sz w:val="18"/>
                                <w:szCs w:val="18"/>
                                <w:lang w:val="en-US" w:eastAsia="zh-CN"/>
                              </w:rPr>
                              <w:t>表土回覆</w:t>
                            </w:r>
                          </w:p>
                        </w:txbxContent>
                      </wps:txbx>
                      <wps:bodyPr lIns="36000" tIns="36000" rIns="36000" bIns="36000" upright="1"/>
                    </wps:wsp>
                  </a:graphicData>
                </a:graphic>
              </wp:anchor>
            </w:drawing>
          </mc:Choice>
          <mc:Fallback>
            <w:pict>
              <v:shape id="文本框 70" o:spid="_x0000_s1026" o:spt="202" type="#_x0000_t202" style="position:absolute;left:0pt;margin-left:210.95pt;margin-top:20pt;height:20pt;width:223.3pt;z-index:251684864;mso-width-relative:page;mso-height-relative:page;" fillcolor="#FFFFFF" filled="t" stroked="t" coordsize="21600,21600" o:gfxdata="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KfYRV&#10;2QAAAAkBAAAPAAAAAAAAAAEAIAAAACIAAABkcnMvZG93bnJldi54bWxQSwECFAAUAAAACACHTuJA&#10;bVDDeiACAABtBAAADgAAAAAAAAABACAAAAAoAQAAZHJzL2Uyb0RvYy54bWxQSwUGAAAAAAYABgBZ&#10;AQAAugUAAAAA&#10;">
                <v:fill on="t" focussize="0,0"/>
                <v:stroke color="#000000" joinstyle="miter"/>
                <v:imagedata o:title=""/>
                <o:lock v:ext="edit" aspectratio="f"/>
                <v:textbox inset="1mm,1mm,1mm,1mm">
                  <w:txbxContent>
                    <w:p w14:paraId="515E9B75">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表土剥离、</w:t>
                      </w:r>
                      <w:r>
                        <w:rPr>
                          <w:rFonts w:hint="eastAsia" w:ascii="仿宋_GB2312" w:hAnsi="仿宋_GB2312" w:eastAsia="仿宋_GB2312" w:cs="仿宋_GB2312"/>
                          <w:sz w:val="18"/>
                          <w:szCs w:val="18"/>
                          <w:lang w:val="en-US" w:eastAsia="zh-CN"/>
                        </w:rPr>
                        <w:t>表土回覆</w:t>
                      </w:r>
                    </w:p>
                  </w:txbxContent>
                </v:textbox>
              </v:shape>
            </w:pict>
          </mc:Fallback>
        </mc:AlternateContent>
      </w:r>
    </w:p>
    <w:p w14:paraId="5ED57C6A">
      <w:pPr>
        <w:adjustRightInd w:val="0"/>
        <w:snapToGrid w:val="0"/>
        <w:spacing w:line="360" w:lineRule="auto"/>
        <w:ind w:firstLine="42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rPr>
        <mc:AlternateContent>
          <mc:Choice Requires="wps">
            <w:drawing>
              <wp:anchor distT="0" distB="0" distL="114300" distR="114300" simplePos="0" relativeHeight="251696128" behindDoc="0" locked="0" layoutInCell="1" allowOverlap="1">
                <wp:simplePos x="0" y="0"/>
                <wp:positionH relativeFrom="column">
                  <wp:posOffset>471170</wp:posOffset>
                </wp:positionH>
                <wp:positionV relativeFrom="paragraph">
                  <wp:posOffset>261620</wp:posOffset>
                </wp:positionV>
                <wp:extent cx="887730" cy="266065"/>
                <wp:effectExtent l="4445" t="4445" r="22225" b="15240"/>
                <wp:wrapNone/>
                <wp:docPr id="17" name="文本框 70"/>
                <wp:cNvGraphicFramePr/>
                <a:graphic xmlns:a="http://schemas.openxmlformats.org/drawingml/2006/main">
                  <a:graphicData uri="http://schemas.microsoft.com/office/word/2010/wordprocessingShape">
                    <wps:wsp>
                      <wps:cNvSpPr txBox="1"/>
                      <wps:spPr>
                        <a:xfrm>
                          <a:off x="0" y="0"/>
                          <a:ext cx="887730" cy="2660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F1C716">
                            <w:pPr>
                              <w:ind w:firstLine="180" w:firstLineChars="100"/>
                              <w:rPr>
                                <w:rFonts w:hint="eastAsia"/>
                                <w:lang w:eastAsia="zh-CN"/>
                              </w:rPr>
                            </w:pPr>
                            <w:r>
                              <w:rPr>
                                <w:rFonts w:hint="eastAsia" w:eastAsia="仿宋_GB2312" w:cs="Times New Roman"/>
                                <w:color w:val="auto"/>
                                <w:kern w:val="0"/>
                                <w:sz w:val="18"/>
                                <w:szCs w:val="18"/>
                                <w:lang w:eastAsia="zh-CN" w:bidi="ar"/>
                              </w:rPr>
                              <w:t>绿化工程区</w:t>
                            </w:r>
                          </w:p>
                        </w:txbxContent>
                      </wps:txbx>
                      <wps:bodyPr lIns="36000" tIns="36000" rIns="36000" bIns="36000" upright="1"/>
                    </wps:wsp>
                  </a:graphicData>
                </a:graphic>
              </wp:anchor>
            </w:drawing>
          </mc:Choice>
          <mc:Fallback>
            <w:pict>
              <v:shape id="文本框 70" o:spid="_x0000_s1026" o:spt="202" type="#_x0000_t202" style="position:absolute;left:0pt;margin-left:37.1pt;margin-top:20.6pt;height:20.95pt;width:69.9pt;z-index:251696128;mso-width-relative:page;mso-height-relative:page;" fillcolor="#FFFFFF" filled="t" stroked="t" coordsize="21600,21600" o:gfxdata="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gyKT2QAA&#10;AAgBAAAPAAAAAAAAAAEAIAAAACIAAABkcnMvZG93bnJldi54bWxQSwECFAAUAAAACACHTuJAv9zb&#10;Jh0CAABrBAAADgAAAAAAAAABACAAAAAoAQAAZHJzL2Uyb0RvYy54bWxQSwUGAAAAAAYABgBZAQAA&#10;twUAAAAA&#10;">
                <v:fill on="t" focussize="0,0"/>
                <v:stroke color="#000000" joinstyle="miter"/>
                <v:imagedata o:title=""/>
                <o:lock v:ext="edit" aspectratio="f"/>
                <v:textbox inset="1mm,1mm,1mm,1mm">
                  <w:txbxContent>
                    <w:p w14:paraId="4BF1C716">
                      <w:pPr>
                        <w:ind w:firstLine="180" w:firstLineChars="100"/>
                        <w:rPr>
                          <w:rFonts w:hint="eastAsia"/>
                          <w:lang w:eastAsia="zh-CN"/>
                        </w:rPr>
                      </w:pPr>
                      <w:r>
                        <w:rPr>
                          <w:rFonts w:hint="eastAsia" w:eastAsia="仿宋_GB2312" w:cs="Times New Roman"/>
                          <w:color w:val="auto"/>
                          <w:kern w:val="0"/>
                          <w:sz w:val="18"/>
                          <w:szCs w:val="18"/>
                          <w:lang w:eastAsia="zh-CN" w:bidi="ar"/>
                        </w:rPr>
                        <w:t>绿化工程区</w:t>
                      </w:r>
                    </w:p>
                  </w:txbxContent>
                </v:textbox>
              </v:shape>
            </w:pict>
          </mc:Fallback>
        </mc:AlternateContent>
      </w:r>
      <w:r>
        <w:rPr>
          <w:rFonts w:hint="default" w:ascii="Times New Roman" w:hAnsi="Times New Roman" w:eastAsia="仿宋_GB2312" w:cs="Times New Roman"/>
          <w:color w:val="auto"/>
          <w:sz w:val="21"/>
        </w:rPr>
        <mc:AlternateContent>
          <mc:Choice Requires="wps">
            <w:drawing>
              <wp:anchor distT="0" distB="0" distL="114300" distR="114300" simplePos="0" relativeHeight="251697152" behindDoc="0" locked="0" layoutInCell="1" allowOverlap="1">
                <wp:simplePos x="0" y="0"/>
                <wp:positionH relativeFrom="column">
                  <wp:posOffset>1377950</wp:posOffset>
                </wp:positionH>
                <wp:positionV relativeFrom="paragraph">
                  <wp:posOffset>114935</wp:posOffset>
                </wp:positionV>
                <wp:extent cx="100965" cy="521970"/>
                <wp:effectExtent l="38100" t="4445" r="13335" b="6985"/>
                <wp:wrapNone/>
                <wp:docPr id="31" name="左大括号 31"/>
                <wp:cNvGraphicFramePr/>
                <a:graphic xmlns:a="http://schemas.openxmlformats.org/drawingml/2006/main">
                  <a:graphicData uri="http://schemas.microsoft.com/office/word/2010/wordprocessingShape">
                    <wps:wsp>
                      <wps:cNvSpPr/>
                      <wps:spPr>
                        <a:xfrm>
                          <a:off x="0" y="0"/>
                          <a:ext cx="100965" cy="521970"/>
                        </a:xfrm>
                        <a:prstGeom prst="leftBrac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87" type="#_x0000_t87" style="position:absolute;left:0pt;margin-left:108.5pt;margin-top:9.05pt;height:41.1pt;width:7.95pt;z-index:251697152;mso-width-relative:page;mso-height-relative:page;" filled="f" stroked="t" coordsize="21600,21600" o:gfxdata="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FHEqi2QAAAAoBAAAPAAAAAAAAAAEAIAAAACIAAABkcnMvZG93bnJl&#10;di54bWxQSwECFAAUAAAACACHTuJA55Wrl/wBAADbAwAADgAAAAAAAAABACAAAAAoAQAAZHJzL2Uy&#10;b0RvYy54bWxQSwUGAAAAAAYABgBZAQAAlgUAAAAA&#10;" adj="348,10800">
                <v:fill on="f" focussize="0,0"/>
                <v:stroke weight="0.5pt" color="#000000 [3200]" miterlimit="8" joinstyle="miter"/>
                <v:imagedata o:title=""/>
                <o:lock v:ext="edit" aspectratio="f"/>
              </v:shape>
            </w:pict>
          </mc:Fallback>
        </mc:AlternateContent>
      </w:r>
      <w:r>
        <w:rPr>
          <w:rFonts w:hint="default" w:ascii="Times New Roman" w:hAnsi="Times New Roman" w:eastAsia="仿宋_GB2312" w:cs="Times New Roman"/>
          <w:color w:val="auto"/>
          <w:sz w:val="21"/>
        </w:rPr>
        <mc:AlternateContent>
          <mc:Choice Requires="wps">
            <w:drawing>
              <wp:anchor distT="0" distB="0" distL="114300" distR="114300" simplePos="0" relativeHeight="251661312" behindDoc="0" locked="0" layoutInCell="1" allowOverlap="1">
                <wp:simplePos x="0" y="0"/>
                <wp:positionH relativeFrom="column">
                  <wp:posOffset>2219960</wp:posOffset>
                </wp:positionH>
                <wp:positionV relativeFrom="paragraph">
                  <wp:posOffset>118110</wp:posOffset>
                </wp:positionV>
                <wp:extent cx="459105" cy="12700"/>
                <wp:effectExtent l="0" t="4445" r="13335" b="5715"/>
                <wp:wrapNone/>
                <wp:docPr id="124" name="直接连接符 124"/>
                <wp:cNvGraphicFramePr/>
                <a:graphic xmlns:a="http://schemas.openxmlformats.org/drawingml/2006/main">
                  <a:graphicData uri="http://schemas.microsoft.com/office/word/2010/wordprocessingShape">
                    <wps:wsp>
                      <wps:cNvCnPr>
                        <a:stCxn id="123" idx="3"/>
                        <a:endCxn id="125" idx="1"/>
                      </wps:cNvCnPr>
                      <wps:spPr>
                        <a:xfrm flipV="1">
                          <a:off x="0" y="0"/>
                          <a:ext cx="459105" cy="1270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74.8pt;margin-top:9.3pt;height:1pt;width:36.15pt;z-index:251661312;mso-width-relative:page;mso-height-relative:page;" filled="f" stroked="t" coordsize="21600,21600" o:gfxdata="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1vEmP1wAAAAkB&#10;AAAPAAAAAAAAAAEAIAAAACIAAABkcnMvZG93bnJldi54bWxQSwECFAAUAAAACACHTuJAkdqQ4RwC&#10;AAAoBAAADgAAAAAAAAABACAAAAAmAQAAZHJzL2Uyb0RvYy54bWxQSwUGAAAAAAYABgBZAQAAtAUA&#10;AAAA&#10;">
                <v:fill on="f" focussize="0,0"/>
                <v:stroke weight="0.5pt" color="#000000 [3200]" miterlimit="8" joinstyle="miter"/>
                <v:imagedata o:title=""/>
                <o:lock v:ext="edit" aspectratio="f"/>
              </v:line>
            </w:pict>
          </mc:Fallback>
        </mc:AlternateContent>
      </w:r>
      <w:r>
        <w:rPr>
          <w:rFonts w:hint="default" w:ascii="Times New Roman" w:hAnsi="Times New Roman" w:eastAsia="仿宋_GB2312" w:cs="Times New Roman"/>
          <w:color w:val="auto"/>
        </w:rPr>
        <mc:AlternateContent>
          <mc:Choice Requires="wps">
            <w:drawing>
              <wp:anchor distT="0" distB="0" distL="114300" distR="114300" simplePos="0" relativeHeight="251667456" behindDoc="0" locked="0" layoutInCell="1" allowOverlap="1">
                <wp:simplePos x="0" y="0"/>
                <wp:positionH relativeFrom="column">
                  <wp:posOffset>1521460</wp:posOffset>
                </wp:positionH>
                <wp:positionV relativeFrom="paragraph">
                  <wp:posOffset>3810</wp:posOffset>
                </wp:positionV>
                <wp:extent cx="698500" cy="254000"/>
                <wp:effectExtent l="4445" t="4445" r="20955" b="8255"/>
                <wp:wrapNone/>
                <wp:docPr id="123" name="文本框 70"/>
                <wp:cNvGraphicFramePr/>
                <a:graphic xmlns:a="http://schemas.openxmlformats.org/drawingml/2006/main">
                  <a:graphicData uri="http://schemas.microsoft.com/office/word/2010/wordprocessingShape">
                    <wps:wsp>
                      <wps:cNvSpPr txBox="1"/>
                      <wps:spPr>
                        <a:xfrm>
                          <a:off x="0" y="0"/>
                          <a:ext cx="6985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BA93B7">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工程措施</w:t>
                            </w:r>
                          </w:p>
                        </w:txbxContent>
                      </wps:txbx>
                      <wps:bodyPr lIns="36000" tIns="36000" rIns="36000" bIns="36000" upright="1"/>
                    </wps:wsp>
                  </a:graphicData>
                </a:graphic>
              </wp:anchor>
            </w:drawing>
          </mc:Choice>
          <mc:Fallback>
            <w:pict>
              <v:shape id="文本框 70" o:spid="_x0000_s1026" o:spt="202" type="#_x0000_t202" style="position:absolute;left:0pt;margin-left:119.8pt;margin-top:0.3pt;height:20pt;width:55pt;z-index:251667456;mso-width-relative:page;mso-height-relative:page;" fillcolor="#FFFFFF" filled="t" stroked="t" coordsize="21600,21600" o:gfxdata="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b38qdcAAAAH&#10;AQAADwAAAAAAAAABACAAAAAiAAAAZHJzL2Rvd25yZXYueG1sUEsBAhQAFAAAAAgAh07iQDlIHqod&#10;AgAAbAQAAA4AAAAAAAAAAQAgAAAAJgEAAGRycy9lMm9Eb2MueG1sUEsFBgAAAAAGAAYAWQEAALUF&#10;AAAAAA==&#10;">
                <v:fill on="t" focussize="0,0"/>
                <v:stroke color="#000000" joinstyle="miter"/>
                <v:imagedata o:title=""/>
                <o:lock v:ext="edit" aspectratio="f"/>
                <v:textbox inset="1mm,1mm,1mm,1mm">
                  <w:txbxContent>
                    <w:p w14:paraId="3DBA93B7">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工程措施</w:t>
                      </w:r>
                    </w:p>
                  </w:txbxContent>
                </v:textbox>
              </v:shape>
            </w:pict>
          </mc:Fallback>
        </mc:AlternateContent>
      </w:r>
    </w:p>
    <w:p w14:paraId="4AE0F4B2">
      <w:pPr>
        <w:adjustRightInd w:val="0"/>
        <w:snapToGrid w:val="0"/>
        <w:spacing w:line="360" w:lineRule="auto"/>
        <w:ind w:firstLine="42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rPr>
        <mc:AlternateContent>
          <mc:Choice Requires="wps">
            <w:drawing>
              <wp:anchor distT="0" distB="0" distL="114300" distR="114300" simplePos="0" relativeHeight="251695104" behindDoc="0" locked="0" layoutInCell="1" allowOverlap="1">
                <wp:simplePos x="0" y="0"/>
                <wp:positionH relativeFrom="column">
                  <wp:posOffset>2691765</wp:posOffset>
                </wp:positionH>
                <wp:positionV relativeFrom="paragraph">
                  <wp:posOffset>182245</wp:posOffset>
                </wp:positionV>
                <wp:extent cx="2835910" cy="254000"/>
                <wp:effectExtent l="4445" t="4445" r="17145" b="8255"/>
                <wp:wrapNone/>
                <wp:docPr id="75" name="文本框 70"/>
                <wp:cNvGraphicFramePr/>
                <a:graphic xmlns:a="http://schemas.openxmlformats.org/drawingml/2006/main">
                  <a:graphicData uri="http://schemas.microsoft.com/office/word/2010/wordprocessingShape">
                    <wps:wsp>
                      <wps:cNvSpPr txBox="1"/>
                      <wps:spPr>
                        <a:xfrm>
                          <a:off x="0" y="0"/>
                          <a:ext cx="283591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A9ED6A">
                            <w:pPr>
                              <w:spacing w:line="240" w:lineRule="auto"/>
                              <w:ind w:firstLine="0" w:firstLineChars="0"/>
                              <w:jc w:val="cente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撒播草籽</w:t>
                            </w:r>
                          </w:p>
                        </w:txbxContent>
                      </wps:txbx>
                      <wps:bodyPr lIns="36000" tIns="36000" rIns="36000" bIns="36000" upright="1"/>
                    </wps:wsp>
                  </a:graphicData>
                </a:graphic>
              </wp:anchor>
            </w:drawing>
          </mc:Choice>
          <mc:Fallback>
            <w:pict>
              <v:shape id="文本框 70" o:spid="_x0000_s1026" o:spt="202" type="#_x0000_t202" style="position:absolute;left:0pt;margin-left:211.95pt;margin-top:14.35pt;height:20pt;width:223.3pt;z-index:251695104;mso-width-relative:page;mso-height-relative:page;" fillcolor="#FFFFFF" filled="t" stroked="t" coordsize="21600,21600" o:gfxdata="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F&#10;nbjaAAAACQEAAA8AAAAAAAAAAQAgAAAAIgAAAGRycy9kb3ducmV2LnhtbFBLAQIUABQAAAAIAIdO&#10;4kAHzRwcIQIAAGwEAAAOAAAAAAAAAAEAIAAAACkBAABkcnMvZTJvRG9jLnhtbFBLBQYAAAAABgAG&#10;AFkBAAC8BQAAAAA=&#10;">
                <v:fill on="t" focussize="0,0"/>
                <v:stroke color="#000000" joinstyle="miter"/>
                <v:imagedata o:title=""/>
                <o:lock v:ext="edit" aspectratio="f"/>
                <v:textbox inset="1mm,1mm,1mm,1mm">
                  <w:txbxContent>
                    <w:p w14:paraId="24A9ED6A">
                      <w:pPr>
                        <w:spacing w:line="240" w:lineRule="auto"/>
                        <w:ind w:firstLine="0" w:firstLineChars="0"/>
                        <w:jc w:val="cente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撒播草籽</w:t>
                      </w:r>
                    </w:p>
                  </w:txbxContent>
                </v:textbox>
              </v:shape>
            </w:pict>
          </mc:Fallback>
        </mc:AlternateContent>
      </w:r>
      <w:r>
        <w:rPr>
          <w:rFonts w:hint="default" w:ascii="Times New Roman" w:hAnsi="Times New Roman" w:eastAsia="仿宋_GB2312" w:cs="Times New Roman"/>
          <w:color w:val="auto"/>
        </w:rPr>
        <mc:AlternateContent>
          <mc:Choice Requires="wps">
            <w:drawing>
              <wp:anchor distT="0" distB="0" distL="114300" distR="114300" simplePos="0" relativeHeight="251686912" behindDoc="0" locked="0" layoutInCell="1" allowOverlap="1">
                <wp:simplePos x="0" y="0"/>
                <wp:positionH relativeFrom="column">
                  <wp:posOffset>1516380</wp:posOffset>
                </wp:positionH>
                <wp:positionV relativeFrom="paragraph">
                  <wp:posOffset>168910</wp:posOffset>
                </wp:positionV>
                <wp:extent cx="705485" cy="254000"/>
                <wp:effectExtent l="4445" t="4445" r="13970" b="8255"/>
                <wp:wrapNone/>
                <wp:docPr id="28" name="文本框 28"/>
                <wp:cNvGraphicFramePr/>
                <a:graphic xmlns:a="http://schemas.openxmlformats.org/drawingml/2006/main">
                  <a:graphicData uri="http://schemas.microsoft.com/office/word/2010/wordprocessingShape">
                    <wps:wsp>
                      <wps:cNvSpPr txBox="1"/>
                      <wps:spPr>
                        <a:xfrm>
                          <a:off x="0" y="0"/>
                          <a:ext cx="705485"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528782">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植物措施</w:t>
                            </w:r>
                          </w:p>
                        </w:txbxContent>
                      </wps:txbx>
                      <wps:bodyPr lIns="36000" tIns="36000" rIns="36000" bIns="36000" upright="1"/>
                    </wps:wsp>
                  </a:graphicData>
                </a:graphic>
              </wp:anchor>
            </w:drawing>
          </mc:Choice>
          <mc:Fallback>
            <w:pict>
              <v:shape id="_x0000_s1026" o:spid="_x0000_s1026" o:spt="202" type="#_x0000_t202" style="position:absolute;left:0pt;margin-left:119.4pt;margin-top:13.3pt;height:20pt;width:55.55pt;z-index:251686912;mso-width-relative:page;mso-height-relative:page;" fillcolor="#FFFFFF" filled="t" stroked="t" coordsize="21600,21600" o:gfxdata="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IQD4n&#10;2gAAAAkBAAAPAAAAAAAAAAEAIAAAACIAAABkcnMvZG93bnJldi54bWxQSwECFAAUAAAACACHTuJA&#10;rOuQKx8CAABrBAAADgAAAAAAAAABACAAAAApAQAAZHJzL2Uyb0RvYy54bWxQSwUGAAAAAAYABgBZ&#10;AQAAugUAAAAA&#10;">
                <v:fill on="t" focussize="0,0"/>
                <v:stroke color="#000000" joinstyle="miter"/>
                <v:imagedata o:title=""/>
                <o:lock v:ext="edit" aspectratio="f"/>
                <v:textbox inset="1mm,1mm,1mm,1mm">
                  <w:txbxContent>
                    <w:p w14:paraId="14528782">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植物措施</w:t>
                      </w:r>
                    </w:p>
                  </w:txbxContent>
                </v:textbox>
              </v:shape>
            </w:pict>
          </mc:Fallback>
        </mc:AlternateContent>
      </w:r>
      <w:r>
        <w:rPr>
          <w:rFonts w:hint="default" w:ascii="Times New Roman" w:hAnsi="Times New Roman" w:eastAsia="仿宋_GB2312" w:cs="Times New Roman"/>
          <w:color w:val="auto"/>
          <w:sz w:val="21"/>
        </w:rPr>
        <mc:AlternateContent>
          <mc:Choice Requires="wps">
            <w:drawing>
              <wp:anchor distT="0" distB="0" distL="114300" distR="114300" simplePos="0" relativeHeight="251698176" behindDoc="0" locked="0" layoutInCell="1" allowOverlap="1">
                <wp:simplePos x="0" y="0"/>
                <wp:positionH relativeFrom="column">
                  <wp:posOffset>2216785</wp:posOffset>
                </wp:positionH>
                <wp:positionV relativeFrom="paragraph">
                  <wp:posOffset>-576580</wp:posOffset>
                </wp:positionV>
                <wp:extent cx="455930" cy="4445"/>
                <wp:effectExtent l="0" t="0" r="0" b="0"/>
                <wp:wrapNone/>
                <wp:docPr id="80" name="直接连接符 80"/>
                <wp:cNvGraphicFramePr/>
                <a:graphic xmlns:a="http://schemas.openxmlformats.org/drawingml/2006/main">
                  <a:graphicData uri="http://schemas.microsoft.com/office/word/2010/wordprocessingShape">
                    <wps:wsp>
                      <wps:cNvCnPr>
                        <a:stCxn id="18" idx="3"/>
                        <a:endCxn id="42" idx="1"/>
                      </wps:cNvCnPr>
                      <wps:spPr>
                        <a:xfrm flipV="1">
                          <a:off x="0" y="0"/>
                          <a:ext cx="455930" cy="4445"/>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74.55pt;margin-top:-45.4pt;height:0.35pt;width:35.9pt;z-index:251698176;mso-width-relative:page;mso-height-relative:page;" filled="f" stroked="t" coordsize="21600,21600" o:gfxdata="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U9YcLXAAAACwEAAA8A&#10;AAAAAAAAAQAgAAAAIgAAAGRycy9kb3ducmV2LnhtbFBLAQIUABQAAAAIAIdO4kDDoo1lGAIAACME&#10;AAAOAAAAAAAAAAEAIAAAACYBAABkcnMvZTJvRG9jLnhtbFBLBQYAAAAABgAGAFkBAACwBQAAAAA=&#10;">
                <v:fill on="f" focussize="0,0"/>
                <v:stroke weight="0.5pt" color="#000000 [3200]" miterlimit="8" joinstyle="miter"/>
                <v:imagedata o:title=""/>
                <o:lock v:ext="edit" aspectratio="f"/>
              </v:line>
            </w:pict>
          </mc:Fallback>
        </mc:AlternateContent>
      </w:r>
    </w:p>
    <w:p w14:paraId="5A3C1456">
      <w:pPr>
        <w:adjustRightInd w:val="0"/>
        <w:snapToGrid w:val="0"/>
        <w:spacing w:line="360" w:lineRule="auto"/>
        <w:ind w:firstLine="42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1"/>
        </w:rPr>
        <mc:AlternateContent>
          <mc:Choice Requires="wps">
            <w:drawing>
              <wp:anchor distT="0" distB="0" distL="114300" distR="114300" simplePos="0" relativeHeight="251681792" behindDoc="0" locked="0" layoutInCell="1" allowOverlap="1">
                <wp:simplePos x="0" y="0"/>
                <wp:positionH relativeFrom="column">
                  <wp:posOffset>2224405</wp:posOffset>
                </wp:positionH>
                <wp:positionV relativeFrom="paragraph">
                  <wp:posOffset>39370</wp:posOffset>
                </wp:positionV>
                <wp:extent cx="459740" cy="3810"/>
                <wp:effectExtent l="0" t="0" r="0" b="0"/>
                <wp:wrapNone/>
                <wp:docPr id="91" name="直接连接符 91"/>
                <wp:cNvGraphicFramePr/>
                <a:graphic xmlns:a="http://schemas.openxmlformats.org/drawingml/2006/main">
                  <a:graphicData uri="http://schemas.microsoft.com/office/word/2010/wordprocessingShape">
                    <wps:wsp>
                      <wps:cNvCnPr/>
                      <wps:spPr>
                        <a:xfrm flipV="1">
                          <a:off x="0" y="0"/>
                          <a:ext cx="459740" cy="381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75.15pt;margin-top:3.1pt;height:0.3pt;width:36.2pt;z-index:251681792;mso-width-relative:page;mso-height-relative:page;" filled="f" stroked="t" coordsize="21600,21600" o:gfxdata="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8Qk0K1QAAAAcBAAAPAAAAAAAAAAEAIAAAACIAAABkcnMvZG93bnJl&#10;di54bWxQSwECFAAUAAAACACHTuJAIy4fIgACAADhAwAADgAAAAAAAAABACAAAAAkAQAAZHJzL2Uy&#10;b0RvYy54bWxQSwUGAAAAAAYABgBZAQAAlgUAAAAA&#10;">
                <v:fill on="f" focussize="0,0"/>
                <v:stroke weight="0.5pt" color="#000000 [3200]" miterlimit="8" joinstyle="miter"/>
                <v:imagedata o:title=""/>
                <o:lock v:ext="edit" aspectratio="f"/>
              </v:line>
            </w:pict>
          </mc:Fallback>
        </mc:AlternateContent>
      </w:r>
    </w:p>
    <w:p w14:paraId="0049D0DE">
      <w:pPr>
        <w:adjustRightInd w:val="0"/>
        <w:snapToGrid w:val="0"/>
        <w:spacing w:line="360" w:lineRule="auto"/>
        <w:jc w:val="center"/>
        <w:rPr>
          <w:rFonts w:hint="default" w:ascii="Times New Roman" w:hAnsi="Times New Roman" w:eastAsia="仿宋_GB2312" w:cs="Times New Roman"/>
          <w:b/>
          <w:bCs/>
          <w:color w:val="auto"/>
          <w:sz w:val="21"/>
          <w:szCs w:val="21"/>
          <w:lang w:val="en-US" w:eastAsia="zh-CN" w:bidi="ar"/>
        </w:rPr>
      </w:pPr>
      <w:r>
        <w:rPr>
          <w:rFonts w:hint="default" w:ascii="Times New Roman" w:hAnsi="Times New Roman" w:eastAsia="仿宋_GB2312" w:cs="Times New Roman"/>
          <w:b/>
          <w:bCs/>
          <w:color w:val="auto"/>
          <w:sz w:val="21"/>
          <w:szCs w:val="21"/>
          <w:lang w:eastAsia="zh-CN" w:bidi="ar"/>
        </w:rPr>
        <w:t>图</w:t>
      </w:r>
      <w:r>
        <w:rPr>
          <w:rFonts w:hint="default" w:ascii="Times New Roman" w:hAnsi="Times New Roman" w:eastAsia="仿宋_GB2312" w:cs="Times New Roman"/>
          <w:b/>
          <w:bCs/>
          <w:color w:val="auto"/>
          <w:sz w:val="21"/>
          <w:szCs w:val="21"/>
          <w:lang w:val="en-US" w:eastAsia="zh-CN" w:bidi="ar"/>
        </w:rPr>
        <w:t>5.2-1水土保持措施体系框图</w:t>
      </w:r>
    </w:p>
    <w:p w14:paraId="6C9B6C31">
      <w:pPr>
        <w:adjustRightInd w:val="0"/>
        <w:snapToGrid w:val="0"/>
        <w:spacing w:line="360" w:lineRule="auto"/>
        <w:outlineLvl w:val="1"/>
        <w:rPr>
          <w:rFonts w:hint="default" w:ascii="Times New Roman" w:hAnsi="Times New Roman" w:eastAsia="仿宋_GB2312" w:cs="Times New Roman"/>
          <w:b/>
          <w:bCs/>
          <w:color w:val="auto"/>
          <w:kern w:val="2"/>
          <w:sz w:val="30"/>
          <w:szCs w:val="24"/>
          <w:lang w:val="en-US" w:eastAsia="zh-CN" w:bidi="ar-SA"/>
        </w:rPr>
      </w:pPr>
      <w:bookmarkStart w:id="151" w:name="_Toc17071"/>
      <w:r>
        <w:rPr>
          <w:rFonts w:hint="default" w:ascii="Times New Roman" w:hAnsi="Times New Roman" w:eastAsia="仿宋_GB2312" w:cs="Times New Roman"/>
          <w:b/>
          <w:bCs/>
          <w:color w:val="auto"/>
          <w:kern w:val="2"/>
          <w:sz w:val="30"/>
          <w:szCs w:val="24"/>
          <w:lang w:val="en-US" w:eastAsia="zh-CN" w:bidi="ar-SA"/>
        </w:rPr>
        <w:t>5.3分区措施布设</w:t>
      </w:r>
      <w:bookmarkEnd w:id="151"/>
    </w:p>
    <w:p w14:paraId="6C5AA91B">
      <w:pPr>
        <w:numPr>
          <w:ilvl w:val="0"/>
          <w:numId w:val="0"/>
        </w:numPr>
        <w:adjustRightInd w:val="0"/>
        <w:snapToGrid w:val="0"/>
        <w:spacing w:line="360" w:lineRule="auto"/>
        <w:ind w:leftChars="200"/>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1、硬化工程区</w:t>
      </w:r>
    </w:p>
    <w:p w14:paraId="7956FCC3">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val="en-US" w:eastAsia="zh-CN" w:bidi="ar"/>
        </w:rPr>
        <w:t>工程措施</w:t>
      </w:r>
    </w:p>
    <w:p w14:paraId="4284C657">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sz w:val="24"/>
          <w:lang w:eastAsia="zh-CN" w:bidi="ar"/>
        </w:rPr>
        <w:t>表土剥离</w:t>
      </w:r>
      <w:r>
        <w:rPr>
          <w:rFonts w:hint="default" w:ascii="Times New Roman" w:hAnsi="Times New Roman" w:eastAsia="仿宋_GB2312" w:cs="Times New Roman"/>
          <w:color w:val="auto"/>
          <w:sz w:val="24"/>
          <w:lang w:val="en-US" w:eastAsia="zh-CN" w:bidi="ar"/>
        </w:rPr>
        <w:t>/已实施</w:t>
      </w:r>
      <w:r>
        <w:rPr>
          <w:rFonts w:hint="default" w:ascii="Times New Roman" w:hAnsi="Times New Roman" w:eastAsia="仿宋_GB2312" w:cs="Times New Roman"/>
          <w:color w:val="auto"/>
          <w:sz w:val="24"/>
          <w:lang w:eastAsia="zh-CN" w:bidi="ar"/>
        </w:rPr>
        <w:t>：</w:t>
      </w:r>
      <w:r>
        <w:rPr>
          <w:rFonts w:hint="default" w:ascii="Times New Roman" w:hAnsi="Times New Roman" w:eastAsia="仿宋_GB2312" w:cs="Times New Roman"/>
          <w:color w:val="auto"/>
          <w:kern w:val="0"/>
          <w:sz w:val="24"/>
          <w:szCs w:val="24"/>
          <w:lang w:val="en-US" w:eastAsia="zh-CN" w:bidi="ar"/>
        </w:rPr>
        <w:t>为保护表土资源，在施工前已对</w:t>
      </w:r>
      <w:r>
        <w:rPr>
          <w:rFonts w:hint="default" w:ascii="Times New Roman" w:hAnsi="Times New Roman" w:eastAsia="仿宋_GB2312" w:cs="Times New Roman"/>
          <w:color w:val="auto"/>
          <w:sz w:val="24"/>
          <w:lang w:eastAsia="zh-CN" w:bidi="ar"/>
        </w:rPr>
        <w:t>该区域</w:t>
      </w:r>
      <w:r>
        <w:rPr>
          <w:rFonts w:hint="default" w:ascii="Times New Roman" w:hAnsi="Times New Roman" w:eastAsia="仿宋_GB2312" w:cs="Times New Roman"/>
          <w:color w:val="auto"/>
          <w:kern w:val="0"/>
          <w:sz w:val="24"/>
          <w:szCs w:val="24"/>
          <w:lang w:val="en-US" w:eastAsia="zh-CN" w:bidi="ar"/>
        </w:rPr>
        <w:t>所占用的0.02h</w:t>
      </w:r>
      <w:r>
        <w:rPr>
          <w:rFonts w:hint="default" w:ascii="Times New Roman" w:hAnsi="Times New Roman" w:eastAsia="仿宋_GB2312" w:cs="Times New Roman"/>
          <w:color w:val="auto"/>
          <w:kern w:val="0"/>
        </w:rPr>
        <w:t>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sz w:val="24"/>
          <w:szCs w:val="24"/>
          <w:lang w:val="en-US" w:eastAsia="zh-CN" w:bidi="ar"/>
        </w:rPr>
        <w:t>林地进行表土剥离，剥离厚度为0.20m，剥离总量为0.01万</w:t>
      </w:r>
      <w:r>
        <w:rPr>
          <w:rFonts w:hint="default" w:ascii="Times New Roman" w:hAnsi="Times New Roman" w:eastAsia="仿宋_GB2312" w:cs="Times New Roman"/>
          <w:color w:val="auto"/>
          <w:kern w:val="2"/>
          <w:sz w:val="24"/>
          <w:szCs w:val="24"/>
          <w:lang w:val="en-US" w:eastAsia="zh-CN" w:bidi="ar-SA"/>
        </w:rPr>
        <w:t>m³</w:t>
      </w:r>
      <w:r>
        <w:rPr>
          <w:rFonts w:hint="default" w:ascii="Times New Roman" w:hAnsi="Times New Roman" w:eastAsia="仿宋_GB2312" w:cs="Times New Roman"/>
          <w:color w:val="auto"/>
          <w:kern w:val="0"/>
          <w:sz w:val="24"/>
          <w:szCs w:val="24"/>
          <w:lang w:val="en-US" w:eastAsia="zh-CN" w:bidi="ar"/>
        </w:rPr>
        <w:t xml:space="preserve">。 </w:t>
      </w:r>
    </w:p>
    <w:p w14:paraId="08A19BF4">
      <w:pPr>
        <w:numPr>
          <w:ilvl w:val="0"/>
          <w:numId w:val="0"/>
        </w:numPr>
        <w:adjustRightInd w:val="0"/>
        <w:snapToGrid w:val="0"/>
        <w:spacing w:line="360" w:lineRule="auto"/>
        <w:ind w:firstLine="480" w:firstLineChars="200"/>
        <w:outlineLvl w:val="9"/>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排水管</w:t>
      </w:r>
      <w:r>
        <w:rPr>
          <w:rFonts w:hint="default" w:ascii="Times New Roman" w:hAnsi="Times New Roman" w:eastAsia="仿宋_GB2312" w:cs="Times New Roman"/>
          <w:color w:val="auto"/>
          <w:sz w:val="24"/>
          <w:lang w:val="en-US" w:eastAsia="zh-CN" w:bidi="ar"/>
        </w:rPr>
        <w:t>/已实施</w:t>
      </w:r>
      <w:r>
        <w:rPr>
          <w:rFonts w:hint="default" w:ascii="Times New Roman" w:hAnsi="Times New Roman" w:eastAsia="仿宋_GB2312" w:cs="Times New Roman"/>
          <w:color w:val="auto"/>
          <w:sz w:val="24"/>
          <w:lang w:eastAsia="zh-CN" w:bidi="ar"/>
        </w:rPr>
        <w:t>：</w:t>
      </w:r>
      <w:r>
        <w:rPr>
          <w:rFonts w:hint="default" w:ascii="Times New Roman" w:hAnsi="Times New Roman" w:eastAsia="仿宋_GB2312" w:cs="Times New Roman"/>
          <w:color w:val="auto"/>
          <w:sz w:val="24"/>
          <w:lang w:val="en-US" w:eastAsia="zh-CN" w:bidi="ar"/>
        </w:rPr>
        <w:t>建设期间，在硬化工程区设置DN300排水管720m。</w:t>
      </w:r>
    </w:p>
    <w:p w14:paraId="75ED24FA">
      <w:pPr>
        <w:numPr>
          <w:ilvl w:val="0"/>
          <w:numId w:val="0"/>
        </w:numPr>
        <w:adjustRightInd w:val="0"/>
        <w:snapToGrid w:val="0"/>
        <w:spacing w:line="360" w:lineRule="auto"/>
        <w:ind w:firstLine="480" w:firstLineChars="200"/>
        <w:outlineLvl w:val="9"/>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雨水井</w:t>
      </w:r>
      <w:r>
        <w:rPr>
          <w:rFonts w:hint="default" w:ascii="Times New Roman" w:hAnsi="Times New Roman" w:eastAsia="仿宋_GB2312" w:cs="Times New Roman"/>
          <w:color w:val="auto"/>
          <w:sz w:val="24"/>
          <w:lang w:val="en-US" w:eastAsia="zh-CN" w:bidi="ar"/>
        </w:rPr>
        <w:t>/已实施</w:t>
      </w:r>
      <w:r>
        <w:rPr>
          <w:rFonts w:hint="default" w:ascii="Times New Roman" w:hAnsi="Times New Roman" w:eastAsia="仿宋_GB2312" w:cs="Times New Roman"/>
          <w:color w:val="auto"/>
          <w:sz w:val="24"/>
          <w:lang w:eastAsia="zh-CN" w:bidi="ar"/>
        </w:rPr>
        <w:t>：</w:t>
      </w:r>
      <w:r>
        <w:rPr>
          <w:rFonts w:hint="default" w:ascii="Times New Roman" w:hAnsi="Times New Roman" w:eastAsia="仿宋_GB2312" w:cs="Times New Roman"/>
          <w:color w:val="auto"/>
          <w:sz w:val="24"/>
          <w:lang w:val="en-US" w:eastAsia="zh-CN" w:bidi="ar"/>
        </w:rPr>
        <w:t>建设期间，在硬化工程区设置雨水井20座。</w:t>
      </w:r>
    </w:p>
    <w:p w14:paraId="0EB2A921">
      <w:pPr>
        <w:numPr>
          <w:ilvl w:val="0"/>
          <w:numId w:val="0"/>
        </w:numPr>
        <w:adjustRightInd w:val="0"/>
        <w:snapToGrid w:val="0"/>
        <w:spacing w:line="360" w:lineRule="auto"/>
        <w:ind w:firstLine="480" w:firstLineChars="200"/>
        <w:outlineLvl w:val="9"/>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雨水口</w:t>
      </w:r>
      <w:r>
        <w:rPr>
          <w:rFonts w:hint="default" w:ascii="Times New Roman" w:hAnsi="Times New Roman" w:eastAsia="仿宋_GB2312" w:cs="Times New Roman"/>
          <w:color w:val="auto"/>
          <w:sz w:val="24"/>
          <w:lang w:val="en-US" w:eastAsia="zh-CN" w:bidi="ar"/>
        </w:rPr>
        <w:t>/已实施</w:t>
      </w:r>
      <w:r>
        <w:rPr>
          <w:rFonts w:hint="default" w:ascii="Times New Roman" w:hAnsi="Times New Roman" w:eastAsia="仿宋_GB2312" w:cs="Times New Roman"/>
          <w:color w:val="auto"/>
          <w:sz w:val="24"/>
          <w:lang w:eastAsia="zh-CN" w:bidi="ar"/>
        </w:rPr>
        <w:t>：</w:t>
      </w:r>
      <w:r>
        <w:rPr>
          <w:rFonts w:hint="default" w:ascii="Times New Roman" w:hAnsi="Times New Roman" w:eastAsia="仿宋_GB2312" w:cs="Times New Roman"/>
          <w:color w:val="auto"/>
          <w:sz w:val="24"/>
          <w:lang w:val="en-US" w:eastAsia="zh-CN" w:bidi="ar"/>
        </w:rPr>
        <w:t>建设期间，在硬化工程区设置雨水口15座。</w:t>
      </w:r>
    </w:p>
    <w:p w14:paraId="35B3F3E4">
      <w:pPr>
        <w:numPr>
          <w:ilvl w:val="0"/>
          <w:numId w:val="0"/>
        </w:numPr>
        <w:adjustRightInd w:val="0"/>
        <w:snapToGrid w:val="0"/>
        <w:spacing w:line="360" w:lineRule="auto"/>
        <w:ind w:firstLine="480" w:firstLineChars="200"/>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kern w:val="0"/>
          <w:sz w:val="24"/>
          <w:szCs w:val="24"/>
          <w:lang w:val="en-US" w:eastAsia="zh-CN" w:bidi="ar"/>
        </w:rPr>
        <w:t xml:space="preserve"> </w:t>
      </w:r>
      <w:r>
        <w:rPr>
          <w:rFonts w:hint="default" w:ascii="Times New Roman" w:hAnsi="Times New Roman" w:eastAsia="仿宋_GB2312" w:cs="Times New Roman"/>
          <w:color w:val="auto"/>
          <w:sz w:val="24"/>
          <w:szCs w:val="24"/>
          <w:lang w:val="en-US" w:eastAsia="zh-CN"/>
        </w:rPr>
        <w:t>2、绿化工程区</w:t>
      </w:r>
    </w:p>
    <w:p w14:paraId="6866B840">
      <w:pPr>
        <w:numPr>
          <w:ilvl w:val="0"/>
          <w:numId w:val="0"/>
        </w:numPr>
        <w:adjustRightInd w:val="0"/>
        <w:snapToGrid w:val="0"/>
        <w:spacing w:line="360" w:lineRule="auto"/>
        <w:ind w:leftChars="200"/>
        <w:outlineLvl w:val="9"/>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val="en-US" w:eastAsia="zh-CN" w:bidi="ar"/>
        </w:rPr>
        <w:t>（1）工程措施</w:t>
      </w:r>
    </w:p>
    <w:p w14:paraId="69AD0C69">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sz w:val="24"/>
          <w:lang w:eastAsia="zh-CN" w:bidi="ar"/>
        </w:rPr>
        <w:t>表土剥离</w:t>
      </w:r>
      <w:r>
        <w:rPr>
          <w:rFonts w:hint="default" w:ascii="Times New Roman" w:hAnsi="Times New Roman" w:eastAsia="仿宋_GB2312" w:cs="Times New Roman"/>
          <w:color w:val="auto"/>
          <w:sz w:val="24"/>
          <w:lang w:val="en-US" w:eastAsia="zh-CN" w:bidi="ar"/>
        </w:rPr>
        <w:t>/已实施</w:t>
      </w:r>
      <w:r>
        <w:rPr>
          <w:rFonts w:hint="default" w:ascii="Times New Roman" w:hAnsi="Times New Roman" w:eastAsia="仿宋_GB2312" w:cs="Times New Roman"/>
          <w:color w:val="auto"/>
          <w:sz w:val="24"/>
          <w:lang w:eastAsia="zh-CN" w:bidi="ar"/>
        </w:rPr>
        <w:t>：</w:t>
      </w:r>
      <w:r>
        <w:rPr>
          <w:rFonts w:hint="default" w:ascii="Times New Roman" w:hAnsi="Times New Roman" w:eastAsia="仿宋_GB2312" w:cs="Times New Roman"/>
          <w:color w:val="auto"/>
          <w:kern w:val="0"/>
          <w:sz w:val="24"/>
          <w:szCs w:val="24"/>
          <w:lang w:val="en-US" w:eastAsia="zh-CN" w:bidi="ar"/>
        </w:rPr>
        <w:t>为保护表土资源，在施工前已对</w:t>
      </w:r>
      <w:r>
        <w:rPr>
          <w:rFonts w:hint="default" w:ascii="Times New Roman" w:hAnsi="Times New Roman" w:eastAsia="仿宋_GB2312" w:cs="Times New Roman"/>
          <w:color w:val="auto"/>
          <w:sz w:val="24"/>
          <w:lang w:eastAsia="zh-CN" w:bidi="ar"/>
        </w:rPr>
        <w:t>该区域</w:t>
      </w:r>
      <w:r>
        <w:rPr>
          <w:rFonts w:hint="default" w:ascii="Times New Roman" w:hAnsi="Times New Roman" w:eastAsia="仿宋_GB2312" w:cs="Times New Roman"/>
          <w:color w:val="auto"/>
          <w:kern w:val="0"/>
          <w:sz w:val="24"/>
          <w:szCs w:val="24"/>
          <w:lang w:val="en-US" w:eastAsia="zh-CN" w:bidi="ar"/>
        </w:rPr>
        <w:t>所占用的0.06hm</w:t>
      </w:r>
      <w:r>
        <w:rPr>
          <w:rFonts w:hint="default" w:ascii="Times New Roman" w:hAnsi="Times New Roman" w:eastAsia="仿宋_GB2312" w:cs="Times New Roman"/>
          <w:color w:val="auto"/>
          <w:kern w:val="0"/>
          <w:sz w:val="24"/>
          <w:szCs w:val="24"/>
          <w:vertAlign w:val="superscript"/>
          <w:lang w:val="en-US" w:eastAsia="zh-CN" w:bidi="ar"/>
        </w:rPr>
        <w:t>2</w:t>
      </w:r>
      <w:r>
        <w:rPr>
          <w:rFonts w:hint="default" w:ascii="Times New Roman" w:hAnsi="Times New Roman" w:eastAsia="仿宋_GB2312" w:cs="Times New Roman"/>
          <w:color w:val="auto"/>
          <w:kern w:val="0"/>
          <w:sz w:val="24"/>
          <w:szCs w:val="24"/>
          <w:lang w:val="en-US" w:eastAsia="zh-CN" w:bidi="ar"/>
        </w:rPr>
        <w:t>林地进行表土剥离，剥离厚度为0.20m，剥离总量为0.01万</w:t>
      </w:r>
      <w:r>
        <w:rPr>
          <w:rFonts w:hint="default" w:ascii="Times New Roman" w:hAnsi="Times New Roman" w:eastAsia="仿宋_GB2312" w:cs="Times New Roman"/>
          <w:color w:val="auto"/>
          <w:kern w:val="2"/>
          <w:sz w:val="24"/>
          <w:szCs w:val="24"/>
          <w:lang w:val="en-US" w:eastAsia="zh-CN" w:bidi="ar-SA"/>
        </w:rPr>
        <w:t>m³</w:t>
      </w:r>
      <w:r>
        <w:rPr>
          <w:rFonts w:hint="default" w:ascii="Times New Roman" w:hAnsi="Times New Roman" w:eastAsia="仿宋_GB2312" w:cs="Times New Roman"/>
          <w:color w:val="auto"/>
          <w:kern w:val="0"/>
          <w:sz w:val="24"/>
          <w:szCs w:val="24"/>
          <w:lang w:val="en-US" w:eastAsia="zh-CN" w:bidi="ar"/>
        </w:rPr>
        <w:t xml:space="preserve">。 </w:t>
      </w:r>
    </w:p>
    <w:p w14:paraId="7F4ACA39">
      <w:pPr>
        <w:numPr>
          <w:ilvl w:val="0"/>
          <w:numId w:val="0"/>
        </w:numPr>
        <w:adjustRightInd w:val="0"/>
        <w:snapToGrid w:val="0"/>
        <w:spacing w:line="360" w:lineRule="auto"/>
        <w:ind w:firstLine="480" w:firstLineChars="200"/>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lang w:eastAsia="zh-CN" w:bidi="ar"/>
        </w:rPr>
        <w:t>表土回覆</w:t>
      </w:r>
      <w:r>
        <w:rPr>
          <w:rFonts w:hint="default" w:ascii="Times New Roman" w:hAnsi="Times New Roman" w:eastAsia="仿宋_GB2312" w:cs="Times New Roman"/>
          <w:color w:val="auto"/>
          <w:sz w:val="24"/>
          <w:lang w:val="en-US" w:eastAsia="zh-CN" w:bidi="ar"/>
        </w:rPr>
        <w:t>/已实施</w:t>
      </w:r>
      <w:r>
        <w:rPr>
          <w:rFonts w:hint="default" w:ascii="Times New Roman" w:hAnsi="Times New Roman" w:eastAsia="仿宋_GB2312" w:cs="Times New Roman"/>
          <w:color w:val="auto"/>
          <w:sz w:val="24"/>
          <w:lang w:eastAsia="zh-CN" w:bidi="ar"/>
        </w:rPr>
        <w:t>：本项目后期对</w:t>
      </w:r>
      <w:r>
        <w:rPr>
          <w:rFonts w:hint="default" w:ascii="Times New Roman" w:hAnsi="Times New Roman" w:eastAsia="仿宋_GB2312" w:cs="Times New Roman"/>
          <w:color w:val="auto"/>
          <w:sz w:val="24"/>
          <w:lang w:val="en-US" w:eastAsia="zh-CN" w:bidi="ar"/>
        </w:rPr>
        <w:t>0.12hm</w:t>
      </w:r>
      <w:r>
        <w:rPr>
          <w:rFonts w:hint="default" w:ascii="Times New Roman" w:hAnsi="Times New Roman" w:eastAsia="仿宋_GB2312" w:cs="Times New Roman"/>
          <w:color w:val="auto"/>
          <w:sz w:val="24"/>
          <w:vertAlign w:val="superscript"/>
          <w:lang w:val="en-US" w:eastAsia="zh-CN" w:bidi="ar"/>
        </w:rPr>
        <w:t>2</w:t>
      </w:r>
      <w:r>
        <w:rPr>
          <w:rFonts w:hint="default" w:ascii="Times New Roman" w:hAnsi="Times New Roman" w:eastAsia="仿宋_GB2312" w:cs="Times New Roman"/>
          <w:color w:val="auto"/>
          <w:sz w:val="24"/>
          <w:szCs w:val="24"/>
          <w:lang w:val="en-US" w:eastAsia="zh-CN"/>
        </w:rPr>
        <w:t>绿化工程区</w:t>
      </w:r>
      <w:r>
        <w:rPr>
          <w:rFonts w:hint="default" w:ascii="Times New Roman" w:hAnsi="Times New Roman" w:eastAsia="仿宋_GB2312" w:cs="Times New Roman"/>
          <w:color w:val="auto"/>
          <w:sz w:val="24"/>
          <w:lang w:eastAsia="zh-CN" w:bidi="ar"/>
        </w:rPr>
        <w:t>进行表土回覆</w:t>
      </w:r>
      <w:r>
        <w:rPr>
          <w:rFonts w:hint="default" w:ascii="Times New Roman" w:hAnsi="Times New Roman" w:eastAsia="仿宋_GB2312" w:cs="Times New Roman"/>
          <w:color w:val="auto"/>
          <w:sz w:val="24"/>
          <w:lang w:val="en-US" w:eastAsia="zh-CN" w:bidi="ar"/>
        </w:rPr>
        <w:t>0.02</w:t>
      </w:r>
      <w:r>
        <w:rPr>
          <w:rFonts w:hint="default" w:ascii="Times New Roman" w:hAnsi="Times New Roman" w:eastAsia="仿宋_GB2312" w:cs="Times New Roman"/>
          <w:color w:val="auto"/>
          <w:kern w:val="0"/>
          <w:sz w:val="24"/>
          <w:szCs w:val="24"/>
          <w:lang w:val="en-US" w:eastAsia="zh-CN" w:bidi="ar"/>
        </w:rPr>
        <w:t>万</w:t>
      </w:r>
      <w:r>
        <w:rPr>
          <w:rFonts w:hint="default" w:ascii="Times New Roman" w:hAnsi="Times New Roman" w:eastAsia="仿宋_GB2312" w:cs="Times New Roman"/>
          <w:color w:val="auto"/>
          <w:kern w:val="2"/>
          <w:sz w:val="24"/>
          <w:szCs w:val="24"/>
          <w:lang w:val="en-US" w:eastAsia="zh-CN" w:bidi="ar-SA"/>
        </w:rPr>
        <w:t>m³</w:t>
      </w:r>
      <w:r>
        <w:rPr>
          <w:rFonts w:hint="default" w:ascii="Times New Roman" w:hAnsi="Times New Roman" w:eastAsia="仿宋_GB2312" w:cs="Times New Roman"/>
          <w:color w:val="auto"/>
          <w:kern w:val="0"/>
          <w:sz w:val="24"/>
          <w:szCs w:val="24"/>
          <w:lang w:val="en-US" w:eastAsia="zh-CN" w:bidi="ar"/>
        </w:rPr>
        <w:t>，覆土厚度为0.17m。</w:t>
      </w:r>
    </w:p>
    <w:p w14:paraId="437F1FB2">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val="en-US" w:eastAsia="zh-CN" w:bidi="ar"/>
        </w:rPr>
        <w:t>（2）植物措施</w:t>
      </w:r>
    </w:p>
    <w:p w14:paraId="64C152E7">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撒播草籽</w:t>
      </w:r>
      <w:r>
        <w:rPr>
          <w:rFonts w:hint="default" w:ascii="Times New Roman" w:hAnsi="Times New Roman" w:eastAsia="仿宋_GB2312" w:cs="Times New Roman"/>
          <w:color w:val="auto"/>
          <w:sz w:val="24"/>
          <w:lang w:val="en-US" w:eastAsia="zh-CN" w:bidi="ar"/>
        </w:rPr>
        <w:t>/已实施</w:t>
      </w:r>
      <w:r>
        <w:rPr>
          <w:rFonts w:hint="default" w:ascii="Times New Roman" w:hAnsi="Times New Roman" w:eastAsia="仿宋_GB2312" w:cs="Times New Roman"/>
          <w:color w:val="auto"/>
          <w:kern w:val="0"/>
          <w:sz w:val="24"/>
          <w:szCs w:val="24"/>
          <w:lang w:val="en-US" w:eastAsia="zh-CN" w:bidi="ar"/>
        </w:rPr>
        <w:t>：因施工过程中对原地貌进行了地表扰动，施工结束后，对</w:t>
      </w:r>
      <w:r>
        <w:rPr>
          <w:rFonts w:hint="default" w:ascii="Times New Roman" w:hAnsi="Times New Roman" w:eastAsia="仿宋_GB2312" w:cs="Times New Roman"/>
          <w:color w:val="auto"/>
          <w:sz w:val="24"/>
          <w:szCs w:val="24"/>
          <w:lang w:val="en-US" w:eastAsia="zh-CN"/>
        </w:rPr>
        <w:t>绿化工程区保留部分树种的同时进行撒播草籽（100kg/hm</w:t>
      </w:r>
      <w:r>
        <w:rPr>
          <w:rFonts w:hint="default" w:ascii="Times New Roman" w:hAnsi="Times New Roman" w:eastAsia="仿宋_GB2312" w:cs="Times New Roman"/>
          <w:color w:val="auto"/>
          <w:sz w:val="24"/>
          <w:szCs w:val="24"/>
          <w:vertAlign w:val="superscript"/>
          <w:lang w:val="en-US" w:eastAsia="zh-CN"/>
        </w:rPr>
        <w:t>2</w:t>
      </w:r>
      <w:r>
        <w:rPr>
          <w:rFonts w:hint="default" w:ascii="Times New Roman" w:hAnsi="Times New Roman" w:eastAsia="仿宋_GB2312" w:cs="Times New Roman"/>
          <w:color w:val="auto"/>
          <w:sz w:val="24"/>
          <w:szCs w:val="24"/>
          <w:lang w:val="en-US" w:eastAsia="zh-CN"/>
        </w:rPr>
        <w:t>），撒播草籽</w:t>
      </w:r>
      <w:r>
        <w:rPr>
          <w:rFonts w:hint="default" w:ascii="Times New Roman" w:hAnsi="Times New Roman" w:eastAsia="仿宋_GB2312" w:cs="Times New Roman"/>
          <w:color w:val="auto"/>
          <w:kern w:val="0"/>
          <w:sz w:val="24"/>
          <w:szCs w:val="24"/>
          <w:lang w:val="en-US" w:eastAsia="zh-CN" w:bidi="ar"/>
        </w:rPr>
        <w:t>面积共0.12h</w:t>
      </w:r>
      <w:r>
        <w:rPr>
          <w:rFonts w:hint="default" w:ascii="Times New Roman" w:hAnsi="Times New Roman" w:eastAsia="仿宋_GB2312" w:cs="Times New Roman"/>
          <w:color w:val="auto"/>
          <w:kern w:val="0"/>
          <w:sz w:val="24"/>
          <w:szCs w:val="24"/>
        </w:rPr>
        <w:t>m</w:t>
      </w:r>
      <w:r>
        <w:rPr>
          <w:rFonts w:hint="default" w:ascii="Times New Roman" w:hAnsi="Times New Roman" w:eastAsia="仿宋_GB2312" w:cs="Times New Roman"/>
          <w:color w:val="auto"/>
          <w:kern w:val="0"/>
          <w:sz w:val="24"/>
          <w:szCs w:val="24"/>
          <w:vertAlign w:val="superscript"/>
        </w:rPr>
        <w:t>2</w:t>
      </w:r>
      <w:r>
        <w:rPr>
          <w:rFonts w:hint="default" w:ascii="Times New Roman" w:hAnsi="Times New Roman" w:eastAsia="仿宋_GB2312" w:cs="Times New Roman"/>
          <w:color w:val="auto"/>
          <w:kern w:val="0"/>
          <w:sz w:val="24"/>
          <w:szCs w:val="24"/>
          <w:lang w:val="en-US" w:eastAsia="zh-CN" w:bidi="ar"/>
        </w:rPr>
        <w:t>。</w:t>
      </w:r>
      <w:r>
        <w:rPr>
          <w:rFonts w:hint="default" w:ascii="Times New Roman" w:hAnsi="Times New Roman" w:eastAsia="仿宋_GB2312" w:cs="Times New Roman"/>
          <w:color w:val="auto"/>
          <w:sz w:val="24"/>
          <w:lang w:val="en-US" w:eastAsia="zh-CN" w:bidi="ar"/>
        </w:rPr>
        <w:t>草种主要选择小麦冬等，</w:t>
      </w:r>
      <w:r>
        <w:rPr>
          <w:rFonts w:hint="default" w:ascii="Times New Roman" w:hAnsi="Times New Roman" w:eastAsia="仿宋_GB2312" w:cs="Times New Roman"/>
          <w:color w:val="auto"/>
          <w:kern w:val="0"/>
          <w:sz w:val="24"/>
          <w:szCs w:val="24"/>
          <w:highlight w:val="none"/>
          <w:lang w:val="en-US" w:eastAsia="zh-CN"/>
        </w:rPr>
        <w:t>草种采用人工撒播的方式进行种植。</w:t>
      </w:r>
    </w:p>
    <w:p w14:paraId="56A0F45D">
      <w:pPr>
        <w:numPr>
          <w:ilvl w:val="0"/>
          <w:numId w:val="0"/>
        </w:numPr>
        <w:adjustRightInd w:val="0"/>
        <w:snapToGrid w:val="0"/>
        <w:spacing w:line="360" w:lineRule="auto"/>
        <w:jc w:val="center"/>
        <w:outlineLvl w:val="9"/>
        <w:rPr>
          <w:rFonts w:hint="default" w:ascii="Times New Roman" w:hAnsi="Times New Roman" w:eastAsia="仿宋_GB2312" w:cs="Times New Roman"/>
          <w:b/>
          <w:bCs/>
          <w:color w:val="auto"/>
          <w:sz w:val="21"/>
          <w:szCs w:val="21"/>
          <w:lang w:val="en-US" w:eastAsia="zh-CN"/>
        </w:rPr>
      </w:pPr>
      <w:r>
        <w:rPr>
          <w:rFonts w:hint="default" w:ascii="Times New Roman" w:hAnsi="Times New Roman" w:eastAsia="仿宋_GB2312" w:cs="Times New Roman"/>
          <w:b/>
          <w:bCs/>
          <w:color w:val="auto"/>
          <w:sz w:val="21"/>
          <w:szCs w:val="21"/>
          <w:lang w:val="en-US" w:eastAsia="zh-CN"/>
        </w:rPr>
        <w:t>表5.3-1水土保持措施汇总表</w:t>
      </w:r>
    </w:p>
    <w:tbl>
      <w:tblPr>
        <w:tblStyle w:val="18"/>
        <w:tblW w:w="90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1170"/>
        <w:gridCol w:w="2605"/>
        <w:gridCol w:w="1045"/>
        <w:gridCol w:w="1104"/>
        <w:gridCol w:w="1484"/>
      </w:tblGrid>
      <w:tr w14:paraId="7B91E0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tcBorders>
              <w:tl2br w:val="nil"/>
              <w:tr2bl w:val="nil"/>
            </w:tcBorders>
            <w:noWrap w:val="0"/>
            <w:vAlign w:val="center"/>
          </w:tcPr>
          <w:p w14:paraId="16587656">
            <w:pPr>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bidi="ar"/>
              </w:rPr>
              <w:t>防治分区</w:t>
            </w:r>
          </w:p>
        </w:tc>
        <w:tc>
          <w:tcPr>
            <w:tcW w:w="1170" w:type="dxa"/>
            <w:tcBorders>
              <w:tl2br w:val="nil"/>
              <w:tr2bl w:val="nil"/>
            </w:tcBorders>
            <w:noWrap w:val="0"/>
            <w:vAlign w:val="center"/>
          </w:tcPr>
          <w:p w14:paraId="656620BB">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bidi="ar"/>
              </w:rPr>
              <w:t>措施类型</w:t>
            </w:r>
          </w:p>
        </w:tc>
        <w:tc>
          <w:tcPr>
            <w:tcW w:w="2605" w:type="dxa"/>
            <w:tcBorders>
              <w:tl2br w:val="nil"/>
              <w:tr2bl w:val="nil"/>
            </w:tcBorders>
            <w:noWrap w:val="0"/>
            <w:vAlign w:val="center"/>
          </w:tcPr>
          <w:p w14:paraId="4248AAEF">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bidi="ar"/>
              </w:rPr>
              <w:t>措施名称</w:t>
            </w:r>
          </w:p>
        </w:tc>
        <w:tc>
          <w:tcPr>
            <w:tcW w:w="1045" w:type="dxa"/>
            <w:tcBorders>
              <w:tl2br w:val="nil"/>
              <w:tr2bl w:val="nil"/>
            </w:tcBorders>
            <w:noWrap w:val="0"/>
            <w:vAlign w:val="center"/>
          </w:tcPr>
          <w:p w14:paraId="6F414F99">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bidi="ar"/>
              </w:rPr>
              <w:t>单位</w:t>
            </w:r>
          </w:p>
        </w:tc>
        <w:tc>
          <w:tcPr>
            <w:tcW w:w="1104" w:type="dxa"/>
            <w:tcBorders>
              <w:tl2br w:val="nil"/>
              <w:tr2bl w:val="nil"/>
            </w:tcBorders>
            <w:noWrap w:val="0"/>
            <w:vAlign w:val="center"/>
          </w:tcPr>
          <w:p w14:paraId="4F0E363D">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bidi="ar"/>
              </w:rPr>
              <w:t>数量</w:t>
            </w:r>
          </w:p>
        </w:tc>
        <w:tc>
          <w:tcPr>
            <w:tcW w:w="1484" w:type="dxa"/>
            <w:tcBorders>
              <w:tl2br w:val="nil"/>
              <w:tr2bl w:val="nil"/>
            </w:tcBorders>
            <w:noWrap w:val="0"/>
            <w:vAlign w:val="center"/>
          </w:tcPr>
          <w:p w14:paraId="45CC8FD1">
            <w:pPr>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en-US" w:eastAsia="zh-CN" w:bidi="ar"/>
              </w:rPr>
              <w:t>备注</w:t>
            </w:r>
          </w:p>
        </w:tc>
      </w:tr>
      <w:tr w14:paraId="5FC8B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tcBorders>
              <w:tl2br w:val="nil"/>
              <w:tr2bl w:val="nil"/>
            </w:tcBorders>
            <w:noWrap w:val="0"/>
            <w:vAlign w:val="center"/>
          </w:tcPr>
          <w:p w14:paraId="11CC6B10">
            <w:pPr>
              <w:widowControl/>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建构筑物工程区</w:t>
            </w:r>
          </w:p>
        </w:tc>
        <w:tc>
          <w:tcPr>
            <w:tcW w:w="7408" w:type="dxa"/>
            <w:gridSpan w:val="5"/>
            <w:tcBorders>
              <w:tl2br w:val="nil"/>
              <w:tr2bl w:val="nil"/>
            </w:tcBorders>
            <w:noWrap w:val="0"/>
            <w:vAlign w:val="center"/>
          </w:tcPr>
          <w:p w14:paraId="6C4FA463">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w:t>
            </w:r>
          </w:p>
        </w:tc>
      </w:tr>
      <w:tr w14:paraId="461D59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restart"/>
            <w:tcBorders>
              <w:tl2br w:val="nil"/>
              <w:tr2bl w:val="nil"/>
            </w:tcBorders>
            <w:noWrap w:val="0"/>
            <w:vAlign w:val="center"/>
          </w:tcPr>
          <w:p w14:paraId="35C33EF2">
            <w:pPr>
              <w:widowControl/>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硬化工程区</w:t>
            </w:r>
          </w:p>
        </w:tc>
        <w:tc>
          <w:tcPr>
            <w:tcW w:w="1170" w:type="dxa"/>
            <w:vMerge w:val="restart"/>
            <w:tcBorders>
              <w:tl2br w:val="nil"/>
              <w:tr2bl w:val="nil"/>
            </w:tcBorders>
            <w:noWrap w:val="0"/>
            <w:vAlign w:val="center"/>
          </w:tcPr>
          <w:p w14:paraId="737BC169">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工程措施</w:t>
            </w:r>
          </w:p>
        </w:tc>
        <w:tc>
          <w:tcPr>
            <w:tcW w:w="2605" w:type="dxa"/>
            <w:tcBorders>
              <w:tl2br w:val="nil"/>
              <w:tr2bl w:val="nil"/>
            </w:tcBorders>
            <w:shd w:val="clear" w:color="auto" w:fill="auto"/>
            <w:noWrap w:val="0"/>
            <w:vAlign w:val="center"/>
          </w:tcPr>
          <w:p w14:paraId="0041034E">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表土剥离0.01万m</w:t>
            </w:r>
            <w:r>
              <w:rPr>
                <w:rFonts w:hint="default" w:ascii="Times New Roman" w:hAnsi="Times New Roman" w:eastAsia="仿宋_GB2312" w:cs="Times New Roman"/>
                <w:i w:val="0"/>
                <w:iCs w:val="0"/>
                <w:color w:val="000000"/>
                <w:kern w:val="0"/>
                <w:sz w:val="18"/>
                <w:szCs w:val="18"/>
                <w:u w:val="none"/>
                <w:vertAlign w:val="superscript"/>
                <w:lang w:val="en-US" w:eastAsia="zh-CN" w:bidi="ar"/>
              </w:rPr>
              <w:t>3</w:t>
            </w:r>
          </w:p>
        </w:tc>
        <w:tc>
          <w:tcPr>
            <w:tcW w:w="1045" w:type="dxa"/>
            <w:tcBorders>
              <w:tl2br w:val="nil"/>
              <w:tr2bl w:val="nil"/>
            </w:tcBorders>
            <w:shd w:val="clear" w:color="auto" w:fill="auto"/>
            <w:noWrap w:val="0"/>
            <w:vAlign w:val="center"/>
          </w:tcPr>
          <w:p w14:paraId="2EC7D598">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hm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p>
        </w:tc>
        <w:tc>
          <w:tcPr>
            <w:tcW w:w="1104" w:type="dxa"/>
            <w:tcBorders>
              <w:tl2br w:val="nil"/>
              <w:tr2bl w:val="nil"/>
            </w:tcBorders>
            <w:shd w:val="clear" w:color="auto" w:fill="auto"/>
            <w:noWrap w:val="0"/>
            <w:vAlign w:val="center"/>
          </w:tcPr>
          <w:p w14:paraId="29878EA9">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0.02</w:t>
            </w:r>
          </w:p>
        </w:tc>
        <w:tc>
          <w:tcPr>
            <w:tcW w:w="1484" w:type="dxa"/>
            <w:tcBorders>
              <w:tl2br w:val="nil"/>
              <w:tr2bl w:val="nil"/>
            </w:tcBorders>
            <w:shd w:val="clear" w:color="auto" w:fill="auto"/>
            <w:noWrap w:val="0"/>
            <w:vAlign w:val="center"/>
          </w:tcPr>
          <w:p w14:paraId="728D8B57">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已实施</w:t>
            </w:r>
          </w:p>
        </w:tc>
      </w:tr>
      <w:tr w14:paraId="36B78E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14:paraId="5DC846D0">
            <w:pPr>
              <w:widowControl/>
              <w:jc w:val="center"/>
              <w:rPr>
                <w:rFonts w:hint="default" w:ascii="Times New Roman" w:hAnsi="Times New Roman" w:eastAsia="仿宋_GB2312" w:cs="Times New Roman"/>
                <w:color w:val="auto"/>
                <w:sz w:val="18"/>
                <w:szCs w:val="18"/>
                <w:lang w:val="en-US" w:eastAsia="zh-CN" w:bidi="ar"/>
              </w:rPr>
            </w:pPr>
          </w:p>
        </w:tc>
        <w:tc>
          <w:tcPr>
            <w:tcW w:w="1170" w:type="dxa"/>
            <w:vMerge w:val="continue"/>
            <w:tcBorders>
              <w:tl2br w:val="nil"/>
              <w:tr2bl w:val="nil"/>
            </w:tcBorders>
            <w:noWrap w:val="0"/>
            <w:vAlign w:val="center"/>
          </w:tcPr>
          <w:p w14:paraId="4B9FF62C">
            <w:pPr>
              <w:jc w:val="center"/>
              <w:rPr>
                <w:rFonts w:hint="default" w:ascii="Times New Roman" w:hAnsi="Times New Roman" w:eastAsia="仿宋_GB2312" w:cs="Times New Roman"/>
                <w:color w:val="auto"/>
                <w:sz w:val="18"/>
                <w:szCs w:val="18"/>
                <w:lang w:eastAsia="zh-CN" w:bidi="ar"/>
              </w:rPr>
            </w:pPr>
          </w:p>
        </w:tc>
        <w:tc>
          <w:tcPr>
            <w:tcW w:w="2605" w:type="dxa"/>
            <w:tcBorders>
              <w:tl2br w:val="nil"/>
              <w:tr2bl w:val="nil"/>
            </w:tcBorders>
            <w:shd w:val="clear" w:color="auto" w:fill="auto"/>
            <w:noWrap w:val="0"/>
            <w:vAlign w:val="center"/>
          </w:tcPr>
          <w:p w14:paraId="3FBC34A2">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DN300</w:t>
            </w:r>
            <w:r>
              <w:rPr>
                <w:rFonts w:hint="default" w:ascii="Times New Roman" w:hAnsi="Times New Roman" w:eastAsia="仿宋_GB2312" w:cs="Times New Roman"/>
                <w:i w:val="0"/>
                <w:iCs w:val="0"/>
                <w:color w:val="000000"/>
                <w:kern w:val="0"/>
                <w:sz w:val="18"/>
                <w:szCs w:val="18"/>
                <w:u w:val="none"/>
                <w:lang w:val="en-US" w:eastAsia="zh-CN" w:bidi="ar"/>
              </w:rPr>
              <w:t>排水管</w:t>
            </w:r>
          </w:p>
        </w:tc>
        <w:tc>
          <w:tcPr>
            <w:tcW w:w="1045" w:type="dxa"/>
            <w:tcBorders>
              <w:tl2br w:val="nil"/>
              <w:tr2bl w:val="nil"/>
            </w:tcBorders>
            <w:shd w:val="clear" w:color="auto" w:fill="auto"/>
            <w:noWrap w:val="0"/>
            <w:vAlign w:val="center"/>
          </w:tcPr>
          <w:p w14:paraId="05C61481">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m</w:t>
            </w:r>
          </w:p>
        </w:tc>
        <w:tc>
          <w:tcPr>
            <w:tcW w:w="1104" w:type="dxa"/>
            <w:tcBorders>
              <w:tl2br w:val="nil"/>
              <w:tr2bl w:val="nil"/>
            </w:tcBorders>
            <w:shd w:val="clear" w:color="auto" w:fill="auto"/>
            <w:noWrap w:val="0"/>
            <w:vAlign w:val="center"/>
          </w:tcPr>
          <w:p w14:paraId="4E35A030">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720</w:t>
            </w:r>
          </w:p>
        </w:tc>
        <w:tc>
          <w:tcPr>
            <w:tcW w:w="1484" w:type="dxa"/>
            <w:tcBorders>
              <w:tl2br w:val="nil"/>
              <w:tr2bl w:val="nil"/>
            </w:tcBorders>
            <w:shd w:val="clear" w:color="auto" w:fill="auto"/>
            <w:noWrap w:val="0"/>
            <w:vAlign w:val="center"/>
          </w:tcPr>
          <w:p w14:paraId="6B51FCC0">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已实施</w:t>
            </w:r>
          </w:p>
        </w:tc>
      </w:tr>
      <w:tr w14:paraId="3D6159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14:paraId="50C9D8FE">
            <w:pPr>
              <w:widowControl/>
              <w:jc w:val="center"/>
              <w:rPr>
                <w:rFonts w:hint="default" w:ascii="Times New Roman" w:hAnsi="Times New Roman" w:eastAsia="仿宋_GB2312" w:cs="Times New Roman"/>
                <w:color w:val="auto"/>
                <w:sz w:val="18"/>
                <w:szCs w:val="18"/>
                <w:lang w:val="en-US" w:eastAsia="zh-CN" w:bidi="ar"/>
              </w:rPr>
            </w:pPr>
          </w:p>
        </w:tc>
        <w:tc>
          <w:tcPr>
            <w:tcW w:w="1170" w:type="dxa"/>
            <w:vMerge w:val="continue"/>
            <w:tcBorders>
              <w:tl2br w:val="nil"/>
              <w:tr2bl w:val="nil"/>
            </w:tcBorders>
            <w:noWrap w:val="0"/>
            <w:vAlign w:val="center"/>
          </w:tcPr>
          <w:p w14:paraId="099E9D0D">
            <w:pPr>
              <w:jc w:val="center"/>
              <w:rPr>
                <w:rFonts w:hint="default" w:ascii="Times New Roman" w:hAnsi="Times New Roman" w:eastAsia="仿宋_GB2312" w:cs="Times New Roman"/>
                <w:color w:val="auto"/>
                <w:sz w:val="18"/>
                <w:szCs w:val="18"/>
                <w:lang w:eastAsia="zh-CN" w:bidi="ar"/>
              </w:rPr>
            </w:pPr>
          </w:p>
        </w:tc>
        <w:tc>
          <w:tcPr>
            <w:tcW w:w="2605" w:type="dxa"/>
            <w:tcBorders>
              <w:tl2br w:val="nil"/>
              <w:tr2bl w:val="nil"/>
            </w:tcBorders>
            <w:shd w:val="clear" w:color="auto" w:fill="auto"/>
            <w:noWrap w:val="0"/>
            <w:vAlign w:val="center"/>
          </w:tcPr>
          <w:p w14:paraId="2D8467B9">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雨水井</w:t>
            </w:r>
          </w:p>
        </w:tc>
        <w:tc>
          <w:tcPr>
            <w:tcW w:w="1045" w:type="dxa"/>
            <w:tcBorders>
              <w:tl2br w:val="nil"/>
              <w:tr2bl w:val="nil"/>
            </w:tcBorders>
            <w:shd w:val="clear" w:color="auto" w:fill="auto"/>
            <w:noWrap w:val="0"/>
            <w:vAlign w:val="center"/>
          </w:tcPr>
          <w:p w14:paraId="181AD896">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座</w:t>
            </w:r>
          </w:p>
        </w:tc>
        <w:tc>
          <w:tcPr>
            <w:tcW w:w="1104" w:type="dxa"/>
            <w:tcBorders>
              <w:tl2br w:val="nil"/>
              <w:tr2bl w:val="nil"/>
            </w:tcBorders>
            <w:shd w:val="clear" w:color="auto" w:fill="auto"/>
            <w:noWrap w:val="0"/>
            <w:vAlign w:val="center"/>
          </w:tcPr>
          <w:p w14:paraId="57F63DBB">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1484" w:type="dxa"/>
            <w:tcBorders>
              <w:tl2br w:val="nil"/>
              <w:tr2bl w:val="nil"/>
            </w:tcBorders>
            <w:shd w:val="clear" w:color="auto" w:fill="auto"/>
            <w:noWrap w:val="0"/>
            <w:vAlign w:val="center"/>
          </w:tcPr>
          <w:p w14:paraId="5A9A503F">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已实施</w:t>
            </w:r>
          </w:p>
        </w:tc>
      </w:tr>
      <w:tr w14:paraId="1331F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14:paraId="681D5066">
            <w:pPr>
              <w:widowControl/>
              <w:jc w:val="center"/>
              <w:rPr>
                <w:rFonts w:hint="default" w:ascii="Times New Roman" w:hAnsi="Times New Roman" w:eastAsia="仿宋_GB2312" w:cs="Times New Roman"/>
                <w:color w:val="auto"/>
                <w:sz w:val="18"/>
                <w:szCs w:val="18"/>
                <w:lang w:val="en-US" w:eastAsia="zh-CN" w:bidi="ar"/>
              </w:rPr>
            </w:pPr>
          </w:p>
        </w:tc>
        <w:tc>
          <w:tcPr>
            <w:tcW w:w="1170" w:type="dxa"/>
            <w:vMerge w:val="continue"/>
            <w:tcBorders>
              <w:tl2br w:val="nil"/>
              <w:tr2bl w:val="nil"/>
            </w:tcBorders>
            <w:noWrap w:val="0"/>
            <w:vAlign w:val="center"/>
          </w:tcPr>
          <w:p w14:paraId="33AA44C3">
            <w:pPr>
              <w:jc w:val="center"/>
              <w:rPr>
                <w:rFonts w:hint="default" w:ascii="Times New Roman" w:hAnsi="Times New Roman" w:eastAsia="仿宋_GB2312" w:cs="Times New Roman"/>
                <w:color w:val="auto"/>
                <w:sz w:val="18"/>
                <w:szCs w:val="18"/>
                <w:lang w:eastAsia="zh-CN" w:bidi="ar"/>
              </w:rPr>
            </w:pPr>
          </w:p>
        </w:tc>
        <w:tc>
          <w:tcPr>
            <w:tcW w:w="2605" w:type="dxa"/>
            <w:tcBorders>
              <w:tl2br w:val="nil"/>
              <w:tr2bl w:val="nil"/>
            </w:tcBorders>
            <w:shd w:val="clear" w:color="auto" w:fill="auto"/>
            <w:noWrap w:val="0"/>
            <w:vAlign w:val="center"/>
          </w:tcPr>
          <w:p w14:paraId="3655F6EB">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雨水口</w:t>
            </w:r>
          </w:p>
        </w:tc>
        <w:tc>
          <w:tcPr>
            <w:tcW w:w="1045" w:type="dxa"/>
            <w:tcBorders>
              <w:tl2br w:val="nil"/>
              <w:tr2bl w:val="nil"/>
            </w:tcBorders>
            <w:shd w:val="clear" w:color="auto" w:fill="auto"/>
            <w:noWrap w:val="0"/>
            <w:vAlign w:val="center"/>
          </w:tcPr>
          <w:p w14:paraId="721BBFF6">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座</w:t>
            </w:r>
          </w:p>
        </w:tc>
        <w:tc>
          <w:tcPr>
            <w:tcW w:w="1104" w:type="dxa"/>
            <w:tcBorders>
              <w:tl2br w:val="nil"/>
              <w:tr2bl w:val="nil"/>
            </w:tcBorders>
            <w:shd w:val="clear" w:color="auto" w:fill="auto"/>
            <w:noWrap w:val="0"/>
            <w:vAlign w:val="center"/>
          </w:tcPr>
          <w:p w14:paraId="1F442832">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1484" w:type="dxa"/>
            <w:tcBorders>
              <w:tl2br w:val="nil"/>
              <w:tr2bl w:val="nil"/>
            </w:tcBorders>
            <w:shd w:val="clear" w:color="auto" w:fill="auto"/>
            <w:noWrap w:val="0"/>
            <w:vAlign w:val="center"/>
          </w:tcPr>
          <w:p w14:paraId="6BBEBF34">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已实施</w:t>
            </w:r>
          </w:p>
        </w:tc>
      </w:tr>
      <w:tr w14:paraId="395BD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restart"/>
            <w:tcBorders>
              <w:tl2br w:val="nil"/>
              <w:tr2bl w:val="nil"/>
            </w:tcBorders>
            <w:noWrap w:val="0"/>
            <w:vAlign w:val="center"/>
          </w:tcPr>
          <w:p w14:paraId="2C3DA4E2">
            <w:pPr>
              <w:widowControl/>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绿化工程区</w:t>
            </w:r>
          </w:p>
        </w:tc>
        <w:tc>
          <w:tcPr>
            <w:tcW w:w="1170" w:type="dxa"/>
            <w:vMerge w:val="restart"/>
            <w:tcBorders>
              <w:tl2br w:val="nil"/>
              <w:tr2bl w:val="nil"/>
            </w:tcBorders>
            <w:noWrap w:val="0"/>
            <w:vAlign w:val="center"/>
          </w:tcPr>
          <w:p w14:paraId="1A5FE61E">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工程措施</w:t>
            </w:r>
          </w:p>
        </w:tc>
        <w:tc>
          <w:tcPr>
            <w:tcW w:w="2605" w:type="dxa"/>
            <w:tcBorders>
              <w:tl2br w:val="nil"/>
              <w:tr2bl w:val="nil"/>
            </w:tcBorders>
            <w:noWrap w:val="0"/>
            <w:vAlign w:val="center"/>
          </w:tcPr>
          <w:p w14:paraId="6F3B26C4">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表土剥离0.01万m</w:t>
            </w:r>
            <w:r>
              <w:rPr>
                <w:rFonts w:hint="default" w:ascii="Times New Roman" w:hAnsi="Times New Roman" w:eastAsia="仿宋_GB2312" w:cs="Times New Roman"/>
                <w:i w:val="0"/>
                <w:iCs w:val="0"/>
                <w:color w:val="000000"/>
                <w:kern w:val="0"/>
                <w:sz w:val="18"/>
                <w:szCs w:val="18"/>
                <w:u w:val="none"/>
                <w:vertAlign w:val="superscript"/>
                <w:lang w:val="en-US" w:eastAsia="zh-CN" w:bidi="ar"/>
              </w:rPr>
              <w:t>3</w:t>
            </w:r>
          </w:p>
        </w:tc>
        <w:tc>
          <w:tcPr>
            <w:tcW w:w="1045" w:type="dxa"/>
            <w:tcBorders>
              <w:tl2br w:val="nil"/>
              <w:tr2bl w:val="nil"/>
            </w:tcBorders>
            <w:noWrap w:val="0"/>
            <w:vAlign w:val="center"/>
          </w:tcPr>
          <w:p w14:paraId="76A1A224">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宋体" w:cs="Times New Roman"/>
                <w:i w:val="0"/>
                <w:iCs w:val="0"/>
                <w:color w:val="000000"/>
                <w:kern w:val="0"/>
                <w:sz w:val="18"/>
                <w:szCs w:val="18"/>
                <w:u w:val="none"/>
                <w:lang w:val="en-US" w:eastAsia="zh-CN" w:bidi="ar"/>
              </w:rPr>
              <w:t>hm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p>
        </w:tc>
        <w:tc>
          <w:tcPr>
            <w:tcW w:w="1104" w:type="dxa"/>
            <w:tcBorders>
              <w:tl2br w:val="nil"/>
              <w:tr2bl w:val="nil"/>
            </w:tcBorders>
            <w:noWrap w:val="0"/>
            <w:vAlign w:val="center"/>
          </w:tcPr>
          <w:p w14:paraId="4E51FD20">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0.06</w:t>
            </w:r>
          </w:p>
        </w:tc>
        <w:tc>
          <w:tcPr>
            <w:tcW w:w="1484" w:type="dxa"/>
            <w:tcBorders>
              <w:tl2br w:val="nil"/>
              <w:tr2bl w:val="nil"/>
            </w:tcBorders>
            <w:noWrap w:val="0"/>
            <w:vAlign w:val="center"/>
          </w:tcPr>
          <w:p w14:paraId="1D561DB3">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已实施</w:t>
            </w:r>
          </w:p>
        </w:tc>
      </w:tr>
      <w:tr w14:paraId="4EAF0A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14:paraId="4225F362">
            <w:pPr>
              <w:widowControl/>
              <w:jc w:val="center"/>
              <w:rPr>
                <w:rFonts w:hint="default" w:ascii="Times New Roman" w:hAnsi="Times New Roman" w:eastAsia="仿宋_GB2312" w:cs="Times New Roman"/>
                <w:color w:val="auto"/>
                <w:sz w:val="18"/>
                <w:szCs w:val="18"/>
                <w:lang w:val="en-US" w:eastAsia="zh-CN" w:bidi="ar"/>
              </w:rPr>
            </w:pPr>
          </w:p>
        </w:tc>
        <w:tc>
          <w:tcPr>
            <w:tcW w:w="1170" w:type="dxa"/>
            <w:vMerge w:val="continue"/>
            <w:tcBorders>
              <w:tl2br w:val="nil"/>
              <w:tr2bl w:val="nil"/>
            </w:tcBorders>
            <w:noWrap w:val="0"/>
            <w:vAlign w:val="center"/>
          </w:tcPr>
          <w:p w14:paraId="5C596A43">
            <w:pPr>
              <w:jc w:val="center"/>
              <w:rPr>
                <w:rFonts w:hint="default" w:ascii="Times New Roman" w:hAnsi="Times New Roman" w:eastAsia="仿宋_GB2312" w:cs="Times New Roman"/>
                <w:color w:val="auto"/>
                <w:sz w:val="18"/>
                <w:szCs w:val="18"/>
                <w:lang w:eastAsia="zh-CN" w:bidi="ar"/>
              </w:rPr>
            </w:pPr>
          </w:p>
        </w:tc>
        <w:tc>
          <w:tcPr>
            <w:tcW w:w="2605" w:type="dxa"/>
            <w:tcBorders>
              <w:tl2br w:val="nil"/>
              <w:tr2bl w:val="nil"/>
            </w:tcBorders>
            <w:noWrap w:val="0"/>
            <w:vAlign w:val="center"/>
          </w:tcPr>
          <w:p w14:paraId="324EADF2">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表土回覆</w:t>
            </w:r>
          </w:p>
        </w:tc>
        <w:tc>
          <w:tcPr>
            <w:tcW w:w="1045" w:type="dxa"/>
            <w:tcBorders>
              <w:tl2br w:val="nil"/>
              <w:tr2bl w:val="nil"/>
            </w:tcBorders>
            <w:noWrap w:val="0"/>
            <w:vAlign w:val="center"/>
          </w:tcPr>
          <w:p w14:paraId="68DA35A1">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万m</w:t>
            </w:r>
            <w:r>
              <w:rPr>
                <w:rFonts w:hint="default" w:ascii="Times New Roman" w:hAnsi="Times New Roman" w:eastAsia="仿宋_GB2312" w:cs="Times New Roman"/>
                <w:i w:val="0"/>
                <w:iCs w:val="0"/>
                <w:color w:val="000000"/>
                <w:kern w:val="0"/>
                <w:sz w:val="18"/>
                <w:szCs w:val="18"/>
                <w:u w:val="none"/>
                <w:vertAlign w:val="superscript"/>
                <w:lang w:val="en-US" w:eastAsia="zh-CN" w:bidi="ar"/>
              </w:rPr>
              <w:t>3</w:t>
            </w:r>
          </w:p>
        </w:tc>
        <w:tc>
          <w:tcPr>
            <w:tcW w:w="1104" w:type="dxa"/>
            <w:tcBorders>
              <w:tl2br w:val="nil"/>
              <w:tr2bl w:val="nil"/>
            </w:tcBorders>
            <w:noWrap w:val="0"/>
            <w:vAlign w:val="center"/>
          </w:tcPr>
          <w:p w14:paraId="57AA86C0">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0.02</w:t>
            </w:r>
          </w:p>
        </w:tc>
        <w:tc>
          <w:tcPr>
            <w:tcW w:w="1484" w:type="dxa"/>
            <w:tcBorders>
              <w:tl2br w:val="nil"/>
              <w:tr2bl w:val="nil"/>
            </w:tcBorders>
            <w:noWrap w:val="0"/>
            <w:vAlign w:val="center"/>
          </w:tcPr>
          <w:p w14:paraId="513EF4ED">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已实施</w:t>
            </w:r>
          </w:p>
        </w:tc>
      </w:tr>
      <w:tr w14:paraId="4286AA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14:paraId="276829FB">
            <w:pPr>
              <w:widowControl/>
              <w:jc w:val="center"/>
              <w:rPr>
                <w:rFonts w:hint="default" w:ascii="Times New Roman" w:hAnsi="Times New Roman" w:eastAsia="仿宋_GB2312" w:cs="Times New Roman"/>
                <w:color w:val="auto"/>
                <w:sz w:val="18"/>
                <w:szCs w:val="18"/>
                <w:lang w:val="en-US" w:eastAsia="zh-CN" w:bidi="ar"/>
              </w:rPr>
            </w:pPr>
          </w:p>
        </w:tc>
        <w:tc>
          <w:tcPr>
            <w:tcW w:w="1170" w:type="dxa"/>
            <w:tcBorders>
              <w:tl2br w:val="nil"/>
              <w:tr2bl w:val="nil"/>
            </w:tcBorders>
            <w:noWrap w:val="0"/>
            <w:vAlign w:val="center"/>
          </w:tcPr>
          <w:p w14:paraId="3C1EB24C">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植物措施</w:t>
            </w:r>
          </w:p>
        </w:tc>
        <w:tc>
          <w:tcPr>
            <w:tcW w:w="2605" w:type="dxa"/>
            <w:tcBorders>
              <w:tl2br w:val="nil"/>
              <w:tr2bl w:val="nil"/>
            </w:tcBorders>
            <w:noWrap w:val="0"/>
            <w:vAlign w:val="center"/>
          </w:tcPr>
          <w:p w14:paraId="160CFEFF">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撒播草籽</w:t>
            </w:r>
          </w:p>
        </w:tc>
        <w:tc>
          <w:tcPr>
            <w:tcW w:w="1045" w:type="dxa"/>
            <w:tcBorders>
              <w:tl2br w:val="nil"/>
              <w:tr2bl w:val="nil"/>
            </w:tcBorders>
            <w:noWrap w:val="0"/>
            <w:vAlign w:val="center"/>
          </w:tcPr>
          <w:p w14:paraId="4B7787C9">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hm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p>
        </w:tc>
        <w:tc>
          <w:tcPr>
            <w:tcW w:w="1104" w:type="dxa"/>
            <w:tcBorders>
              <w:tl2br w:val="nil"/>
              <w:tr2bl w:val="nil"/>
            </w:tcBorders>
            <w:noWrap w:val="0"/>
            <w:vAlign w:val="center"/>
          </w:tcPr>
          <w:p w14:paraId="261BBAC3">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0.12</w:t>
            </w:r>
          </w:p>
        </w:tc>
        <w:tc>
          <w:tcPr>
            <w:tcW w:w="1484" w:type="dxa"/>
            <w:tcBorders>
              <w:tl2br w:val="nil"/>
              <w:tr2bl w:val="nil"/>
            </w:tcBorders>
            <w:noWrap w:val="0"/>
            <w:vAlign w:val="center"/>
          </w:tcPr>
          <w:p w14:paraId="7FDBE441">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已实施</w:t>
            </w:r>
          </w:p>
        </w:tc>
      </w:tr>
    </w:tbl>
    <w:p w14:paraId="019600C3">
      <w:pPr>
        <w:keepNext w:val="0"/>
        <w:keepLines w:val="0"/>
        <w:widowControl/>
        <w:suppressLineNumbers w:val="0"/>
        <w:spacing w:line="360" w:lineRule="auto"/>
        <w:jc w:val="left"/>
        <w:outlineLvl w:val="1"/>
        <w:rPr>
          <w:rFonts w:hint="default" w:ascii="Times New Roman" w:hAnsi="Times New Roman" w:eastAsia="仿宋_GB2312" w:cs="Times New Roman"/>
          <w:b/>
          <w:color w:val="auto"/>
          <w:kern w:val="0"/>
          <w:sz w:val="28"/>
          <w:szCs w:val="28"/>
          <w:lang w:val="en-US" w:eastAsia="zh-CN" w:bidi="ar"/>
        </w:rPr>
      </w:pPr>
      <w:bookmarkStart w:id="152" w:name="_Toc23867"/>
      <w:r>
        <w:rPr>
          <w:rFonts w:hint="default" w:ascii="Times New Roman" w:hAnsi="Times New Roman" w:eastAsia="仿宋_GB2312" w:cs="Times New Roman"/>
          <w:b/>
          <w:bCs/>
          <w:color w:val="auto"/>
          <w:kern w:val="2"/>
          <w:sz w:val="30"/>
          <w:szCs w:val="24"/>
          <w:lang w:val="en-US" w:eastAsia="zh-CN" w:bidi="ar-SA"/>
        </w:rPr>
        <w:t xml:space="preserve">5.4 </w:t>
      </w:r>
      <w:bookmarkEnd w:id="152"/>
      <w:r>
        <w:rPr>
          <w:rFonts w:hint="default" w:ascii="Times New Roman" w:hAnsi="Times New Roman" w:eastAsia="仿宋_GB2312" w:cs="Times New Roman"/>
          <w:b/>
          <w:color w:val="auto"/>
          <w:kern w:val="0"/>
          <w:sz w:val="28"/>
          <w:szCs w:val="28"/>
          <w:lang w:val="en-US" w:eastAsia="zh-CN" w:bidi="ar"/>
        </w:rPr>
        <w:t>施工要求</w:t>
      </w:r>
    </w:p>
    <w:p w14:paraId="5C48671A">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color w:val="FF0000"/>
          <w:sz w:val="28"/>
          <w:szCs w:val="28"/>
        </w:rPr>
      </w:pPr>
      <w:r>
        <w:rPr>
          <w:rFonts w:hint="default" w:ascii="Times New Roman" w:hAnsi="Times New Roman" w:eastAsia="仿宋_GB2312" w:cs="Times New Roman"/>
          <w:b/>
          <w:bCs/>
          <w:color w:val="auto"/>
          <w:sz w:val="28"/>
          <w:szCs w:val="28"/>
        </w:rPr>
        <w:t>5.4.1水土保持施工组织设计</w:t>
      </w:r>
    </w:p>
    <w:p w14:paraId="319E0565">
      <w:pPr>
        <w:pStyle w:val="12"/>
        <w:spacing w:line="360" w:lineRule="auto"/>
        <w:jc w:val="left"/>
        <w:outlineLvl w:val="3"/>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5.4.1.1组织原则</w:t>
      </w:r>
    </w:p>
    <w:p w14:paraId="13E12290">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（1）与主体工程相配合、协调，在不影响主体工程施工的前提下，利用主体工程创造的水、电、交通等施工条件，减少施工辅助设施工程量；</w:t>
      </w:r>
    </w:p>
    <w:p w14:paraId="0F3557A1">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（2）施工进度安排坚持</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保护优先、先挡后弃、及时跟进</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的原则，各项植物防护措施应及时实施；</w:t>
      </w:r>
    </w:p>
    <w:p w14:paraId="1B9D21D8">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（3）临时防护措施在施工前或施工过程中布置安排，及时修补永久措施未布设或尚未发挥作用的不足；</w:t>
      </w:r>
    </w:p>
    <w:p w14:paraId="44E513B1">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（4）工程措施与主体工程同步安排，排洪系统优先布设。</w:t>
      </w:r>
    </w:p>
    <w:p w14:paraId="4F2430A8">
      <w:pPr>
        <w:pStyle w:val="12"/>
        <w:spacing w:line="360" w:lineRule="auto"/>
        <w:jc w:val="left"/>
        <w:outlineLvl w:val="3"/>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5.4.1.2施工组织形式</w:t>
      </w:r>
    </w:p>
    <w:p w14:paraId="1C189504">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水土保持工程具有工程相对集中，工程量小的特点。主要为植物措施。不同的措施其施工组织形式不同，区别对待。</w:t>
      </w:r>
    </w:p>
    <w:p w14:paraId="5B6049A3">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施工时根据各区域合理安排各施工工序，减少或避免各工序间的相互干扰，与主体工程施工一并进行。</w:t>
      </w:r>
    </w:p>
    <w:p w14:paraId="4F145AD0">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rPr>
        <w:t>建设期间</w:t>
      </w:r>
      <w:r>
        <w:rPr>
          <w:rFonts w:hint="default" w:ascii="Times New Roman" w:hAnsi="Times New Roman" w:eastAsia="仿宋_GB2312" w:cs="Times New Roman"/>
          <w:color w:val="auto"/>
          <w:sz w:val="24"/>
          <w:szCs w:val="24"/>
        </w:rPr>
        <w:t>，项目建设单位有专职的环境保护和水土保持管理人员，主要负责落实施工过程中的临时措施、管理措施、绿化措施，以及监督管理工作。具体工作在施工招标文件中明确由施工单位遵守和完成。</w:t>
      </w:r>
    </w:p>
    <w:p w14:paraId="002358DF">
      <w:pPr>
        <w:pStyle w:val="12"/>
        <w:spacing w:line="360" w:lineRule="auto"/>
        <w:jc w:val="left"/>
        <w:outlineLvl w:val="3"/>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5.4.1.3物资来源</w:t>
      </w:r>
    </w:p>
    <w:p w14:paraId="38B4F9F8">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水土保持防护工程所需材料采取自采，主要的</w:t>
      </w:r>
      <w:r>
        <w:rPr>
          <w:rFonts w:hint="default" w:ascii="Times New Roman" w:hAnsi="Times New Roman" w:eastAsia="仿宋_GB2312" w:cs="Times New Roman"/>
          <w:color w:val="auto"/>
          <w:sz w:val="24"/>
          <w:szCs w:val="24"/>
          <w:lang w:val="en-US" w:eastAsia="zh-CN"/>
        </w:rPr>
        <w:t>树种、草种等</w:t>
      </w:r>
      <w:r>
        <w:rPr>
          <w:rFonts w:hint="default" w:ascii="Times New Roman" w:hAnsi="Times New Roman" w:eastAsia="仿宋_GB2312" w:cs="Times New Roman"/>
          <w:color w:val="auto"/>
          <w:sz w:val="24"/>
          <w:szCs w:val="24"/>
        </w:rPr>
        <w:t>在</w:t>
      </w:r>
      <w:r>
        <w:rPr>
          <w:rFonts w:hint="default" w:ascii="Times New Roman" w:hAnsi="Times New Roman" w:eastAsia="仿宋_GB2312" w:cs="Times New Roman"/>
          <w:color w:val="auto"/>
          <w:sz w:val="24"/>
          <w:szCs w:val="24"/>
          <w:lang w:val="en-US" w:eastAsia="zh-CN"/>
        </w:rPr>
        <w:t>剑阁县</w:t>
      </w:r>
      <w:r>
        <w:rPr>
          <w:rFonts w:hint="default" w:ascii="Times New Roman" w:hAnsi="Times New Roman" w:eastAsia="仿宋_GB2312" w:cs="Times New Roman"/>
          <w:color w:val="auto"/>
          <w:sz w:val="24"/>
          <w:szCs w:val="24"/>
        </w:rPr>
        <w:t>采购。</w:t>
      </w:r>
    </w:p>
    <w:p w14:paraId="37741C97">
      <w:pPr>
        <w:pStyle w:val="12"/>
        <w:spacing w:line="360" w:lineRule="auto"/>
        <w:jc w:val="left"/>
        <w:outlineLvl w:val="3"/>
        <w:rPr>
          <w:rFonts w:hint="default" w:ascii="Times New Roman" w:hAnsi="Times New Roman" w:eastAsia="仿宋_GB2312" w:cs="Times New Roman"/>
          <w:color w:val="auto"/>
          <w:sz w:val="24"/>
          <w:szCs w:val="24"/>
        </w:rPr>
      </w:pPr>
      <w:bookmarkStart w:id="153" w:name="_Toc370308109"/>
      <w:r>
        <w:rPr>
          <w:rFonts w:hint="default" w:ascii="Times New Roman" w:hAnsi="Times New Roman" w:eastAsia="仿宋_GB2312" w:cs="Times New Roman"/>
          <w:color w:val="auto"/>
          <w:sz w:val="24"/>
          <w:szCs w:val="24"/>
        </w:rPr>
        <w:t>5.4.1.4施工条件</w:t>
      </w:r>
      <w:bookmarkEnd w:id="153"/>
    </w:p>
    <w:p w14:paraId="09DB6E43">
      <w:pPr>
        <w:spacing w:line="360" w:lineRule="auto"/>
        <w:ind w:firstLine="448" w:firstLineChars="187"/>
        <w:rPr>
          <w:rFonts w:hint="default" w:ascii="Times New Roman" w:hAnsi="Times New Roman" w:eastAsia="仿宋_GB2312" w:cs="Times New Roman"/>
          <w:color w:val="auto"/>
          <w:sz w:val="24"/>
          <w:szCs w:val="24"/>
        </w:rPr>
      </w:pPr>
      <w:bookmarkStart w:id="154" w:name="_Toc163189912"/>
      <w:bookmarkStart w:id="155" w:name="_Toc191120404"/>
      <w:bookmarkStart w:id="156" w:name="_Toc129152819"/>
      <w:bookmarkStart w:id="157" w:name="_Toc164247532"/>
      <w:bookmarkStart w:id="158" w:name="_Toc155079823"/>
      <w:bookmarkStart w:id="159" w:name="_Toc135629358"/>
      <w:bookmarkStart w:id="160" w:name="_Toc227553761"/>
      <w:bookmarkStart w:id="161" w:name="_Toc92765173"/>
      <w:bookmarkStart w:id="162" w:name="_Toc92725480"/>
      <w:bookmarkStart w:id="163" w:name="_Toc130117263"/>
      <w:bookmarkStart w:id="164" w:name="_Toc95015449"/>
      <w:bookmarkStart w:id="165" w:name="_Toc122330811"/>
      <w:bookmarkStart w:id="166" w:name="_Toc157908350"/>
      <w:bookmarkStart w:id="167" w:name="_Toc133988839"/>
      <w:bookmarkStart w:id="168" w:name="_Toc130117115"/>
      <w:bookmarkStart w:id="169" w:name="_Toc130009416"/>
      <w:bookmarkStart w:id="170" w:name="_Toc136223252"/>
      <w:bookmarkStart w:id="171" w:name="_Toc93723260"/>
      <w:bookmarkStart w:id="172" w:name="_Toc155079223"/>
      <w:bookmarkStart w:id="173" w:name="_Toc370308110"/>
      <w:r>
        <w:rPr>
          <w:rFonts w:hint="default" w:ascii="Times New Roman" w:hAnsi="Times New Roman" w:eastAsia="仿宋_GB2312" w:cs="Times New Roman"/>
          <w:color w:val="auto"/>
          <w:sz w:val="24"/>
          <w:szCs w:val="24"/>
        </w:rPr>
        <w:t>（1）水土保持施工依托主体工程的交通、水电、道路和机械等施工条件，本项目主体工程对外交通方便，能满足施工材料运输需要；</w:t>
      </w:r>
    </w:p>
    <w:p w14:paraId="6594416C">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本方案水土保持措施的实施与主体工程建设配套进行，故其施工条件与主体工程大致相同，设施原则上利用主体工程已有设施，如水电供应等均由主体工程供水供电系统统一供应建筑材料纳入主体工程材料供应体系，种子在当地采购；</w:t>
      </w:r>
    </w:p>
    <w:p w14:paraId="0DEE31DD">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（3）水土保持设施应工程措施与植物措施同步进行，协调进行。</w:t>
      </w:r>
    </w:p>
    <w:p w14:paraId="30C6D9F9">
      <w:pPr>
        <w:pStyle w:val="12"/>
        <w:spacing w:line="360" w:lineRule="auto"/>
        <w:jc w:val="left"/>
        <w:outlineLvl w:val="3"/>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5.4.1.5施工</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Pr>
          <w:rFonts w:hint="default" w:ascii="Times New Roman" w:hAnsi="Times New Roman" w:eastAsia="仿宋_GB2312" w:cs="Times New Roman"/>
          <w:color w:val="auto"/>
          <w:sz w:val="24"/>
          <w:szCs w:val="24"/>
        </w:rPr>
        <w:t>工艺和方法</w:t>
      </w:r>
      <w:bookmarkEnd w:id="173"/>
    </w:p>
    <w:p w14:paraId="493F863B">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本项目已顺利完工，建设期间始终围绕各防治区域工程需求合理安排施工工序，有效减少了工序间相互干扰，且水土保持措施充分依托主体工程施工条件同步推进，未出现单独施工脱节情况。目前项目无新增水土保持措施，建设期间已完成的水土保持核心措施及实施情况如下：​</w:t>
      </w:r>
    </w:p>
    <w:p w14:paraId="331C1F20">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1、表土剥离与回覆（已全面完成，无后续需求）​</w:t>
      </w:r>
    </w:p>
    <w:p w14:paraId="6C2645EA">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项目施工前期，已对施工区域可用表土完成剥离作业，剥离前精准调查可剥离厚度，采用 74kW 推土机辅以人工按设计标准完成表土剥离，剥离的表层土通过装载机转运至预设区域集中堆放，全程无表土浪费或随意丢弃情况。后续表土回覆工作已同步完成，通过自卸汽车或胶轮架子车将表土运输至覆土场地，再由 74kW 推土机配合人工进行摊铺整平，回覆质量满足植被恢复土壤肥力要求，当前无剩余表土待处理或补充回覆需求。​</w:t>
      </w:r>
    </w:p>
    <w:p w14:paraId="6D292C8B">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2、土石方开挖（已完工，无新增开挖作业）​</w:t>
      </w:r>
    </w:p>
    <w:p w14:paraId="08025A96">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项目土石方开挖工作已全部结束，开挖内容主要为排水设施基础开挖。施工期间严格依据放样桩线，采用机械作业为主、人工修整为辅的方式推进，开挖产生的土石方均就近规范堆放并及时平整，未出现长期堆土遗留问题。为控制建设期间水土流失，开挖作业全程规避大风、下雨天气，有效降低了雨水冲刷及风力侵蚀风险，当前无新增土石方开挖计划，无需补充防护措施。​</w:t>
      </w:r>
    </w:p>
    <w:p w14:paraId="73F74B27">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3、撒播草籽（已完成播种及养护，植被覆盖达标）​</w:t>
      </w:r>
    </w:p>
    <w:p w14:paraId="4FBC66E2">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项目撒播草籽工作已全面完成，从草种采购到后期养护的全流程均严格把控，当前植被生长稳定，无需新增播种或补播措施，具体实施情况如下：​</w:t>
      </w:r>
    </w:p>
    <w:p w14:paraId="54242D02">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草种检验：采购阶段已对整批草籽开展质量抽检，根据草籽包装形式（袋装、散装、围囤、输送流）采用对应抽样方法，完成种子净度、发芽试验、生活力测定、水分测定、重量测定及品种纯度检测，抽检合格后方投入使用，确保草种品质达标。​</w:t>
      </w:r>
    </w:p>
    <w:p w14:paraId="5DF8FB08">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播种时间：结合项目区气候特点，选择春季（雨季来临前 10~15 天）完成播种，部分区域依托人工供水条件，未受雨季时间限制，播种时机合理。​</w:t>
      </w:r>
    </w:p>
    <w:p w14:paraId="02B9C8DD">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草籽撒播：采用人工撒播方式，确保草籽分布均匀、密度适宜，撒播后通过人工铁耙整理，保证草籽完全被土壤覆盖，为成活率提供保障。​</w:t>
      </w:r>
    </w:p>
    <w:p w14:paraId="6F16CDDC">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养护覆盖：播种后已根据当地气候状况落实养护措施，气温偏高时采用遮阳网遮挡防晒保水，并早晚进行雾状喷水；气温较低时用地膜覆盖保温，同时根据土壤湿度开展洒水养护，苗期严格控制喷水强度，避免损伤幼苗。当前草籽已顺利出苗并形成稳定植被覆盖，无需额外补充养护作业。​</w:t>
      </w:r>
    </w:p>
    <w:p w14:paraId="6A508CE5">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4、苗木栽植（已完成栽植，成活率达标，无补栽需求）​</w:t>
      </w:r>
    </w:p>
    <w:p w14:paraId="5720E961">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项目苗木栽植工作已全部完工，栽植流程规范，当前苗木生长状态良好，成活率符合要求，无需新增栽植或补栽措施，具体实施情况如下：​</w:t>
      </w:r>
    </w:p>
    <w:p w14:paraId="28841DC4">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绿化地段准备：确定种树位置后已完成穴状整地，对地表扰动区域就近换填熟土 / 肥土（利用施工准备期剥离的表土），保证树苗生长所需土壤肥力；地表未扰动地段挖坑时严格分层堆放各层土壤，回填时逐层覆盖，根据植物特性确定表土覆盖厚度，采用穴植方式在穴坑周边填充熟土，整地质量满足栽植要求。​</w:t>
      </w:r>
    </w:p>
    <w:p w14:paraId="1D39DA72">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挖穴质量把控：根据树苗土球 / 根系大小及土质情况确定穴坑尺寸，确保穴坑比土球 / 根系大 20cm~30cm，深度略深于树木原栽植深度；按定点放线位置挖到规定深度后，将穴底刨松弄平，栽植裸根苗时在坑底中央堆设小土丘，保障根系自然舒展，穴坑质量无偏差。​</w:t>
      </w:r>
    </w:p>
    <w:p w14:paraId="14C1A548">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穴坑土壤处理：针对土层垂直分布不一致的穴坑，已分开堆放各层土壤并逐层回填，确保穴坑上下口大小一致；对土壤污染或含较多建筑垃圾的穴坑，已彻底清理污染物，为苗木生长提供良好土壤环境。​</w:t>
      </w:r>
    </w:p>
    <w:p w14:paraId="67E9B86C">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树苗栽植操作：​</w:t>
      </w:r>
    </w:p>
    <w:p w14:paraId="050791B7">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栽苗时全程用草帘苫盖苗木，避免根系长时间暴露；灌木按 “一穴一株” 规范栽植，确保行列整齐、苗木在坑内舒展无窝曲，根据需求适当深栽或深栽浅覆。​</w:t>
      </w:r>
    </w:p>
    <w:p w14:paraId="6108BEBD">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苗木放入穴中扶正后，填土至三分之二时适当提苗调整栽植深度，踩实后继续填土至穴满并再次踩实，及时灌水（栽后 24 小时内灌第一次水，间隔 3~5 天灌第二次，再隔 3~7 天灌第三次），水渗后立即覆土防蒸发，栽植流程规范。​</w:t>
      </w:r>
    </w:p>
    <w:p w14:paraId="1292BEE3">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施工中结合当地环境条件，对树木株距进行适当调整，确保栽植布局合理。​</w:t>
      </w:r>
    </w:p>
    <w:p w14:paraId="2865F829">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绿化时机选择：结合项目区6~9月为雨季（降水量占全年 75% 以上）的气候特点，选择 3~5 月（降雨前）完成植树绿化；针对11月～次年</w:t>
      </w:r>
      <w:r>
        <w:rPr>
          <w:rFonts w:hint="default" w:ascii="Times New Roman" w:hAnsi="Times New Roman" w:eastAsia="仿宋_GB2312" w:cs="Times New Roman"/>
          <w:color w:val="auto"/>
          <w:sz w:val="24"/>
          <w:szCs w:val="24"/>
          <w:lang w:val="en-US" w:eastAsia="zh-CN"/>
        </w:rPr>
        <w:t>4</w:t>
      </w:r>
      <w:r>
        <w:rPr>
          <w:rFonts w:hint="default" w:ascii="Times New Roman" w:hAnsi="Times New Roman" w:eastAsia="仿宋_GB2312" w:cs="Times New Roman"/>
          <w:color w:val="auto"/>
          <w:sz w:val="24"/>
          <w:szCs w:val="24"/>
        </w:rPr>
        <w:t>月干旱少雨期（影响苗木成活的不利因素），已在栽植后加强浇水灌溉管理，保障苗木成活率。当前苗木已适应生长环境，无需额外开展栽植相关作业。​</w:t>
      </w:r>
    </w:p>
    <w:p w14:paraId="491AFDCB">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综上，项目建设期间已全面完成表土剥离与回覆、土石方开挖、撒播草籽、苗木栽植等水土保持核心措施，各项措施实施规范、成效达标，当前项目无剩余施工任务，场地生态趋于稳定，不存在水土流失隐患，无需新增水土保持措施。</w:t>
      </w:r>
    </w:p>
    <w:p w14:paraId="10F837C9">
      <w:pPr>
        <w:pStyle w:val="12"/>
        <w:spacing w:line="360" w:lineRule="auto"/>
        <w:jc w:val="left"/>
        <w:outlineLvl w:val="3"/>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1723776" behindDoc="0" locked="0" layoutInCell="0" allowOverlap="1">
                <wp:simplePos x="0" y="0"/>
                <wp:positionH relativeFrom="column">
                  <wp:posOffset>5143500</wp:posOffset>
                </wp:positionH>
                <wp:positionV relativeFrom="paragraph">
                  <wp:posOffset>297180</wp:posOffset>
                </wp:positionV>
                <wp:extent cx="635" cy="0"/>
                <wp:effectExtent l="0" t="4445" r="0" b="5080"/>
                <wp:wrapNone/>
                <wp:docPr id="448" name="直接连接符 448"/>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405pt;margin-top:23.4pt;height:0pt;width:0.05pt;z-index:251723776;mso-width-relative:page;mso-height-relative:page;" filled="f" stroked="t" coordsize="21600,21600" o:allowincell="f" o:gfxdata="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gMJj91QAA&#10;AAkBAAAPAAAAAAAAAAEAIAAAACIAAABkcnMvZG93bnJldi54bWxQSwECFAAUAAAACACHTuJAwKXj&#10;4OgBAAC4AwAADgAAAAAAAAABACAAAAAkAQAAZHJzL2Uyb0RvYy54bWxQSwUGAAAAAAYABgBZAQAA&#10;fgUAAAAA&#10;">
                <v:fill on="f" focussize="0,0"/>
                <v:stroke color="#000000" joinstyle="round"/>
                <v:imagedata o:title=""/>
                <o:lock v:ext="edit" aspectratio="f"/>
              </v:line>
            </w:pict>
          </mc:Fallback>
        </mc:AlternateContent>
      </w:r>
      <w:r>
        <w:rPr>
          <w:rFonts w:hint="default" w:ascii="Times New Roman" w:hAnsi="Times New Roman" w:eastAsia="仿宋_GB2312" w:cs="Times New Roman"/>
          <w:color w:val="auto"/>
          <w:sz w:val="24"/>
          <w:szCs w:val="24"/>
        </w:rPr>
        <w:t>5.4.1.6施工质量要求</w:t>
      </w:r>
    </w:p>
    <w:p w14:paraId="7C2ABC72">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水土保持措施实施后，各项治理措施必须符合规定的质量要求。</w:t>
      </w:r>
    </w:p>
    <w:p w14:paraId="0BD8DE57">
      <w:pPr>
        <w:keepNext w:val="0"/>
        <w:keepLines w:val="0"/>
        <w:pageBreakBefore w:val="0"/>
        <w:widowControl w:val="0"/>
        <w:kinsoku/>
        <w:wordWrap/>
        <w:overflowPunct/>
        <w:topLinePunct w:val="0"/>
        <w:autoSpaceDE/>
        <w:autoSpaceDN/>
        <w:bidi w:val="0"/>
        <w:adjustRightInd/>
        <w:snapToGrid/>
        <w:spacing w:line="360" w:lineRule="auto"/>
        <w:ind w:firstLine="448" w:firstLineChars="187"/>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水土保持综合治理-验收规范》（GB/T15773-2008）的相关规定，水土保持各项治理措施的基本要求是总体布局合理，各项措施位置符合规划要求，规格、尺寸、质量使用材料、施工方法符合施工和设计标准经暴雨考验后基本完好。</w:t>
      </w:r>
    </w:p>
    <w:p w14:paraId="545B9010">
      <w:pPr>
        <w:pStyle w:val="12"/>
        <w:spacing w:line="360" w:lineRule="auto"/>
        <w:jc w:val="left"/>
        <w:outlineLvl w:val="3"/>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1724800" behindDoc="0" locked="0" layoutInCell="0" allowOverlap="1">
                <wp:simplePos x="0" y="0"/>
                <wp:positionH relativeFrom="column">
                  <wp:posOffset>5143500</wp:posOffset>
                </wp:positionH>
                <wp:positionV relativeFrom="paragraph">
                  <wp:posOffset>297180</wp:posOffset>
                </wp:positionV>
                <wp:extent cx="635" cy="0"/>
                <wp:effectExtent l="0" t="4445" r="0" b="5080"/>
                <wp:wrapNone/>
                <wp:docPr id="449" name="直接连接符 449"/>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405pt;margin-top:23.4pt;height:0pt;width:0.05pt;z-index:251724800;mso-width-relative:page;mso-height-relative:page;" filled="f" stroked="t" coordsize="21600,21600" o:allowincell="f" o:gfxdata="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gMJj91QAA&#10;AAkBAAAPAAAAAAAAAAEAIAAAACIAAABkcnMvZG93bnJldi54bWxQSwECFAAUAAAACACHTuJAfErr&#10;wugBAAC4AwAADgAAAAAAAAABACAAAAAkAQAAZHJzL2Uyb0RvYy54bWxQSwUGAAAAAAYABgBZAQAA&#10;fgUAAAAA&#10;">
                <v:fill on="f" focussize="0,0"/>
                <v:stroke color="#000000" joinstyle="round"/>
                <v:imagedata o:title=""/>
                <o:lock v:ext="edit" aspectratio="f"/>
              </v:line>
            </w:pict>
          </mc:Fallback>
        </mc:AlternateContent>
      </w:r>
      <w:r>
        <w:rPr>
          <w:rFonts w:hint="default" w:ascii="Times New Roman" w:hAnsi="Times New Roman" w:eastAsia="仿宋_GB2312" w:cs="Times New Roman"/>
          <w:color w:val="auto"/>
          <w:sz w:val="24"/>
          <w:szCs w:val="24"/>
        </w:rPr>
        <w:t>5.4.1.7施工过程中应注意的问题</w:t>
      </w:r>
    </w:p>
    <w:p w14:paraId="720E5476">
      <w:pPr>
        <w:spacing w:line="360" w:lineRule="auto"/>
        <w:ind w:firstLine="448" w:firstLineChars="187"/>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rPr>
        <w:t>施工单位在施工手册中专章给出水土保持措施实施细则，将水土保持方案报告书及设计文件中规定的水土保持措施进行细化，管理到位，监理到场，责任到人</w:t>
      </w:r>
      <w:r>
        <w:rPr>
          <w:rFonts w:hint="default" w:ascii="Times New Roman" w:hAnsi="Times New Roman" w:eastAsia="仿宋_GB2312" w:cs="Times New Roman"/>
          <w:color w:val="auto"/>
          <w:sz w:val="24"/>
          <w:szCs w:val="24"/>
          <w:lang w:eastAsia="zh-CN"/>
        </w:rPr>
        <w:t>；</w:t>
      </w:r>
    </w:p>
    <w:p w14:paraId="03F2F530">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rPr>
        <w:t>加强设计方与施工方的交流。使施工方理解环保设计意图，并贯彻落实到施工班组；</w:t>
      </w:r>
    </w:p>
    <w:p w14:paraId="55ED129A">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rPr>
        <w:t>在</w:t>
      </w:r>
      <w:r>
        <w:rPr>
          <w:rFonts w:hint="default" w:ascii="Times New Roman" w:hAnsi="Times New Roman" w:eastAsia="仿宋_GB2312" w:cs="Times New Roman"/>
          <w:color w:val="auto"/>
          <w:sz w:val="24"/>
          <w:szCs w:val="24"/>
          <w:lang w:eastAsia="zh-CN"/>
        </w:rPr>
        <w:t>建设期间</w:t>
      </w:r>
      <w:r>
        <w:rPr>
          <w:rFonts w:hint="default" w:ascii="Times New Roman" w:hAnsi="Times New Roman" w:eastAsia="仿宋_GB2312" w:cs="Times New Roman"/>
          <w:color w:val="auto"/>
          <w:sz w:val="24"/>
          <w:szCs w:val="24"/>
        </w:rPr>
        <w:t>，工程建设单位有专职或兼职的环境保护和水土保持管理人员，主要负责落实施工过程中的临时水土保持管理措施、临时水土保持工程措施，以及监督管理工作，具体工作在施工招标文件中明确并由施工单位遵守和完成；</w:t>
      </w:r>
    </w:p>
    <w:p w14:paraId="408FE457">
      <w:pPr>
        <w:keepNext w:val="0"/>
        <w:keepLines w:val="0"/>
        <w:pageBreakBefore w:val="0"/>
        <w:widowControl w:val="0"/>
        <w:kinsoku w:val="0"/>
        <w:wordWrap/>
        <w:overflowPunct w:val="0"/>
        <w:topLinePunct w:val="0"/>
        <w:autoSpaceDE/>
        <w:autoSpaceDN/>
        <w:bidi w:val="0"/>
        <w:adjustRightInd/>
        <w:snapToGrid/>
        <w:spacing w:line="360" w:lineRule="auto"/>
        <w:ind w:firstLine="448" w:firstLineChars="187"/>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4、</w:t>
      </w:r>
      <w:r>
        <w:rPr>
          <w:rFonts w:hint="default" w:ascii="Times New Roman" w:hAnsi="Times New Roman" w:eastAsia="仿宋_GB2312" w:cs="Times New Roman"/>
          <w:color w:val="auto"/>
          <w:sz w:val="24"/>
          <w:szCs w:val="24"/>
        </w:rPr>
        <w:t>加强对施工人员的宣传教育，增强生态环境保护及防治水土流失意识。并安排专人对施工环境状况进行日常监督检查，并将水土保持及生态环境保护纳入个人收入考核范围；</w:t>
      </w:r>
    </w:p>
    <w:p w14:paraId="083E8F5B">
      <w:pPr>
        <w:spacing w:line="360" w:lineRule="auto"/>
        <w:ind w:firstLine="448" w:firstLineChars="187"/>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5、</w:t>
      </w:r>
      <w:r>
        <w:rPr>
          <w:rFonts w:hint="default" w:ascii="Times New Roman" w:hAnsi="Times New Roman" w:eastAsia="仿宋_GB2312" w:cs="Times New Roman"/>
          <w:color w:val="auto"/>
          <w:sz w:val="24"/>
          <w:szCs w:val="24"/>
        </w:rPr>
        <w:t>积极关注天气情况，与气象部门联系，避免在雨天施工，暴雨来临前做好临时防护工作。</w:t>
      </w:r>
    </w:p>
    <w:p w14:paraId="4A17A2A3">
      <w:pPr>
        <w:pStyle w:val="4"/>
        <w:keepNext w:val="0"/>
        <w:keepLines w:val="0"/>
        <w:pageBreakBefore w:val="0"/>
        <w:widowControl w:val="0"/>
        <w:kinsoku/>
        <w:wordWrap/>
        <w:overflowPunct/>
        <w:topLinePunct w:val="0"/>
        <w:autoSpaceDE/>
        <w:autoSpaceDN/>
        <w:bidi w:val="0"/>
        <w:adjustRightInd/>
        <w:snapToGrid/>
        <w:spacing w:line="413" w:lineRule="auto"/>
        <w:textAlignment w:val="auto"/>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mc:AlternateContent>
          <mc:Choice Requires="wps">
            <w:drawing>
              <wp:anchor distT="0" distB="0" distL="114300" distR="114300" simplePos="0" relativeHeight="251725824" behindDoc="0" locked="0" layoutInCell="0" allowOverlap="1">
                <wp:simplePos x="0" y="0"/>
                <wp:positionH relativeFrom="column">
                  <wp:posOffset>5143500</wp:posOffset>
                </wp:positionH>
                <wp:positionV relativeFrom="paragraph">
                  <wp:posOffset>297180</wp:posOffset>
                </wp:positionV>
                <wp:extent cx="635" cy="0"/>
                <wp:effectExtent l="0" t="4445" r="0" b="5080"/>
                <wp:wrapNone/>
                <wp:docPr id="450" name="直接连接符 450"/>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405pt;margin-top:23.4pt;height:0pt;width:0.05pt;z-index:251725824;mso-width-relative:page;mso-height-relative:page;" filled="f" stroked="t" coordsize="21600,21600" o:allowincell="f" o:gfxdata="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AwmP3VAAAA&#10;CQEAAA8AAAAAAAAAAQAgAAAAIgAAAGRycy9kb3ducmV2LnhtbFBLAQIUABQAAAAIAIdO4kApKSDp&#10;5wEAALgDAAAOAAAAAAAAAAEAIAAAACQBAABkcnMvZTJvRG9jLnhtbFBLBQYAAAAABgAGAFkBAAB9&#10;BQAAAAA=&#10;">
                <v:fill on="f" focussize="0,0"/>
                <v:stroke color="#000000" joinstyle="round"/>
                <v:imagedata o:title=""/>
                <o:lock v:ext="edit" aspectratio="f"/>
              </v:line>
            </w:pict>
          </mc:Fallback>
        </mc:AlternateContent>
      </w:r>
      <w:bookmarkStart w:id="174" w:name="_Toc370308111"/>
      <w:r>
        <w:rPr>
          <w:rFonts w:hint="default" w:ascii="Times New Roman" w:hAnsi="Times New Roman" w:eastAsia="仿宋_GB2312" w:cs="Times New Roman"/>
          <w:b/>
          <w:bCs/>
          <w:color w:val="auto"/>
        </w:rPr>
        <w:t>5.4.2水土保持</w:t>
      </w:r>
      <w:bookmarkEnd w:id="174"/>
      <w:r>
        <w:rPr>
          <w:rFonts w:hint="default" w:ascii="Times New Roman" w:hAnsi="Times New Roman" w:eastAsia="仿宋_GB2312" w:cs="Times New Roman"/>
          <w:b/>
          <w:bCs/>
          <w:color w:val="auto"/>
        </w:rPr>
        <w:t>施工进度安排</w:t>
      </w:r>
    </w:p>
    <w:p w14:paraId="6C461167">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 xml:space="preserve">实施过程中结合主体工程及其施工特点和本地区的气候特点，利用主体工程的施 工条件布设水土保持措施，合理使用资金、劳力、材料和机械设备，保证了水土保持工程施工进度和工程质量。各项水土保持措施实施进度见表5.4-1。 </w:t>
      </w:r>
    </w:p>
    <w:p w14:paraId="2642AAAB">
      <w:pPr>
        <w:keepNext w:val="0"/>
        <w:keepLines w:val="0"/>
        <w:widowControl/>
        <w:suppressLineNumbers w:val="0"/>
        <w:spacing w:line="360" w:lineRule="auto"/>
        <w:jc w:val="center"/>
        <w:rPr>
          <w:rFonts w:hint="default" w:ascii="Times New Roman" w:hAnsi="Times New Roman" w:eastAsia="仿宋_GB2312" w:cs="Times New Roman"/>
          <w:b/>
          <w:bCs/>
          <w:color w:val="auto"/>
          <w:sz w:val="21"/>
          <w:szCs w:val="21"/>
          <w:lang w:val="en-US"/>
        </w:rPr>
      </w:pPr>
      <w:r>
        <w:rPr>
          <w:rFonts w:hint="default" w:ascii="Times New Roman" w:hAnsi="Times New Roman" w:eastAsia="仿宋_GB2312" w:cs="Times New Roman"/>
          <w:b/>
          <w:bCs/>
          <w:color w:val="auto"/>
          <w:kern w:val="0"/>
          <w:sz w:val="21"/>
          <w:szCs w:val="21"/>
          <w:lang w:val="en-US" w:eastAsia="zh-CN" w:bidi="ar"/>
        </w:rPr>
        <w:t>表5.4-1水土保持措施进度表</w:t>
      </w:r>
    </w:p>
    <w:tbl>
      <w:tblPr>
        <w:tblStyle w:val="18"/>
        <w:tblW w:w="913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971"/>
        <w:gridCol w:w="939"/>
        <w:gridCol w:w="404"/>
        <w:gridCol w:w="404"/>
        <w:gridCol w:w="404"/>
        <w:gridCol w:w="404"/>
        <w:gridCol w:w="404"/>
        <w:gridCol w:w="404"/>
        <w:gridCol w:w="404"/>
        <w:gridCol w:w="404"/>
        <w:gridCol w:w="404"/>
        <w:gridCol w:w="404"/>
        <w:gridCol w:w="404"/>
        <w:gridCol w:w="404"/>
        <w:gridCol w:w="412"/>
        <w:gridCol w:w="404"/>
      </w:tblGrid>
      <w:tr w14:paraId="6CC4F1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559" w:type="dxa"/>
            <w:vMerge w:val="restart"/>
            <w:tcBorders>
              <w:tl2br w:val="nil"/>
              <w:tr2bl w:val="nil"/>
            </w:tcBorders>
            <w:noWrap w:val="0"/>
            <w:vAlign w:val="center"/>
          </w:tcPr>
          <w:p w14:paraId="09CC998C">
            <w:pPr>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bidi="ar"/>
              </w:rPr>
              <w:t>防治分区</w:t>
            </w:r>
          </w:p>
        </w:tc>
        <w:tc>
          <w:tcPr>
            <w:tcW w:w="971" w:type="dxa"/>
            <w:vMerge w:val="restart"/>
            <w:tcBorders>
              <w:tl2br w:val="nil"/>
              <w:tr2bl w:val="nil"/>
            </w:tcBorders>
            <w:noWrap w:val="0"/>
            <w:vAlign w:val="center"/>
          </w:tcPr>
          <w:p w14:paraId="6A5919AF">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bidi="ar"/>
              </w:rPr>
              <w:t>措施类型</w:t>
            </w:r>
          </w:p>
        </w:tc>
        <w:tc>
          <w:tcPr>
            <w:tcW w:w="939" w:type="dxa"/>
            <w:vMerge w:val="restart"/>
            <w:tcBorders>
              <w:tl2br w:val="nil"/>
              <w:tr2bl w:val="nil"/>
            </w:tcBorders>
            <w:noWrap w:val="0"/>
            <w:vAlign w:val="center"/>
          </w:tcPr>
          <w:p w14:paraId="6598A603">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bidi="ar"/>
              </w:rPr>
              <w:t>措施名称</w:t>
            </w:r>
          </w:p>
        </w:tc>
        <w:tc>
          <w:tcPr>
            <w:tcW w:w="2424" w:type="dxa"/>
            <w:gridSpan w:val="6"/>
            <w:tcBorders>
              <w:tl2br w:val="nil"/>
              <w:tr2bl w:val="nil"/>
            </w:tcBorders>
            <w:noWrap w:val="0"/>
            <w:vAlign w:val="center"/>
          </w:tcPr>
          <w:p w14:paraId="73E77819">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2022年</w:t>
            </w:r>
          </w:p>
        </w:tc>
        <w:tc>
          <w:tcPr>
            <w:tcW w:w="3240" w:type="dxa"/>
            <w:gridSpan w:val="8"/>
            <w:tcBorders>
              <w:tl2br w:val="nil"/>
              <w:tr2bl w:val="nil"/>
            </w:tcBorders>
            <w:noWrap w:val="0"/>
            <w:vAlign w:val="center"/>
          </w:tcPr>
          <w:p w14:paraId="4CEEAFCF">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2023年</w:t>
            </w:r>
          </w:p>
        </w:tc>
      </w:tr>
      <w:tr w14:paraId="2C4BD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59" w:type="dxa"/>
            <w:vMerge w:val="continue"/>
            <w:tcBorders>
              <w:tl2br w:val="nil"/>
              <w:tr2bl w:val="nil"/>
            </w:tcBorders>
            <w:noWrap w:val="0"/>
            <w:vAlign w:val="center"/>
          </w:tcPr>
          <w:p w14:paraId="67D66C5E">
            <w:pPr>
              <w:jc w:val="center"/>
              <w:rPr>
                <w:rFonts w:hint="default" w:ascii="Times New Roman" w:hAnsi="Times New Roman" w:eastAsia="仿宋_GB2312" w:cs="Times New Roman"/>
                <w:color w:val="auto"/>
                <w:sz w:val="18"/>
                <w:szCs w:val="18"/>
                <w:lang w:eastAsia="zh-CN" w:bidi="ar"/>
              </w:rPr>
            </w:pPr>
          </w:p>
        </w:tc>
        <w:tc>
          <w:tcPr>
            <w:tcW w:w="971" w:type="dxa"/>
            <w:vMerge w:val="continue"/>
            <w:tcBorders>
              <w:tl2br w:val="nil"/>
              <w:tr2bl w:val="nil"/>
            </w:tcBorders>
            <w:noWrap w:val="0"/>
            <w:vAlign w:val="center"/>
          </w:tcPr>
          <w:p w14:paraId="17F6F610">
            <w:pPr>
              <w:jc w:val="center"/>
              <w:rPr>
                <w:rFonts w:hint="default" w:ascii="Times New Roman" w:hAnsi="Times New Roman" w:eastAsia="仿宋_GB2312" w:cs="Times New Roman"/>
                <w:color w:val="auto"/>
                <w:sz w:val="18"/>
                <w:szCs w:val="18"/>
                <w:lang w:bidi="ar"/>
              </w:rPr>
            </w:pPr>
          </w:p>
        </w:tc>
        <w:tc>
          <w:tcPr>
            <w:tcW w:w="939" w:type="dxa"/>
            <w:vMerge w:val="continue"/>
            <w:tcBorders>
              <w:tl2br w:val="nil"/>
              <w:tr2bl w:val="nil"/>
            </w:tcBorders>
            <w:noWrap w:val="0"/>
            <w:vAlign w:val="center"/>
          </w:tcPr>
          <w:p w14:paraId="194C7EBF">
            <w:pPr>
              <w:jc w:val="center"/>
              <w:rPr>
                <w:rFonts w:hint="default" w:ascii="Times New Roman" w:hAnsi="Times New Roman" w:eastAsia="仿宋_GB2312" w:cs="Times New Roman"/>
                <w:color w:val="auto"/>
                <w:sz w:val="18"/>
                <w:szCs w:val="18"/>
                <w:lang w:bidi="ar"/>
              </w:rPr>
            </w:pPr>
          </w:p>
        </w:tc>
        <w:tc>
          <w:tcPr>
            <w:tcW w:w="404" w:type="dxa"/>
            <w:tcBorders>
              <w:tl2br w:val="nil"/>
              <w:tr2bl w:val="nil"/>
            </w:tcBorders>
            <w:noWrap w:val="0"/>
            <w:vAlign w:val="center"/>
          </w:tcPr>
          <w:p w14:paraId="39417179">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7</w:t>
            </w:r>
          </w:p>
        </w:tc>
        <w:tc>
          <w:tcPr>
            <w:tcW w:w="404" w:type="dxa"/>
            <w:tcBorders>
              <w:tl2br w:val="nil"/>
              <w:tr2bl w:val="nil"/>
            </w:tcBorders>
            <w:noWrap w:val="0"/>
            <w:vAlign w:val="center"/>
          </w:tcPr>
          <w:p w14:paraId="4F9E296A">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8</w:t>
            </w:r>
          </w:p>
        </w:tc>
        <w:tc>
          <w:tcPr>
            <w:tcW w:w="404" w:type="dxa"/>
            <w:tcBorders>
              <w:tl2br w:val="nil"/>
              <w:tr2bl w:val="nil"/>
            </w:tcBorders>
            <w:noWrap w:val="0"/>
            <w:vAlign w:val="center"/>
          </w:tcPr>
          <w:p w14:paraId="13F20152">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9</w:t>
            </w:r>
          </w:p>
        </w:tc>
        <w:tc>
          <w:tcPr>
            <w:tcW w:w="404" w:type="dxa"/>
            <w:tcBorders>
              <w:tl2br w:val="nil"/>
              <w:tr2bl w:val="nil"/>
            </w:tcBorders>
            <w:noWrap w:val="0"/>
            <w:vAlign w:val="center"/>
          </w:tcPr>
          <w:p w14:paraId="01744CCE">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10</w:t>
            </w:r>
          </w:p>
        </w:tc>
        <w:tc>
          <w:tcPr>
            <w:tcW w:w="404" w:type="dxa"/>
            <w:tcBorders>
              <w:tl2br w:val="nil"/>
              <w:tr2bl w:val="nil"/>
            </w:tcBorders>
            <w:noWrap w:val="0"/>
            <w:vAlign w:val="center"/>
          </w:tcPr>
          <w:p w14:paraId="7BF61598">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11</w:t>
            </w:r>
          </w:p>
        </w:tc>
        <w:tc>
          <w:tcPr>
            <w:tcW w:w="404" w:type="dxa"/>
            <w:tcBorders>
              <w:tl2br w:val="nil"/>
              <w:tr2bl w:val="nil"/>
            </w:tcBorders>
            <w:noWrap w:val="0"/>
            <w:vAlign w:val="center"/>
          </w:tcPr>
          <w:p w14:paraId="6FBFE7D4">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12</w:t>
            </w:r>
          </w:p>
        </w:tc>
        <w:tc>
          <w:tcPr>
            <w:tcW w:w="404" w:type="dxa"/>
            <w:tcBorders>
              <w:tl2br w:val="nil"/>
              <w:tr2bl w:val="nil"/>
            </w:tcBorders>
            <w:noWrap w:val="0"/>
            <w:vAlign w:val="center"/>
          </w:tcPr>
          <w:p w14:paraId="61676C5D">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1</w:t>
            </w:r>
          </w:p>
        </w:tc>
        <w:tc>
          <w:tcPr>
            <w:tcW w:w="404" w:type="dxa"/>
            <w:tcBorders>
              <w:tl2br w:val="nil"/>
              <w:tr2bl w:val="nil"/>
            </w:tcBorders>
            <w:noWrap w:val="0"/>
            <w:vAlign w:val="center"/>
          </w:tcPr>
          <w:p w14:paraId="1B2365C6">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2</w:t>
            </w:r>
          </w:p>
        </w:tc>
        <w:tc>
          <w:tcPr>
            <w:tcW w:w="404" w:type="dxa"/>
            <w:tcBorders>
              <w:tl2br w:val="nil"/>
              <w:tr2bl w:val="nil"/>
            </w:tcBorders>
            <w:noWrap w:val="0"/>
            <w:vAlign w:val="center"/>
          </w:tcPr>
          <w:p w14:paraId="64362CC9">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3</w:t>
            </w:r>
          </w:p>
        </w:tc>
        <w:tc>
          <w:tcPr>
            <w:tcW w:w="404" w:type="dxa"/>
            <w:tcBorders>
              <w:tl2br w:val="nil"/>
              <w:tr2bl w:val="nil"/>
            </w:tcBorders>
            <w:noWrap w:val="0"/>
            <w:vAlign w:val="center"/>
          </w:tcPr>
          <w:p w14:paraId="1305DA0F">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4</w:t>
            </w:r>
          </w:p>
        </w:tc>
        <w:tc>
          <w:tcPr>
            <w:tcW w:w="404" w:type="dxa"/>
            <w:tcBorders>
              <w:tl2br w:val="nil"/>
              <w:tr2bl w:val="nil"/>
            </w:tcBorders>
            <w:noWrap w:val="0"/>
            <w:vAlign w:val="center"/>
          </w:tcPr>
          <w:p w14:paraId="4DBD5430">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5</w:t>
            </w:r>
          </w:p>
        </w:tc>
        <w:tc>
          <w:tcPr>
            <w:tcW w:w="404" w:type="dxa"/>
            <w:tcBorders>
              <w:tl2br w:val="nil"/>
              <w:tr2bl w:val="nil"/>
            </w:tcBorders>
            <w:noWrap w:val="0"/>
            <w:vAlign w:val="center"/>
          </w:tcPr>
          <w:p w14:paraId="772231AE">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6</w:t>
            </w:r>
          </w:p>
        </w:tc>
        <w:tc>
          <w:tcPr>
            <w:tcW w:w="412" w:type="dxa"/>
            <w:tcBorders>
              <w:tl2br w:val="nil"/>
              <w:tr2bl w:val="nil"/>
            </w:tcBorders>
            <w:noWrap w:val="0"/>
            <w:vAlign w:val="center"/>
          </w:tcPr>
          <w:p w14:paraId="7BF9F7C0">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7</w:t>
            </w:r>
          </w:p>
        </w:tc>
        <w:tc>
          <w:tcPr>
            <w:tcW w:w="404" w:type="dxa"/>
            <w:tcBorders>
              <w:tl2br w:val="nil"/>
              <w:tr2bl w:val="nil"/>
            </w:tcBorders>
            <w:noWrap w:val="0"/>
            <w:vAlign w:val="center"/>
          </w:tcPr>
          <w:p w14:paraId="2D98CAD2">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8</w:t>
            </w:r>
          </w:p>
        </w:tc>
      </w:tr>
      <w:tr w14:paraId="40C7FD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59" w:type="dxa"/>
            <w:vMerge w:val="restart"/>
            <w:tcBorders>
              <w:tl2br w:val="nil"/>
              <w:tr2bl w:val="nil"/>
            </w:tcBorders>
            <w:noWrap w:val="0"/>
            <w:vAlign w:val="center"/>
          </w:tcPr>
          <w:p w14:paraId="3F5F8731">
            <w:pPr>
              <w:widowControl/>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硬化工程区</w:t>
            </w:r>
          </w:p>
        </w:tc>
        <w:tc>
          <w:tcPr>
            <w:tcW w:w="971" w:type="dxa"/>
            <w:vMerge w:val="restart"/>
            <w:tcBorders>
              <w:tl2br w:val="nil"/>
              <w:tr2bl w:val="nil"/>
            </w:tcBorders>
            <w:noWrap w:val="0"/>
            <w:vAlign w:val="center"/>
          </w:tcPr>
          <w:p w14:paraId="71EC86FF">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工程措施</w:t>
            </w:r>
          </w:p>
        </w:tc>
        <w:tc>
          <w:tcPr>
            <w:tcW w:w="939" w:type="dxa"/>
            <w:tcBorders>
              <w:tl2br w:val="nil"/>
              <w:tr2bl w:val="nil"/>
            </w:tcBorders>
            <w:shd w:val="clear" w:color="auto" w:fill="auto"/>
            <w:noWrap w:val="0"/>
            <w:vAlign w:val="center"/>
          </w:tcPr>
          <w:p w14:paraId="5C0C9890">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表土剥离</w:t>
            </w:r>
          </w:p>
        </w:tc>
        <w:tc>
          <w:tcPr>
            <w:tcW w:w="404" w:type="dxa"/>
            <w:tcBorders>
              <w:tl2br w:val="nil"/>
              <w:tr2bl w:val="nil"/>
            </w:tcBorders>
            <w:shd w:val="clear" w:color="auto" w:fill="auto"/>
            <w:noWrap w:val="0"/>
            <w:vAlign w:val="center"/>
          </w:tcPr>
          <w:p w14:paraId="474E09B4">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b w:val="0"/>
                <w:bCs w:val="0"/>
                <w:color w:val="auto"/>
                <w:sz w:val="18"/>
                <w:szCs w:val="18"/>
              </w:rPr>
              <mc:AlternateContent>
                <mc:Choice Requires="wps">
                  <w:drawing>
                    <wp:anchor distT="0" distB="0" distL="114300" distR="114300" simplePos="0" relativeHeight="251718656" behindDoc="0" locked="0" layoutInCell="1" allowOverlap="1">
                      <wp:simplePos x="0" y="0"/>
                      <wp:positionH relativeFrom="column">
                        <wp:posOffset>-55245</wp:posOffset>
                      </wp:positionH>
                      <wp:positionV relativeFrom="paragraph">
                        <wp:posOffset>62230</wp:posOffset>
                      </wp:positionV>
                      <wp:extent cx="220980" cy="4445"/>
                      <wp:effectExtent l="635" t="11430" r="6985" b="29845"/>
                      <wp:wrapNone/>
                      <wp:docPr id="76" name="直接连接符 76"/>
                      <wp:cNvGraphicFramePr/>
                      <a:graphic xmlns:a="http://schemas.openxmlformats.org/drawingml/2006/main">
                        <a:graphicData uri="http://schemas.microsoft.com/office/word/2010/wordprocessingShape">
                          <wps:wsp>
                            <wps:cNvCnPr/>
                            <wps:spPr>
                              <a:xfrm flipV="1">
                                <a:off x="0" y="0"/>
                                <a:ext cx="220980" cy="4445"/>
                              </a:xfrm>
                              <a:prstGeom prst="line">
                                <a:avLst/>
                              </a:prstGeom>
                              <a:ln w="50800" cap="flat" cmpd="sng">
                                <a:solidFill>
                                  <a:srgbClr val="0070C0"/>
                                </a:solidFill>
                                <a:prstDash val="solid"/>
                                <a:headEnd type="none" w="med" len="med"/>
                                <a:tailEnd type="none" w="med" len="med"/>
                              </a:ln>
                            </wps:spPr>
                            <wps:bodyPr/>
                          </wps:wsp>
                        </a:graphicData>
                      </a:graphic>
                    </wp:anchor>
                  </w:drawing>
                </mc:Choice>
                <mc:Fallback>
                  <w:pict>
                    <v:line id="_x0000_s1026" o:spid="_x0000_s1026" o:spt="20" style="position:absolute;left:0pt;flip:y;margin-left:-4.35pt;margin-top:4.9pt;height:0.35pt;width:17.4pt;z-index:251718656;mso-width-relative:page;mso-height-relative:page;" filled="f" stroked="t" coordsize="21600,21600" o:gfxdata="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KkF0D2AAAAAYBAAAPAAAAAAAAAAEAIAAAACIAAABkcnMvZG93bnJldi54&#10;bWxQSwECFAAUAAAACACHTuJAuhEVn/oBAADnAwAADgAAAAAAAAABACAAAAAnAQAAZHJzL2Uyb0Rv&#10;Yy54bWxQSwUGAAAAAAYABgBZAQAAkwUAAAAA&#10;">
                      <v:fill on="f" focussize="0,0"/>
                      <v:stroke weight="4pt" color="#0070C0" joinstyle="round"/>
                      <v:imagedata o:title=""/>
                      <o:lock v:ext="edit" aspectratio="f"/>
                    </v:line>
                  </w:pict>
                </mc:Fallback>
              </mc:AlternateContent>
            </w:r>
          </w:p>
        </w:tc>
        <w:tc>
          <w:tcPr>
            <w:tcW w:w="404" w:type="dxa"/>
            <w:tcBorders>
              <w:tl2br w:val="nil"/>
              <w:tr2bl w:val="nil"/>
            </w:tcBorders>
            <w:shd w:val="clear" w:color="auto" w:fill="auto"/>
            <w:noWrap w:val="0"/>
            <w:vAlign w:val="center"/>
          </w:tcPr>
          <w:p w14:paraId="273009B2">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1908E02D">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7EBEE757">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38866352">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7E0273C4">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24E94257">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771AC743">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459A19DC">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49292A27">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20533AA9">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46BD9C2F">
            <w:pPr>
              <w:jc w:val="center"/>
              <w:rPr>
                <w:rFonts w:hint="default" w:ascii="Times New Roman" w:hAnsi="Times New Roman" w:eastAsia="仿宋_GB2312" w:cs="Times New Roman"/>
                <w:color w:val="auto"/>
                <w:kern w:val="2"/>
                <w:sz w:val="18"/>
                <w:szCs w:val="18"/>
                <w:lang w:val="en-US" w:eastAsia="zh-CN" w:bidi="ar"/>
              </w:rPr>
            </w:pPr>
          </w:p>
        </w:tc>
        <w:tc>
          <w:tcPr>
            <w:tcW w:w="412" w:type="dxa"/>
            <w:tcBorders>
              <w:tl2br w:val="nil"/>
              <w:tr2bl w:val="nil"/>
            </w:tcBorders>
            <w:shd w:val="clear" w:color="auto" w:fill="auto"/>
            <w:noWrap w:val="0"/>
            <w:vAlign w:val="center"/>
          </w:tcPr>
          <w:p w14:paraId="71D77CAC">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2EB9FDD3">
            <w:pPr>
              <w:jc w:val="center"/>
              <w:rPr>
                <w:rFonts w:hint="default" w:ascii="Times New Roman" w:hAnsi="Times New Roman" w:eastAsia="仿宋_GB2312" w:cs="Times New Roman"/>
                <w:color w:val="auto"/>
                <w:kern w:val="2"/>
                <w:sz w:val="18"/>
                <w:szCs w:val="18"/>
                <w:lang w:val="en-US" w:eastAsia="zh-CN" w:bidi="ar"/>
              </w:rPr>
            </w:pPr>
          </w:p>
        </w:tc>
      </w:tr>
      <w:tr w14:paraId="238EE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59" w:type="dxa"/>
            <w:vMerge w:val="continue"/>
            <w:tcBorders>
              <w:tl2br w:val="nil"/>
              <w:tr2bl w:val="nil"/>
            </w:tcBorders>
            <w:noWrap w:val="0"/>
            <w:vAlign w:val="center"/>
          </w:tcPr>
          <w:p w14:paraId="3D64C28D">
            <w:pPr>
              <w:widowControl/>
              <w:jc w:val="center"/>
              <w:rPr>
                <w:rFonts w:hint="default" w:ascii="Times New Roman" w:hAnsi="Times New Roman" w:eastAsia="仿宋_GB2312" w:cs="Times New Roman"/>
                <w:color w:val="auto"/>
                <w:sz w:val="18"/>
                <w:szCs w:val="18"/>
                <w:lang w:val="en-US" w:eastAsia="zh-CN" w:bidi="ar"/>
              </w:rPr>
            </w:pPr>
          </w:p>
        </w:tc>
        <w:tc>
          <w:tcPr>
            <w:tcW w:w="971" w:type="dxa"/>
            <w:vMerge w:val="continue"/>
            <w:tcBorders>
              <w:tl2br w:val="nil"/>
              <w:tr2bl w:val="nil"/>
            </w:tcBorders>
            <w:noWrap w:val="0"/>
            <w:vAlign w:val="center"/>
          </w:tcPr>
          <w:p w14:paraId="613DA249">
            <w:pPr>
              <w:jc w:val="center"/>
              <w:rPr>
                <w:rFonts w:hint="default" w:ascii="Times New Roman" w:hAnsi="Times New Roman" w:eastAsia="仿宋_GB2312" w:cs="Times New Roman"/>
                <w:color w:val="auto"/>
                <w:sz w:val="18"/>
                <w:szCs w:val="18"/>
                <w:lang w:eastAsia="zh-CN" w:bidi="ar"/>
              </w:rPr>
            </w:pPr>
          </w:p>
        </w:tc>
        <w:tc>
          <w:tcPr>
            <w:tcW w:w="939" w:type="dxa"/>
            <w:tcBorders>
              <w:tl2br w:val="nil"/>
              <w:tr2bl w:val="nil"/>
            </w:tcBorders>
            <w:shd w:val="clear" w:color="auto" w:fill="auto"/>
            <w:noWrap w:val="0"/>
            <w:vAlign w:val="center"/>
          </w:tcPr>
          <w:p w14:paraId="15945687">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排水管</w:t>
            </w:r>
          </w:p>
        </w:tc>
        <w:tc>
          <w:tcPr>
            <w:tcW w:w="404" w:type="dxa"/>
            <w:tcBorders>
              <w:tl2br w:val="nil"/>
              <w:tr2bl w:val="nil"/>
            </w:tcBorders>
            <w:shd w:val="clear" w:color="auto" w:fill="auto"/>
            <w:noWrap w:val="0"/>
            <w:vAlign w:val="center"/>
          </w:tcPr>
          <w:p w14:paraId="7700D382">
            <w:pPr>
              <w:jc w:val="center"/>
              <w:rPr>
                <w:rFonts w:hint="default" w:ascii="Times New Roman" w:hAnsi="Times New Roman" w:eastAsia="仿宋_GB2312" w:cs="Times New Roman"/>
                <w:b w:val="0"/>
                <w:bCs w:val="0"/>
                <w:color w:val="auto"/>
                <w:sz w:val="18"/>
                <w:szCs w:val="18"/>
              </w:rPr>
            </w:pPr>
          </w:p>
        </w:tc>
        <w:tc>
          <w:tcPr>
            <w:tcW w:w="404" w:type="dxa"/>
            <w:tcBorders>
              <w:tl2br w:val="nil"/>
              <w:tr2bl w:val="nil"/>
            </w:tcBorders>
            <w:shd w:val="clear" w:color="auto" w:fill="auto"/>
            <w:noWrap w:val="0"/>
            <w:vAlign w:val="center"/>
          </w:tcPr>
          <w:p w14:paraId="080EE9E3">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b w:val="0"/>
                <w:bCs w:val="0"/>
                <w:color w:val="auto"/>
                <w:sz w:val="18"/>
                <w:szCs w:val="18"/>
              </w:rPr>
              <mc:AlternateContent>
                <mc:Choice Requires="wps">
                  <w:drawing>
                    <wp:anchor distT="0" distB="0" distL="114300" distR="114300" simplePos="0" relativeHeight="251721728" behindDoc="0" locked="0" layoutInCell="1" allowOverlap="1">
                      <wp:simplePos x="0" y="0"/>
                      <wp:positionH relativeFrom="column">
                        <wp:posOffset>-36195</wp:posOffset>
                      </wp:positionH>
                      <wp:positionV relativeFrom="paragraph">
                        <wp:posOffset>74930</wp:posOffset>
                      </wp:positionV>
                      <wp:extent cx="2046605" cy="5715"/>
                      <wp:effectExtent l="0" t="25400" r="10795" b="29845"/>
                      <wp:wrapNone/>
                      <wp:docPr id="83" name="直接连接符 83"/>
                      <wp:cNvGraphicFramePr/>
                      <a:graphic xmlns:a="http://schemas.openxmlformats.org/drawingml/2006/main">
                        <a:graphicData uri="http://schemas.microsoft.com/office/word/2010/wordprocessingShape">
                          <wps:wsp>
                            <wps:cNvCnPr/>
                            <wps:spPr>
                              <a:xfrm>
                                <a:off x="0" y="0"/>
                                <a:ext cx="2046605" cy="5715"/>
                              </a:xfrm>
                              <a:prstGeom prst="line">
                                <a:avLst/>
                              </a:prstGeom>
                              <a:ln w="50800" cap="flat" cmpd="sng">
                                <a:solidFill>
                                  <a:srgbClr val="0070C0"/>
                                </a:solidFill>
                                <a:prstDash val="solid"/>
                                <a:headEnd type="none" w="med" len="med"/>
                                <a:tailEnd type="none" w="med" len="med"/>
                              </a:ln>
                            </wps:spPr>
                            <wps:bodyPr/>
                          </wps:wsp>
                        </a:graphicData>
                      </a:graphic>
                    </wp:anchor>
                  </w:drawing>
                </mc:Choice>
                <mc:Fallback>
                  <w:pict>
                    <v:line id="_x0000_s1026" o:spid="_x0000_s1026" o:spt="20" style="position:absolute;left:0pt;margin-left:-2.85pt;margin-top:5.9pt;height:0.45pt;width:161.15pt;z-index:251721728;mso-width-relative:page;mso-height-relative:page;" filled="f" stroked="t" coordsize="21600,21600" o:gfxdata="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QRqCzUAAAACAEAAA8AAAAAAAAAAQAgAAAAIgAAAGRycy9kb3ducmV2LnhtbFBLAQIUABQA&#10;AAAIAIdO4kDJP1Jo9AEAAN4DAAAOAAAAAAAAAAEAIAAAACMBAABkcnMvZTJvRG9jLnhtbFBLBQYA&#10;AAAABgAGAFkBAACJBQAAAAA=&#10;">
                      <v:fill on="f" focussize="0,0"/>
                      <v:stroke weight="4pt" color="#0070C0" joinstyle="round"/>
                      <v:imagedata o:title=""/>
                      <o:lock v:ext="edit" aspectratio="f"/>
                    </v:line>
                  </w:pict>
                </mc:Fallback>
              </mc:AlternateContent>
            </w:r>
          </w:p>
        </w:tc>
        <w:tc>
          <w:tcPr>
            <w:tcW w:w="404" w:type="dxa"/>
            <w:tcBorders>
              <w:tl2br w:val="nil"/>
              <w:tr2bl w:val="nil"/>
            </w:tcBorders>
            <w:shd w:val="clear" w:color="auto" w:fill="auto"/>
            <w:noWrap w:val="0"/>
            <w:vAlign w:val="center"/>
          </w:tcPr>
          <w:p w14:paraId="1D6A3E24">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2751B4B8">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37556712">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61E60E2A">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6D1BAB78">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0D4B2E7F">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424AEE99">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5D18E9E6">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1EC59AE3">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65DA0342">
            <w:pPr>
              <w:jc w:val="center"/>
              <w:rPr>
                <w:rFonts w:hint="default" w:ascii="Times New Roman" w:hAnsi="Times New Roman" w:eastAsia="仿宋_GB2312" w:cs="Times New Roman"/>
                <w:color w:val="auto"/>
                <w:kern w:val="2"/>
                <w:sz w:val="18"/>
                <w:szCs w:val="18"/>
                <w:lang w:val="en-US" w:eastAsia="zh-CN" w:bidi="ar"/>
              </w:rPr>
            </w:pPr>
          </w:p>
        </w:tc>
        <w:tc>
          <w:tcPr>
            <w:tcW w:w="412" w:type="dxa"/>
            <w:tcBorders>
              <w:tl2br w:val="nil"/>
              <w:tr2bl w:val="nil"/>
            </w:tcBorders>
            <w:shd w:val="clear" w:color="auto" w:fill="auto"/>
            <w:noWrap w:val="0"/>
            <w:vAlign w:val="center"/>
          </w:tcPr>
          <w:p w14:paraId="4E22B6F5">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3CF8C0BD">
            <w:pPr>
              <w:jc w:val="center"/>
              <w:rPr>
                <w:rFonts w:hint="default" w:ascii="Times New Roman" w:hAnsi="Times New Roman" w:eastAsia="仿宋_GB2312" w:cs="Times New Roman"/>
                <w:color w:val="auto"/>
                <w:kern w:val="2"/>
                <w:sz w:val="18"/>
                <w:szCs w:val="18"/>
                <w:lang w:val="en-US" w:eastAsia="zh-CN" w:bidi="ar"/>
              </w:rPr>
            </w:pPr>
          </w:p>
        </w:tc>
      </w:tr>
      <w:tr w14:paraId="0C6AC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59" w:type="dxa"/>
            <w:vMerge w:val="continue"/>
            <w:tcBorders>
              <w:tl2br w:val="nil"/>
              <w:tr2bl w:val="nil"/>
            </w:tcBorders>
            <w:noWrap w:val="0"/>
            <w:vAlign w:val="center"/>
          </w:tcPr>
          <w:p w14:paraId="1CA8072F">
            <w:pPr>
              <w:widowControl/>
              <w:jc w:val="center"/>
              <w:rPr>
                <w:rFonts w:hint="default" w:ascii="Times New Roman" w:hAnsi="Times New Roman" w:eastAsia="仿宋_GB2312" w:cs="Times New Roman"/>
                <w:color w:val="auto"/>
                <w:sz w:val="18"/>
                <w:szCs w:val="18"/>
                <w:lang w:val="en-US" w:eastAsia="zh-CN" w:bidi="ar"/>
              </w:rPr>
            </w:pPr>
          </w:p>
        </w:tc>
        <w:tc>
          <w:tcPr>
            <w:tcW w:w="971" w:type="dxa"/>
            <w:vMerge w:val="continue"/>
            <w:tcBorders>
              <w:tl2br w:val="nil"/>
              <w:tr2bl w:val="nil"/>
            </w:tcBorders>
            <w:noWrap w:val="0"/>
            <w:vAlign w:val="center"/>
          </w:tcPr>
          <w:p w14:paraId="03DBFC37">
            <w:pPr>
              <w:jc w:val="center"/>
              <w:rPr>
                <w:rFonts w:hint="default" w:ascii="Times New Roman" w:hAnsi="Times New Roman" w:eastAsia="仿宋_GB2312" w:cs="Times New Roman"/>
                <w:color w:val="auto"/>
                <w:sz w:val="18"/>
                <w:szCs w:val="18"/>
                <w:lang w:eastAsia="zh-CN" w:bidi="ar"/>
              </w:rPr>
            </w:pPr>
          </w:p>
        </w:tc>
        <w:tc>
          <w:tcPr>
            <w:tcW w:w="939" w:type="dxa"/>
            <w:tcBorders>
              <w:tl2br w:val="nil"/>
              <w:tr2bl w:val="nil"/>
            </w:tcBorders>
            <w:shd w:val="clear" w:color="auto" w:fill="auto"/>
            <w:noWrap w:val="0"/>
            <w:vAlign w:val="center"/>
          </w:tcPr>
          <w:p w14:paraId="4DA5E0E7">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雨水井</w:t>
            </w:r>
          </w:p>
        </w:tc>
        <w:tc>
          <w:tcPr>
            <w:tcW w:w="404" w:type="dxa"/>
            <w:tcBorders>
              <w:tl2br w:val="nil"/>
              <w:tr2bl w:val="nil"/>
            </w:tcBorders>
            <w:shd w:val="clear" w:color="auto" w:fill="auto"/>
            <w:noWrap w:val="0"/>
            <w:vAlign w:val="center"/>
          </w:tcPr>
          <w:p w14:paraId="1E69581B">
            <w:pPr>
              <w:jc w:val="center"/>
              <w:rPr>
                <w:rFonts w:hint="default" w:ascii="Times New Roman" w:hAnsi="Times New Roman" w:eastAsia="仿宋_GB2312" w:cs="Times New Roman"/>
                <w:b w:val="0"/>
                <w:bCs w:val="0"/>
                <w:color w:val="auto"/>
                <w:sz w:val="18"/>
                <w:szCs w:val="18"/>
              </w:rPr>
            </w:pPr>
          </w:p>
        </w:tc>
        <w:tc>
          <w:tcPr>
            <w:tcW w:w="404" w:type="dxa"/>
            <w:tcBorders>
              <w:tl2br w:val="nil"/>
              <w:tr2bl w:val="nil"/>
            </w:tcBorders>
            <w:shd w:val="clear" w:color="auto" w:fill="auto"/>
            <w:noWrap w:val="0"/>
            <w:vAlign w:val="center"/>
          </w:tcPr>
          <w:p w14:paraId="58BE9340">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b w:val="0"/>
                <w:bCs w:val="0"/>
                <w:color w:val="auto"/>
                <w:sz w:val="18"/>
                <w:szCs w:val="18"/>
              </w:rPr>
              <mc:AlternateContent>
                <mc:Choice Requires="wps">
                  <w:drawing>
                    <wp:anchor distT="0" distB="0" distL="114300" distR="114300" simplePos="0" relativeHeight="251726848" behindDoc="0" locked="0" layoutInCell="1" allowOverlap="1">
                      <wp:simplePos x="0" y="0"/>
                      <wp:positionH relativeFrom="column">
                        <wp:posOffset>-60960</wp:posOffset>
                      </wp:positionH>
                      <wp:positionV relativeFrom="paragraph">
                        <wp:posOffset>74930</wp:posOffset>
                      </wp:positionV>
                      <wp:extent cx="2046605" cy="5715"/>
                      <wp:effectExtent l="0" t="25400" r="10795" b="29845"/>
                      <wp:wrapNone/>
                      <wp:docPr id="20" name="直接连接符 20"/>
                      <wp:cNvGraphicFramePr/>
                      <a:graphic xmlns:a="http://schemas.openxmlformats.org/drawingml/2006/main">
                        <a:graphicData uri="http://schemas.microsoft.com/office/word/2010/wordprocessingShape">
                          <wps:wsp>
                            <wps:cNvCnPr/>
                            <wps:spPr>
                              <a:xfrm>
                                <a:off x="0" y="0"/>
                                <a:ext cx="2046605" cy="5715"/>
                              </a:xfrm>
                              <a:prstGeom prst="line">
                                <a:avLst/>
                              </a:prstGeom>
                              <a:ln w="50800" cap="flat" cmpd="sng">
                                <a:solidFill>
                                  <a:srgbClr val="0070C0"/>
                                </a:solidFill>
                                <a:prstDash val="solid"/>
                                <a:headEnd type="none" w="med" len="med"/>
                                <a:tailEnd type="none" w="med" len="med"/>
                              </a:ln>
                            </wps:spPr>
                            <wps:bodyPr/>
                          </wps:wsp>
                        </a:graphicData>
                      </a:graphic>
                    </wp:anchor>
                  </w:drawing>
                </mc:Choice>
                <mc:Fallback>
                  <w:pict>
                    <v:line id="_x0000_s1026" o:spid="_x0000_s1026" o:spt="20" style="position:absolute;left:0pt;margin-left:-4.8pt;margin-top:5.9pt;height:0.45pt;width:161.15pt;z-index:251726848;mso-width-relative:page;mso-height-relative:page;" filled="f" stroked="t" coordsize="21600,21600" o:gfxdata="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zz2kdIAAAAIAQAADwAAAAAAAAABACAAAAAiAAAAZHJzL2Rvd25yZXYueG1sUEsBAhQAFAAAAAgA&#10;h07iQLFtGvHyAQAA3gMAAA4AAAAAAAAAAQAgAAAAIQEAAGRycy9lMm9Eb2MueG1sUEsFBgAAAAAG&#10;AAYAWQEAAIUFAAAAAA==&#10;">
                      <v:fill on="f" focussize="0,0"/>
                      <v:stroke weight="4pt" color="#0070C0" joinstyle="round"/>
                      <v:imagedata o:title=""/>
                      <o:lock v:ext="edit" aspectratio="f"/>
                    </v:line>
                  </w:pict>
                </mc:Fallback>
              </mc:AlternateContent>
            </w:r>
          </w:p>
        </w:tc>
        <w:tc>
          <w:tcPr>
            <w:tcW w:w="404" w:type="dxa"/>
            <w:tcBorders>
              <w:tl2br w:val="nil"/>
              <w:tr2bl w:val="nil"/>
            </w:tcBorders>
            <w:shd w:val="clear" w:color="auto" w:fill="auto"/>
            <w:noWrap w:val="0"/>
            <w:vAlign w:val="center"/>
          </w:tcPr>
          <w:p w14:paraId="7DA962A6">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346FE346">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255B8FA0">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11E4F801">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7159DB01">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58842E2F">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5DF312CA">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38632FA5">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0F8BEC24">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50AE3471">
            <w:pPr>
              <w:jc w:val="center"/>
              <w:rPr>
                <w:rFonts w:hint="default" w:ascii="Times New Roman" w:hAnsi="Times New Roman" w:eastAsia="仿宋_GB2312" w:cs="Times New Roman"/>
                <w:color w:val="auto"/>
                <w:kern w:val="2"/>
                <w:sz w:val="18"/>
                <w:szCs w:val="18"/>
                <w:lang w:val="en-US" w:eastAsia="zh-CN" w:bidi="ar"/>
              </w:rPr>
            </w:pPr>
          </w:p>
        </w:tc>
        <w:tc>
          <w:tcPr>
            <w:tcW w:w="412" w:type="dxa"/>
            <w:tcBorders>
              <w:tl2br w:val="nil"/>
              <w:tr2bl w:val="nil"/>
            </w:tcBorders>
            <w:shd w:val="clear" w:color="auto" w:fill="auto"/>
            <w:noWrap w:val="0"/>
            <w:vAlign w:val="center"/>
          </w:tcPr>
          <w:p w14:paraId="6B939EF1">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66375B3E">
            <w:pPr>
              <w:jc w:val="center"/>
              <w:rPr>
                <w:rFonts w:hint="default" w:ascii="Times New Roman" w:hAnsi="Times New Roman" w:eastAsia="仿宋_GB2312" w:cs="Times New Roman"/>
                <w:color w:val="auto"/>
                <w:kern w:val="2"/>
                <w:sz w:val="18"/>
                <w:szCs w:val="18"/>
                <w:lang w:val="en-US" w:eastAsia="zh-CN" w:bidi="ar"/>
              </w:rPr>
            </w:pPr>
          </w:p>
        </w:tc>
      </w:tr>
      <w:tr w14:paraId="63895F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59" w:type="dxa"/>
            <w:vMerge w:val="continue"/>
            <w:tcBorders>
              <w:tl2br w:val="nil"/>
              <w:tr2bl w:val="nil"/>
            </w:tcBorders>
            <w:noWrap w:val="0"/>
            <w:vAlign w:val="center"/>
          </w:tcPr>
          <w:p w14:paraId="6C0ED777">
            <w:pPr>
              <w:widowControl/>
              <w:jc w:val="center"/>
              <w:rPr>
                <w:rFonts w:hint="default" w:ascii="Times New Roman" w:hAnsi="Times New Roman" w:eastAsia="仿宋_GB2312" w:cs="Times New Roman"/>
                <w:color w:val="auto"/>
                <w:sz w:val="18"/>
                <w:szCs w:val="18"/>
                <w:lang w:val="en-US" w:eastAsia="zh-CN" w:bidi="ar"/>
              </w:rPr>
            </w:pPr>
          </w:p>
        </w:tc>
        <w:tc>
          <w:tcPr>
            <w:tcW w:w="971" w:type="dxa"/>
            <w:vMerge w:val="continue"/>
            <w:tcBorders>
              <w:tl2br w:val="nil"/>
              <w:tr2bl w:val="nil"/>
            </w:tcBorders>
            <w:noWrap w:val="0"/>
            <w:vAlign w:val="center"/>
          </w:tcPr>
          <w:p w14:paraId="08B0DA9E">
            <w:pPr>
              <w:jc w:val="center"/>
              <w:rPr>
                <w:rFonts w:hint="default" w:ascii="Times New Roman" w:hAnsi="Times New Roman" w:eastAsia="仿宋_GB2312" w:cs="Times New Roman"/>
                <w:color w:val="auto"/>
                <w:sz w:val="18"/>
                <w:szCs w:val="18"/>
                <w:lang w:eastAsia="zh-CN" w:bidi="ar"/>
              </w:rPr>
            </w:pPr>
          </w:p>
        </w:tc>
        <w:tc>
          <w:tcPr>
            <w:tcW w:w="939" w:type="dxa"/>
            <w:tcBorders>
              <w:tl2br w:val="nil"/>
              <w:tr2bl w:val="nil"/>
            </w:tcBorders>
            <w:shd w:val="clear" w:color="auto" w:fill="auto"/>
            <w:noWrap w:val="0"/>
            <w:vAlign w:val="center"/>
          </w:tcPr>
          <w:p w14:paraId="04066E21">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雨水口</w:t>
            </w:r>
          </w:p>
        </w:tc>
        <w:tc>
          <w:tcPr>
            <w:tcW w:w="404" w:type="dxa"/>
            <w:tcBorders>
              <w:tl2br w:val="nil"/>
              <w:tr2bl w:val="nil"/>
            </w:tcBorders>
            <w:shd w:val="clear" w:color="auto" w:fill="auto"/>
            <w:noWrap w:val="0"/>
            <w:vAlign w:val="center"/>
          </w:tcPr>
          <w:p w14:paraId="40A3A3A2">
            <w:pPr>
              <w:jc w:val="center"/>
              <w:rPr>
                <w:rFonts w:hint="default" w:ascii="Times New Roman" w:hAnsi="Times New Roman" w:eastAsia="仿宋_GB2312" w:cs="Times New Roman"/>
                <w:b w:val="0"/>
                <w:bCs w:val="0"/>
                <w:color w:val="auto"/>
                <w:sz w:val="18"/>
                <w:szCs w:val="18"/>
              </w:rPr>
            </w:pPr>
          </w:p>
        </w:tc>
        <w:tc>
          <w:tcPr>
            <w:tcW w:w="404" w:type="dxa"/>
            <w:tcBorders>
              <w:tl2br w:val="nil"/>
              <w:tr2bl w:val="nil"/>
            </w:tcBorders>
            <w:shd w:val="clear" w:color="auto" w:fill="auto"/>
            <w:noWrap w:val="0"/>
            <w:vAlign w:val="center"/>
          </w:tcPr>
          <w:p w14:paraId="7D5EBDAA">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b w:val="0"/>
                <w:bCs w:val="0"/>
                <w:color w:val="auto"/>
                <w:sz w:val="18"/>
                <w:szCs w:val="18"/>
              </w:rPr>
              <mc:AlternateContent>
                <mc:Choice Requires="wps">
                  <w:drawing>
                    <wp:anchor distT="0" distB="0" distL="114300" distR="114300" simplePos="0" relativeHeight="251727872" behindDoc="0" locked="0" layoutInCell="1" allowOverlap="1">
                      <wp:simplePos x="0" y="0"/>
                      <wp:positionH relativeFrom="column">
                        <wp:posOffset>-47625</wp:posOffset>
                      </wp:positionH>
                      <wp:positionV relativeFrom="paragraph">
                        <wp:posOffset>66675</wp:posOffset>
                      </wp:positionV>
                      <wp:extent cx="2046605" cy="5715"/>
                      <wp:effectExtent l="0" t="25400" r="10795" b="29845"/>
                      <wp:wrapNone/>
                      <wp:docPr id="21" name="直接连接符 21"/>
                      <wp:cNvGraphicFramePr/>
                      <a:graphic xmlns:a="http://schemas.openxmlformats.org/drawingml/2006/main">
                        <a:graphicData uri="http://schemas.microsoft.com/office/word/2010/wordprocessingShape">
                          <wps:wsp>
                            <wps:cNvCnPr/>
                            <wps:spPr>
                              <a:xfrm>
                                <a:off x="0" y="0"/>
                                <a:ext cx="2046605" cy="5715"/>
                              </a:xfrm>
                              <a:prstGeom prst="line">
                                <a:avLst/>
                              </a:prstGeom>
                              <a:ln w="50800" cap="flat" cmpd="sng">
                                <a:solidFill>
                                  <a:srgbClr val="0070C0"/>
                                </a:solidFill>
                                <a:prstDash val="solid"/>
                                <a:headEnd type="none" w="med" len="med"/>
                                <a:tailEnd type="none" w="med" len="med"/>
                              </a:ln>
                            </wps:spPr>
                            <wps:bodyPr/>
                          </wps:wsp>
                        </a:graphicData>
                      </a:graphic>
                    </wp:anchor>
                  </w:drawing>
                </mc:Choice>
                <mc:Fallback>
                  <w:pict>
                    <v:line id="_x0000_s1026" o:spid="_x0000_s1026" o:spt="20" style="position:absolute;left:0pt;margin-left:-3.75pt;margin-top:5.25pt;height:0.45pt;width:161.15pt;z-index:251727872;mso-width-relative:page;mso-height-relative:page;" filled="f" stroked="t" coordsize="21600,21600" o:gfxdata="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6nmsjSAAAACAEAAA8AAAAAAAAAAQAgAAAAIgAAAGRycy9kb3ducmV2LnhtbFBLAQIUABQAAAAI&#10;AIdO4kARk02q8wEAAN4DAAAOAAAAAAAAAAEAIAAAACEBAABkcnMvZTJvRG9jLnhtbFBLBQYAAAAA&#10;BgAGAFkBAACGBQAAAAA=&#10;">
                      <v:fill on="f" focussize="0,0"/>
                      <v:stroke weight="4pt" color="#0070C0" joinstyle="round"/>
                      <v:imagedata o:title=""/>
                      <o:lock v:ext="edit" aspectratio="f"/>
                    </v:line>
                  </w:pict>
                </mc:Fallback>
              </mc:AlternateContent>
            </w:r>
          </w:p>
        </w:tc>
        <w:tc>
          <w:tcPr>
            <w:tcW w:w="404" w:type="dxa"/>
            <w:tcBorders>
              <w:tl2br w:val="nil"/>
              <w:tr2bl w:val="nil"/>
            </w:tcBorders>
            <w:shd w:val="clear" w:color="auto" w:fill="auto"/>
            <w:noWrap w:val="0"/>
            <w:vAlign w:val="center"/>
          </w:tcPr>
          <w:p w14:paraId="5F1CF431">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65DB7351">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614E7268">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62C75E21">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5528ACE6">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56A10D04">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033BAD77">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6B03916B">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36CDBCC6">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695A948B">
            <w:pPr>
              <w:jc w:val="center"/>
              <w:rPr>
                <w:rFonts w:hint="default" w:ascii="Times New Roman" w:hAnsi="Times New Roman" w:eastAsia="仿宋_GB2312" w:cs="Times New Roman"/>
                <w:color w:val="auto"/>
                <w:kern w:val="2"/>
                <w:sz w:val="18"/>
                <w:szCs w:val="18"/>
                <w:lang w:val="en-US" w:eastAsia="zh-CN" w:bidi="ar"/>
              </w:rPr>
            </w:pPr>
          </w:p>
        </w:tc>
        <w:tc>
          <w:tcPr>
            <w:tcW w:w="412" w:type="dxa"/>
            <w:tcBorders>
              <w:tl2br w:val="nil"/>
              <w:tr2bl w:val="nil"/>
            </w:tcBorders>
            <w:shd w:val="clear" w:color="auto" w:fill="auto"/>
            <w:noWrap w:val="0"/>
            <w:vAlign w:val="center"/>
          </w:tcPr>
          <w:p w14:paraId="5ED2B785">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shd w:val="clear" w:color="auto" w:fill="auto"/>
            <w:noWrap w:val="0"/>
            <w:vAlign w:val="center"/>
          </w:tcPr>
          <w:p w14:paraId="0CEFD334">
            <w:pPr>
              <w:jc w:val="center"/>
              <w:rPr>
                <w:rFonts w:hint="default" w:ascii="Times New Roman" w:hAnsi="Times New Roman" w:eastAsia="仿宋_GB2312" w:cs="Times New Roman"/>
                <w:color w:val="auto"/>
                <w:kern w:val="2"/>
                <w:sz w:val="18"/>
                <w:szCs w:val="18"/>
                <w:lang w:val="en-US" w:eastAsia="zh-CN" w:bidi="ar"/>
              </w:rPr>
            </w:pPr>
          </w:p>
        </w:tc>
      </w:tr>
      <w:tr w14:paraId="407D4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59" w:type="dxa"/>
            <w:vMerge w:val="restart"/>
            <w:tcBorders>
              <w:tl2br w:val="nil"/>
              <w:tr2bl w:val="nil"/>
            </w:tcBorders>
            <w:noWrap w:val="0"/>
            <w:vAlign w:val="center"/>
          </w:tcPr>
          <w:p w14:paraId="4565EC84">
            <w:pPr>
              <w:widowControl/>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绿化工程区</w:t>
            </w:r>
          </w:p>
        </w:tc>
        <w:tc>
          <w:tcPr>
            <w:tcW w:w="971" w:type="dxa"/>
            <w:vMerge w:val="restart"/>
            <w:tcBorders>
              <w:tl2br w:val="nil"/>
              <w:tr2bl w:val="nil"/>
            </w:tcBorders>
            <w:noWrap w:val="0"/>
            <w:vAlign w:val="center"/>
          </w:tcPr>
          <w:p w14:paraId="7FEA6404">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工程措施</w:t>
            </w:r>
          </w:p>
        </w:tc>
        <w:tc>
          <w:tcPr>
            <w:tcW w:w="939" w:type="dxa"/>
            <w:tcBorders>
              <w:tl2br w:val="nil"/>
              <w:tr2bl w:val="nil"/>
            </w:tcBorders>
            <w:noWrap w:val="0"/>
            <w:vAlign w:val="center"/>
          </w:tcPr>
          <w:p w14:paraId="1BAE77C2">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表土剥离</w:t>
            </w:r>
          </w:p>
        </w:tc>
        <w:tc>
          <w:tcPr>
            <w:tcW w:w="404" w:type="dxa"/>
            <w:tcBorders>
              <w:tl2br w:val="nil"/>
              <w:tr2bl w:val="nil"/>
            </w:tcBorders>
            <w:noWrap w:val="0"/>
            <w:vAlign w:val="center"/>
          </w:tcPr>
          <w:p w14:paraId="49939509">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b w:val="0"/>
                <w:bCs w:val="0"/>
                <w:color w:val="auto"/>
                <w:sz w:val="18"/>
                <w:szCs w:val="18"/>
              </w:rPr>
              <mc:AlternateContent>
                <mc:Choice Requires="wps">
                  <w:drawing>
                    <wp:anchor distT="0" distB="0" distL="114300" distR="114300" simplePos="0" relativeHeight="251720704" behindDoc="0" locked="0" layoutInCell="1" allowOverlap="1">
                      <wp:simplePos x="0" y="0"/>
                      <wp:positionH relativeFrom="column">
                        <wp:posOffset>-41275</wp:posOffset>
                      </wp:positionH>
                      <wp:positionV relativeFrom="paragraph">
                        <wp:posOffset>65405</wp:posOffset>
                      </wp:positionV>
                      <wp:extent cx="198755" cy="3175"/>
                      <wp:effectExtent l="635" t="25400" r="13970" b="32385"/>
                      <wp:wrapNone/>
                      <wp:docPr id="79" name="直接连接符 79"/>
                      <wp:cNvGraphicFramePr/>
                      <a:graphic xmlns:a="http://schemas.openxmlformats.org/drawingml/2006/main">
                        <a:graphicData uri="http://schemas.microsoft.com/office/word/2010/wordprocessingShape">
                          <wps:wsp>
                            <wps:cNvCnPr/>
                            <wps:spPr>
                              <a:xfrm flipV="1">
                                <a:off x="0" y="0"/>
                                <a:ext cx="198755" cy="3175"/>
                              </a:xfrm>
                              <a:prstGeom prst="line">
                                <a:avLst/>
                              </a:prstGeom>
                              <a:ln w="50800" cap="flat" cmpd="sng">
                                <a:solidFill>
                                  <a:srgbClr val="0070C0"/>
                                </a:solidFill>
                                <a:prstDash val="solid"/>
                                <a:headEnd type="none" w="med" len="med"/>
                                <a:tailEnd type="none" w="med" len="med"/>
                              </a:ln>
                            </wps:spPr>
                            <wps:bodyPr/>
                          </wps:wsp>
                        </a:graphicData>
                      </a:graphic>
                    </wp:anchor>
                  </w:drawing>
                </mc:Choice>
                <mc:Fallback>
                  <w:pict>
                    <v:line id="_x0000_s1026" o:spid="_x0000_s1026" o:spt="20" style="position:absolute;left:0pt;flip:y;margin-left:-3.25pt;margin-top:5.15pt;height:0.25pt;width:15.65pt;z-index:251720704;mso-width-relative:page;mso-height-relative:page;" filled="f" stroked="t" coordsize="21600,21600" o:gfxdata="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Kw/u9gAAAAHAQAADwAAAAAAAAABACAAAAAiAAAAZHJzL2Rvd25yZXYu&#10;eG1sUEsBAhQAFAAAAAgAh07iQB3joUr7AQAA5wMAAA4AAAAAAAAAAQAgAAAAJwEAAGRycy9lMm9E&#10;b2MueG1sUEsFBgAAAAAGAAYAWQEAAJQFAAAAAA==&#10;">
                      <v:fill on="f" focussize="0,0"/>
                      <v:stroke weight="4pt" color="#0070C0" joinstyle="round"/>
                      <v:imagedata o:title=""/>
                      <o:lock v:ext="edit" aspectratio="f"/>
                    </v:line>
                  </w:pict>
                </mc:Fallback>
              </mc:AlternateContent>
            </w:r>
          </w:p>
        </w:tc>
        <w:tc>
          <w:tcPr>
            <w:tcW w:w="404" w:type="dxa"/>
            <w:tcBorders>
              <w:tl2br w:val="nil"/>
              <w:tr2bl w:val="nil"/>
            </w:tcBorders>
            <w:noWrap w:val="0"/>
            <w:vAlign w:val="center"/>
          </w:tcPr>
          <w:p w14:paraId="48B217BD">
            <w:pPr>
              <w:jc w:val="center"/>
              <w:rPr>
                <w:rFonts w:hint="default" w:ascii="Times New Roman" w:hAnsi="Times New Roman" w:eastAsia="仿宋_GB2312" w:cs="Times New Roman"/>
                <w:color w:val="auto"/>
                <w:sz w:val="18"/>
                <w:szCs w:val="18"/>
                <w:lang w:val="en-US" w:eastAsia="zh-CN" w:bidi="ar"/>
              </w:rPr>
            </w:pPr>
          </w:p>
        </w:tc>
        <w:tc>
          <w:tcPr>
            <w:tcW w:w="404" w:type="dxa"/>
            <w:tcBorders>
              <w:tl2br w:val="nil"/>
              <w:tr2bl w:val="nil"/>
            </w:tcBorders>
            <w:noWrap w:val="0"/>
            <w:vAlign w:val="center"/>
          </w:tcPr>
          <w:p w14:paraId="4AE17A1F">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3F8C6B0A">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6A450088">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7AD2E001">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3977B8E6">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4BCB8629">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200872CA">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6FBF9D61">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79F573C6">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4008876B">
            <w:pPr>
              <w:jc w:val="center"/>
              <w:rPr>
                <w:rFonts w:hint="default" w:ascii="Times New Roman" w:hAnsi="Times New Roman" w:eastAsia="仿宋_GB2312" w:cs="Times New Roman"/>
                <w:color w:val="auto"/>
                <w:kern w:val="2"/>
                <w:sz w:val="18"/>
                <w:szCs w:val="18"/>
                <w:lang w:val="en-US" w:eastAsia="zh-CN" w:bidi="ar"/>
              </w:rPr>
            </w:pPr>
          </w:p>
        </w:tc>
        <w:tc>
          <w:tcPr>
            <w:tcW w:w="412" w:type="dxa"/>
            <w:tcBorders>
              <w:tl2br w:val="nil"/>
              <w:tr2bl w:val="nil"/>
            </w:tcBorders>
            <w:noWrap w:val="0"/>
            <w:vAlign w:val="center"/>
          </w:tcPr>
          <w:p w14:paraId="4D5D83F6">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565AD4E7">
            <w:pPr>
              <w:jc w:val="center"/>
              <w:rPr>
                <w:rFonts w:hint="default" w:ascii="Times New Roman" w:hAnsi="Times New Roman" w:eastAsia="仿宋_GB2312" w:cs="Times New Roman"/>
                <w:color w:val="auto"/>
                <w:kern w:val="2"/>
                <w:sz w:val="18"/>
                <w:szCs w:val="18"/>
                <w:lang w:val="en-US" w:eastAsia="zh-CN" w:bidi="ar"/>
              </w:rPr>
            </w:pPr>
          </w:p>
        </w:tc>
      </w:tr>
      <w:tr w14:paraId="3A923C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59" w:type="dxa"/>
            <w:vMerge w:val="continue"/>
            <w:tcBorders>
              <w:tl2br w:val="nil"/>
              <w:tr2bl w:val="nil"/>
            </w:tcBorders>
            <w:noWrap w:val="0"/>
            <w:vAlign w:val="center"/>
          </w:tcPr>
          <w:p w14:paraId="2BE61CEE">
            <w:pPr>
              <w:widowControl/>
              <w:jc w:val="center"/>
              <w:rPr>
                <w:rFonts w:hint="default" w:ascii="Times New Roman" w:hAnsi="Times New Roman" w:eastAsia="仿宋_GB2312" w:cs="Times New Roman"/>
                <w:color w:val="auto"/>
                <w:sz w:val="18"/>
                <w:szCs w:val="18"/>
                <w:lang w:val="en-US" w:eastAsia="zh-CN" w:bidi="ar"/>
              </w:rPr>
            </w:pPr>
          </w:p>
        </w:tc>
        <w:tc>
          <w:tcPr>
            <w:tcW w:w="971" w:type="dxa"/>
            <w:vMerge w:val="continue"/>
            <w:tcBorders>
              <w:tl2br w:val="nil"/>
              <w:tr2bl w:val="nil"/>
            </w:tcBorders>
            <w:noWrap w:val="0"/>
            <w:vAlign w:val="center"/>
          </w:tcPr>
          <w:p w14:paraId="4D4723F6">
            <w:pPr>
              <w:jc w:val="center"/>
              <w:rPr>
                <w:rFonts w:hint="default" w:ascii="Times New Roman" w:hAnsi="Times New Roman" w:eastAsia="仿宋_GB2312" w:cs="Times New Roman"/>
                <w:color w:val="auto"/>
                <w:sz w:val="18"/>
                <w:szCs w:val="18"/>
                <w:lang w:eastAsia="zh-CN" w:bidi="ar"/>
              </w:rPr>
            </w:pPr>
          </w:p>
        </w:tc>
        <w:tc>
          <w:tcPr>
            <w:tcW w:w="939" w:type="dxa"/>
            <w:tcBorders>
              <w:tl2br w:val="nil"/>
              <w:tr2bl w:val="nil"/>
            </w:tcBorders>
            <w:noWrap w:val="0"/>
            <w:vAlign w:val="center"/>
          </w:tcPr>
          <w:p w14:paraId="14B41B62">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表土回覆</w:t>
            </w:r>
          </w:p>
        </w:tc>
        <w:tc>
          <w:tcPr>
            <w:tcW w:w="404" w:type="dxa"/>
            <w:tcBorders>
              <w:tl2br w:val="nil"/>
              <w:tr2bl w:val="nil"/>
            </w:tcBorders>
            <w:noWrap w:val="0"/>
            <w:vAlign w:val="center"/>
          </w:tcPr>
          <w:p w14:paraId="7B510372">
            <w:pPr>
              <w:jc w:val="center"/>
              <w:rPr>
                <w:rFonts w:hint="default" w:ascii="Times New Roman" w:hAnsi="Times New Roman" w:eastAsia="仿宋_GB2312" w:cs="Times New Roman"/>
                <w:color w:val="auto"/>
                <w:sz w:val="18"/>
                <w:szCs w:val="18"/>
                <w:lang w:eastAsia="zh-CN" w:bidi="ar"/>
              </w:rPr>
            </w:pPr>
          </w:p>
        </w:tc>
        <w:tc>
          <w:tcPr>
            <w:tcW w:w="404" w:type="dxa"/>
            <w:tcBorders>
              <w:tl2br w:val="nil"/>
              <w:tr2bl w:val="nil"/>
            </w:tcBorders>
            <w:noWrap w:val="0"/>
            <w:vAlign w:val="center"/>
          </w:tcPr>
          <w:p w14:paraId="2C52D5E5">
            <w:pPr>
              <w:jc w:val="center"/>
              <w:rPr>
                <w:rFonts w:hint="default" w:ascii="Times New Roman" w:hAnsi="Times New Roman" w:eastAsia="仿宋_GB2312" w:cs="Times New Roman"/>
                <w:color w:val="auto"/>
                <w:sz w:val="18"/>
                <w:szCs w:val="18"/>
                <w:lang w:val="en-US" w:eastAsia="zh-CN" w:bidi="ar"/>
              </w:rPr>
            </w:pPr>
          </w:p>
        </w:tc>
        <w:tc>
          <w:tcPr>
            <w:tcW w:w="404" w:type="dxa"/>
            <w:tcBorders>
              <w:tl2br w:val="nil"/>
              <w:tr2bl w:val="nil"/>
            </w:tcBorders>
            <w:noWrap w:val="0"/>
            <w:vAlign w:val="center"/>
          </w:tcPr>
          <w:p w14:paraId="06DE28AF">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6CEC85CD">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36E63BD6">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17457BBF">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62954D96">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7AA5E218">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29B3A680">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6DC3047E">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b w:val="0"/>
                <w:bCs w:val="0"/>
                <w:color w:val="auto"/>
                <w:sz w:val="18"/>
                <w:szCs w:val="18"/>
              </w:rPr>
              <mc:AlternateContent>
                <mc:Choice Requires="wps">
                  <w:drawing>
                    <wp:anchor distT="0" distB="0" distL="114300" distR="114300" simplePos="0" relativeHeight="251719680" behindDoc="0" locked="0" layoutInCell="1" allowOverlap="1">
                      <wp:simplePos x="0" y="0"/>
                      <wp:positionH relativeFrom="column">
                        <wp:posOffset>-39370</wp:posOffset>
                      </wp:positionH>
                      <wp:positionV relativeFrom="paragraph">
                        <wp:posOffset>67945</wp:posOffset>
                      </wp:positionV>
                      <wp:extent cx="374650" cy="8890"/>
                      <wp:effectExtent l="635" t="25400" r="5715" b="26670"/>
                      <wp:wrapNone/>
                      <wp:docPr id="78" name="直接连接符 78"/>
                      <wp:cNvGraphicFramePr/>
                      <a:graphic xmlns:a="http://schemas.openxmlformats.org/drawingml/2006/main">
                        <a:graphicData uri="http://schemas.microsoft.com/office/word/2010/wordprocessingShape">
                          <wps:wsp>
                            <wps:cNvCnPr/>
                            <wps:spPr>
                              <a:xfrm>
                                <a:off x="0" y="0"/>
                                <a:ext cx="374650" cy="8890"/>
                              </a:xfrm>
                              <a:prstGeom prst="line">
                                <a:avLst/>
                              </a:prstGeom>
                              <a:ln w="50800" cap="flat" cmpd="sng">
                                <a:solidFill>
                                  <a:srgbClr val="0070C0"/>
                                </a:solidFill>
                                <a:prstDash val="solid"/>
                                <a:headEnd type="none" w="med" len="med"/>
                                <a:tailEnd type="none" w="med" len="med"/>
                              </a:ln>
                            </wps:spPr>
                            <wps:bodyPr/>
                          </wps:wsp>
                        </a:graphicData>
                      </a:graphic>
                    </wp:anchor>
                  </w:drawing>
                </mc:Choice>
                <mc:Fallback>
                  <w:pict>
                    <v:line id="_x0000_s1026" o:spid="_x0000_s1026" o:spt="20" style="position:absolute;left:0pt;margin-left:-3.1pt;margin-top:5.35pt;height:0.7pt;width:29.5pt;z-index:251719680;mso-width-relative:page;mso-height-relative:page;" filled="f" stroked="t" coordsize="21600,21600" o:gfxdata="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fO49MAAAAHAQAADwAAAAAAAAABACAAAAAiAAAAZHJzL2Rvd25yZXYueG1sUEsBAhQAFAAAAAgA&#10;h07iQMs5JszxAQAA3QMAAA4AAAAAAAAAAQAgAAAAIgEAAGRycy9lMm9Eb2MueG1sUEsFBgAAAAAG&#10;AAYAWQEAAIUFAAAAAA==&#10;">
                      <v:fill on="f" focussize="0,0"/>
                      <v:stroke weight="4pt" color="#0070C0" joinstyle="round"/>
                      <v:imagedata o:title=""/>
                      <o:lock v:ext="edit" aspectratio="f"/>
                    </v:line>
                  </w:pict>
                </mc:Fallback>
              </mc:AlternateContent>
            </w:r>
          </w:p>
        </w:tc>
        <w:tc>
          <w:tcPr>
            <w:tcW w:w="404" w:type="dxa"/>
            <w:tcBorders>
              <w:tl2br w:val="nil"/>
              <w:tr2bl w:val="nil"/>
            </w:tcBorders>
            <w:noWrap w:val="0"/>
            <w:vAlign w:val="center"/>
          </w:tcPr>
          <w:p w14:paraId="6C6BC529">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3068AA6F">
            <w:pPr>
              <w:jc w:val="center"/>
              <w:rPr>
                <w:rFonts w:hint="default" w:ascii="Times New Roman" w:hAnsi="Times New Roman" w:eastAsia="仿宋_GB2312" w:cs="Times New Roman"/>
                <w:color w:val="auto"/>
                <w:kern w:val="2"/>
                <w:sz w:val="18"/>
                <w:szCs w:val="18"/>
                <w:lang w:val="en-US" w:eastAsia="zh-CN" w:bidi="ar"/>
              </w:rPr>
            </w:pPr>
          </w:p>
        </w:tc>
        <w:tc>
          <w:tcPr>
            <w:tcW w:w="412" w:type="dxa"/>
            <w:tcBorders>
              <w:tl2br w:val="nil"/>
              <w:tr2bl w:val="nil"/>
            </w:tcBorders>
            <w:noWrap w:val="0"/>
            <w:vAlign w:val="center"/>
          </w:tcPr>
          <w:p w14:paraId="60F0235C">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023B1D2E">
            <w:pPr>
              <w:jc w:val="center"/>
              <w:rPr>
                <w:rFonts w:hint="default" w:ascii="Times New Roman" w:hAnsi="Times New Roman" w:eastAsia="仿宋_GB2312" w:cs="Times New Roman"/>
                <w:color w:val="auto"/>
                <w:kern w:val="2"/>
                <w:sz w:val="18"/>
                <w:szCs w:val="18"/>
                <w:lang w:val="en-US" w:eastAsia="zh-CN" w:bidi="ar"/>
              </w:rPr>
            </w:pPr>
          </w:p>
          <w:p w14:paraId="38B92036">
            <w:pPr>
              <w:jc w:val="center"/>
              <w:rPr>
                <w:rFonts w:hint="default" w:ascii="Times New Roman" w:hAnsi="Times New Roman" w:eastAsia="仿宋_GB2312" w:cs="Times New Roman"/>
                <w:color w:val="auto"/>
                <w:kern w:val="2"/>
                <w:sz w:val="18"/>
                <w:szCs w:val="18"/>
                <w:lang w:val="en-US" w:eastAsia="zh-CN" w:bidi="ar"/>
              </w:rPr>
            </w:pPr>
          </w:p>
        </w:tc>
      </w:tr>
      <w:tr w14:paraId="4959D4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59" w:type="dxa"/>
            <w:vMerge w:val="continue"/>
            <w:tcBorders>
              <w:tl2br w:val="nil"/>
              <w:tr2bl w:val="nil"/>
            </w:tcBorders>
            <w:noWrap w:val="0"/>
            <w:vAlign w:val="center"/>
          </w:tcPr>
          <w:p w14:paraId="55E07322">
            <w:pPr>
              <w:widowControl/>
              <w:jc w:val="center"/>
              <w:rPr>
                <w:rFonts w:hint="default" w:ascii="Times New Roman" w:hAnsi="Times New Roman" w:eastAsia="仿宋_GB2312" w:cs="Times New Roman"/>
                <w:color w:val="auto"/>
                <w:sz w:val="18"/>
                <w:szCs w:val="18"/>
                <w:lang w:val="en-US" w:eastAsia="zh-CN" w:bidi="ar"/>
              </w:rPr>
            </w:pPr>
          </w:p>
        </w:tc>
        <w:tc>
          <w:tcPr>
            <w:tcW w:w="971" w:type="dxa"/>
            <w:tcBorders>
              <w:tl2br w:val="nil"/>
              <w:tr2bl w:val="nil"/>
            </w:tcBorders>
            <w:noWrap w:val="0"/>
            <w:vAlign w:val="center"/>
          </w:tcPr>
          <w:p w14:paraId="06441271">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植物措施</w:t>
            </w:r>
          </w:p>
        </w:tc>
        <w:tc>
          <w:tcPr>
            <w:tcW w:w="939" w:type="dxa"/>
            <w:tcBorders>
              <w:tl2br w:val="nil"/>
              <w:tr2bl w:val="nil"/>
            </w:tcBorders>
            <w:noWrap w:val="0"/>
            <w:vAlign w:val="center"/>
          </w:tcPr>
          <w:p w14:paraId="28188013">
            <w:pPr>
              <w:jc w:val="both"/>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撒播草籽</w:t>
            </w:r>
          </w:p>
        </w:tc>
        <w:tc>
          <w:tcPr>
            <w:tcW w:w="404" w:type="dxa"/>
            <w:tcBorders>
              <w:tl2br w:val="nil"/>
              <w:tr2bl w:val="nil"/>
            </w:tcBorders>
            <w:noWrap w:val="0"/>
            <w:vAlign w:val="center"/>
          </w:tcPr>
          <w:p w14:paraId="30802691">
            <w:pPr>
              <w:jc w:val="center"/>
              <w:rPr>
                <w:rFonts w:hint="default" w:ascii="Times New Roman" w:hAnsi="Times New Roman" w:eastAsia="仿宋_GB2312" w:cs="Times New Roman"/>
                <w:color w:val="auto"/>
                <w:sz w:val="18"/>
                <w:szCs w:val="18"/>
                <w:lang w:val="en-US" w:eastAsia="zh-CN" w:bidi="ar"/>
              </w:rPr>
            </w:pPr>
          </w:p>
        </w:tc>
        <w:tc>
          <w:tcPr>
            <w:tcW w:w="404" w:type="dxa"/>
            <w:tcBorders>
              <w:tl2br w:val="nil"/>
              <w:tr2bl w:val="nil"/>
            </w:tcBorders>
            <w:noWrap w:val="0"/>
            <w:vAlign w:val="center"/>
          </w:tcPr>
          <w:p w14:paraId="4D7CC1B4">
            <w:pPr>
              <w:jc w:val="center"/>
              <w:rPr>
                <w:rFonts w:hint="default" w:ascii="Times New Roman" w:hAnsi="Times New Roman" w:eastAsia="仿宋_GB2312" w:cs="Times New Roman"/>
                <w:color w:val="auto"/>
                <w:sz w:val="18"/>
                <w:szCs w:val="18"/>
                <w:lang w:val="en-US" w:eastAsia="zh-CN" w:bidi="ar"/>
              </w:rPr>
            </w:pPr>
          </w:p>
        </w:tc>
        <w:tc>
          <w:tcPr>
            <w:tcW w:w="404" w:type="dxa"/>
            <w:tcBorders>
              <w:tl2br w:val="nil"/>
              <w:tr2bl w:val="nil"/>
            </w:tcBorders>
            <w:noWrap w:val="0"/>
            <w:vAlign w:val="center"/>
          </w:tcPr>
          <w:p w14:paraId="6BC21637">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424702F0">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17A9B4E5">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7B973D72">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5502BA27">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7879288C">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2F5EECEB">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1C91B788">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b w:val="0"/>
                <w:bCs w:val="0"/>
                <w:color w:val="auto"/>
                <w:sz w:val="18"/>
                <w:szCs w:val="18"/>
              </w:rPr>
              <mc:AlternateContent>
                <mc:Choice Requires="wps">
                  <w:drawing>
                    <wp:anchor distT="0" distB="0" distL="114300" distR="114300" simplePos="0" relativeHeight="251722752" behindDoc="0" locked="0" layoutInCell="1" allowOverlap="1">
                      <wp:simplePos x="0" y="0"/>
                      <wp:positionH relativeFrom="column">
                        <wp:posOffset>41275</wp:posOffset>
                      </wp:positionH>
                      <wp:positionV relativeFrom="paragraph">
                        <wp:posOffset>43815</wp:posOffset>
                      </wp:positionV>
                      <wp:extent cx="678815" cy="10795"/>
                      <wp:effectExtent l="635" t="25400" r="6350" b="40005"/>
                      <wp:wrapNone/>
                      <wp:docPr id="85" name="直接连接符 85"/>
                      <wp:cNvGraphicFramePr/>
                      <a:graphic xmlns:a="http://schemas.openxmlformats.org/drawingml/2006/main">
                        <a:graphicData uri="http://schemas.microsoft.com/office/word/2010/wordprocessingShape">
                          <wps:wsp>
                            <wps:cNvCnPr/>
                            <wps:spPr>
                              <a:xfrm>
                                <a:off x="0" y="0"/>
                                <a:ext cx="678815" cy="10795"/>
                              </a:xfrm>
                              <a:prstGeom prst="line">
                                <a:avLst/>
                              </a:prstGeom>
                              <a:ln w="50800" cap="flat" cmpd="sng">
                                <a:solidFill>
                                  <a:srgbClr val="00B050"/>
                                </a:solidFill>
                                <a:prstDash val="solid"/>
                                <a:headEnd type="none" w="med" len="med"/>
                                <a:tailEnd type="none" w="med" len="med"/>
                              </a:ln>
                            </wps:spPr>
                            <wps:bodyPr/>
                          </wps:wsp>
                        </a:graphicData>
                      </a:graphic>
                    </wp:anchor>
                  </w:drawing>
                </mc:Choice>
                <mc:Fallback>
                  <w:pict>
                    <v:line id="_x0000_s1026" o:spid="_x0000_s1026" o:spt="20" style="position:absolute;left:0pt;margin-left:3.25pt;margin-top:3.45pt;height:0.85pt;width:53.45pt;z-index:251722752;mso-width-relative:page;mso-height-relative:page;" filled="f" stroked="t" coordsize="21600,21600" o:gfxdata="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TiqknVAAAABQEAAA8AAAAAAAAAAQAgAAAAIgAAAGRycy9kb3ducmV2LnhtbFBLAQIUABQA&#10;AAAIAIdO4kAhnBpn8wEAAN4DAAAOAAAAAAAAAAEAIAAAACQBAABkcnMvZTJvRG9jLnhtbFBLBQYA&#10;AAAABgAGAFkBAACJBQAAAAA=&#10;">
                      <v:fill on="f" focussize="0,0"/>
                      <v:stroke weight="4pt" color="#00B050" joinstyle="round"/>
                      <v:imagedata o:title=""/>
                      <o:lock v:ext="edit" aspectratio="f"/>
                    </v:line>
                  </w:pict>
                </mc:Fallback>
              </mc:AlternateContent>
            </w:r>
          </w:p>
        </w:tc>
        <w:tc>
          <w:tcPr>
            <w:tcW w:w="404" w:type="dxa"/>
            <w:tcBorders>
              <w:tl2br w:val="nil"/>
              <w:tr2bl w:val="nil"/>
            </w:tcBorders>
            <w:noWrap w:val="0"/>
            <w:vAlign w:val="center"/>
          </w:tcPr>
          <w:p w14:paraId="73AD67A3">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0D996B08">
            <w:pPr>
              <w:jc w:val="center"/>
              <w:rPr>
                <w:rFonts w:hint="default" w:ascii="Times New Roman" w:hAnsi="Times New Roman" w:eastAsia="仿宋_GB2312" w:cs="Times New Roman"/>
                <w:color w:val="auto"/>
                <w:kern w:val="2"/>
                <w:sz w:val="18"/>
                <w:szCs w:val="18"/>
                <w:lang w:val="en-US" w:eastAsia="zh-CN" w:bidi="ar"/>
              </w:rPr>
            </w:pPr>
          </w:p>
        </w:tc>
        <w:tc>
          <w:tcPr>
            <w:tcW w:w="412" w:type="dxa"/>
            <w:tcBorders>
              <w:tl2br w:val="nil"/>
              <w:tr2bl w:val="nil"/>
            </w:tcBorders>
            <w:noWrap w:val="0"/>
            <w:vAlign w:val="center"/>
          </w:tcPr>
          <w:p w14:paraId="3D1A04BB">
            <w:pPr>
              <w:jc w:val="center"/>
              <w:rPr>
                <w:rFonts w:hint="default" w:ascii="Times New Roman" w:hAnsi="Times New Roman" w:eastAsia="仿宋_GB2312" w:cs="Times New Roman"/>
                <w:color w:val="auto"/>
                <w:kern w:val="2"/>
                <w:sz w:val="18"/>
                <w:szCs w:val="18"/>
                <w:lang w:val="en-US" w:eastAsia="zh-CN" w:bidi="ar"/>
              </w:rPr>
            </w:pPr>
          </w:p>
        </w:tc>
        <w:tc>
          <w:tcPr>
            <w:tcW w:w="404" w:type="dxa"/>
            <w:tcBorders>
              <w:tl2br w:val="nil"/>
              <w:tr2bl w:val="nil"/>
            </w:tcBorders>
            <w:noWrap w:val="0"/>
            <w:vAlign w:val="center"/>
          </w:tcPr>
          <w:p w14:paraId="3328749C">
            <w:pPr>
              <w:jc w:val="center"/>
              <w:rPr>
                <w:rFonts w:hint="default" w:ascii="Times New Roman" w:hAnsi="Times New Roman" w:eastAsia="仿宋_GB2312" w:cs="Times New Roman"/>
                <w:color w:val="auto"/>
                <w:kern w:val="2"/>
                <w:sz w:val="18"/>
                <w:szCs w:val="18"/>
                <w:lang w:val="en-US" w:eastAsia="zh-CN" w:bidi="ar"/>
              </w:rPr>
            </w:pPr>
          </w:p>
          <w:p w14:paraId="1C2FC6D7">
            <w:pPr>
              <w:jc w:val="center"/>
              <w:rPr>
                <w:rFonts w:hint="default" w:ascii="Times New Roman" w:hAnsi="Times New Roman" w:eastAsia="仿宋_GB2312" w:cs="Times New Roman"/>
                <w:color w:val="auto"/>
                <w:kern w:val="2"/>
                <w:sz w:val="18"/>
                <w:szCs w:val="18"/>
                <w:lang w:val="en-US" w:eastAsia="zh-CN" w:bidi="ar"/>
              </w:rPr>
            </w:pPr>
          </w:p>
        </w:tc>
      </w:tr>
    </w:tbl>
    <w:p w14:paraId="2AE0F665">
      <w:pPr>
        <w:keepNext w:val="0"/>
        <w:keepLines w:val="0"/>
        <w:widowControl/>
        <w:suppressLineNumbers w:val="0"/>
        <w:spacing w:line="360" w:lineRule="auto"/>
        <w:jc w:val="left"/>
        <w:rPr>
          <w:rFonts w:hint="default" w:ascii="Times New Roman" w:hAnsi="Times New Roman" w:eastAsia="仿宋_GB2312" w:cs="Times New Roman"/>
          <w:b/>
          <w:bCs/>
          <w:color w:val="auto"/>
          <w:sz w:val="18"/>
          <w:szCs w:val="18"/>
          <w:lang w:val="en-US" w:eastAsia="zh-CN"/>
        </w:rPr>
      </w:pPr>
      <w:r>
        <w:rPr>
          <w:rFonts w:hint="default" w:ascii="Times New Roman" w:hAnsi="Times New Roman" w:eastAsia="仿宋_GB2312" w:cs="Times New Roman"/>
          <w:b w:val="0"/>
          <w:bCs w:val="0"/>
          <w:color w:val="auto"/>
          <w:sz w:val="18"/>
          <w:szCs w:val="18"/>
        </w:rPr>
        <mc:AlternateContent>
          <mc:Choice Requires="wps">
            <w:drawing>
              <wp:anchor distT="0" distB="0" distL="114300" distR="114300" simplePos="0" relativeHeight="251673600" behindDoc="0" locked="0" layoutInCell="1" allowOverlap="1">
                <wp:simplePos x="0" y="0"/>
                <wp:positionH relativeFrom="column">
                  <wp:posOffset>1506220</wp:posOffset>
                </wp:positionH>
                <wp:positionV relativeFrom="paragraph">
                  <wp:posOffset>89535</wp:posOffset>
                </wp:positionV>
                <wp:extent cx="395605" cy="2540"/>
                <wp:effectExtent l="0" t="25400" r="4445" b="29210"/>
                <wp:wrapNone/>
                <wp:docPr id="88" name="直接连接符 88"/>
                <wp:cNvGraphicFramePr/>
                <a:graphic xmlns:a="http://schemas.openxmlformats.org/drawingml/2006/main">
                  <a:graphicData uri="http://schemas.microsoft.com/office/word/2010/wordprocessingShape">
                    <wps:wsp>
                      <wps:cNvCnPr/>
                      <wps:spPr>
                        <a:xfrm flipV="1">
                          <a:off x="0" y="0"/>
                          <a:ext cx="395605" cy="2540"/>
                        </a:xfrm>
                        <a:prstGeom prst="line">
                          <a:avLst/>
                        </a:prstGeom>
                        <a:ln w="50800" cap="flat" cmpd="sng">
                          <a:solidFill>
                            <a:srgbClr val="00B050"/>
                          </a:solidFill>
                          <a:prstDash val="solid"/>
                          <a:headEnd type="none" w="med" len="med"/>
                          <a:tailEnd type="none" w="med" len="med"/>
                        </a:ln>
                      </wps:spPr>
                      <wps:bodyPr/>
                    </wps:wsp>
                  </a:graphicData>
                </a:graphic>
              </wp:anchor>
            </w:drawing>
          </mc:Choice>
          <mc:Fallback>
            <w:pict>
              <v:line id="_x0000_s1026" o:spid="_x0000_s1026" o:spt="20" style="position:absolute;left:0pt;flip:y;margin-left:118.6pt;margin-top:7.05pt;height:0.2pt;width:31.15pt;z-index:251673600;mso-width-relative:page;mso-height-relative:page;" filled="f" stroked="t" coordsize="21600,21600" o:gfxdata="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ELvdMAAAAJAQAADwAAAAAAAAABACAAAAAiAAAAZHJzL2Rvd25yZXYueG1sUEsB&#10;AhQAFAAAAAgAh07iQJpdu636AQAA5wMAAA4AAAAAAAAAAQAgAAAAIgEAAGRycy9lMm9Eb2MueG1s&#10;UEsFBgAAAAAGAAYAWQEAAI4FAAAAAA==&#10;">
                <v:fill on="f" focussize="0,0"/>
                <v:stroke weight="4pt" color="#00B050" joinstyle="round"/>
                <v:imagedata o:title=""/>
                <o:lock v:ext="edit" aspectratio="f"/>
              </v:line>
            </w:pict>
          </mc:Fallback>
        </mc:AlternateContent>
      </w:r>
      <w:r>
        <w:rPr>
          <w:rFonts w:hint="default" w:ascii="Times New Roman" w:hAnsi="Times New Roman" w:eastAsia="仿宋_GB2312" w:cs="Times New Roman"/>
          <w:b w:val="0"/>
          <w:bCs w:val="0"/>
          <w:color w:val="auto"/>
          <w:sz w:val="18"/>
          <w:szCs w:val="18"/>
        </w:rPr>
        <mc:AlternateContent>
          <mc:Choice Requires="wps">
            <w:drawing>
              <wp:anchor distT="0" distB="0" distL="114300" distR="114300" simplePos="0" relativeHeight="251662336" behindDoc="0" locked="0" layoutInCell="1" allowOverlap="1">
                <wp:simplePos x="0" y="0"/>
                <wp:positionH relativeFrom="column">
                  <wp:posOffset>403225</wp:posOffset>
                </wp:positionH>
                <wp:positionV relativeFrom="paragraph">
                  <wp:posOffset>76835</wp:posOffset>
                </wp:positionV>
                <wp:extent cx="323850" cy="12700"/>
                <wp:effectExtent l="1270" t="4445" r="17780" b="40005"/>
                <wp:wrapNone/>
                <wp:docPr id="87" name="直接连接符 87"/>
                <wp:cNvGraphicFramePr/>
                <a:graphic xmlns:a="http://schemas.openxmlformats.org/drawingml/2006/main">
                  <a:graphicData uri="http://schemas.microsoft.com/office/word/2010/wordprocessingShape">
                    <wps:wsp>
                      <wps:cNvCnPr/>
                      <wps:spPr>
                        <a:xfrm flipV="1">
                          <a:off x="0" y="0"/>
                          <a:ext cx="323850" cy="12700"/>
                        </a:xfrm>
                        <a:prstGeom prst="line">
                          <a:avLst/>
                        </a:prstGeom>
                        <a:ln w="50800" cap="flat" cmpd="sng">
                          <a:solidFill>
                            <a:srgbClr val="0070C0"/>
                          </a:solidFill>
                          <a:prstDash val="solid"/>
                          <a:headEnd type="none" w="med" len="med"/>
                          <a:tailEnd type="none" w="med" len="med"/>
                        </a:ln>
                      </wps:spPr>
                      <wps:bodyPr/>
                    </wps:wsp>
                  </a:graphicData>
                </a:graphic>
              </wp:anchor>
            </w:drawing>
          </mc:Choice>
          <mc:Fallback>
            <w:pict>
              <v:line id="_x0000_s1026" o:spid="_x0000_s1026" o:spt="20" style="position:absolute;left:0pt;flip:y;margin-left:31.75pt;margin-top:6.05pt;height:1pt;width:25.5pt;z-index:251662336;mso-width-relative:page;mso-height-relative:page;" filled="f" stroked="t" coordsize="21600,21600" o:gfxdata="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aFV/V2QAAAAgBAAAPAAAAAAAAAAEAIAAAACIAAABkcnMvZG93bnJldi54&#10;bWxQSwECFAAUAAAACACHTuJA08SRgfkBAADoAwAADgAAAAAAAAABACAAAAAoAQAAZHJzL2Uyb0Rv&#10;Yy54bWxQSwUGAAAAAAYABgBZAQAAkwUAAAAA&#10;">
                <v:fill on="f" focussize="0,0"/>
                <v:stroke weight="4pt" color="#0070C0" joinstyle="round"/>
                <v:imagedata o:title=""/>
                <o:lock v:ext="edit" aspectratio="f"/>
              </v:line>
            </w:pict>
          </mc:Fallback>
        </mc:AlternateContent>
      </w:r>
      <w:r>
        <w:rPr>
          <w:rFonts w:hint="default" w:ascii="Times New Roman" w:hAnsi="Times New Roman" w:eastAsia="仿宋_GB2312" w:cs="Times New Roman"/>
          <w:b w:val="0"/>
          <w:bCs w:val="0"/>
          <w:color w:val="auto"/>
          <w:sz w:val="18"/>
          <w:szCs w:val="18"/>
          <w:lang w:val="en-US" w:eastAsia="zh-CN"/>
        </w:rPr>
        <w:t xml:space="preserve">图例： </w:t>
      </w:r>
      <w:r>
        <w:rPr>
          <w:rFonts w:hint="default" w:ascii="Times New Roman" w:hAnsi="Times New Roman" w:eastAsia="仿宋_GB2312" w:cs="Times New Roman"/>
          <w:b/>
          <w:bCs/>
          <w:color w:val="auto"/>
          <w:sz w:val="18"/>
          <w:szCs w:val="18"/>
          <w:lang w:val="en-US" w:eastAsia="zh-CN"/>
        </w:rPr>
        <w:t xml:space="preserve">       </w:t>
      </w:r>
      <w:r>
        <w:rPr>
          <w:rFonts w:hint="default" w:ascii="Times New Roman" w:hAnsi="Times New Roman" w:eastAsia="仿宋_GB2312" w:cs="Times New Roman"/>
          <w:b w:val="0"/>
          <w:bCs w:val="0"/>
          <w:color w:val="auto"/>
          <w:sz w:val="18"/>
          <w:szCs w:val="18"/>
          <w:lang w:val="en-US" w:eastAsia="zh-CN"/>
        </w:rPr>
        <w:t xml:space="preserve">工程措施 </w:t>
      </w:r>
      <w:r>
        <w:rPr>
          <w:rFonts w:hint="default" w:ascii="Times New Roman" w:hAnsi="Times New Roman" w:eastAsia="仿宋_GB2312" w:cs="Times New Roman"/>
          <w:b/>
          <w:bCs/>
          <w:color w:val="auto"/>
          <w:sz w:val="18"/>
          <w:szCs w:val="18"/>
          <w:lang w:val="en-US" w:eastAsia="zh-CN"/>
        </w:rPr>
        <w:t xml:space="preserve">            </w:t>
      </w:r>
      <w:r>
        <w:rPr>
          <w:rFonts w:hint="default" w:ascii="Times New Roman" w:hAnsi="Times New Roman" w:eastAsia="仿宋_GB2312" w:cs="Times New Roman"/>
          <w:b w:val="0"/>
          <w:bCs w:val="0"/>
          <w:color w:val="auto"/>
          <w:sz w:val="18"/>
          <w:szCs w:val="18"/>
          <w:lang w:val="en-US" w:eastAsia="zh-CN"/>
        </w:rPr>
        <w:t xml:space="preserve">植物措施 </w:t>
      </w:r>
      <w:r>
        <w:rPr>
          <w:rFonts w:hint="default" w:ascii="Times New Roman" w:hAnsi="Times New Roman" w:eastAsia="仿宋_GB2312" w:cs="Times New Roman"/>
          <w:b/>
          <w:bCs/>
          <w:color w:val="auto"/>
          <w:sz w:val="18"/>
          <w:szCs w:val="18"/>
          <w:lang w:val="en-US" w:eastAsia="zh-CN"/>
        </w:rPr>
        <w:t xml:space="preserve">   </w:t>
      </w:r>
    </w:p>
    <w:p w14:paraId="34614B5B">
      <w:pPr>
        <w:rPr>
          <w:rFonts w:hint="default" w:ascii="Times New Roman" w:hAnsi="Times New Roman" w:eastAsia="仿宋_GB2312" w:cs="Times New Roman"/>
          <w:color w:val="auto"/>
        </w:rPr>
      </w:pPr>
    </w:p>
    <w:p w14:paraId="58C5B1DA">
      <w:pPr>
        <w:rPr>
          <w:rFonts w:hint="default" w:ascii="Times New Roman" w:hAnsi="Times New Roman" w:eastAsia="仿宋_GB2312" w:cs="Times New Roman"/>
          <w:color w:val="auto"/>
        </w:rPr>
      </w:pPr>
    </w:p>
    <w:p w14:paraId="76459F30">
      <w:pPr>
        <w:rPr>
          <w:rFonts w:hint="default" w:ascii="Times New Roman" w:hAnsi="Times New Roman" w:eastAsia="仿宋_GB2312" w:cs="Times New Roman"/>
          <w:color w:val="auto"/>
        </w:rPr>
      </w:pPr>
    </w:p>
    <w:p w14:paraId="16BEFADA">
      <w:pPr>
        <w:rPr>
          <w:rFonts w:hint="default" w:ascii="Times New Roman" w:hAnsi="Times New Roman" w:eastAsia="仿宋_GB2312" w:cs="Times New Roman"/>
          <w:color w:val="auto"/>
        </w:rPr>
        <w:sectPr>
          <w:headerReference r:id="rId28" w:type="default"/>
          <w:headerReference r:id="rId29" w:type="even"/>
          <w:pgSz w:w="11906" w:h="16838"/>
          <w:pgMar w:top="1327" w:right="1514" w:bottom="1327" w:left="1514" w:header="851" w:footer="992" w:gutter="0"/>
          <w:pgBorders>
            <w:top w:val="none" w:sz="0" w:space="0"/>
            <w:left w:val="none" w:sz="0" w:space="0"/>
            <w:bottom w:val="none" w:sz="0" w:space="0"/>
            <w:right w:val="none" w:sz="0" w:space="0"/>
          </w:pgBorders>
          <w:pgNumType w:fmt="decimal"/>
          <w:cols w:space="720" w:num="1"/>
          <w:docGrid w:linePitch="312" w:charSpace="0"/>
        </w:sectPr>
      </w:pPr>
    </w:p>
    <w:p w14:paraId="68EEF715">
      <w:pPr>
        <w:pStyle w:val="2"/>
        <w:keepNext/>
        <w:keepLines/>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default" w:ascii="Times New Roman" w:hAnsi="Times New Roman" w:eastAsia="仿宋_GB2312" w:cs="Times New Roman"/>
          <w:b/>
          <w:color w:val="auto"/>
          <w:lang w:val="en-US" w:eastAsia="zh-CN"/>
        </w:rPr>
      </w:pPr>
      <w:bookmarkStart w:id="175" w:name="_Toc12391"/>
      <w:bookmarkStart w:id="176" w:name="_Toc16796"/>
      <w:r>
        <w:rPr>
          <w:rFonts w:hint="default" w:ascii="Times New Roman" w:hAnsi="Times New Roman" w:eastAsia="仿宋_GB2312" w:cs="Times New Roman"/>
          <w:b/>
          <w:color w:val="auto"/>
          <w:lang w:val="en-US" w:eastAsia="zh-CN"/>
        </w:rPr>
        <w:t>6水土保持监测</w:t>
      </w:r>
      <w:bookmarkEnd w:id="175"/>
      <w:bookmarkEnd w:id="176"/>
    </w:p>
    <w:p w14:paraId="13AB5047">
      <w:pPr>
        <w:spacing w:line="360" w:lineRule="auto"/>
        <w:ind w:firstLine="480" w:firstLineChars="200"/>
        <w:rPr>
          <w:rFonts w:hint="default" w:ascii="Times New Roman" w:hAnsi="Times New Roman" w:cs="Times New Roman"/>
        </w:rPr>
      </w:pPr>
      <w:bookmarkStart w:id="177" w:name="_Toc16291"/>
      <w:r>
        <w:rPr>
          <w:rFonts w:hint="default" w:ascii="Times New Roman" w:hAnsi="Times New Roman" w:eastAsia="仿宋_GB2312" w:cs="Times New Roman"/>
          <w:kern w:val="0"/>
          <w:sz w:val="24"/>
          <w:szCs w:val="22"/>
        </w:rPr>
        <w:t xml:space="preserve">根据《水利部关于进一步深化“放管服”改革全面加强水土保持监督的意见》（水保[2019]160号）、《水利部办公厅关于进一步加强生产建设项目水土保持监测工作的通知》（办水保[2020]161号）等文件要求，项目编制水土保持方案为报告表，可不开展水土保持专项监测，但建设单位应当依法履行水土流失防治责任和义务。 </w:t>
      </w:r>
    </w:p>
    <w:p w14:paraId="546E2F98">
      <w:pPr>
        <w:pStyle w:val="2"/>
        <w:spacing w:before="163" w:after="163"/>
        <w:rPr>
          <w:rFonts w:hint="default" w:ascii="Times New Roman" w:hAnsi="Times New Roman" w:cs="Times New Roman"/>
          <w:color w:val="auto"/>
          <w:highlight w:val="none"/>
        </w:rPr>
        <w:sectPr>
          <w:headerReference r:id="rId30" w:type="default"/>
          <w:headerReference r:id="rId31" w:type="even"/>
          <w:pgSz w:w="11907" w:h="16840"/>
          <w:pgMar w:top="1418" w:right="1418" w:bottom="1418" w:left="1418" w:header="850" w:footer="992" w:gutter="0"/>
          <w:pgBorders>
            <w:top w:val="none" w:sz="0" w:space="0"/>
            <w:left w:val="none" w:sz="0" w:space="0"/>
            <w:bottom w:val="none" w:sz="0" w:space="0"/>
            <w:right w:val="none" w:sz="0" w:space="0"/>
          </w:pgBorders>
          <w:pgNumType w:fmt="decimal"/>
          <w:cols w:space="720" w:num="1"/>
          <w:docGrid w:type="linesAndChars" w:linePitch="326" w:charSpace="0"/>
        </w:sectPr>
      </w:pPr>
    </w:p>
    <w:p w14:paraId="287D6162">
      <w:pPr>
        <w:jc w:val="center"/>
        <w:outlineLvl w:val="0"/>
        <w:rPr>
          <w:rFonts w:hint="default" w:ascii="Times New Roman" w:hAnsi="Times New Roman" w:eastAsia="仿宋_GB2312" w:cs="Times New Roman"/>
          <w:b/>
          <w:color w:val="auto"/>
          <w:sz w:val="30"/>
          <w:szCs w:val="30"/>
          <w:lang w:val="en-US" w:eastAsia="zh-CN"/>
        </w:rPr>
      </w:pPr>
      <w:bookmarkStart w:id="178" w:name="_Toc14876"/>
      <w:r>
        <w:rPr>
          <w:rFonts w:hint="default" w:ascii="Times New Roman" w:hAnsi="Times New Roman" w:eastAsia="仿宋_GB2312" w:cs="Times New Roman"/>
          <w:b/>
          <w:color w:val="auto"/>
          <w:sz w:val="32"/>
          <w:szCs w:val="32"/>
          <w:lang w:val="en-US" w:eastAsia="zh-CN"/>
        </w:rPr>
        <w:t>7 水土保持投资概算及效益分析</w:t>
      </w:r>
      <w:bookmarkEnd w:id="177"/>
      <w:bookmarkEnd w:id="178"/>
    </w:p>
    <w:p w14:paraId="49850E48">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eastAsia="zh-CN"/>
        </w:rPr>
      </w:pPr>
      <w:bookmarkStart w:id="179" w:name="_Toc12482"/>
      <w:bookmarkStart w:id="180" w:name="_Toc23206"/>
      <w:r>
        <w:rPr>
          <w:rFonts w:hint="default" w:ascii="Times New Roman" w:hAnsi="Times New Roman" w:eastAsia="仿宋_GB2312" w:cs="Times New Roman"/>
          <w:b/>
          <w:bCs/>
          <w:color w:val="auto"/>
          <w:szCs w:val="24"/>
          <w:lang w:eastAsia="ar"/>
        </w:rPr>
        <w:t>7.1.</w:t>
      </w:r>
      <w:bookmarkEnd w:id="179"/>
      <w:r>
        <w:rPr>
          <w:rFonts w:hint="default" w:ascii="Times New Roman" w:hAnsi="Times New Roman" w:eastAsia="仿宋_GB2312" w:cs="Times New Roman"/>
          <w:b/>
          <w:bCs/>
          <w:color w:val="auto"/>
          <w:szCs w:val="24"/>
          <w:lang w:eastAsia="zh-CN"/>
        </w:rPr>
        <w:t>投资</w:t>
      </w:r>
      <w:r>
        <w:rPr>
          <w:rFonts w:hint="default" w:ascii="Times New Roman" w:hAnsi="Times New Roman" w:cs="Times New Roman"/>
          <w:b/>
          <w:bCs/>
          <w:color w:val="auto"/>
          <w:szCs w:val="24"/>
          <w:lang w:val="en-US" w:eastAsia="zh-CN"/>
        </w:rPr>
        <w:t>概</w:t>
      </w:r>
      <w:r>
        <w:rPr>
          <w:rFonts w:hint="default" w:ascii="Times New Roman" w:hAnsi="Times New Roman" w:eastAsia="仿宋_GB2312" w:cs="Times New Roman"/>
          <w:b/>
          <w:bCs/>
          <w:color w:val="auto"/>
          <w:szCs w:val="24"/>
          <w:lang w:eastAsia="zh-CN"/>
        </w:rPr>
        <w:t>算</w:t>
      </w:r>
      <w:bookmarkEnd w:id="180"/>
    </w:p>
    <w:p w14:paraId="4BB04E24">
      <w:pPr>
        <w:pStyle w:val="4"/>
        <w:keepNext/>
        <w:keepLines/>
        <w:pageBreakBefore w:val="0"/>
        <w:widowControl/>
        <w:kinsoku/>
        <w:wordWrap/>
        <w:overflowPunct/>
        <w:topLinePunct w:val="0"/>
        <w:autoSpaceDE/>
        <w:autoSpaceDN/>
        <w:bidi w:val="0"/>
        <w:adjustRightInd/>
        <w:snapToGrid/>
        <w:spacing w:after="120" w:afterLines="50"/>
        <w:textAlignment w:val="auto"/>
        <w:outlineLvl w:val="2"/>
        <w:rPr>
          <w:rFonts w:hint="default" w:ascii="Times New Roman" w:hAnsi="Times New Roman" w:eastAsia="仿宋_GB2312" w:cs="Times New Roman"/>
          <w:b/>
          <w:bCs/>
          <w:color w:val="auto"/>
          <w:szCs w:val="24"/>
          <w:lang w:val="en-US" w:eastAsia="zh-CN"/>
        </w:rPr>
      </w:pPr>
      <w:r>
        <w:rPr>
          <w:rFonts w:hint="default" w:ascii="Times New Roman" w:hAnsi="Times New Roman" w:eastAsia="仿宋_GB2312" w:cs="Times New Roman"/>
          <w:b/>
          <w:bCs/>
          <w:color w:val="auto"/>
          <w:szCs w:val="24"/>
          <w:lang w:val="en-US" w:eastAsia="zh-CN"/>
        </w:rPr>
        <w:t>7.1.1编制原则及依据</w:t>
      </w:r>
    </w:p>
    <w:p w14:paraId="60F9A934">
      <w:pPr>
        <w:widowControl/>
        <w:spacing w:line="360" w:lineRule="auto"/>
        <w:ind w:firstLine="480" w:firstLineChars="200"/>
        <w:jc w:val="left"/>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1、编制原则</w:t>
      </w:r>
    </w:p>
    <w:p w14:paraId="3A852853">
      <w:pPr>
        <w:widowControl/>
        <w:spacing w:line="360" w:lineRule="auto"/>
        <w:ind w:firstLine="480" w:firstLineChars="200"/>
        <w:jc w:val="left"/>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（1）投资概算编制的项目划分、费用构成、表格形式等依据水土保持工程概（估）算编制规定编写。</w:t>
      </w:r>
    </w:p>
    <w:p w14:paraId="3B54C72C">
      <w:pPr>
        <w:widowControl/>
        <w:spacing w:line="360" w:lineRule="auto"/>
        <w:ind w:firstLine="480" w:firstLineChars="200"/>
        <w:jc w:val="left"/>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价格水平年、人工单价、主要材料价格、次要材料、植物苗木、草、种子等材料概算单价、施工用水、用电等原价与主体工程保持一致，采用当地地方标准及现行市场价格。用水、用电等概算单价、施工机械台时费及相关的费率等按水土保持工程概（估）算编制规定计算。</w:t>
      </w:r>
    </w:p>
    <w:p w14:paraId="4637A9F2">
      <w:pPr>
        <w:widowControl/>
        <w:spacing w:line="360" w:lineRule="auto"/>
        <w:ind w:firstLine="480" w:firstLineChars="200"/>
        <w:jc w:val="left"/>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（3）概算定额、取费项目及费率与主体工程一致，主体工程定额中没有的工程项目，采用水土保持或相关行业的定额、取费项目及费率。</w:t>
      </w:r>
    </w:p>
    <w:p w14:paraId="0040EF0F">
      <w:pPr>
        <w:widowControl/>
        <w:spacing w:line="360" w:lineRule="auto"/>
        <w:ind w:firstLine="480" w:firstLineChars="200"/>
        <w:jc w:val="left"/>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（4）水土保持工程投资概算价格水平年与主体工程一致，按剑阁县2022年1月价格水平。</w:t>
      </w:r>
    </w:p>
    <w:p w14:paraId="5513FA38">
      <w:pPr>
        <w:widowControl/>
        <w:spacing w:line="360" w:lineRule="auto"/>
        <w:ind w:firstLine="480" w:firstLineChars="200"/>
        <w:jc w:val="left"/>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（5）水土保持补偿费单列，计入总投资。</w:t>
      </w:r>
    </w:p>
    <w:p w14:paraId="52376F01">
      <w:pPr>
        <w:widowControl/>
        <w:spacing w:before="0" w:after="0" w:line="360" w:lineRule="auto"/>
        <w:ind w:firstLine="480" w:firstLineChars="200"/>
        <w:jc w:val="left"/>
        <w:outlineLvl w:val="9"/>
        <w:rPr>
          <w:rFonts w:hint="default" w:ascii="Times New Roman" w:hAnsi="Times New Roman" w:eastAsia="仿宋_GB2312" w:cs="Times New Roman"/>
          <w:b w:val="0"/>
          <w:bCs w:val="0"/>
          <w:color w:val="000000" w:themeColor="text1"/>
          <w:sz w:val="24"/>
          <w:szCs w:val="24"/>
          <w14:textFill>
            <w14:solidFill>
              <w14:schemeClr w14:val="tx1"/>
            </w14:solidFill>
          </w14:textFill>
        </w:rPr>
      </w:pPr>
      <w:r>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仿宋_GB2312" w:cs="Times New Roman"/>
          <w:b w:val="0"/>
          <w:bCs w:val="0"/>
          <w:color w:val="000000" w:themeColor="text1"/>
          <w:sz w:val="24"/>
          <w:szCs w:val="24"/>
          <w14:textFill>
            <w14:solidFill>
              <w14:schemeClr w14:val="tx1"/>
            </w14:solidFill>
          </w14:textFill>
        </w:rPr>
        <w:t>编制依据</w:t>
      </w:r>
    </w:p>
    <w:p w14:paraId="723F7737">
      <w:pPr>
        <w:widowControl/>
        <w:spacing w:line="360" w:lineRule="auto"/>
        <w:ind w:firstLine="480" w:firstLineChars="200"/>
        <w:jc w:val="left"/>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kern w:val="0"/>
          <w:sz w:val="24"/>
          <w:szCs w:val="21"/>
        </w:rPr>
        <w:t>（1）</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eastAsia="zh-CN"/>
        </w:rPr>
        <w:t>水利</w:t>
      </w:r>
      <w:r>
        <w:rPr>
          <w:rFonts w:hint="default" w:ascii="Times New Roman" w:hAnsi="Times New Roman" w:eastAsia="仿宋_GB2312" w:cs="Times New Roman"/>
          <w:color w:val="auto"/>
          <w:sz w:val="24"/>
          <w:szCs w:val="24"/>
        </w:rPr>
        <w:t>工程</w:t>
      </w:r>
      <w:r>
        <w:rPr>
          <w:rFonts w:hint="default" w:ascii="Times New Roman" w:hAnsi="Times New Roman" w:eastAsia="仿宋_GB2312" w:cs="Times New Roman"/>
          <w:color w:val="auto"/>
          <w:sz w:val="24"/>
          <w:szCs w:val="24"/>
          <w:lang w:val="en-US" w:eastAsia="zh-CN"/>
        </w:rPr>
        <w:t>设计</w:t>
      </w:r>
      <w:r>
        <w:rPr>
          <w:rFonts w:hint="default" w:ascii="Times New Roman" w:hAnsi="Times New Roman" w:eastAsia="仿宋_GB2312" w:cs="Times New Roman"/>
          <w:color w:val="auto"/>
          <w:sz w:val="24"/>
          <w:szCs w:val="24"/>
        </w:rPr>
        <w:t>概（估）算编制规定》</w:t>
      </w:r>
      <w:r>
        <w:rPr>
          <w:rFonts w:hint="default" w:ascii="Times New Roman" w:hAnsi="Times New Roman" w:eastAsia="仿宋_GB2312" w:cs="Times New Roman"/>
          <w:color w:val="auto"/>
          <w:sz w:val="24"/>
          <w:szCs w:val="24"/>
          <w:lang w:val="en-US" w:eastAsia="zh-CN"/>
        </w:rPr>
        <w:t>及水利工程系列定额</w:t>
      </w:r>
      <w:r>
        <w:rPr>
          <w:rFonts w:hint="default" w:ascii="Times New Roman" w:hAnsi="Times New Roman" w:eastAsia="仿宋_GB2312" w:cs="Times New Roman"/>
          <w:color w:val="auto"/>
          <w:sz w:val="24"/>
          <w:szCs w:val="24"/>
        </w:rPr>
        <w:t>（水总〔20</w:t>
      </w:r>
      <w:r>
        <w:rPr>
          <w:rFonts w:hint="default" w:ascii="Times New Roman" w:hAnsi="Times New Roman" w:eastAsia="仿宋_GB2312" w:cs="Times New Roman"/>
          <w:color w:val="auto"/>
          <w:sz w:val="24"/>
          <w:szCs w:val="24"/>
          <w:lang w:val="en-US" w:eastAsia="zh-CN"/>
        </w:rPr>
        <w:t>24</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eastAsia="zh-CN"/>
        </w:rPr>
        <w:t>323</w:t>
      </w:r>
      <w:r>
        <w:rPr>
          <w:rFonts w:hint="default" w:ascii="Times New Roman" w:hAnsi="Times New Roman" w:eastAsia="仿宋_GB2312" w:cs="Times New Roman"/>
          <w:color w:val="auto"/>
          <w:sz w:val="24"/>
          <w:szCs w:val="24"/>
        </w:rPr>
        <w:t>号）</w:t>
      </w:r>
      <w:r>
        <w:rPr>
          <w:rFonts w:hint="default" w:ascii="Times New Roman" w:hAnsi="Times New Roman" w:eastAsia="仿宋_GB2312" w:cs="Times New Roman"/>
          <w:color w:val="auto"/>
          <w:sz w:val="24"/>
          <w:szCs w:val="24"/>
          <w:lang w:eastAsia="zh-CN"/>
        </w:rPr>
        <w:t>；</w:t>
      </w:r>
    </w:p>
    <w:p w14:paraId="06879D4A">
      <w:pPr>
        <w:widowControl/>
        <w:spacing w:line="360" w:lineRule="auto"/>
        <w:ind w:firstLine="480" w:firstLineChars="200"/>
        <w:jc w:val="left"/>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kern w:val="0"/>
          <w:sz w:val="24"/>
          <w:szCs w:val="21"/>
        </w:rPr>
        <w:t>（</w:t>
      </w:r>
      <w:r>
        <w:rPr>
          <w:rFonts w:hint="default" w:ascii="Times New Roman" w:hAnsi="Times New Roman" w:eastAsia="仿宋_GB2312" w:cs="Times New Roman"/>
          <w:color w:val="auto"/>
          <w:kern w:val="0"/>
          <w:sz w:val="24"/>
          <w:szCs w:val="21"/>
          <w:lang w:val="en-US" w:eastAsia="zh-CN"/>
        </w:rPr>
        <w:t>2</w:t>
      </w:r>
      <w:r>
        <w:rPr>
          <w:rFonts w:hint="default" w:ascii="Times New Roman" w:hAnsi="Times New Roman" w:eastAsia="仿宋_GB2312" w:cs="Times New Roman"/>
          <w:color w:val="auto"/>
          <w:kern w:val="0"/>
          <w:sz w:val="24"/>
          <w:szCs w:val="21"/>
        </w:rPr>
        <w:t>）</w:t>
      </w:r>
      <w:r>
        <w:rPr>
          <w:rFonts w:hint="default" w:ascii="Times New Roman" w:hAnsi="Times New Roman" w:eastAsia="仿宋_GB2312" w:cs="Times New Roman"/>
          <w:color w:val="auto"/>
          <w:sz w:val="24"/>
          <w:szCs w:val="24"/>
        </w:rPr>
        <w:t>四川省财政厅、四川省发展和改革委员会、四川省水利厅、中国人民银行成都分行关于印发&lt;四川省水土保持补偿征收使用管理实施办法）&gt;的通知（川财综〔2014〕6号）</w:t>
      </w:r>
      <w:r>
        <w:rPr>
          <w:rFonts w:hint="default" w:ascii="Times New Roman" w:hAnsi="Times New Roman" w:eastAsia="仿宋_GB2312" w:cs="Times New Roman"/>
          <w:color w:val="auto"/>
          <w:sz w:val="24"/>
          <w:szCs w:val="24"/>
          <w:lang w:eastAsia="zh-CN"/>
        </w:rPr>
        <w:t>；</w:t>
      </w:r>
    </w:p>
    <w:p w14:paraId="0F2CCDA9">
      <w:pPr>
        <w:widowControl/>
        <w:spacing w:line="360" w:lineRule="auto"/>
        <w:ind w:firstLine="480" w:firstLineChars="20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1"/>
        </w:rPr>
        <w:t>（</w:t>
      </w:r>
      <w:r>
        <w:rPr>
          <w:rFonts w:hint="default" w:ascii="Times New Roman" w:hAnsi="Times New Roman" w:eastAsia="仿宋_GB2312" w:cs="Times New Roman"/>
          <w:color w:val="auto"/>
          <w:kern w:val="0"/>
          <w:sz w:val="24"/>
          <w:szCs w:val="21"/>
          <w:lang w:val="en-US" w:eastAsia="zh-CN"/>
        </w:rPr>
        <w:t>3</w:t>
      </w:r>
      <w:r>
        <w:rPr>
          <w:rFonts w:hint="default" w:ascii="Times New Roman" w:hAnsi="Times New Roman" w:eastAsia="仿宋_GB2312" w:cs="Times New Roman"/>
          <w:color w:val="auto"/>
          <w:kern w:val="0"/>
          <w:sz w:val="24"/>
          <w:szCs w:val="21"/>
        </w:rPr>
        <w:t>）</w:t>
      </w:r>
      <w:r>
        <w:rPr>
          <w:rFonts w:hint="default" w:ascii="Times New Roman" w:hAnsi="Times New Roman" w:eastAsia="仿宋_GB2312" w:cs="Times New Roman"/>
          <w:color w:val="auto"/>
          <w:sz w:val="24"/>
          <w:szCs w:val="24"/>
        </w:rPr>
        <w:t>四川省发展和改革委员会、四川省财政厅《关于制定水土保持补偿收费标准的通知》（川发改价格〔2017〕347号）；</w:t>
      </w:r>
    </w:p>
    <w:p w14:paraId="7EEC6F6B">
      <w:pPr>
        <w:widowControl/>
        <w:spacing w:line="360" w:lineRule="auto"/>
        <w:ind w:firstLine="480" w:firstLineChars="200"/>
        <w:jc w:val="left"/>
        <w:rPr>
          <w:rFonts w:hint="default" w:ascii="Times New Roman" w:hAnsi="Times New Roman" w:eastAsia="仿宋_GB2312" w:cs="Times New Roman"/>
          <w:color w:val="auto"/>
          <w:sz w:val="24"/>
          <w:szCs w:val="24"/>
          <w:lang w:val="zh-CN"/>
        </w:rPr>
      </w:pPr>
      <w:r>
        <w:rPr>
          <w:rFonts w:hint="default" w:ascii="Times New Roman" w:hAnsi="Times New Roman" w:eastAsia="仿宋_GB2312" w:cs="Times New Roman"/>
          <w:color w:val="auto"/>
          <w:kern w:val="0"/>
          <w:sz w:val="24"/>
          <w:szCs w:val="21"/>
        </w:rPr>
        <w:t>（</w:t>
      </w:r>
      <w:r>
        <w:rPr>
          <w:rFonts w:hint="default" w:ascii="Times New Roman" w:hAnsi="Times New Roman" w:eastAsia="仿宋_GB2312" w:cs="Times New Roman"/>
          <w:color w:val="auto"/>
          <w:kern w:val="0"/>
          <w:sz w:val="24"/>
          <w:szCs w:val="21"/>
          <w:lang w:val="en-US" w:eastAsia="zh-CN"/>
        </w:rPr>
        <w:t>4</w:t>
      </w:r>
      <w:r>
        <w:rPr>
          <w:rFonts w:hint="default" w:ascii="Times New Roman" w:hAnsi="Times New Roman" w:eastAsia="仿宋_GB2312" w:cs="Times New Roman"/>
          <w:color w:val="auto"/>
          <w:kern w:val="0"/>
          <w:sz w:val="24"/>
          <w:szCs w:val="21"/>
        </w:rPr>
        <w:t>）</w:t>
      </w:r>
      <w:r>
        <w:rPr>
          <w:rFonts w:hint="default" w:ascii="Times New Roman" w:hAnsi="Times New Roman" w:eastAsia="仿宋_GB2312" w:cs="Times New Roman"/>
          <w:color w:val="auto"/>
          <w:sz w:val="24"/>
          <w:szCs w:val="24"/>
          <w:lang w:val="zh-CN"/>
        </w:rPr>
        <w:t>《</w:t>
      </w:r>
      <w:r>
        <w:rPr>
          <w:rFonts w:hint="default" w:ascii="Times New Roman" w:hAnsi="Times New Roman" w:eastAsia="仿宋_GB2312" w:cs="Times New Roman"/>
          <w:color w:val="auto"/>
          <w:sz w:val="24"/>
          <w:szCs w:val="24"/>
        </w:rPr>
        <w:t>国务院关于第一批清理规范89项国务院部门行政审批中介机构服务事项的决定</w:t>
      </w:r>
      <w:r>
        <w:rPr>
          <w:rFonts w:hint="default" w:ascii="Times New Roman" w:hAnsi="Times New Roman" w:eastAsia="仿宋_GB2312" w:cs="Times New Roman"/>
          <w:color w:val="auto"/>
          <w:sz w:val="24"/>
          <w:szCs w:val="24"/>
          <w:lang w:val="zh-CN"/>
        </w:rPr>
        <w:t>》（国发〔20</w:t>
      </w:r>
      <w:r>
        <w:rPr>
          <w:rFonts w:hint="default" w:ascii="Times New Roman" w:hAnsi="Times New Roman" w:eastAsia="仿宋_GB2312" w:cs="Times New Roman"/>
          <w:color w:val="auto"/>
          <w:sz w:val="24"/>
          <w:szCs w:val="24"/>
        </w:rPr>
        <w:t>15</w:t>
      </w:r>
      <w:r>
        <w:rPr>
          <w:rFonts w:hint="default" w:ascii="Times New Roman" w:hAnsi="Times New Roman" w:eastAsia="仿宋_GB2312" w:cs="Times New Roman"/>
          <w:color w:val="auto"/>
          <w:sz w:val="24"/>
          <w:szCs w:val="24"/>
          <w:lang w:val="zh-CN"/>
        </w:rPr>
        <w:t>〕</w:t>
      </w:r>
      <w:r>
        <w:rPr>
          <w:rFonts w:hint="default" w:ascii="Times New Roman" w:hAnsi="Times New Roman" w:eastAsia="仿宋_GB2312" w:cs="Times New Roman"/>
          <w:color w:val="auto"/>
          <w:sz w:val="24"/>
          <w:szCs w:val="24"/>
        </w:rPr>
        <w:t>58</w:t>
      </w:r>
      <w:r>
        <w:rPr>
          <w:rFonts w:hint="default" w:ascii="Times New Roman" w:hAnsi="Times New Roman" w:eastAsia="仿宋_GB2312" w:cs="Times New Roman"/>
          <w:color w:val="auto"/>
          <w:sz w:val="24"/>
          <w:szCs w:val="24"/>
          <w:lang w:val="zh-CN"/>
        </w:rPr>
        <w:t>号）；</w:t>
      </w:r>
    </w:p>
    <w:p w14:paraId="7CA7C079">
      <w:pPr>
        <w:widowControl/>
        <w:spacing w:line="360" w:lineRule="auto"/>
        <w:ind w:firstLine="480" w:firstLineChars="20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1"/>
        </w:rPr>
        <w:t>（</w:t>
      </w:r>
      <w:r>
        <w:rPr>
          <w:rFonts w:hint="default" w:ascii="Times New Roman" w:hAnsi="Times New Roman" w:eastAsia="仿宋_GB2312" w:cs="Times New Roman"/>
          <w:color w:val="auto"/>
          <w:kern w:val="0"/>
          <w:sz w:val="24"/>
          <w:szCs w:val="21"/>
          <w:lang w:val="en-US" w:eastAsia="zh-CN"/>
        </w:rPr>
        <w:t>5</w:t>
      </w:r>
      <w:r>
        <w:rPr>
          <w:rFonts w:hint="default" w:ascii="Times New Roman" w:hAnsi="Times New Roman" w:eastAsia="仿宋_GB2312" w:cs="Times New Roman"/>
          <w:color w:val="auto"/>
          <w:kern w:val="0"/>
          <w:sz w:val="24"/>
          <w:szCs w:val="21"/>
        </w:rPr>
        <w:t>）</w:t>
      </w:r>
      <w:r>
        <w:rPr>
          <w:rFonts w:hint="default" w:ascii="Times New Roman" w:hAnsi="Times New Roman" w:eastAsia="仿宋_GB2312" w:cs="Times New Roman"/>
          <w:color w:val="auto"/>
          <w:sz w:val="24"/>
          <w:szCs w:val="24"/>
        </w:rPr>
        <w:t>《国家发展改革委关于进一步放开建设项目专业服务价格的通知》（国家发展和改革委员会，发改价格〔2015〕299号）；</w:t>
      </w:r>
    </w:p>
    <w:p w14:paraId="387B66B0">
      <w:pPr>
        <w:keepNext w:val="0"/>
        <w:keepLines w:val="0"/>
        <w:pageBreakBefore w:val="0"/>
        <w:widowControl w:val="0"/>
        <w:tabs>
          <w:tab w:val="left" w:pos="84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1"/>
        </w:rPr>
        <w:t>（</w:t>
      </w:r>
      <w:r>
        <w:rPr>
          <w:rFonts w:hint="default" w:ascii="Times New Roman" w:hAnsi="Times New Roman" w:eastAsia="仿宋_GB2312" w:cs="Times New Roman"/>
          <w:color w:val="auto"/>
          <w:kern w:val="0"/>
          <w:sz w:val="24"/>
          <w:szCs w:val="21"/>
          <w:lang w:val="en-US" w:eastAsia="zh-CN"/>
        </w:rPr>
        <w:t>6</w:t>
      </w:r>
      <w:r>
        <w:rPr>
          <w:rFonts w:hint="default" w:ascii="Times New Roman" w:hAnsi="Times New Roman" w:eastAsia="仿宋_GB2312" w:cs="Times New Roman"/>
          <w:color w:val="auto"/>
          <w:kern w:val="0"/>
          <w:sz w:val="24"/>
          <w:szCs w:val="21"/>
        </w:rPr>
        <w:t>）</w:t>
      </w:r>
      <w:r>
        <w:rPr>
          <w:rFonts w:hint="default" w:ascii="Times New Roman" w:hAnsi="Times New Roman" w:eastAsia="仿宋_GB2312" w:cs="Times New Roman"/>
          <w:color w:val="auto"/>
          <w:sz w:val="24"/>
          <w:szCs w:val="24"/>
        </w:rPr>
        <w:t>四川省水利厅关于印发《增值税率调整后&lt;四川省水利水电工程概（估）算编制规定及定额&gt;相应调整办法》的通知（川水函〔2019〕610号）。</w:t>
      </w:r>
    </w:p>
    <w:p w14:paraId="665496F4">
      <w:pPr>
        <w:tabs>
          <w:tab w:val="left" w:pos="840"/>
        </w:tabs>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w:t>
      </w:r>
      <w:r>
        <w:rPr>
          <w:rFonts w:hint="default" w:ascii="Times New Roman" w:hAnsi="Times New Roman" w:eastAsia="仿宋_GB2312" w:cs="Times New Roman"/>
          <w:color w:val="auto"/>
          <w:kern w:val="0"/>
          <w:sz w:val="24"/>
          <w:szCs w:val="24"/>
          <w:lang w:val="en-US" w:eastAsia="zh-CN"/>
        </w:rPr>
        <w:t>7</w:t>
      </w:r>
      <w:r>
        <w:rPr>
          <w:rFonts w:hint="default" w:ascii="Times New Roman" w:hAnsi="Times New Roman" w:eastAsia="仿宋_GB2312" w:cs="Times New Roman"/>
          <w:color w:val="auto"/>
          <w:kern w:val="0"/>
          <w:sz w:val="24"/>
          <w:szCs w:val="24"/>
        </w:rPr>
        <w:t>）</w:t>
      </w:r>
      <w:r>
        <w:rPr>
          <w:rFonts w:hint="default" w:ascii="Times New Roman" w:hAnsi="Times New Roman" w:eastAsia="仿宋_GB2312" w:cs="Times New Roman"/>
          <w:color w:val="auto"/>
          <w:sz w:val="24"/>
          <w:szCs w:val="24"/>
        </w:rPr>
        <w:t>《财政部关于水土保持补偿费等四项非税收入划转税务部门征收的通知》</w:t>
      </w:r>
      <w:r>
        <w:rPr>
          <w:rFonts w:hint="default" w:ascii="Times New Roman" w:hAnsi="Times New Roman" w:eastAsia="仿宋_GB2312" w:cs="Times New Roman"/>
          <w:color w:val="auto"/>
          <w:sz w:val="24"/>
          <w:szCs w:val="24"/>
          <w:lang w:val="en-US" w:eastAsia="zh-CN"/>
        </w:rPr>
        <w:t>财税</w:t>
      </w:r>
      <w:r>
        <w:rPr>
          <w:rFonts w:hint="default" w:ascii="Times New Roman" w:hAnsi="Times New Roman" w:eastAsia="仿宋_GB2312" w:cs="Times New Roman"/>
          <w:color w:val="auto"/>
          <w:sz w:val="24"/>
          <w:szCs w:val="24"/>
        </w:rPr>
        <w:t>〔2020〕</w:t>
      </w:r>
      <w:r>
        <w:rPr>
          <w:rFonts w:hint="default" w:ascii="Times New Roman" w:hAnsi="Times New Roman" w:eastAsia="仿宋_GB2312" w:cs="Times New Roman"/>
          <w:color w:val="auto"/>
          <w:sz w:val="24"/>
          <w:szCs w:val="24"/>
          <w:lang w:val="en-US" w:eastAsia="zh-CN"/>
        </w:rPr>
        <w:t>58</w:t>
      </w:r>
      <w:r>
        <w:rPr>
          <w:rFonts w:hint="default" w:ascii="Times New Roman" w:hAnsi="Times New Roman" w:eastAsia="仿宋_GB2312" w:cs="Times New Roman"/>
          <w:color w:val="auto"/>
          <w:sz w:val="24"/>
          <w:szCs w:val="24"/>
        </w:rPr>
        <w:t>号。</w:t>
      </w:r>
    </w:p>
    <w:p w14:paraId="63D0EB16">
      <w:pPr>
        <w:pStyle w:val="4"/>
        <w:spacing w:before="0" w:after="0" w:line="360" w:lineRule="auto"/>
        <w:rPr>
          <w:rFonts w:hint="default" w:ascii="Times New Roman" w:hAnsi="Times New Roman" w:cs="Times New Roman"/>
          <w:b/>
          <w:bCs/>
          <w:color w:val="auto"/>
          <w:sz w:val="28"/>
          <w:szCs w:val="28"/>
          <w:lang w:val="en-US" w:eastAsia="zh-CN"/>
        </w:rPr>
      </w:pPr>
      <w:r>
        <w:rPr>
          <w:rFonts w:hint="default" w:ascii="Times New Roman" w:hAnsi="Times New Roman" w:eastAsia="仿宋_GB2312" w:cs="Times New Roman"/>
          <w:b/>
          <w:bCs/>
          <w:color w:val="auto"/>
          <w:sz w:val="28"/>
          <w:szCs w:val="28"/>
        </w:rPr>
        <w:t>7.1.2</w:t>
      </w:r>
      <w:r>
        <w:rPr>
          <w:rFonts w:hint="default" w:ascii="Times New Roman" w:hAnsi="Times New Roman" w:cs="Times New Roman"/>
          <w:b/>
          <w:bCs/>
          <w:color w:val="auto"/>
          <w:sz w:val="28"/>
          <w:szCs w:val="28"/>
          <w:lang w:val="en-US" w:eastAsia="zh-CN"/>
        </w:rPr>
        <w:t>编制说明与概算成果</w:t>
      </w:r>
    </w:p>
    <w:p w14:paraId="6E69D3C4">
      <w:pPr>
        <w:pStyle w:val="5"/>
        <w:spacing w:before="0" w:after="0" w:line="360" w:lineRule="auto"/>
        <w:outlineLvl w:val="3"/>
        <w:rPr>
          <w:rFonts w:hint="default" w:ascii="Times New Roman" w:hAnsi="Times New Roman" w:eastAsia="仿宋_GB2312" w:cs="Times New Roman"/>
          <w:b/>
          <w:bCs/>
          <w:color w:val="auto"/>
          <w:kern w:val="2"/>
          <w:sz w:val="24"/>
          <w:szCs w:val="24"/>
          <w:lang w:val="en-US" w:eastAsia="zh-CN" w:bidi="ar-SA"/>
        </w:rPr>
      </w:pPr>
      <w:r>
        <w:rPr>
          <w:rFonts w:hint="default" w:ascii="Times New Roman" w:hAnsi="Times New Roman" w:eastAsia="仿宋_GB2312" w:cs="Times New Roman"/>
          <w:b/>
          <w:bCs/>
          <w:color w:val="auto"/>
          <w:kern w:val="2"/>
          <w:sz w:val="24"/>
          <w:szCs w:val="24"/>
          <w:lang w:val="en-US" w:eastAsia="zh-CN" w:bidi="ar-SA"/>
        </w:rPr>
        <w:t>7.1.2.1编制说明</w:t>
      </w:r>
    </w:p>
    <w:p w14:paraId="5EDDC219">
      <w:pPr>
        <w:numPr>
          <w:ilvl w:val="0"/>
          <w:numId w:val="0"/>
        </w:numPr>
        <w:spacing w:before="0" w:after="0" w:line="360" w:lineRule="auto"/>
        <w:ind w:firstLine="480" w:firstLineChars="200"/>
        <w:outlineLvl w:val="9"/>
        <w:rPr>
          <w:rFonts w:hint="default" w:ascii="Times New Roman" w:hAnsi="Times New Roman" w:eastAsia="仿宋_GB2312" w:cs="Times New Roman"/>
          <w:bCs w:val="0"/>
          <w:color w:val="auto"/>
          <w:kern w:val="2"/>
          <w:sz w:val="24"/>
          <w:szCs w:val="24"/>
          <w:lang w:val="en-US" w:eastAsia="zh-CN" w:bidi="ar-SA"/>
        </w:rPr>
      </w:pPr>
      <w:r>
        <w:rPr>
          <w:rFonts w:hint="default" w:ascii="Times New Roman" w:hAnsi="Times New Roman" w:cs="Times New Roman"/>
          <w:bCs w:val="0"/>
          <w:color w:val="auto"/>
          <w:kern w:val="2"/>
          <w:sz w:val="24"/>
          <w:szCs w:val="24"/>
          <w:lang w:val="en-US" w:eastAsia="zh-CN" w:bidi="ar-SA"/>
        </w:rPr>
        <w:t>1、</w:t>
      </w:r>
      <w:r>
        <w:rPr>
          <w:rFonts w:hint="default" w:ascii="Times New Roman" w:hAnsi="Times New Roman" w:eastAsia="仿宋_GB2312" w:cs="Times New Roman"/>
          <w:bCs w:val="0"/>
          <w:color w:val="auto"/>
          <w:kern w:val="2"/>
          <w:sz w:val="24"/>
          <w:szCs w:val="24"/>
          <w:lang w:val="en-US" w:eastAsia="zh-CN" w:bidi="ar-SA"/>
        </w:rPr>
        <w:t>概算组成</w:t>
      </w:r>
    </w:p>
    <w:p w14:paraId="682385E1">
      <w:pPr>
        <w:keepNext w:val="0"/>
        <w:keepLines w:val="0"/>
        <w:pageBreakBefore w:val="0"/>
        <w:widowControl w:val="0"/>
        <w:tabs>
          <w:tab w:val="left" w:pos="84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投资</w:t>
      </w:r>
      <w:r>
        <w:rPr>
          <w:rFonts w:hint="default" w:ascii="Times New Roman" w:hAnsi="Times New Roman" w:eastAsia="仿宋_GB2312" w:cs="Times New Roman"/>
          <w:color w:val="auto"/>
          <w:sz w:val="24"/>
          <w:szCs w:val="24"/>
        </w:rPr>
        <w:t>概算由工程措施费、植物措施费、监测措施费、施工临时工程费、独立费用</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预备费、水土保持补偿费构成</w:t>
      </w:r>
      <w:r>
        <w:rPr>
          <w:rFonts w:hint="default" w:ascii="Times New Roman" w:hAnsi="Times New Roman" w:eastAsia="仿宋_GB2312" w:cs="Times New Roman"/>
          <w:color w:val="auto"/>
          <w:sz w:val="24"/>
          <w:szCs w:val="24"/>
          <w:lang w:eastAsia="zh-CN"/>
        </w:rPr>
        <w:t>。</w:t>
      </w:r>
    </w:p>
    <w:p w14:paraId="719D9BA5">
      <w:pPr>
        <w:keepNext w:val="0"/>
        <w:keepLines w:val="0"/>
        <w:pageBreakBefore w:val="0"/>
        <w:widowControl w:val="0"/>
        <w:tabs>
          <w:tab w:val="left" w:pos="84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2、基础单价</w:t>
      </w:r>
    </w:p>
    <w:p w14:paraId="61176E19">
      <w:pPr>
        <w:keepNext w:val="0"/>
        <w:keepLines w:val="0"/>
        <w:pageBreakBefore w:val="0"/>
        <w:widowControl w:val="0"/>
        <w:tabs>
          <w:tab w:val="left" w:pos="84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（1）人工概算单价：人工单价与主体工程一致，按一般地区执行，采用6.38元/工时计算。</w:t>
      </w:r>
    </w:p>
    <w:p w14:paraId="53DED7B3">
      <w:pPr>
        <w:keepNext w:val="0"/>
        <w:keepLines w:val="0"/>
        <w:pageBreakBefore w:val="0"/>
        <w:widowControl w:val="0"/>
        <w:tabs>
          <w:tab w:val="left" w:pos="84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（2）材料概算价格：主要材料价格采用主体工程价格，参考四川省材料价格信息上报及发布系统公布的2022年1月工程造价信息，本方案建筑材料概算单价采用主体工程单价，植物措施单价采用当地苗圃价格。</w:t>
      </w:r>
      <w:r>
        <w:rPr>
          <w:rFonts w:hint="default" w:ascii="Times New Roman" w:hAnsi="Times New Roman" w:eastAsia="仿宋_GB2312" w:cs="Times New Roman"/>
          <w:color w:val="auto"/>
          <w:sz w:val="24"/>
          <w:szCs w:val="24"/>
          <w:lang w:eastAsia="zh-CN"/>
        </w:rPr>
        <w:t>根据</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eastAsia="zh-CN"/>
        </w:rPr>
        <w:t>水利</w:t>
      </w:r>
      <w:r>
        <w:rPr>
          <w:rFonts w:hint="default" w:ascii="Times New Roman" w:hAnsi="Times New Roman" w:eastAsia="仿宋_GB2312" w:cs="Times New Roman"/>
          <w:color w:val="auto"/>
          <w:sz w:val="24"/>
          <w:szCs w:val="24"/>
        </w:rPr>
        <w:t>工程</w:t>
      </w:r>
      <w:r>
        <w:rPr>
          <w:rFonts w:hint="default" w:ascii="Times New Roman" w:hAnsi="Times New Roman" w:eastAsia="仿宋_GB2312" w:cs="Times New Roman"/>
          <w:color w:val="auto"/>
          <w:sz w:val="24"/>
          <w:szCs w:val="24"/>
          <w:lang w:val="en-US" w:eastAsia="zh-CN"/>
        </w:rPr>
        <w:t>设计</w:t>
      </w:r>
      <w:r>
        <w:rPr>
          <w:rFonts w:hint="default" w:ascii="Times New Roman" w:hAnsi="Times New Roman" w:eastAsia="仿宋_GB2312" w:cs="Times New Roman"/>
          <w:color w:val="auto"/>
          <w:sz w:val="24"/>
          <w:szCs w:val="24"/>
        </w:rPr>
        <w:t>概（估）算编制规定》</w:t>
      </w:r>
      <w:r>
        <w:rPr>
          <w:rFonts w:hint="default" w:ascii="Times New Roman" w:hAnsi="Times New Roman" w:eastAsia="仿宋_GB2312" w:cs="Times New Roman"/>
          <w:color w:val="auto"/>
          <w:sz w:val="24"/>
          <w:szCs w:val="24"/>
          <w:lang w:val="en-US" w:eastAsia="zh-CN"/>
        </w:rPr>
        <w:t>及水利工程系列定额</w:t>
      </w:r>
      <w:r>
        <w:rPr>
          <w:rFonts w:hint="default" w:ascii="Times New Roman" w:hAnsi="Times New Roman" w:eastAsia="仿宋_GB2312" w:cs="Times New Roman"/>
          <w:color w:val="auto"/>
          <w:sz w:val="24"/>
          <w:szCs w:val="24"/>
        </w:rPr>
        <w:t>（水总〔20</w:t>
      </w:r>
      <w:r>
        <w:rPr>
          <w:rFonts w:hint="default" w:ascii="Times New Roman" w:hAnsi="Times New Roman" w:eastAsia="仿宋_GB2312" w:cs="Times New Roman"/>
          <w:color w:val="auto"/>
          <w:sz w:val="24"/>
          <w:szCs w:val="24"/>
          <w:lang w:val="en-US" w:eastAsia="zh-CN"/>
        </w:rPr>
        <w:t>24</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eastAsia="zh-CN"/>
        </w:rPr>
        <w:t>323</w:t>
      </w:r>
      <w:r>
        <w:rPr>
          <w:rFonts w:hint="default" w:ascii="Times New Roman" w:hAnsi="Times New Roman" w:eastAsia="仿宋_GB2312" w:cs="Times New Roman"/>
          <w:color w:val="auto"/>
          <w:sz w:val="24"/>
          <w:szCs w:val="24"/>
        </w:rPr>
        <w:t>号）</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同时结合项目建设情况，主要材料采购及保管费费率取2.3%，苗木、草、种子采购及保管费费率取1.1%。</w:t>
      </w:r>
    </w:p>
    <w:p w14:paraId="17582632">
      <w:pPr>
        <w:keepNext w:val="0"/>
        <w:keepLines w:val="0"/>
        <w:pageBreakBefore w:val="0"/>
        <w:widowControl w:val="0"/>
        <w:tabs>
          <w:tab w:val="left" w:pos="84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（3）施工机械台时费：与主体工程一致，不足部分参照《水利工程施工机械台时费定额》。</w:t>
      </w:r>
    </w:p>
    <w:p w14:paraId="1B6DC765">
      <w:pPr>
        <w:spacing w:line="360" w:lineRule="auto"/>
        <w:ind w:firstLine="480" w:firstLineChars="200"/>
        <w:jc w:val="both"/>
        <w:rPr>
          <w:rFonts w:hint="default" w:ascii="Times New Roman" w:hAnsi="Times New Roman" w:eastAsia="仿宋_GB2312" w:cs="Times New Roman"/>
          <w:color w:val="auto"/>
          <w:sz w:val="24"/>
          <w:szCs w:val="24"/>
          <w:lang w:val="en-US" w:eastAsia="zh-CN"/>
        </w:rPr>
      </w:pPr>
      <w:bookmarkStart w:id="181" w:name="_Toc325557660"/>
      <w:bookmarkStart w:id="182" w:name="_Toc309652207"/>
      <w:r>
        <w:rPr>
          <w:rFonts w:hint="default" w:ascii="Times New Roman" w:hAnsi="Times New Roman" w:eastAsia="仿宋_GB2312" w:cs="Times New Roman"/>
          <w:color w:val="auto"/>
          <w:sz w:val="24"/>
          <w:szCs w:val="24"/>
          <w:lang w:val="en-US" w:eastAsia="zh-CN"/>
        </w:rPr>
        <w:t>3、工程措施、植物措施、临时措施单价编制</w:t>
      </w:r>
    </w:p>
    <w:p w14:paraId="59E0FD6C">
      <w:pPr>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本工程工程措施单价、植物措施</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临时措施</w:t>
      </w:r>
      <w:r>
        <w:rPr>
          <w:rFonts w:hint="default" w:ascii="Times New Roman" w:hAnsi="Times New Roman" w:eastAsia="仿宋_GB2312" w:cs="Times New Roman"/>
          <w:color w:val="auto"/>
          <w:sz w:val="24"/>
          <w:szCs w:val="24"/>
        </w:rPr>
        <w:t>单价由直接费、间接费、利润、税金、扩大系数组成。</w:t>
      </w:r>
    </w:p>
    <w:p w14:paraId="77686C47">
      <w:pPr>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直接费</w:t>
      </w:r>
    </w:p>
    <w:p w14:paraId="3D7D82AB">
      <w:pPr>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直接费由基本直接费、其他直接费组成。</w:t>
      </w:r>
    </w:p>
    <w:p w14:paraId="4471A286">
      <w:pPr>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rPr>
        <w:t>基本直接费</w:t>
      </w:r>
    </w:p>
    <w:p w14:paraId="4C96FE44">
      <w:pPr>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包括人工费、材料费和施工机械使用费。</w:t>
      </w:r>
    </w:p>
    <w:p w14:paraId="07E7536D">
      <w:pPr>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人工费=定额劳动量（工时）×人工预算单价（元/工时）</w:t>
      </w:r>
      <w:r>
        <w:rPr>
          <w:rFonts w:hint="default" w:ascii="Times New Roman" w:hAnsi="Times New Roman" w:eastAsia="仿宋_GB2312" w:cs="Times New Roman"/>
          <w:color w:val="auto"/>
          <w:sz w:val="24"/>
          <w:szCs w:val="24"/>
          <w:lang w:eastAsia="zh-CN"/>
        </w:rPr>
        <w:t>。</w:t>
      </w:r>
    </w:p>
    <w:p w14:paraId="14D8A610">
      <w:pPr>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材料费=定额材料用量×材料</w:t>
      </w:r>
      <w:r>
        <w:rPr>
          <w:rFonts w:hint="default" w:ascii="Times New Roman" w:hAnsi="Times New Roman" w:eastAsia="仿宋_GB2312" w:cs="Times New Roman"/>
          <w:color w:val="auto"/>
          <w:sz w:val="24"/>
          <w:szCs w:val="24"/>
          <w:lang w:val="en-US" w:eastAsia="zh-CN"/>
        </w:rPr>
        <w:t>概</w:t>
      </w:r>
      <w:r>
        <w:rPr>
          <w:rFonts w:hint="default" w:ascii="Times New Roman" w:hAnsi="Times New Roman" w:eastAsia="仿宋_GB2312" w:cs="Times New Roman"/>
          <w:color w:val="auto"/>
          <w:sz w:val="24"/>
          <w:szCs w:val="24"/>
        </w:rPr>
        <w:t>算单价</w:t>
      </w:r>
      <w:r>
        <w:rPr>
          <w:rFonts w:hint="default" w:ascii="Times New Roman" w:hAnsi="Times New Roman" w:eastAsia="仿宋_GB2312" w:cs="Times New Roman"/>
          <w:color w:val="auto"/>
          <w:sz w:val="24"/>
          <w:szCs w:val="24"/>
          <w:lang w:eastAsia="zh-CN"/>
        </w:rPr>
        <w:t>。</w:t>
      </w:r>
    </w:p>
    <w:p w14:paraId="2EEA5D25">
      <w:pPr>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机械使用费=定额机械使用量</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台时</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×施工机械台时费（元/台时）</w:t>
      </w:r>
      <w:r>
        <w:rPr>
          <w:rFonts w:hint="default" w:ascii="Times New Roman" w:hAnsi="Times New Roman" w:eastAsia="仿宋_GB2312" w:cs="Times New Roman"/>
          <w:color w:val="auto"/>
          <w:sz w:val="24"/>
          <w:szCs w:val="24"/>
          <w:lang w:eastAsia="zh-CN"/>
        </w:rPr>
        <w:t>。</w:t>
      </w:r>
    </w:p>
    <w:p w14:paraId="13CD8214">
      <w:pPr>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rPr>
        <w:t>其他直接费</w:t>
      </w:r>
    </w:p>
    <w:p w14:paraId="032FBDDD">
      <w:pPr>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其他直接费=基本直接费×其他直接费率</w:t>
      </w:r>
      <w:r>
        <w:rPr>
          <w:rFonts w:hint="default" w:ascii="Times New Roman" w:hAnsi="Times New Roman" w:eastAsia="仿宋_GB2312" w:cs="Times New Roman"/>
          <w:color w:val="auto"/>
          <w:sz w:val="24"/>
          <w:szCs w:val="24"/>
          <w:lang w:eastAsia="zh-CN"/>
        </w:rPr>
        <w:t>。</w:t>
      </w:r>
    </w:p>
    <w:p w14:paraId="63F21A8A">
      <w:pPr>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间接费</w:t>
      </w:r>
    </w:p>
    <w:p w14:paraId="1AC900F1">
      <w:pPr>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由直接工程费×间接费费率计算</w:t>
      </w:r>
      <w:r>
        <w:rPr>
          <w:rFonts w:hint="default" w:ascii="Times New Roman" w:hAnsi="Times New Roman" w:eastAsia="仿宋_GB2312" w:cs="Times New Roman"/>
          <w:color w:val="auto"/>
          <w:sz w:val="24"/>
          <w:szCs w:val="24"/>
          <w:lang w:eastAsia="zh-CN"/>
        </w:rPr>
        <w:t>。</w:t>
      </w:r>
    </w:p>
    <w:p w14:paraId="2AEB753C">
      <w:pPr>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企业利润</w:t>
      </w:r>
    </w:p>
    <w:p w14:paraId="4D5B788D">
      <w:pPr>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按（直接工程费+间接费）×企业利润率计算</w:t>
      </w:r>
      <w:r>
        <w:rPr>
          <w:rFonts w:hint="default" w:ascii="Times New Roman" w:hAnsi="Times New Roman" w:eastAsia="仿宋_GB2312" w:cs="Times New Roman"/>
          <w:color w:val="auto"/>
          <w:sz w:val="24"/>
          <w:szCs w:val="24"/>
          <w:lang w:eastAsia="zh-CN"/>
        </w:rPr>
        <w:t>。</w:t>
      </w:r>
    </w:p>
    <w:p w14:paraId="744A887F">
      <w:pPr>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4</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税金</w:t>
      </w:r>
    </w:p>
    <w:p w14:paraId="0BF4F111">
      <w:pPr>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按（直接工程费+间接费+企业利润）×综合税率计算，根据川水函〔2019〕610号计取税金</w:t>
      </w:r>
      <w:r>
        <w:rPr>
          <w:rFonts w:hint="default" w:ascii="Times New Roman" w:hAnsi="Times New Roman" w:eastAsia="仿宋_GB2312" w:cs="Times New Roman"/>
          <w:color w:val="auto"/>
          <w:sz w:val="24"/>
          <w:szCs w:val="24"/>
          <w:lang w:eastAsia="zh-CN"/>
        </w:rPr>
        <w:t>。</w:t>
      </w:r>
    </w:p>
    <w:p w14:paraId="3D4D87A4">
      <w:pPr>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5</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扩大</w:t>
      </w:r>
    </w:p>
    <w:p w14:paraId="6388F05B">
      <w:pPr>
        <w:spacing w:line="360" w:lineRule="auto"/>
        <w:ind w:firstLine="720" w:firstLineChars="3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rPr>
        <w:t>按（直接工程费+间接费+企业利润+税金）×扩大系数计算</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本方案为水土保持投资概算，无概算扩大。</w:t>
      </w:r>
    </w:p>
    <w:p w14:paraId="2E6E35AB">
      <w:pPr>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（6）措施单价</w:t>
      </w:r>
    </w:p>
    <w:p w14:paraId="53299B1A">
      <w:pPr>
        <w:spacing w:line="360" w:lineRule="auto"/>
        <w:ind w:firstLine="720" w:firstLineChars="3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rPr>
        <w:t>工程单价=直接工程费+间接费+企业利润+税金+</w:t>
      </w:r>
      <w:r>
        <w:rPr>
          <w:rFonts w:hint="default" w:ascii="Times New Roman" w:hAnsi="Times New Roman" w:eastAsia="仿宋_GB2312" w:cs="Times New Roman"/>
          <w:color w:val="auto"/>
          <w:sz w:val="24"/>
          <w:szCs w:val="24"/>
          <w:lang w:val="en-US" w:eastAsia="zh-CN"/>
        </w:rPr>
        <w:t>概</w:t>
      </w:r>
      <w:r>
        <w:rPr>
          <w:rFonts w:hint="default" w:ascii="Times New Roman" w:hAnsi="Times New Roman" w:eastAsia="仿宋_GB2312" w:cs="Times New Roman"/>
          <w:color w:val="auto"/>
          <w:sz w:val="24"/>
          <w:szCs w:val="24"/>
        </w:rPr>
        <w:t>算扩大</w:t>
      </w:r>
      <w:r>
        <w:rPr>
          <w:rFonts w:hint="default" w:ascii="Times New Roman" w:hAnsi="Times New Roman" w:eastAsia="仿宋_GB2312" w:cs="Times New Roman"/>
          <w:color w:val="auto"/>
          <w:sz w:val="24"/>
          <w:szCs w:val="24"/>
          <w:lang w:eastAsia="zh-CN"/>
        </w:rPr>
        <w:t>。</w:t>
      </w:r>
    </w:p>
    <w:p w14:paraId="4DB9DA70">
      <w:pPr>
        <w:spacing w:line="360" w:lineRule="auto"/>
        <w:ind w:firstLine="720" w:firstLineChars="3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其各项费率见表7.1-</w:t>
      </w:r>
      <w:r>
        <w:rPr>
          <w:rFonts w:hint="default"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rPr>
        <w:t>：</w:t>
      </w:r>
    </w:p>
    <w:p w14:paraId="347D3B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b/>
          <w:bCs/>
          <w:color w:val="auto"/>
          <w:szCs w:val="24"/>
        </w:rPr>
      </w:pPr>
      <w:r>
        <w:rPr>
          <w:rFonts w:hint="default" w:ascii="Times New Roman" w:hAnsi="Times New Roman" w:eastAsia="仿宋_GB2312" w:cs="Times New Roman"/>
          <w:b/>
          <w:bCs/>
          <w:color w:val="auto"/>
          <w:sz w:val="21"/>
        </w:rPr>
        <w:t>表7.1-</w:t>
      </w:r>
      <w:r>
        <w:rPr>
          <w:rFonts w:hint="default" w:ascii="Times New Roman" w:hAnsi="Times New Roman" w:eastAsia="仿宋_GB2312" w:cs="Times New Roman"/>
          <w:b/>
          <w:bCs/>
          <w:color w:val="auto"/>
          <w:sz w:val="21"/>
          <w:lang w:val="en-US" w:eastAsia="zh-CN"/>
        </w:rPr>
        <w:t xml:space="preserve">1  </w:t>
      </w:r>
      <w:r>
        <w:rPr>
          <w:rFonts w:hint="default" w:ascii="Times New Roman" w:hAnsi="Times New Roman" w:eastAsia="仿宋_GB2312" w:cs="Times New Roman"/>
          <w:b/>
          <w:bCs/>
          <w:color w:val="auto"/>
          <w:sz w:val="21"/>
        </w:rPr>
        <w:t>水保定额措施单价费率取费表</w:t>
      </w:r>
    </w:p>
    <w:tbl>
      <w:tblPr>
        <w:tblStyle w:val="18"/>
        <w:tblW w:w="902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85"/>
        <w:gridCol w:w="1140"/>
        <w:gridCol w:w="840"/>
        <w:gridCol w:w="936"/>
        <w:gridCol w:w="1296"/>
        <w:gridCol w:w="1236"/>
        <w:gridCol w:w="1320"/>
        <w:gridCol w:w="984"/>
        <w:gridCol w:w="788"/>
      </w:tblGrid>
      <w:tr w14:paraId="0B165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5" w:type="dxa"/>
            <w:tcBorders>
              <w:tl2br w:val="nil"/>
              <w:tr2bl w:val="nil"/>
            </w:tcBorders>
            <w:noWrap w:val="0"/>
            <w:vAlign w:val="center"/>
          </w:tcPr>
          <w:p w14:paraId="6F7EEB0B">
            <w:pPr>
              <w:widowControl/>
              <w:spacing w:line="240" w:lineRule="auto"/>
              <w:ind w:firstLine="0" w:firstLineChars="0"/>
              <w:jc w:val="center"/>
              <w:rPr>
                <w:rFonts w:hint="default" w:ascii="Times New Roman" w:hAnsi="Times New Roman" w:eastAsia="仿宋_GB2312" w:cs="Times New Roman"/>
                <w:b w:val="0"/>
                <w:bCs w:val="0"/>
                <w:color w:val="auto"/>
                <w:kern w:val="0"/>
                <w:sz w:val="18"/>
                <w:szCs w:val="18"/>
                <w:highlight w:val="none"/>
              </w:rPr>
            </w:pPr>
            <w:r>
              <w:rPr>
                <w:rFonts w:hint="default" w:ascii="Times New Roman" w:hAnsi="Times New Roman" w:eastAsia="仿宋_GB2312" w:cs="Times New Roman"/>
                <w:b w:val="0"/>
                <w:bCs w:val="0"/>
                <w:color w:val="auto"/>
                <w:kern w:val="0"/>
                <w:sz w:val="18"/>
                <w:szCs w:val="18"/>
                <w:highlight w:val="none"/>
              </w:rPr>
              <w:t>序号</w:t>
            </w:r>
          </w:p>
        </w:tc>
        <w:tc>
          <w:tcPr>
            <w:tcW w:w="1140" w:type="dxa"/>
            <w:tcBorders>
              <w:tl2br w:val="nil"/>
              <w:tr2bl w:val="nil"/>
            </w:tcBorders>
            <w:noWrap w:val="0"/>
            <w:vAlign w:val="center"/>
          </w:tcPr>
          <w:p w14:paraId="0C7446CA">
            <w:pPr>
              <w:widowControl/>
              <w:spacing w:line="240" w:lineRule="auto"/>
              <w:ind w:firstLine="0" w:firstLineChars="0"/>
              <w:jc w:val="center"/>
              <w:rPr>
                <w:rFonts w:hint="default" w:ascii="Times New Roman" w:hAnsi="Times New Roman" w:eastAsia="仿宋_GB2312" w:cs="Times New Roman"/>
                <w:b w:val="0"/>
                <w:bCs w:val="0"/>
                <w:color w:val="auto"/>
                <w:kern w:val="0"/>
                <w:sz w:val="18"/>
                <w:szCs w:val="18"/>
                <w:highlight w:val="none"/>
              </w:rPr>
            </w:pPr>
            <w:r>
              <w:rPr>
                <w:rFonts w:hint="default" w:ascii="Times New Roman" w:hAnsi="Times New Roman" w:eastAsia="仿宋_GB2312" w:cs="Times New Roman"/>
                <w:b w:val="0"/>
                <w:bCs w:val="0"/>
                <w:color w:val="auto"/>
                <w:kern w:val="0"/>
                <w:sz w:val="18"/>
                <w:szCs w:val="18"/>
                <w:highlight w:val="none"/>
              </w:rPr>
              <w:t>费率名称</w:t>
            </w:r>
          </w:p>
        </w:tc>
        <w:tc>
          <w:tcPr>
            <w:tcW w:w="840" w:type="dxa"/>
            <w:tcBorders>
              <w:tl2br w:val="nil"/>
              <w:tr2bl w:val="nil"/>
            </w:tcBorders>
            <w:noWrap w:val="0"/>
            <w:vAlign w:val="center"/>
          </w:tcPr>
          <w:p w14:paraId="362F482C">
            <w:pPr>
              <w:widowControl/>
              <w:spacing w:line="240" w:lineRule="auto"/>
              <w:ind w:firstLine="0" w:firstLineChars="0"/>
              <w:jc w:val="center"/>
              <w:rPr>
                <w:rFonts w:hint="default" w:ascii="Times New Roman" w:hAnsi="Times New Roman" w:eastAsia="仿宋_GB2312" w:cs="Times New Roman"/>
                <w:b w:val="0"/>
                <w:bCs w:val="0"/>
                <w:color w:val="auto"/>
                <w:kern w:val="0"/>
                <w:sz w:val="18"/>
                <w:szCs w:val="18"/>
                <w:highlight w:val="none"/>
              </w:rPr>
            </w:pPr>
            <w:r>
              <w:rPr>
                <w:rFonts w:hint="default" w:ascii="Times New Roman" w:hAnsi="Times New Roman" w:eastAsia="仿宋_GB2312" w:cs="Times New Roman"/>
                <w:b w:val="0"/>
                <w:bCs w:val="0"/>
                <w:color w:val="auto"/>
                <w:kern w:val="0"/>
                <w:sz w:val="18"/>
                <w:szCs w:val="18"/>
                <w:highlight w:val="none"/>
              </w:rPr>
              <w:t>土方工程</w:t>
            </w:r>
          </w:p>
        </w:tc>
        <w:tc>
          <w:tcPr>
            <w:tcW w:w="936" w:type="dxa"/>
            <w:tcBorders>
              <w:tl2br w:val="nil"/>
              <w:tr2bl w:val="nil"/>
            </w:tcBorders>
            <w:noWrap w:val="0"/>
            <w:vAlign w:val="center"/>
          </w:tcPr>
          <w:p w14:paraId="71BECCF9">
            <w:pPr>
              <w:widowControl/>
              <w:spacing w:line="240" w:lineRule="auto"/>
              <w:ind w:firstLine="0" w:firstLineChars="0"/>
              <w:jc w:val="center"/>
              <w:rPr>
                <w:rFonts w:hint="default" w:ascii="Times New Roman" w:hAnsi="Times New Roman" w:eastAsia="仿宋_GB2312" w:cs="Times New Roman"/>
                <w:b w:val="0"/>
                <w:bCs w:val="0"/>
                <w:color w:val="auto"/>
                <w:kern w:val="0"/>
                <w:sz w:val="18"/>
                <w:szCs w:val="18"/>
                <w:highlight w:val="none"/>
                <w:lang w:val="en-US" w:eastAsia="zh-CN"/>
              </w:rPr>
            </w:pPr>
            <w:r>
              <w:rPr>
                <w:rFonts w:hint="default" w:ascii="Times New Roman" w:hAnsi="Times New Roman" w:eastAsia="仿宋_GB2312" w:cs="Times New Roman"/>
                <w:b w:val="0"/>
                <w:bCs w:val="0"/>
                <w:color w:val="auto"/>
                <w:kern w:val="0"/>
                <w:sz w:val="18"/>
                <w:szCs w:val="18"/>
                <w:highlight w:val="none"/>
                <w:lang w:val="en-US" w:eastAsia="zh-CN"/>
              </w:rPr>
              <w:t>石方工程</w:t>
            </w:r>
          </w:p>
        </w:tc>
        <w:tc>
          <w:tcPr>
            <w:tcW w:w="1296" w:type="dxa"/>
            <w:tcBorders>
              <w:tl2br w:val="nil"/>
              <w:tr2bl w:val="nil"/>
            </w:tcBorders>
            <w:noWrap w:val="0"/>
            <w:vAlign w:val="center"/>
          </w:tcPr>
          <w:p w14:paraId="783C5AC0">
            <w:pPr>
              <w:widowControl/>
              <w:spacing w:line="240" w:lineRule="auto"/>
              <w:ind w:firstLine="0" w:firstLineChars="0"/>
              <w:jc w:val="center"/>
              <w:rPr>
                <w:rFonts w:hint="default" w:ascii="Times New Roman" w:hAnsi="Times New Roman" w:eastAsia="仿宋_GB2312" w:cs="Times New Roman"/>
                <w:b w:val="0"/>
                <w:bCs w:val="0"/>
                <w:color w:val="auto"/>
                <w:kern w:val="0"/>
                <w:sz w:val="18"/>
                <w:szCs w:val="18"/>
                <w:highlight w:val="none"/>
              </w:rPr>
            </w:pPr>
            <w:r>
              <w:rPr>
                <w:rFonts w:hint="default" w:ascii="Times New Roman" w:hAnsi="Times New Roman" w:eastAsia="仿宋_GB2312" w:cs="Times New Roman"/>
                <w:b w:val="0"/>
                <w:bCs w:val="0"/>
                <w:color w:val="auto"/>
                <w:kern w:val="0"/>
                <w:sz w:val="18"/>
                <w:szCs w:val="18"/>
                <w:highlight w:val="none"/>
                <w:lang w:val="en-US" w:eastAsia="zh-CN"/>
              </w:rPr>
              <w:t>混凝土</w:t>
            </w:r>
            <w:r>
              <w:rPr>
                <w:rFonts w:hint="default" w:ascii="Times New Roman" w:hAnsi="Times New Roman" w:eastAsia="仿宋_GB2312" w:cs="Times New Roman"/>
                <w:b w:val="0"/>
                <w:bCs w:val="0"/>
                <w:color w:val="auto"/>
                <w:kern w:val="0"/>
                <w:sz w:val="18"/>
                <w:szCs w:val="18"/>
                <w:highlight w:val="none"/>
              </w:rPr>
              <w:t>工程</w:t>
            </w:r>
          </w:p>
        </w:tc>
        <w:tc>
          <w:tcPr>
            <w:tcW w:w="1236" w:type="dxa"/>
            <w:tcBorders>
              <w:tl2br w:val="nil"/>
              <w:tr2bl w:val="nil"/>
            </w:tcBorders>
            <w:noWrap w:val="0"/>
            <w:vAlign w:val="center"/>
          </w:tcPr>
          <w:p w14:paraId="7F852DE2">
            <w:pPr>
              <w:widowControl/>
              <w:spacing w:line="240" w:lineRule="auto"/>
              <w:ind w:firstLine="0" w:firstLineChars="0"/>
              <w:jc w:val="center"/>
              <w:rPr>
                <w:rFonts w:hint="default" w:ascii="Times New Roman" w:hAnsi="Times New Roman" w:eastAsia="仿宋_GB2312" w:cs="Times New Roman"/>
                <w:b w:val="0"/>
                <w:bCs w:val="0"/>
                <w:color w:val="auto"/>
                <w:kern w:val="0"/>
                <w:sz w:val="18"/>
                <w:szCs w:val="18"/>
                <w:highlight w:val="none"/>
              </w:rPr>
            </w:pPr>
            <w:r>
              <w:rPr>
                <w:rFonts w:hint="default" w:ascii="Times New Roman" w:hAnsi="Times New Roman" w:eastAsia="仿宋_GB2312" w:cs="Times New Roman"/>
                <w:b w:val="0"/>
                <w:bCs w:val="0"/>
                <w:color w:val="auto"/>
                <w:kern w:val="0"/>
                <w:sz w:val="18"/>
                <w:szCs w:val="18"/>
                <w:highlight w:val="none"/>
                <w:lang w:val="en-US" w:eastAsia="zh-CN"/>
              </w:rPr>
              <w:t>钢筋制安</w:t>
            </w:r>
            <w:r>
              <w:rPr>
                <w:rFonts w:hint="default" w:ascii="Times New Roman" w:hAnsi="Times New Roman" w:eastAsia="仿宋_GB2312" w:cs="Times New Roman"/>
                <w:b w:val="0"/>
                <w:bCs w:val="0"/>
                <w:color w:val="auto"/>
                <w:kern w:val="0"/>
                <w:sz w:val="18"/>
                <w:szCs w:val="18"/>
                <w:highlight w:val="none"/>
              </w:rPr>
              <w:t>工程</w:t>
            </w:r>
          </w:p>
        </w:tc>
        <w:tc>
          <w:tcPr>
            <w:tcW w:w="1320" w:type="dxa"/>
            <w:tcBorders>
              <w:tl2br w:val="nil"/>
              <w:tr2bl w:val="nil"/>
            </w:tcBorders>
            <w:noWrap w:val="0"/>
            <w:vAlign w:val="center"/>
          </w:tcPr>
          <w:p w14:paraId="793B718C">
            <w:pPr>
              <w:widowControl/>
              <w:spacing w:line="240" w:lineRule="auto"/>
              <w:ind w:firstLine="0" w:firstLineChars="0"/>
              <w:jc w:val="center"/>
              <w:rPr>
                <w:rFonts w:hint="default" w:ascii="Times New Roman" w:hAnsi="Times New Roman" w:eastAsia="仿宋_GB2312" w:cs="Times New Roman"/>
                <w:b w:val="0"/>
                <w:bCs w:val="0"/>
                <w:color w:val="auto"/>
                <w:kern w:val="0"/>
                <w:sz w:val="18"/>
                <w:szCs w:val="18"/>
                <w:highlight w:val="none"/>
                <w:lang w:val="en-US" w:eastAsia="zh-CN"/>
              </w:rPr>
            </w:pPr>
            <w:r>
              <w:rPr>
                <w:rFonts w:hint="default" w:ascii="Times New Roman" w:hAnsi="Times New Roman" w:eastAsia="仿宋_GB2312" w:cs="Times New Roman"/>
                <w:b w:val="0"/>
                <w:bCs w:val="0"/>
                <w:color w:val="auto"/>
                <w:kern w:val="0"/>
                <w:sz w:val="18"/>
                <w:szCs w:val="18"/>
                <w:highlight w:val="none"/>
                <w:lang w:val="en-US" w:eastAsia="zh-CN"/>
              </w:rPr>
              <w:t>基础处理工程</w:t>
            </w:r>
          </w:p>
        </w:tc>
        <w:tc>
          <w:tcPr>
            <w:tcW w:w="984" w:type="dxa"/>
            <w:tcBorders>
              <w:tl2br w:val="nil"/>
              <w:tr2bl w:val="nil"/>
            </w:tcBorders>
            <w:noWrap w:val="0"/>
            <w:vAlign w:val="center"/>
          </w:tcPr>
          <w:p w14:paraId="11047E5C">
            <w:pPr>
              <w:widowControl/>
              <w:spacing w:line="240" w:lineRule="auto"/>
              <w:ind w:firstLine="0" w:firstLineChars="0"/>
              <w:jc w:val="center"/>
              <w:rPr>
                <w:rFonts w:hint="default" w:ascii="Times New Roman" w:hAnsi="Times New Roman" w:eastAsia="仿宋_GB2312" w:cs="Times New Roman"/>
                <w:b w:val="0"/>
                <w:bCs w:val="0"/>
                <w:color w:val="auto"/>
                <w:kern w:val="0"/>
                <w:sz w:val="18"/>
                <w:szCs w:val="18"/>
                <w:highlight w:val="none"/>
              </w:rPr>
            </w:pPr>
            <w:r>
              <w:rPr>
                <w:rFonts w:hint="default" w:ascii="Times New Roman" w:hAnsi="Times New Roman" w:eastAsia="仿宋_GB2312" w:cs="Times New Roman"/>
                <w:b w:val="0"/>
                <w:bCs w:val="0"/>
                <w:color w:val="auto"/>
                <w:kern w:val="0"/>
                <w:sz w:val="18"/>
                <w:szCs w:val="18"/>
                <w:highlight w:val="none"/>
              </w:rPr>
              <w:t>其他工程</w:t>
            </w:r>
          </w:p>
        </w:tc>
        <w:tc>
          <w:tcPr>
            <w:tcW w:w="788" w:type="dxa"/>
            <w:tcBorders>
              <w:tl2br w:val="nil"/>
              <w:tr2bl w:val="nil"/>
            </w:tcBorders>
            <w:noWrap w:val="0"/>
            <w:vAlign w:val="center"/>
          </w:tcPr>
          <w:p w14:paraId="0DD91B6B">
            <w:pPr>
              <w:widowControl/>
              <w:spacing w:line="240" w:lineRule="auto"/>
              <w:ind w:firstLine="0" w:firstLineChars="0"/>
              <w:jc w:val="center"/>
              <w:rPr>
                <w:rFonts w:hint="default" w:ascii="Times New Roman" w:hAnsi="Times New Roman" w:eastAsia="仿宋_GB2312" w:cs="Times New Roman"/>
                <w:b w:val="0"/>
                <w:bCs w:val="0"/>
                <w:color w:val="auto"/>
                <w:kern w:val="0"/>
                <w:sz w:val="18"/>
                <w:szCs w:val="18"/>
                <w:highlight w:val="none"/>
              </w:rPr>
            </w:pPr>
            <w:r>
              <w:rPr>
                <w:rFonts w:hint="default" w:ascii="Times New Roman" w:hAnsi="Times New Roman" w:eastAsia="仿宋_GB2312" w:cs="Times New Roman"/>
                <w:b w:val="0"/>
                <w:bCs w:val="0"/>
                <w:color w:val="auto"/>
                <w:kern w:val="0"/>
                <w:sz w:val="18"/>
                <w:szCs w:val="18"/>
                <w:highlight w:val="none"/>
              </w:rPr>
              <w:t>植物措施</w:t>
            </w:r>
          </w:p>
        </w:tc>
      </w:tr>
      <w:tr w14:paraId="047289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485" w:type="dxa"/>
            <w:tcBorders>
              <w:tl2br w:val="nil"/>
              <w:tr2bl w:val="nil"/>
            </w:tcBorders>
            <w:noWrap w:val="0"/>
            <w:vAlign w:val="center"/>
          </w:tcPr>
          <w:p w14:paraId="77A7E317">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1</w:t>
            </w:r>
          </w:p>
        </w:tc>
        <w:tc>
          <w:tcPr>
            <w:tcW w:w="1140" w:type="dxa"/>
            <w:tcBorders>
              <w:tl2br w:val="nil"/>
              <w:tr2bl w:val="nil"/>
            </w:tcBorders>
            <w:noWrap w:val="0"/>
            <w:vAlign w:val="center"/>
          </w:tcPr>
          <w:p w14:paraId="1E53BCE4">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其他直接费率</w:t>
            </w:r>
          </w:p>
        </w:tc>
        <w:tc>
          <w:tcPr>
            <w:tcW w:w="840" w:type="dxa"/>
            <w:tcBorders>
              <w:tl2br w:val="nil"/>
              <w:tr2bl w:val="nil"/>
            </w:tcBorders>
            <w:noWrap w:val="0"/>
            <w:vAlign w:val="center"/>
          </w:tcPr>
          <w:p w14:paraId="1B114A50">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2</w:t>
            </w:r>
          </w:p>
        </w:tc>
        <w:tc>
          <w:tcPr>
            <w:tcW w:w="936" w:type="dxa"/>
            <w:tcBorders>
              <w:tl2br w:val="nil"/>
              <w:tr2bl w:val="nil"/>
            </w:tcBorders>
            <w:noWrap w:val="0"/>
            <w:vAlign w:val="center"/>
          </w:tcPr>
          <w:p w14:paraId="4C83E218">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2</w:t>
            </w:r>
          </w:p>
        </w:tc>
        <w:tc>
          <w:tcPr>
            <w:tcW w:w="1296" w:type="dxa"/>
            <w:tcBorders>
              <w:tl2br w:val="nil"/>
              <w:tr2bl w:val="nil"/>
            </w:tcBorders>
            <w:noWrap w:val="0"/>
            <w:vAlign w:val="center"/>
          </w:tcPr>
          <w:p w14:paraId="299C53BE">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2</w:t>
            </w:r>
          </w:p>
        </w:tc>
        <w:tc>
          <w:tcPr>
            <w:tcW w:w="1236" w:type="dxa"/>
            <w:tcBorders>
              <w:tl2br w:val="nil"/>
              <w:tr2bl w:val="nil"/>
            </w:tcBorders>
            <w:noWrap w:val="0"/>
            <w:vAlign w:val="center"/>
          </w:tcPr>
          <w:p w14:paraId="2EDAF2FB">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2</w:t>
            </w:r>
          </w:p>
        </w:tc>
        <w:tc>
          <w:tcPr>
            <w:tcW w:w="1320" w:type="dxa"/>
            <w:tcBorders>
              <w:tl2br w:val="nil"/>
              <w:tr2bl w:val="nil"/>
            </w:tcBorders>
            <w:noWrap w:val="0"/>
            <w:vAlign w:val="center"/>
          </w:tcPr>
          <w:p w14:paraId="04977792">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2</w:t>
            </w:r>
          </w:p>
        </w:tc>
        <w:tc>
          <w:tcPr>
            <w:tcW w:w="984" w:type="dxa"/>
            <w:tcBorders>
              <w:tl2br w:val="nil"/>
              <w:tr2bl w:val="nil"/>
            </w:tcBorders>
            <w:noWrap w:val="0"/>
            <w:vAlign w:val="center"/>
          </w:tcPr>
          <w:p w14:paraId="44D0930B">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0.5</w:t>
            </w:r>
          </w:p>
        </w:tc>
        <w:tc>
          <w:tcPr>
            <w:tcW w:w="788" w:type="dxa"/>
            <w:tcBorders>
              <w:tl2br w:val="nil"/>
              <w:tr2bl w:val="nil"/>
            </w:tcBorders>
            <w:noWrap w:val="0"/>
            <w:vAlign w:val="center"/>
          </w:tcPr>
          <w:p w14:paraId="31E8F00C">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lang w:val="en-US" w:eastAsia="zh-CN"/>
              </w:rPr>
              <w:t>1</w:t>
            </w:r>
          </w:p>
        </w:tc>
      </w:tr>
      <w:tr w14:paraId="64CD8C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5" w:type="dxa"/>
            <w:tcBorders>
              <w:tl2br w:val="nil"/>
              <w:tr2bl w:val="nil"/>
            </w:tcBorders>
            <w:noWrap w:val="0"/>
            <w:vAlign w:val="center"/>
          </w:tcPr>
          <w:p w14:paraId="2C9D852A">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2</w:t>
            </w:r>
          </w:p>
        </w:tc>
        <w:tc>
          <w:tcPr>
            <w:tcW w:w="1140" w:type="dxa"/>
            <w:tcBorders>
              <w:tl2br w:val="nil"/>
              <w:tr2bl w:val="nil"/>
            </w:tcBorders>
            <w:noWrap w:val="0"/>
            <w:vAlign w:val="center"/>
          </w:tcPr>
          <w:p w14:paraId="2230083D">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间接费率</w:t>
            </w:r>
          </w:p>
        </w:tc>
        <w:tc>
          <w:tcPr>
            <w:tcW w:w="840" w:type="dxa"/>
            <w:tcBorders>
              <w:tl2br w:val="nil"/>
              <w:tr2bl w:val="nil"/>
            </w:tcBorders>
            <w:noWrap w:val="0"/>
            <w:vAlign w:val="center"/>
          </w:tcPr>
          <w:p w14:paraId="510C9317">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5</w:t>
            </w:r>
          </w:p>
        </w:tc>
        <w:tc>
          <w:tcPr>
            <w:tcW w:w="936" w:type="dxa"/>
            <w:tcBorders>
              <w:tl2br w:val="nil"/>
              <w:tr2bl w:val="nil"/>
            </w:tcBorders>
            <w:noWrap w:val="0"/>
            <w:vAlign w:val="center"/>
          </w:tcPr>
          <w:p w14:paraId="423BFE94">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8</w:t>
            </w:r>
          </w:p>
        </w:tc>
        <w:tc>
          <w:tcPr>
            <w:tcW w:w="1296" w:type="dxa"/>
            <w:tcBorders>
              <w:tl2br w:val="nil"/>
              <w:tr2bl w:val="nil"/>
            </w:tcBorders>
            <w:noWrap w:val="0"/>
            <w:vAlign w:val="center"/>
          </w:tcPr>
          <w:p w14:paraId="4BA148BD">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7</w:t>
            </w:r>
          </w:p>
        </w:tc>
        <w:tc>
          <w:tcPr>
            <w:tcW w:w="1236" w:type="dxa"/>
            <w:tcBorders>
              <w:tl2br w:val="nil"/>
              <w:tr2bl w:val="nil"/>
            </w:tcBorders>
            <w:noWrap w:val="0"/>
            <w:vAlign w:val="center"/>
          </w:tcPr>
          <w:p w14:paraId="18BC2C75">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lang w:val="en-US" w:eastAsia="zh-CN"/>
              </w:rPr>
              <w:t>5</w:t>
            </w:r>
          </w:p>
        </w:tc>
        <w:tc>
          <w:tcPr>
            <w:tcW w:w="1320" w:type="dxa"/>
            <w:tcBorders>
              <w:tl2br w:val="nil"/>
              <w:tr2bl w:val="nil"/>
            </w:tcBorders>
            <w:noWrap w:val="0"/>
            <w:vAlign w:val="center"/>
          </w:tcPr>
          <w:p w14:paraId="33025215">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10</w:t>
            </w:r>
          </w:p>
        </w:tc>
        <w:tc>
          <w:tcPr>
            <w:tcW w:w="984" w:type="dxa"/>
            <w:tcBorders>
              <w:tl2br w:val="nil"/>
              <w:tr2bl w:val="nil"/>
            </w:tcBorders>
            <w:noWrap w:val="0"/>
            <w:vAlign w:val="center"/>
          </w:tcPr>
          <w:p w14:paraId="1C9F72FE">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val="en-US" w:eastAsia="zh-CN"/>
              </w:rPr>
              <w:t>7</w:t>
            </w:r>
          </w:p>
        </w:tc>
        <w:tc>
          <w:tcPr>
            <w:tcW w:w="788" w:type="dxa"/>
            <w:tcBorders>
              <w:tl2br w:val="nil"/>
              <w:tr2bl w:val="nil"/>
            </w:tcBorders>
            <w:noWrap w:val="0"/>
            <w:vAlign w:val="center"/>
          </w:tcPr>
          <w:p w14:paraId="27D175A0">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6</w:t>
            </w:r>
          </w:p>
        </w:tc>
      </w:tr>
      <w:tr w14:paraId="60524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5" w:type="dxa"/>
            <w:tcBorders>
              <w:tl2br w:val="nil"/>
              <w:tr2bl w:val="nil"/>
            </w:tcBorders>
            <w:noWrap w:val="0"/>
            <w:vAlign w:val="center"/>
          </w:tcPr>
          <w:p w14:paraId="417DDA3C">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3</w:t>
            </w:r>
          </w:p>
        </w:tc>
        <w:tc>
          <w:tcPr>
            <w:tcW w:w="1140" w:type="dxa"/>
            <w:tcBorders>
              <w:tl2br w:val="nil"/>
              <w:tr2bl w:val="nil"/>
            </w:tcBorders>
            <w:noWrap w:val="0"/>
            <w:vAlign w:val="center"/>
          </w:tcPr>
          <w:p w14:paraId="7B18912C">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企业利润</w:t>
            </w:r>
          </w:p>
        </w:tc>
        <w:tc>
          <w:tcPr>
            <w:tcW w:w="840" w:type="dxa"/>
            <w:tcBorders>
              <w:tl2br w:val="nil"/>
              <w:tr2bl w:val="nil"/>
            </w:tcBorders>
            <w:noWrap w:val="0"/>
            <w:vAlign w:val="center"/>
          </w:tcPr>
          <w:p w14:paraId="3CA8812F">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7</w:t>
            </w:r>
          </w:p>
        </w:tc>
        <w:tc>
          <w:tcPr>
            <w:tcW w:w="936" w:type="dxa"/>
            <w:tcBorders>
              <w:tl2br w:val="nil"/>
              <w:tr2bl w:val="nil"/>
            </w:tcBorders>
            <w:noWrap w:val="0"/>
            <w:vAlign w:val="center"/>
          </w:tcPr>
          <w:p w14:paraId="55C1BAB2">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7</w:t>
            </w:r>
          </w:p>
        </w:tc>
        <w:tc>
          <w:tcPr>
            <w:tcW w:w="1296" w:type="dxa"/>
            <w:tcBorders>
              <w:tl2br w:val="nil"/>
              <w:tr2bl w:val="nil"/>
            </w:tcBorders>
            <w:noWrap w:val="0"/>
            <w:vAlign w:val="center"/>
          </w:tcPr>
          <w:p w14:paraId="2C6D19DD">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7</w:t>
            </w:r>
          </w:p>
        </w:tc>
        <w:tc>
          <w:tcPr>
            <w:tcW w:w="1236" w:type="dxa"/>
            <w:tcBorders>
              <w:tl2br w:val="nil"/>
              <w:tr2bl w:val="nil"/>
            </w:tcBorders>
            <w:noWrap w:val="0"/>
            <w:vAlign w:val="center"/>
          </w:tcPr>
          <w:p w14:paraId="43B0F082">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7</w:t>
            </w:r>
          </w:p>
        </w:tc>
        <w:tc>
          <w:tcPr>
            <w:tcW w:w="1320" w:type="dxa"/>
            <w:tcBorders>
              <w:tl2br w:val="nil"/>
              <w:tr2bl w:val="nil"/>
            </w:tcBorders>
            <w:noWrap w:val="0"/>
            <w:vAlign w:val="center"/>
          </w:tcPr>
          <w:p w14:paraId="53EFA331">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7</w:t>
            </w:r>
          </w:p>
        </w:tc>
        <w:tc>
          <w:tcPr>
            <w:tcW w:w="984" w:type="dxa"/>
            <w:tcBorders>
              <w:tl2br w:val="nil"/>
              <w:tr2bl w:val="nil"/>
            </w:tcBorders>
            <w:noWrap w:val="0"/>
            <w:vAlign w:val="center"/>
          </w:tcPr>
          <w:p w14:paraId="2B32A02E">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7</w:t>
            </w:r>
          </w:p>
        </w:tc>
        <w:tc>
          <w:tcPr>
            <w:tcW w:w="788" w:type="dxa"/>
            <w:tcBorders>
              <w:tl2br w:val="nil"/>
              <w:tr2bl w:val="nil"/>
            </w:tcBorders>
            <w:noWrap w:val="0"/>
            <w:vAlign w:val="center"/>
          </w:tcPr>
          <w:p w14:paraId="32FC6172">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7</w:t>
            </w:r>
          </w:p>
        </w:tc>
      </w:tr>
      <w:tr w14:paraId="0CDA8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5" w:type="dxa"/>
            <w:tcBorders>
              <w:tl2br w:val="nil"/>
              <w:tr2bl w:val="nil"/>
            </w:tcBorders>
            <w:noWrap w:val="0"/>
            <w:vAlign w:val="center"/>
          </w:tcPr>
          <w:p w14:paraId="1D9C2716">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4</w:t>
            </w:r>
          </w:p>
        </w:tc>
        <w:tc>
          <w:tcPr>
            <w:tcW w:w="1140" w:type="dxa"/>
            <w:tcBorders>
              <w:tl2br w:val="nil"/>
              <w:tr2bl w:val="nil"/>
            </w:tcBorders>
            <w:noWrap w:val="0"/>
            <w:vAlign w:val="center"/>
          </w:tcPr>
          <w:p w14:paraId="0A3132A1">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税  率</w:t>
            </w:r>
          </w:p>
        </w:tc>
        <w:tc>
          <w:tcPr>
            <w:tcW w:w="840" w:type="dxa"/>
            <w:tcBorders>
              <w:tl2br w:val="nil"/>
              <w:tr2bl w:val="nil"/>
            </w:tcBorders>
            <w:noWrap w:val="0"/>
            <w:vAlign w:val="center"/>
          </w:tcPr>
          <w:p w14:paraId="1A410D7F">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9</w:t>
            </w:r>
          </w:p>
        </w:tc>
        <w:tc>
          <w:tcPr>
            <w:tcW w:w="936" w:type="dxa"/>
            <w:tcBorders>
              <w:tl2br w:val="nil"/>
              <w:tr2bl w:val="nil"/>
            </w:tcBorders>
            <w:noWrap w:val="0"/>
            <w:vAlign w:val="center"/>
          </w:tcPr>
          <w:p w14:paraId="02BB3DA1">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9</w:t>
            </w:r>
          </w:p>
        </w:tc>
        <w:tc>
          <w:tcPr>
            <w:tcW w:w="1296" w:type="dxa"/>
            <w:tcBorders>
              <w:tl2br w:val="nil"/>
              <w:tr2bl w:val="nil"/>
            </w:tcBorders>
            <w:noWrap w:val="0"/>
            <w:vAlign w:val="center"/>
          </w:tcPr>
          <w:p w14:paraId="65C3AB6E">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9</w:t>
            </w:r>
          </w:p>
        </w:tc>
        <w:tc>
          <w:tcPr>
            <w:tcW w:w="1236" w:type="dxa"/>
            <w:tcBorders>
              <w:tl2br w:val="nil"/>
              <w:tr2bl w:val="nil"/>
            </w:tcBorders>
            <w:noWrap w:val="0"/>
            <w:vAlign w:val="center"/>
          </w:tcPr>
          <w:p w14:paraId="4F8B0D39">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9</w:t>
            </w:r>
          </w:p>
        </w:tc>
        <w:tc>
          <w:tcPr>
            <w:tcW w:w="1320" w:type="dxa"/>
            <w:tcBorders>
              <w:tl2br w:val="nil"/>
              <w:tr2bl w:val="nil"/>
            </w:tcBorders>
            <w:noWrap w:val="0"/>
            <w:vAlign w:val="center"/>
          </w:tcPr>
          <w:p w14:paraId="47EB3880">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9</w:t>
            </w:r>
          </w:p>
        </w:tc>
        <w:tc>
          <w:tcPr>
            <w:tcW w:w="984" w:type="dxa"/>
            <w:tcBorders>
              <w:tl2br w:val="nil"/>
              <w:tr2bl w:val="nil"/>
            </w:tcBorders>
            <w:noWrap w:val="0"/>
            <w:vAlign w:val="center"/>
          </w:tcPr>
          <w:p w14:paraId="3AEFF0C6">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9</w:t>
            </w:r>
          </w:p>
        </w:tc>
        <w:tc>
          <w:tcPr>
            <w:tcW w:w="788" w:type="dxa"/>
            <w:tcBorders>
              <w:tl2br w:val="nil"/>
              <w:tr2bl w:val="nil"/>
            </w:tcBorders>
            <w:noWrap w:val="0"/>
            <w:vAlign w:val="center"/>
          </w:tcPr>
          <w:p w14:paraId="6BA3CAA1">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9</w:t>
            </w:r>
          </w:p>
        </w:tc>
      </w:tr>
      <w:tr w14:paraId="429DE9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5" w:type="dxa"/>
            <w:tcBorders>
              <w:tl2br w:val="nil"/>
              <w:tr2bl w:val="nil"/>
            </w:tcBorders>
            <w:noWrap w:val="0"/>
            <w:vAlign w:val="center"/>
          </w:tcPr>
          <w:p w14:paraId="3CC49079">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5</w:t>
            </w:r>
          </w:p>
        </w:tc>
        <w:tc>
          <w:tcPr>
            <w:tcW w:w="1140" w:type="dxa"/>
            <w:tcBorders>
              <w:tl2br w:val="nil"/>
              <w:tr2bl w:val="nil"/>
            </w:tcBorders>
            <w:noWrap w:val="0"/>
            <w:vAlign w:val="center"/>
          </w:tcPr>
          <w:p w14:paraId="017A2319">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扩大系数</w:t>
            </w:r>
          </w:p>
        </w:tc>
        <w:tc>
          <w:tcPr>
            <w:tcW w:w="840" w:type="dxa"/>
            <w:tcBorders>
              <w:tl2br w:val="nil"/>
              <w:tr2bl w:val="nil"/>
            </w:tcBorders>
            <w:noWrap w:val="0"/>
            <w:vAlign w:val="center"/>
          </w:tcPr>
          <w:p w14:paraId="3B104A97">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0</w:t>
            </w:r>
          </w:p>
        </w:tc>
        <w:tc>
          <w:tcPr>
            <w:tcW w:w="936" w:type="dxa"/>
            <w:tcBorders>
              <w:tl2br w:val="nil"/>
              <w:tr2bl w:val="nil"/>
            </w:tcBorders>
            <w:noWrap w:val="0"/>
            <w:vAlign w:val="center"/>
          </w:tcPr>
          <w:p w14:paraId="3D9B946B">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0</w:t>
            </w:r>
          </w:p>
        </w:tc>
        <w:tc>
          <w:tcPr>
            <w:tcW w:w="1296" w:type="dxa"/>
            <w:tcBorders>
              <w:tl2br w:val="nil"/>
              <w:tr2bl w:val="nil"/>
            </w:tcBorders>
            <w:noWrap w:val="0"/>
            <w:vAlign w:val="center"/>
          </w:tcPr>
          <w:p w14:paraId="3E8B33CA">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0</w:t>
            </w:r>
          </w:p>
        </w:tc>
        <w:tc>
          <w:tcPr>
            <w:tcW w:w="1236" w:type="dxa"/>
            <w:tcBorders>
              <w:tl2br w:val="nil"/>
              <w:tr2bl w:val="nil"/>
            </w:tcBorders>
            <w:noWrap w:val="0"/>
            <w:vAlign w:val="center"/>
          </w:tcPr>
          <w:p w14:paraId="1C407F36">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0</w:t>
            </w:r>
          </w:p>
        </w:tc>
        <w:tc>
          <w:tcPr>
            <w:tcW w:w="1320" w:type="dxa"/>
            <w:tcBorders>
              <w:tl2br w:val="nil"/>
              <w:tr2bl w:val="nil"/>
            </w:tcBorders>
            <w:noWrap w:val="0"/>
            <w:vAlign w:val="center"/>
          </w:tcPr>
          <w:p w14:paraId="5F6C060F">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0</w:t>
            </w:r>
          </w:p>
        </w:tc>
        <w:tc>
          <w:tcPr>
            <w:tcW w:w="984" w:type="dxa"/>
            <w:tcBorders>
              <w:tl2br w:val="nil"/>
              <w:tr2bl w:val="nil"/>
            </w:tcBorders>
            <w:noWrap w:val="0"/>
            <w:vAlign w:val="center"/>
          </w:tcPr>
          <w:p w14:paraId="7FAEC6C7">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0</w:t>
            </w:r>
          </w:p>
        </w:tc>
        <w:tc>
          <w:tcPr>
            <w:tcW w:w="788" w:type="dxa"/>
            <w:tcBorders>
              <w:tl2br w:val="nil"/>
              <w:tr2bl w:val="nil"/>
            </w:tcBorders>
            <w:noWrap w:val="0"/>
            <w:vAlign w:val="center"/>
          </w:tcPr>
          <w:p w14:paraId="35BEEB61">
            <w:pPr>
              <w:widowControl/>
              <w:spacing w:line="240" w:lineRule="auto"/>
              <w:ind w:firstLine="0" w:firstLineChars="0"/>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0</w:t>
            </w:r>
          </w:p>
        </w:tc>
      </w:tr>
    </w:tbl>
    <w:p w14:paraId="16CDFEB4">
      <w:pPr>
        <w:spacing w:line="360" w:lineRule="auto"/>
        <w:ind w:firstLine="422" w:firstLineChars="200"/>
        <w:jc w:val="both"/>
        <w:rPr>
          <w:rFonts w:hint="default" w:ascii="Times New Roman" w:hAnsi="Times New Roman" w:eastAsia="仿宋_GB2312" w:cs="Times New Roman"/>
          <w:color w:val="auto"/>
          <w:szCs w:val="24"/>
        </w:rPr>
      </w:pPr>
      <w:r>
        <w:rPr>
          <w:rFonts w:hint="default" w:ascii="Times New Roman" w:hAnsi="Times New Roman" w:eastAsia="仿宋_GB2312" w:cs="Times New Roman"/>
          <w:b/>
          <w:bCs/>
          <w:color w:val="auto"/>
          <w:sz w:val="21"/>
          <w:szCs w:val="21"/>
        </w:rPr>
        <w:t>备注：参照《</w:t>
      </w:r>
      <w:r>
        <w:rPr>
          <w:rFonts w:hint="default" w:ascii="Times New Roman" w:hAnsi="Times New Roman" w:eastAsia="仿宋_GB2312" w:cs="Times New Roman"/>
          <w:b/>
          <w:bCs/>
          <w:color w:val="auto"/>
          <w:sz w:val="21"/>
          <w:szCs w:val="21"/>
          <w:lang w:val="en-US" w:eastAsia="zh-CN"/>
        </w:rPr>
        <w:t>水利</w:t>
      </w:r>
      <w:r>
        <w:rPr>
          <w:rFonts w:hint="default" w:ascii="Times New Roman" w:hAnsi="Times New Roman" w:eastAsia="仿宋_GB2312" w:cs="Times New Roman"/>
          <w:b/>
          <w:bCs/>
          <w:color w:val="auto"/>
          <w:sz w:val="21"/>
          <w:szCs w:val="21"/>
        </w:rPr>
        <w:t>工程</w:t>
      </w:r>
      <w:r>
        <w:rPr>
          <w:rFonts w:hint="default" w:ascii="Times New Roman" w:hAnsi="Times New Roman" w:eastAsia="仿宋_GB2312" w:cs="Times New Roman"/>
          <w:b/>
          <w:bCs/>
          <w:color w:val="auto"/>
          <w:sz w:val="21"/>
          <w:szCs w:val="21"/>
          <w:lang w:val="en-US" w:eastAsia="zh-CN"/>
        </w:rPr>
        <w:t>设计</w:t>
      </w:r>
      <w:r>
        <w:rPr>
          <w:rFonts w:hint="default" w:ascii="Times New Roman" w:hAnsi="Times New Roman" w:eastAsia="仿宋_GB2312" w:cs="Times New Roman"/>
          <w:b/>
          <w:bCs/>
          <w:color w:val="auto"/>
          <w:sz w:val="21"/>
          <w:szCs w:val="21"/>
        </w:rPr>
        <w:t>概（估）算编制规定》</w:t>
      </w:r>
      <w:r>
        <w:rPr>
          <w:rFonts w:hint="default" w:ascii="Times New Roman" w:hAnsi="Times New Roman" w:eastAsia="仿宋_GB2312" w:cs="Times New Roman"/>
          <w:b/>
          <w:bCs/>
          <w:color w:val="auto"/>
          <w:sz w:val="21"/>
          <w:szCs w:val="21"/>
          <w:lang w:val="en-US" w:eastAsia="zh-CN"/>
        </w:rPr>
        <w:t>及水利工程系列定额</w:t>
      </w:r>
      <w:r>
        <w:rPr>
          <w:rFonts w:hint="default" w:ascii="Times New Roman" w:hAnsi="Times New Roman" w:eastAsia="仿宋_GB2312" w:cs="Times New Roman"/>
          <w:b/>
          <w:bCs/>
          <w:color w:val="auto"/>
          <w:sz w:val="21"/>
          <w:szCs w:val="21"/>
        </w:rPr>
        <w:t>（水总〔20</w:t>
      </w:r>
      <w:r>
        <w:rPr>
          <w:rFonts w:hint="default" w:ascii="Times New Roman" w:hAnsi="Times New Roman" w:eastAsia="仿宋_GB2312" w:cs="Times New Roman"/>
          <w:b/>
          <w:bCs/>
          <w:color w:val="auto"/>
          <w:sz w:val="21"/>
          <w:szCs w:val="21"/>
          <w:lang w:val="en-US" w:eastAsia="zh-CN"/>
        </w:rPr>
        <w:t>24</w:t>
      </w:r>
      <w:r>
        <w:rPr>
          <w:rFonts w:hint="default" w:ascii="Times New Roman" w:hAnsi="Times New Roman" w:eastAsia="仿宋_GB2312" w:cs="Times New Roman"/>
          <w:b/>
          <w:bCs/>
          <w:color w:val="auto"/>
          <w:sz w:val="21"/>
          <w:szCs w:val="21"/>
        </w:rPr>
        <w:t>〕</w:t>
      </w:r>
      <w:r>
        <w:rPr>
          <w:rFonts w:hint="default" w:ascii="Times New Roman" w:hAnsi="Times New Roman" w:eastAsia="仿宋_GB2312" w:cs="Times New Roman"/>
          <w:b/>
          <w:bCs/>
          <w:color w:val="auto"/>
          <w:sz w:val="21"/>
          <w:szCs w:val="21"/>
          <w:lang w:val="en-US" w:eastAsia="zh-CN"/>
        </w:rPr>
        <w:t>323</w:t>
      </w:r>
      <w:r>
        <w:rPr>
          <w:rFonts w:hint="default" w:ascii="Times New Roman" w:hAnsi="Times New Roman" w:eastAsia="仿宋_GB2312" w:cs="Times New Roman"/>
          <w:b/>
          <w:bCs/>
          <w:color w:val="auto"/>
          <w:sz w:val="21"/>
          <w:szCs w:val="21"/>
        </w:rPr>
        <w:t>号），其他直接费费率主要参照主体工程执行</w:t>
      </w:r>
      <w:r>
        <w:rPr>
          <w:rFonts w:hint="default" w:ascii="Times New Roman" w:hAnsi="Times New Roman" w:eastAsia="仿宋_GB2312" w:cs="Times New Roman"/>
          <w:color w:val="auto"/>
          <w:szCs w:val="24"/>
        </w:rPr>
        <w:t>。</w:t>
      </w:r>
    </w:p>
    <w:p w14:paraId="4842722D">
      <w:pPr>
        <w:spacing w:before="0" w:after="0" w:line="360" w:lineRule="auto"/>
        <w:ind w:firstLine="480" w:firstLineChars="200"/>
        <w:outlineLvl w:val="9"/>
        <w:rPr>
          <w:rFonts w:hint="default" w:ascii="Times New Roman" w:hAnsi="Times New Roman" w:eastAsia="仿宋_GB2312" w:cs="Times New Roman"/>
          <w:bCs w:val="0"/>
          <w:color w:val="auto"/>
          <w:kern w:val="2"/>
          <w:sz w:val="24"/>
          <w:szCs w:val="24"/>
          <w:lang w:val="en-US" w:eastAsia="zh-CN" w:bidi="ar-SA"/>
        </w:rPr>
      </w:pPr>
      <w:r>
        <w:rPr>
          <w:rFonts w:hint="default" w:ascii="Times New Roman" w:hAnsi="Times New Roman" w:eastAsia="仿宋_GB2312" w:cs="Times New Roman"/>
          <w:bCs w:val="0"/>
          <w:color w:val="auto"/>
          <w:kern w:val="2"/>
          <w:sz w:val="24"/>
          <w:szCs w:val="24"/>
          <w:lang w:val="en-US" w:eastAsia="zh-CN" w:bidi="ar-SA"/>
        </w:rPr>
        <w:t>4、投资概算编制</w:t>
      </w:r>
    </w:p>
    <w:bookmarkEnd w:id="181"/>
    <w:bookmarkEnd w:id="182"/>
    <w:p w14:paraId="1FC603D0">
      <w:pPr>
        <w:widowControl w:val="0"/>
        <w:numPr>
          <w:ilvl w:val="0"/>
          <w:numId w:val="0"/>
        </w:numPr>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（1）工程措施费</w:t>
      </w:r>
    </w:p>
    <w:p w14:paraId="39067B97">
      <w:pPr>
        <w:spacing w:before="0" w:after="0" w:line="360" w:lineRule="auto"/>
        <w:ind w:firstLine="480" w:firstLineChars="200"/>
        <w:outlineLvl w:val="9"/>
        <w:rPr>
          <w:rFonts w:hint="default" w:ascii="Times New Roman" w:hAnsi="Times New Roman" w:eastAsia="仿宋_GB2312" w:cs="Times New Roman"/>
          <w:bCs w:val="0"/>
          <w:color w:val="auto"/>
          <w:kern w:val="2"/>
          <w:sz w:val="24"/>
          <w:szCs w:val="24"/>
          <w:lang w:val="en-US" w:eastAsia="zh-CN" w:bidi="ar-SA"/>
        </w:rPr>
      </w:pPr>
      <w:r>
        <w:rPr>
          <w:rFonts w:hint="default" w:ascii="Times New Roman" w:hAnsi="Times New Roman" w:eastAsia="仿宋_GB2312" w:cs="Times New Roman"/>
          <w:bCs w:val="0"/>
          <w:color w:val="auto"/>
          <w:kern w:val="2"/>
          <w:sz w:val="24"/>
          <w:szCs w:val="24"/>
          <w:lang w:val="en-US" w:eastAsia="zh-CN" w:bidi="ar-SA"/>
        </w:rPr>
        <w:t>按工程量乘以工程单价进行编制。</w:t>
      </w:r>
    </w:p>
    <w:p w14:paraId="06FE6CAE">
      <w:pPr>
        <w:widowControl w:val="0"/>
        <w:numPr>
          <w:ilvl w:val="0"/>
          <w:numId w:val="0"/>
        </w:numPr>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rPr>
        <w:t>植物措施费</w:t>
      </w:r>
    </w:p>
    <w:p w14:paraId="0FFB92C3">
      <w:pPr>
        <w:widowControl w:val="0"/>
        <w:numPr>
          <w:ilvl w:val="0"/>
          <w:numId w:val="0"/>
        </w:numPr>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由苗木、草、种子等材料费及种植费组成。植物措施材料费由苗木、草、种子的概算价格乘以数量进行计算。栽（种）植费按树、草种设计量乘以相应种植工程单价进行计算。</w:t>
      </w:r>
    </w:p>
    <w:p w14:paraId="507A2A53">
      <w:pPr>
        <w:widowControl w:val="0"/>
        <w:numPr>
          <w:ilvl w:val="0"/>
          <w:numId w:val="0"/>
        </w:numPr>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（3）监测措施费</w:t>
      </w:r>
    </w:p>
    <w:p w14:paraId="42D738C2">
      <w:pPr>
        <w:widowControl w:val="0"/>
        <w:numPr>
          <w:ilvl w:val="0"/>
          <w:numId w:val="0"/>
        </w:numPr>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kern w:val="0"/>
          <w:sz w:val="24"/>
          <w:szCs w:val="22"/>
        </w:rPr>
        <w:t>项目编制水土保持方案为报告表，可不开展水土保持专项监测</w:t>
      </w:r>
      <w:r>
        <w:rPr>
          <w:rFonts w:hint="default" w:ascii="Times New Roman" w:hAnsi="Times New Roman" w:eastAsia="仿宋_GB2312" w:cs="Times New Roman"/>
          <w:kern w:val="0"/>
          <w:sz w:val="24"/>
          <w:szCs w:val="22"/>
          <w:lang w:eastAsia="zh-CN"/>
        </w:rPr>
        <w:t>，</w:t>
      </w:r>
      <w:r>
        <w:rPr>
          <w:rFonts w:hint="default" w:ascii="Times New Roman" w:hAnsi="Times New Roman" w:eastAsia="仿宋_GB2312" w:cs="Times New Roman"/>
          <w:kern w:val="0"/>
          <w:sz w:val="24"/>
          <w:szCs w:val="22"/>
          <w:lang w:val="en-US" w:eastAsia="zh-CN"/>
        </w:rPr>
        <w:t>暂</w:t>
      </w:r>
      <w:r>
        <w:rPr>
          <w:rFonts w:hint="default" w:ascii="Times New Roman" w:hAnsi="Times New Roman" w:eastAsia="仿宋_GB2312" w:cs="Times New Roman"/>
          <w:snapToGrid w:val="0"/>
          <w:color w:val="auto"/>
          <w:sz w:val="24"/>
          <w:szCs w:val="24"/>
        </w:rPr>
        <w:t>不列此项费用</w:t>
      </w:r>
      <w:r>
        <w:rPr>
          <w:rFonts w:hint="default" w:ascii="Times New Roman" w:hAnsi="Times New Roman" w:eastAsia="仿宋_GB2312" w:cs="Times New Roman"/>
          <w:snapToGrid w:val="0"/>
          <w:color w:val="auto"/>
          <w:sz w:val="24"/>
          <w:szCs w:val="24"/>
          <w:lang w:eastAsia="zh-CN"/>
        </w:rPr>
        <w:t>。</w:t>
      </w:r>
    </w:p>
    <w:p w14:paraId="48B42D66">
      <w:pPr>
        <w:widowControl w:val="0"/>
        <w:numPr>
          <w:ilvl w:val="0"/>
          <w:numId w:val="0"/>
        </w:numPr>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（4）施工临时工程费</w:t>
      </w:r>
    </w:p>
    <w:p w14:paraId="6835AF7A">
      <w:pPr>
        <w:widowControl w:val="0"/>
        <w:numPr>
          <w:ilvl w:val="0"/>
          <w:numId w:val="0"/>
        </w:numPr>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由临时防护工程费和其他临时工程费组成，临时防护工程费按方案设计的工程量乘以工程单价计算，其他临时工程费按第一部分工程措施和第二部分植物措施投资的 1.0%~2.0%编制，本工程取 2.0%。</w:t>
      </w:r>
    </w:p>
    <w:p w14:paraId="53B5EE63">
      <w:pPr>
        <w:widowControl w:val="0"/>
        <w:numPr>
          <w:ilvl w:val="0"/>
          <w:numId w:val="0"/>
        </w:numPr>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5</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独立费用</w:t>
      </w:r>
    </w:p>
    <w:p w14:paraId="7B0C6456">
      <w:pPr>
        <w:pStyle w:val="8"/>
        <w:spacing w:before="78" w:line="360" w:lineRule="auto"/>
        <w:ind w:left="22" w:right="68" w:firstLine="533"/>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独立费用包括建设管理费、科研勘测设计费、水土保持监理费等，各项费用按照国家和水土保持相关规定计列。</w:t>
      </w:r>
    </w:p>
    <w:p w14:paraId="0F5EE64C">
      <w:pPr>
        <w:widowControl w:val="0"/>
        <w:numPr>
          <w:ilvl w:val="0"/>
          <w:numId w:val="2"/>
        </w:numPr>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建设管理费</w:t>
      </w:r>
    </w:p>
    <w:p w14:paraId="0FFE461A">
      <w:pPr>
        <w:widowControl w:val="0"/>
        <w:numPr>
          <w:ilvl w:val="0"/>
          <w:numId w:val="0"/>
        </w:numPr>
        <w:spacing w:line="360" w:lineRule="auto"/>
        <w:ind w:firstLine="480" w:firstLineChars="200"/>
        <w:jc w:val="both"/>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建设管理费指建设单位在工程项目的立项、筹建、建设、竣工验收、总结等工作中所发生的管理费用。主要包括建设管理人员费、办公费、差旅交通费、会议费、宣传费，以及审查论证、技术推广、人员培训、检查评估、竣工验收等费用。按工程措施、植物措施、监测措施和临时措施费用之和的2%计列，共计0.42万元。本项目建设管理费分为项目经常费和技术咨询费，其中项目经常费主要为水土保持设施验收费0.20万元，技术咨询费0.22万元。</w:t>
      </w:r>
    </w:p>
    <w:p w14:paraId="40674395">
      <w:pPr>
        <w:numPr>
          <w:ilvl w:val="0"/>
          <w:numId w:val="2"/>
        </w:numPr>
        <w:spacing w:line="360" w:lineRule="auto"/>
        <w:ind w:left="0" w:leftChars="0"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科研勘测设计费</w:t>
      </w:r>
    </w:p>
    <w:p w14:paraId="6E87CA88">
      <w:pPr>
        <w:numPr>
          <w:ilvl w:val="0"/>
          <w:numId w:val="0"/>
        </w:num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包括工程科学研究试验费、工程勘测设计费。</w:t>
      </w:r>
    </w:p>
    <w:p w14:paraId="185CF528">
      <w:pPr>
        <w:numPr>
          <w:ilvl w:val="0"/>
          <w:numId w:val="0"/>
        </w:numPr>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工程科学研究试验费指为保障水土保持工程质量，解决工程建设技术问题，而进行必要的科学研究试验所需的费用。遇大型、特殊工程，经论证确需开展有关科学研究试验的可列此项费用，一般按一至四部分投资合计的0.2%～0.5%计列，也可根据工程实际需求经方案论证后计列。</w:t>
      </w:r>
      <w:r>
        <w:rPr>
          <w:rFonts w:hint="default" w:ascii="Times New Roman" w:hAnsi="Times New Roman" w:eastAsia="仿宋_GB2312" w:cs="Times New Roman"/>
          <w:snapToGrid w:val="0"/>
          <w:color w:val="auto"/>
          <w:sz w:val="24"/>
          <w:szCs w:val="24"/>
        </w:rPr>
        <w:t>本项目不列此项费用。</w:t>
      </w:r>
    </w:p>
    <w:p w14:paraId="010F2DB2">
      <w:pPr>
        <w:numPr>
          <w:ilvl w:val="0"/>
          <w:numId w:val="0"/>
        </w:numPr>
        <w:spacing w:line="360" w:lineRule="auto"/>
        <w:ind w:firstLine="480" w:firstLineChars="200"/>
        <w:rPr>
          <w:rFonts w:hint="default" w:ascii="Times New Roman" w:hAnsi="Times New Roman" w:eastAsia="仿宋_GB2312" w:cs="Times New Roman"/>
          <w:snapToGrid w:val="0"/>
          <w:color w:val="auto"/>
          <w:sz w:val="24"/>
          <w:szCs w:val="24"/>
          <w:lang w:val="en-US" w:eastAsia="zh-CN"/>
        </w:rPr>
      </w:pPr>
      <w:r>
        <w:rPr>
          <w:rFonts w:hint="default" w:ascii="Times New Roman" w:hAnsi="Times New Roman" w:eastAsia="仿宋_GB2312" w:cs="Times New Roman"/>
          <w:snapToGrid w:val="0"/>
          <w:color w:val="auto"/>
          <w:sz w:val="24"/>
          <w:szCs w:val="24"/>
        </w:rPr>
        <w:t>工程勘测设计费指工程从项目建议书(或可行性研究)阶段开始至以后各设计阶段发生的勘测费、设计费，以及水土保持方案编制费用。初步设计、招标设计及施工图设计阶段的工程勘测费、设计费参照《国家计委、建设部关于发布&lt;工程勘察设计收费管理规定&gt;的通知》(计价格〔2002〕10号)计算。水土保持方案编制费可按市场调节价计列或根据实际计算。</w:t>
      </w:r>
      <w:r>
        <w:rPr>
          <w:rFonts w:hint="default" w:ascii="Times New Roman" w:hAnsi="Times New Roman" w:eastAsia="仿宋_GB2312" w:cs="Times New Roman"/>
          <w:snapToGrid w:val="0"/>
          <w:color w:val="auto"/>
          <w:sz w:val="24"/>
          <w:szCs w:val="24"/>
          <w:lang w:val="en-US" w:eastAsia="zh-CN"/>
        </w:rPr>
        <w:t>本方案按工程实际计取15.28万元（其中水土保持方案编制费1.00万元）。</w:t>
      </w:r>
    </w:p>
    <w:p w14:paraId="02D0D1E6">
      <w:pPr>
        <w:widowControl w:val="0"/>
        <w:numPr>
          <w:ilvl w:val="0"/>
          <w:numId w:val="0"/>
        </w:numPr>
        <w:spacing w:line="360" w:lineRule="auto"/>
        <w:ind w:firstLine="480" w:firstLineChars="200"/>
        <w:jc w:val="both"/>
        <w:rPr>
          <w:rFonts w:hint="default" w:ascii="Times New Roman" w:hAnsi="Times New Roman" w:eastAsia="仿宋_GB2312" w:cs="Times New Roman"/>
          <w:snapToGrid w:val="0"/>
          <w:color w:val="auto"/>
          <w:sz w:val="24"/>
          <w:szCs w:val="24"/>
          <w:lang w:val="en-US" w:eastAsia="zh-CN"/>
        </w:rPr>
      </w:pPr>
      <w:r>
        <w:rPr>
          <w:rFonts w:hint="default" w:ascii="Times New Roman" w:hAnsi="Times New Roman" w:eastAsia="仿宋_GB2312" w:cs="Times New Roman"/>
          <w:snapToGrid w:val="0"/>
          <w:color w:val="auto"/>
          <w:sz w:val="24"/>
          <w:szCs w:val="24"/>
          <w:lang w:val="en-US" w:eastAsia="zh-CN"/>
        </w:rPr>
        <w:t>3）水土保持监理费</w:t>
      </w:r>
    </w:p>
    <w:p w14:paraId="33F29726">
      <w:pPr>
        <w:spacing w:line="360" w:lineRule="auto"/>
        <w:ind w:firstLine="480" w:firstLineChars="200"/>
        <w:rPr>
          <w:rFonts w:hint="default" w:ascii="Times New Roman" w:hAnsi="Times New Roman" w:eastAsia="仿宋_GB2312" w:cs="Times New Roman"/>
          <w:snapToGrid w:val="0"/>
          <w:color w:val="auto"/>
          <w:sz w:val="24"/>
          <w:szCs w:val="24"/>
          <w:lang w:val="en-US" w:eastAsia="zh-CN"/>
        </w:rPr>
      </w:pPr>
      <w:r>
        <w:rPr>
          <w:rFonts w:hint="default" w:ascii="Times New Roman" w:hAnsi="Times New Roman" w:eastAsia="仿宋_GB2312" w:cs="Times New Roman"/>
          <w:snapToGrid w:val="0"/>
          <w:color w:val="auto"/>
          <w:sz w:val="24"/>
          <w:szCs w:val="24"/>
        </w:rPr>
        <w:t>按（水保〔2019〕160 号）要求，本项目</w:t>
      </w:r>
      <w:r>
        <w:rPr>
          <w:rFonts w:hint="default" w:ascii="Times New Roman" w:hAnsi="Times New Roman" w:eastAsia="仿宋_GB2312" w:cs="Times New Roman"/>
          <w:snapToGrid w:val="0"/>
          <w:color w:val="auto"/>
          <w:sz w:val="24"/>
          <w:szCs w:val="24"/>
          <w:lang w:val="en-US" w:eastAsia="zh-CN"/>
        </w:rPr>
        <w:t>无需</w:t>
      </w:r>
      <w:r>
        <w:rPr>
          <w:rFonts w:hint="default" w:ascii="Times New Roman" w:hAnsi="Times New Roman" w:eastAsia="仿宋_GB2312" w:cs="Times New Roman"/>
          <w:snapToGrid w:val="0"/>
          <w:color w:val="auto"/>
          <w:sz w:val="24"/>
          <w:szCs w:val="24"/>
        </w:rPr>
        <w:t>配备具有水土保持专业监理资格的工程师</w:t>
      </w:r>
      <w:r>
        <w:rPr>
          <w:rFonts w:hint="default" w:ascii="Times New Roman" w:hAnsi="Times New Roman" w:eastAsia="仿宋_GB2312" w:cs="Times New Roman"/>
          <w:snapToGrid w:val="0"/>
          <w:color w:val="auto"/>
          <w:sz w:val="24"/>
          <w:szCs w:val="24"/>
          <w:lang w:eastAsia="zh-CN"/>
        </w:rPr>
        <w:t>，</w:t>
      </w:r>
      <w:r>
        <w:rPr>
          <w:rFonts w:hint="default" w:ascii="Times New Roman" w:hAnsi="Times New Roman" w:eastAsia="仿宋_GB2312" w:cs="Times New Roman"/>
          <w:snapToGrid w:val="0"/>
          <w:color w:val="auto"/>
          <w:sz w:val="24"/>
          <w:szCs w:val="24"/>
          <w:lang w:val="en-US" w:eastAsia="zh-CN"/>
        </w:rPr>
        <w:t>本项目未单独开展专项的水土保持监理工作，</w:t>
      </w:r>
      <w:r>
        <w:rPr>
          <w:rFonts w:hint="default" w:ascii="Times New Roman" w:hAnsi="Times New Roman" w:eastAsia="仿宋_GB2312" w:cs="Times New Roman"/>
          <w:snapToGrid w:val="0"/>
          <w:color w:val="auto"/>
          <w:sz w:val="24"/>
          <w:szCs w:val="24"/>
        </w:rPr>
        <w:t>不列此项费用。</w:t>
      </w:r>
    </w:p>
    <w:p w14:paraId="3D4F5B43">
      <w:pPr>
        <w:numPr>
          <w:ilvl w:val="0"/>
          <w:numId w:val="0"/>
        </w:numPr>
        <w:spacing w:line="360" w:lineRule="auto"/>
        <w:ind w:firstLine="480" w:firstLineChars="200"/>
        <w:rPr>
          <w:rFonts w:hint="default" w:ascii="Times New Roman" w:hAnsi="Times New Roman" w:eastAsia="仿宋_GB2312" w:cs="Times New Roman"/>
          <w:snapToGrid w:val="0"/>
          <w:color w:val="auto"/>
          <w:sz w:val="24"/>
          <w:szCs w:val="24"/>
          <w:lang w:val="en-US" w:eastAsia="zh-CN"/>
        </w:rPr>
      </w:pPr>
      <w:r>
        <w:rPr>
          <w:rFonts w:hint="default" w:ascii="Times New Roman" w:hAnsi="Times New Roman" w:eastAsia="仿宋_GB2312" w:cs="Times New Roman"/>
          <w:snapToGrid w:val="0"/>
          <w:color w:val="auto"/>
          <w:sz w:val="24"/>
          <w:szCs w:val="24"/>
          <w:lang w:val="en-US" w:eastAsia="zh-CN"/>
        </w:rPr>
        <w:t>5、预备费</w:t>
      </w:r>
    </w:p>
    <w:p w14:paraId="68B91BB1">
      <w:pPr>
        <w:spacing w:before="0" w:after="0" w:line="360" w:lineRule="auto"/>
        <w:ind w:firstLine="480" w:firstLineChars="200"/>
        <w:outlineLvl w:val="9"/>
        <w:rPr>
          <w:rFonts w:hint="default" w:ascii="Times New Roman" w:hAnsi="Times New Roman" w:eastAsia="仿宋_GB2312" w:cs="Times New Roman"/>
          <w:bCs w:val="0"/>
          <w:color w:val="auto"/>
          <w:kern w:val="2"/>
          <w:sz w:val="24"/>
          <w:szCs w:val="24"/>
          <w:lang w:val="en-US" w:eastAsia="zh-CN" w:bidi="ar-SA"/>
        </w:rPr>
      </w:pPr>
      <w:r>
        <w:rPr>
          <w:rFonts w:hint="default" w:ascii="Times New Roman" w:hAnsi="Times New Roman" w:eastAsia="仿宋_GB2312" w:cs="Times New Roman"/>
          <w:bCs w:val="0"/>
          <w:color w:val="auto"/>
          <w:kern w:val="2"/>
          <w:sz w:val="24"/>
          <w:szCs w:val="24"/>
          <w:lang w:val="en-US" w:eastAsia="zh-CN" w:bidi="ar-SA"/>
        </w:rPr>
        <w:t>（1）基本预备费</w:t>
      </w:r>
    </w:p>
    <w:p w14:paraId="56935314">
      <w:pPr>
        <w:spacing w:line="360" w:lineRule="auto"/>
        <w:ind w:firstLine="480" w:firstLineChars="200"/>
        <w:outlineLvl w:val="9"/>
        <w:rPr>
          <w:rFonts w:hint="default" w:ascii="Times New Roman" w:hAnsi="Times New Roman" w:eastAsia="仿宋_GB2312" w:cs="Times New Roman"/>
          <w:bCs w:val="0"/>
          <w:color w:val="auto"/>
          <w:kern w:val="2"/>
          <w:sz w:val="24"/>
          <w:szCs w:val="24"/>
          <w:lang w:val="en-US" w:eastAsia="zh-CN" w:bidi="ar-SA"/>
        </w:rPr>
      </w:pPr>
      <w:r>
        <w:rPr>
          <w:rFonts w:hint="default" w:ascii="Times New Roman" w:hAnsi="Times New Roman" w:eastAsia="仿宋_GB2312" w:cs="Times New Roman"/>
          <w:bCs w:val="0"/>
          <w:color w:val="auto"/>
          <w:kern w:val="2"/>
          <w:sz w:val="24"/>
          <w:szCs w:val="24"/>
          <w:lang w:val="en-US" w:eastAsia="zh-CN" w:bidi="ar-SA"/>
        </w:rPr>
        <w:t>按工程措施费、植物措施费、监测措施费、施工临时工程费、独立费用之和的3%～5%计算，本项目已完工，不计此项费用。</w:t>
      </w:r>
    </w:p>
    <w:p w14:paraId="7EE207B5">
      <w:pPr>
        <w:spacing w:before="0" w:after="0" w:line="360" w:lineRule="auto"/>
        <w:ind w:firstLine="480" w:firstLineChars="200"/>
        <w:outlineLvl w:val="9"/>
        <w:rPr>
          <w:rFonts w:hint="default" w:ascii="Times New Roman" w:hAnsi="Times New Roman" w:eastAsia="仿宋_GB2312" w:cs="Times New Roman"/>
          <w:b w:val="0"/>
          <w:bCs w:val="0"/>
          <w:color w:val="auto"/>
          <w:kern w:val="2"/>
          <w:sz w:val="24"/>
          <w:szCs w:val="24"/>
          <w:lang w:val="en-US" w:eastAsia="zh-CN" w:bidi="ar-SA"/>
        </w:rPr>
      </w:pPr>
      <w:r>
        <w:rPr>
          <w:rFonts w:hint="default" w:ascii="Times New Roman" w:hAnsi="Times New Roman" w:eastAsia="仿宋_GB2312" w:cs="Times New Roman"/>
          <w:b w:val="0"/>
          <w:bCs w:val="0"/>
          <w:color w:val="auto"/>
          <w:kern w:val="2"/>
          <w:sz w:val="24"/>
          <w:szCs w:val="24"/>
          <w:lang w:val="en-US" w:eastAsia="zh-CN" w:bidi="ar-SA"/>
        </w:rPr>
        <w:t xml:space="preserve">（2）价差预备费 </w:t>
      </w:r>
    </w:p>
    <w:p w14:paraId="41D9CDF7">
      <w:pPr>
        <w:spacing w:before="0" w:after="0" w:line="360" w:lineRule="auto"/>
        <w:ind w:firstLine="480" w:firstLineChars="200"/>
        <w:outlineLvl w:val="9"/>
        <w:rPr>
          <w:rFonts w:hint="default" w:ascii="Times New Roman" w:hAnsi="Times New Roman" w:eastAsia="仿宋_GB2312" w:cs="Times New Roman"/>
          <w:bCs w:val="0"/>
          <w:color w:val="auto"/>
          <w:kern w:val="2"/>
          <w:sz w:val="24"/>
          <w:szCs w:val="24"/>
          <w:lang w:val="en-US" w:eastAsia="zh-CN" w:bidi="ar-SA"/>
        </w:rPr>
      </w:pPr>
      <w:r>
        <w:rPr>
          <w:rFonts w:hint="default" w:ascii="Times New Roman" w:hAnsi="Times New Roman" w:eastAsia="仿宋_GB2312" w:cs="Times New Roman"/>
          <w:bCs w:val="0"/>
          <w:color w:val="auto"/>
          <w:kern w:val="2"/>
          <w:sz w:val="24"/>
          <w:szCs w:val="24"/>
          <w:lang w:val="en-US" w:eastAsia="zh-CN" w:bidi="ar-SA"/>
        </w:rPr>
        <w:t>根据《水利工程设计概（估）算编制规定》及水利工程系列定额（水总〔2024〕323号），生产建设项目水土保持工程不单独计列价差预备费。</w:t>
      </w:r>
    </w:p>
    <w:p w14:paraId="0E899961">
      <w:pPr>
        <w:numPr>
          <w:ilvl w:val="0"/>
          <w:numId w:val="0"/>
        </w:numPr>
        <w:spacing w:line="360" w:lineRule="auto"/>
        <w:ind w:firstLine="480" w:firstLineChars="200"/>
        <w:outlineLvl w:val="9"/>
        <w:rPr>
          <w:rFonts w:hint="default" w:ascii="Times New Roman" w:hAnsi="Times New Roman" w:eastAsia="仿宋_GB2312" w:cs="Times New Roman"/>
          <w:snapToGrid w:val="0"/>
          <w:color w:val="auto"/>
          <w:sz w:val="24"/>
          <w:szCs w:val="24"/>
          <w:lang w:val="en-US" w:eastAsia="zh-CN"/>
        </w:rPr>
      </w:pPr>
      <w:r>
        <w:rPr>
          <w:rFonts w:hint="default" w:ascii="Times New Roman" w:hAnsi="Times New Roman" w:eastAsia="仿宋_GB2312" w:cs="Times New Roman"/>
          <w:snapToGrid w:val="0"/>
          <w:color w:val="auto"/>
          <w:sz w:val="24"/>
          <w:szCs w:val="24"/>
          <w:lang w:val="en-US" w:eastAsia="zh-CN"/>
        </w:rPr>
        <w:t>6、水土保持补偿费</w:t>
      </w:r>
    </w:p>
    <w:p w14:paraId="5BAD7C21">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根据《四川省发展和改革委员会、四川省财政厅＜关于制定水土保持补偿费收费标准＞的通知》（川发改价格〔2017〕347号）的相关规定，本项目水土保持补偿费暂按1.3</w:t>
      </w:r>
      <w:r>
        <w:rPr>
          <w:rFonts w:hint="default" w:ascii="Times New Roman" w:hAnsi="Times New Roman" w:eastAsia="仿宋_GB2312" w:cs="Times New Roman"/>
          <w:color w:val="auto"/>
          <w:sz w:val="24"/>
          <w:szCs w:val="24"/>
          <w:lang w:val="en-US" w:eastAsia="zh-CN"/>
        </w:rPr>
        <w:t>0</w:t>
      </w:r>
      <w:r>
        <w:rPr>
          <w:rFonts w:hint="default" w:ascii="Times New Roman" w:hAnsi="Times New Roman" w:eastAsia="仿宋_GB2312" w:cs="Times New Roman"/>
          <w:color w:val="auto"/>
          <w:sz w:val="24"/>
          <w:szCs w:val="24"/>
        </w:rPr>
        <w:t>元/平方米计列</w:t>
      </w:r>
      <w:r>
        <w:rPr>
          <w:rFonts w:hint="default" w:ascii="Times New Roman" w:hAnsi="Times New Roman" w:eastAsia="仿宋_GB2312" w:cs="Times New Roman"/>
          <w:color w:val="auto"/>
          <w:sz w:val="24"/>
          <w:szCs w:val="24"/>
          <w:lang w:eastAsia="zh-CN"/>
        </w:rPr>
        <w:t>，本项目占地面积</w:t>
      </w:r>
      <w:r>
        <w:rPr>
          <w:rFonts w:hint="default" w:ascii="Times New Roman" w:hAnsi="Times New Roman" w:eastAsia="仿宋_GB2312" w:cs="Times New Roman"/>
          <w:color w:val="auto"/>
          <w:sz w:val="24"/>
          <w:szCs w:val="24"/>
          <w:lang w:val="en-US" w:eastAsia="zh-CN"/>
        </w:rPr>
        <w:t>3270.00</w:t>
      </w:r>
      <w:r>
        <w:rPr>
          <w:rFonts w:hint="default" w:ascii="Times New Roman" w:hAnsi="Times New Roman" w:eastAsia="仿宋_GB2312" w:cs="Times New Roman"/>
          <w:color w:val="auto"/>
          <w:sz w:val="24"/>
          <w:szCs w:val="24"/>
        </w:rPr>
        <w:t>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需缴纳水土保持补偿费</w:t>
      </w:r>
      <w:r>
        <w:rPr>
          <w:rFonts w:hint="default" w:ascii="Times New Roman" w:hAnsi="Times New Roman" w:eastAsia="仿宋_GB2312" w:cs="Times New Roman"/>
          <w:color w:val="auto"/>
          <w:sz w:val="24"/>
          <w:szCs w:val="24"/>
          <w:lang w:val="en-US" w:eastAsia="zh-CN"/>
        </w:rPr>
        <w:t>0.43万元</w:t>
      </w:r>
      <w:r>
        <w:rPr>
          <w:rFonts w:hint="default" w:ascii="Times New Roman" w:hAnsi="Times New Roman" w:eastAsia="仿宋_GB2312" w:cs="Times New Roman"/>
          <w:color w:val="auto"/>
          <w:kern w:val="0"/>
          <w:sz w:val="24"/>
          <w:szCs w:val="24"/>
          <w:lang w:eastAsia="zh-CN"/>
        </w:rPr>
        <w:t>（</w:t>
      </w:r>
      <w:r>
        <w:rPr>
          <w:rFonts w:hint="default" w:ascii="Times New Roman" w:hAnsi="Times New Roman" w:eastAsia="仿宋_GB2312" w:cs="Times New Roman"/>
          <w:color w:val="auto"/>
          <w:kern w:val="0"/>
          <w:sz w:val="24"/>
          <w:szCs w:val="24"/>
          <w:lang w:val="en-US" w:eastAsia="zh-CN"/>
        </w:rPr>
        <w:t>4251.00元</w:t>
      </w:r>
      <w:r>
        <w:rPr>
          <w:rFonts w:hint="default" w:ascii="Times New Roman" w:hAnsi="Times New Roman" w:eastAsia="仿宋_GB2312" w:cs="Times New Roman"/>
          <w:color w:val="auto"/>
          <w:kern w:val="0"/>
          <w:sz w:val="24"/>
          <w:szCs w:val="24"/>
          <w:lang w:eastAsia="zh-CN"/>
        </w:rPr>
        <w:t>）</w:t>
      </w:r>
      <w:r>
        <w:rPr>
          <w:rFonts w:hint="default" w:ascii="Times New Roman" w:hAnsi="Times New Roman" w:eastAsia="仿宋_GB2312" w:cs="Times New Roman"/>
          <w:color w:val="auto"/>
          <w:sz w:val="24"/>
          <w:szCs w:val="24"/>
        </w:rPr>
        <w:t>。</w:t>
      </w:r>
    </w:p>
    <w:p w14:paraId="76C98CA9">
      <w:pPr>
        <w:pStyle w:val="5"/>
        <w:spacing w:before="0" w:after="0" w:line="360" w:lineRule="auto"/>
        <w:outlineLvl w:val="3"/>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rPr>
        <w:t>7.1.</w:t>
      </w:r>
      <w:r>
        <w:rPr>
          <w:rFonts w:hint="default" w:ascii="Times New Roman" w:hAnsi="Times New Roman" w:cs="Times New Roman"/>
          <w:b/>
          <w:bCs/>
          <w:color w:val="auto"/>
          <w:sz w:val="24"/>
          <w:szCs w:val="24"/>
          <w:lang w:val="en-US" w:eastAsia="zh-CN"/>
        </w:rPr>
        <w:t>2.2</w:t>
      </w:r>
      <w:r>
        <w:rPr>
          <w:rFonts w:hint="default" w:ascii="Times New Roman" w:hAnsi="Times New Roman" w:eastAsia="仿宋_GB2312" w:cs="Times New Roman"/>
          <w:b/>
          <w:bCs/>
          <w:color w:val="auto"/>
          <w:sz w:val="24"/>
          <w:szCs w:val="24"/>
          <w:lang w:val="en-US" w:eastAsia="zh-CN"/>
        </w:rPr>
        <w:t>概</w:t>
      </w:r>
      <w:r>
        <w:rPr>
          <w:rFonts w:hint="default" w:ascii="Times New Roman" w:hAnsi="Times New Roman" w:eastAsia="仿宋_GB2312" w:cs="Times New Roman"/>
          <w:b/>
          <w:bCs/>
          <w:color w:val="auto"/>
          <w:sz w:val="24"/>
          <w:szCs w:val="24"/>
        </w:rPr>
        <w:t>算</w:t>
      </w:r>
      <w:r>
        <w:rPr>
          <w:rFonts w:hint="default" w:ascii="Times New Roman" w:hAnsi="Times New Roman" w:eastAsia="仿宋_GB2312" w:cs="Times New Roman"/>
          <w:b/>
          <w:bCs/>
          <w:color w:val="auto"/>
          <w:sz w:val="24"/>
          <w:szCs w:val="24"/>
          <w:lang w:val="en-US" w:eastAsia="zh-CN"/>
        </w:rPr>
        <w:t>成果</w:t>
      </w:r>
    </w:p>
    <w:p w14:paraId="08245B7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snapToGrid w:val="0"/>
          <w:color w:val="auto"/>
          <w:sz w:val="24"/>
          <w:szCs w:val="24"/>
          <w:lang w:val="en-US" w:eastAsia="zh-CN" w:bidi="ar-SA"/>
        </w:rPr>
      </w:pPr>
      <w:r>
        <w:rPr>
          <w:rFonts w:hint="default" w:ascii="Times New Roman" w:hAnsi="Times New Roman" w:eastAsia="仿宋_GB2312" w:cs="Times New Roman"/>
          <w:color w:val="auto"/>
          <w:kern w:val="0"/>
          <w:sz w:val="24"/>
          <w:szCs w:val="24"/>
        </w:rPr>
        <w:t>本项目水土保持</w:t>
      </w:r>
      <w:r>
        <w:rPr>
          <w:rFonts w:hint="default" w:ascii="Times New Roman" w:hAnsi="Times New Roman" w:eastAsia="仿宋_GB2312" w:cs="Times New Roman"/>
          <w:color w:val="auto"/>
          <w:kern w:val="0"/>
          <w:sz w:val="24"/>
          <w:szCs w:val="24"/>
          <w:lang w:val="en-US" w:eastAsia="zh-CN"/>
        </w:rPr>
        <w:t>概</w:t>
      </w:r>
      <w:r>
        <w:rPr>
          <w:rFonts w:hint="default" w:ascii="Times New Roman" w:hAnsi="Times New Roman" w:eastAsia="仿宋_GB2312" w:cs="Times New Roman"/>
          <w:color w:val="auto"/>
          <w:kern w:val="0"/>
          <w:sz w:val="24"/>
          <w:szCs w:val="24"/>
        </w:rPr>
        <w:t>算总投资为</w:t>
      </w:r>
      <w:r>
        <w:rPr>
          <w:rFonts w:hint="default" w:ascii="Times New Roman" w:hAnsi="Times New Roman" w:eastAsia="仿宋_GB2312" w:cs="Times New Roman"/>
          <w:b w:val="0"/>
          <w:snapToGrid w:val="0"/>
          <w:color w:val="auto"/>
          <w:kern w:val="2"/>
          <w:sz w:val="24"/>
          <w:szCs w:val="24"/>
          <w:lang w:val="en-US" w:eastAsia="zh-CN" w:bidi="ar-SA"/>
        </w:rPr>
        <w:t>37.60万元，其中工程措施费为20.92万元，植物措施费为0.13万元，监测措施费0万元，施工临时工程费0.42万元，独立费用15.70万元，预备费0万元，水土保持补偿费</w:t>
      </w:r>
      <w:r>
        <w:rPr>
          <w:rFonts w:hint="default" w:ascii="Times New Roman" w:hAnsi="Times New Roman" w:eastAsia="仿宋_GB2312" w:cs="Times New Roman"/>
          <w:color w:val="auto"/>
          <w:sz w:val="24"/>
          <w:szCs w:val="24"/>
          <w:lang w:val="en-US" w:eastAsia="zh-CN"/>
        </w:rPr>
        <w:t>0.43万元</w:t>
      </w:r>
      <w:r>
        <w:rPr>
          <w:rFonts w:hint="default" w:ascii="Times New Roman" w:hAnsi="Times New Roman" w:eastAsia="仿宋_GB2312" w:cs="Times New Roman"/>
          <w:color w:val="auto"/>
          <w:kern w:val="0"/>
          <w:sz w:val="24"/>
          <w:szCs w:val="24"/>
          <w:lang w:eastAsia="zh-CN"/>
        </w:rPr>
        <w:t>（</w:t>
      </w:r>
      <w:r>
        <w:rPr>
          <w:rFonts w:hint="default" w:ascii="Times New Roman" w:hAnsi="Times New Roman" w:eastAsia="仿宋_GB2312" w:cs="Times New Roman"/>
          <w:color w:val="auto"/>
          <w:kern w:val="0"/>
          <w:sz w:val="24"/>
          <w:szCs w:val="24"/>
          <w:lang w:val="en-US" w:eastAsia="zh-CN"/>
        </w:rPr>
        <w:t>4251.00元</w:t>
      </w:r>
      <w:r>
        <w:rPr>
          <w:rFonts w:hint="default" w:ascii="Times New Roman" w:hAnsi="Times New Roman" w:eastAsia="仿宋_GB2312" w:cs="Times New Roman"/>
          <w:color w:val="auto"/>
          <w:kern w:val="0"/>
          <w:sz w:val="24"/>
          <w:szCs w:val="24"/>
          <w:lang w:eastAsia="zh-CN"/>
        </w:rPr>
        <w:t>）</w:t>
      </w:r>
      <w:r>
        <w:rPr>
          <w:rFonts w:hint="default" w:ascii="Times New Roman" w:hAnsi="Times New Roman" w:eastAsia="仿宋_GB2312" w:cs="Times New Roman"/>
          <w:b w:val="0"/>
          <w:snapToGrid w:val="0"/>
          <w:color w:val="auto"/>
          <w:kern w:val="2"/>
          <w:sz w:val="24"/>
          <w:szCs w:val="24"/>
          <w:lang w:val="en-US" w:eastAsia="zh-CN" w:bidi="ar-SA"/>
        </w:rPr>
        <w:t>。独立费用中建设管理费0.42万元（其中项目经常费/水土保持设施验收费0.20万元、技术咨询费0.22万元）、科研勘测设计费15.28万元（含水土保持方案编制费1.00万元）、水土保持监理费0万元</w:t>
      </w:r>
      <w:r>
        <w:rPr>
          <w:rFonts w:hint="default" w:ascii="Times New Roman" w:hAnsi="Times New Roman" w:eastAsia="仿宋_GB2312" w:cs="Times New Roman"/>
          <w:color w:val="auto"/>
          <w:szCs w:val="24"/>
        </w:rPr>
        <w:t>。</w:t>
      </w:r>
    </w:p>
    <w:p w14:paraId="450ADD86">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default" w:ascii="Times New Roman" w:hAnsi="Times New Roman" w:eastAsia="仿宋_GB2312" w:cs="Times New Roman"/>
          <w:b/>
          <w:color w:val="auto"/>
          <w:sz w:val="21"/>
          <w:szCs w:val="21"/>
          <w:vertAlign w:val="baseline"/>
          <w:lang w:val="en-US" w:eastAsia="zh-CN" w:bidi="ar"/>
        </w:rPr>
      </w:pPr>
      <w:r>
        <w:rPr>
          <w:rFonts w:hint="default" w:ascii="Times New Roman" w:hAnsi="Times New Roman" w:eastAsia="仿宋_GB2312" w:cs="Times New Roman"/>
          <w:b/>
          <w:color w:val="auto"/>
          <w:sz w:val="21"/>
          <w:szCs w:val="21"/>
          <w:lang w:bidi="ar"/>
        </w:rPr>
        <w:t>表7</w:t>
      </w:r>
      <w:r>
        <w:rPr>
          <w:rFonts w:hint="default" w:ascii="Times New Roman" w:hAnsi="Times New Roman" w:eastAsia="仿宋_GB2312" w:cs="Times New Roman"/>
          <w:b/>
          <w:color w:val="auto"/>
          <w:sz w:val="21"/>
          <w:szCs w:val="21"/>
          <w:lang w:val="en-US" w:eastAsia="zh-CN" w:bidi="ar"/>
        </w:rPr>
        <w:t>.1</w:t>
      </w:r>
      <w:r>
        <w:rPr>
          <w:rFonts w:hint="default" w:ascii="Times New Roman" w:hAnsi="Times New Roman" w:eastAsia="仿宋_GB2312" w:cs="Times New Roman"/>
          <w:b/>
          <w:color w:val="auto"/>
          <w:sz w:val="21"/>
          <w:szCs w:val="21"/>
          <w:lang w:bidi="ar"/>
        </w:rPr>
        <w:t>-</w:t>
      </w:r>
      <w:r>
        <w:rPr>
          <w:rFonts w:hint="default" w:ascii="Times New Roman" w:hAnsi="Times New Roman" w:eastAsia="仿宋_GB2312" w:cs="Times New Roman"/>
          <w:b/>
          <w:color w:val="auto"/>
          <w:sz w:val="21"/>
          <w:szCs w:val="21"/>
          <w:lang w:val="en-US" w:eastAsia="zh-CN" w:bidi="ar"/>
        </w:rPr>
        <w:t xml:space="preserve">2  </w:t>
      </w:r>
      <w:r>
        <w:rPr>
          <w:rFonts w:hint="default" w:ascii="Times New Roman" w:hAnsi="Times New Roman" w:eastAsia="仿宋_GB2312" w:cs="Times New Roman"/>
          <w:b/>
          <w:kern w:val="0"/>
          <w:sz w:val="21"/>
          <w:szCs w:val="21"/>
        </w:rPr>
        <w:t>总</w:t>
      </w:r>
      <w:r>
        <w:rPr>
          <w:rFonts w:hint="default" w:ascii="Times New Roman" w:hAnsi="Times New Roman" w:eastAsia="仿宋_GB2312" w:cs="Times New Roman"/>
          <w:b/>
          <w:kern w:val="0"/>
          <w:sz w:val="21"/>
          <w:szCs w:val="21"/>
          <w:lang w:val="en-US" w:eastAsia="zh-CN"/>
        </w:rPr>
        <w:t>概</w:t>
      </w:r>
      <w:r>
        <w:rPr>
          <w:rFonts w:hint="default" w:ascii="Times New Roman" w:hAnsi="Times New Roman" w:eastAsia="仿宋_GB2312" w:cs="Times New Roman"/>
          <w:b/>
          <w:kern w:val="0"/>
          <w:sz w:val="21"/>
          <w:szCs w:val="21"/>
        </w:rPr>
        <w:t xml:space="preserve">算表 </w:t>
      </w:r>
      <w:r>
        <w:rPr>
          <w:rFonts w:hint="default" w:ascii="Times New Roman" w:hAnsi="Times New Roman" w:eastAsia="仿宋_GB2312" w:cs="Times New Roman"/>
          <w:b/>
          <w:kern w:val="0"/>
          <w:sz w:val="21"/>
          <w:szCs w:val="21"/>
          <w:lang w:val="en-US" w:eastAsia="zh-CN"/>
        </w:rPr>
        <w:t xml:space="preserve">                     单位：万元</w:t>
      </w:r>
    </w:p>
    <w:tbl>
      <w:tblPr>
        <w:tblStyle w:val="19"/>
        <w:tblW w:w="494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2486"/>
        <w:gridCol w:w="1546"/>
        <w:gridCol w:w="1526"/>
        <w:gridCol w:w="1306"/>
        <w:gridCol w:w="1355"/>
      </w:tblGrid>
      <w:tr w14:paraId="76EDC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vAlign w:val="center"/>
          </w:tcPr>
          <w:p w14:paraId="5FB3007B">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序号</w:t>
            </w:r>
          </w:p>
        </w:tc>
        <w:tc>
          <w:tcPr>
            <w:tcW w:w="2486" w:type="dxa"/>
            <w:tcBorders>
              <w:tl2br w:val="nil"/>
              <w:tr2bl w:val="nil"/>
            </w:tcBorders>
            <w:vAlign w:val="center"/>
          </w:tcPr>
          <w:p w14:paraId="10E0519B">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工程或费用名称</w:t>
            </w:r>
          </w:p>
        </w:tc>
        <w:tc>
          <w:tcPr>
            <w:tcW w:w="1546" w:type="dxa"/>
            <w:tcBorders>
              <w:tl2br w:val="nil"/>
              <w:tr2bl w:val="nil"/>
            </w:tcBorders>
            <w:vAlign w:val="center"/>
          </w:tcPr>
          <w:p w14:paraId="7F51E288">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建筑安装工程费</w:t>
            </w:r>
          </w:p>
        </w:tc>
        <w:tc>
          <w:tcPr>
            <w:tcW w:w="1526" w:type="dxa"/>
            <w:tcBorders>
              <w:tl2br w:val="nil"/>
              <w:tr2bl w:val="nil"/>
            </w:tcBorders>
            <w:vAlign w:val="center"/>
          </w:tcPr>
          <w:p w14:paraId="687C755D">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设备购置费</w:t>
            </w:r>
          </w:p>
        </w:tc>
        <w:tc>
          <w:tcPr>
            <w:tcW w:w="1306" w:type="dxa"/>
            <w:tcBorders>
              <w:tl2br w:val="nil"/>
              <w:tr2bl w:val="nil"/>
            </w:tcBorders>
            <w:vAlign w:val="center"/>
          </w:tcPr>
          <w:p w14:paraId="51B06FB5">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独立费用</w:t>
            </w:r>
          </w:p>
        </w:tc>
        <w:tc>
          <w:tcPr>
            <w:tcW w:w="1355" w:type="dxa"/>
            <w:tcBorders>
              <w:tl2br w:val="nil"/>
              <w:tr2bl w:val="nil"/>
            </w:tcBorders>
            <w:vAlign w:val="center"/>
          </w:tcPr>
          <w:p w14:paraId="597FE0FA">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合计</w:t>
            </w:r>
          </w:p>
        </w:tc>
      </w:tr>
      <w:tr w14:paraId="46A28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vAlign w:val="center"/>
          </w:tcPr>
          <w:p w14:paraId="155974B0">
            <w:pPr>
              <w:jc w:val="center"/>
              <w:rPr>
                <w:rFonts w:hint="default" w:ascii="Times New Roman" w:hAnsi="Times New Roman" w:eastAsia="仿宋_GB2312" w:cs="Times New Roman"/>
                <w:color w:val="auto"/>
                <w:sz w:val="18"/>
                <w:szCs w:val="18"/>
                <w:lang w:val="en-US" w:eastAsia="zh-CN" w:bidi="ar"/>
              </w:rPr>
            </w:pPr>
          </w:p>
        </w:tc>
        <w:tc>
          <w:tcPr>
            <w:tcW w:w="2486" w:type="dxa"/>
            <w:tcBorders>
              <w:tl2br w:val="nil"/>
              <w:tr2bl w:val="nil"/>
            </w:tcBorders>
            <w:vAlign w:val="center"/>
          </w:tcPr>
          <w:p w14:paraId="64C8A0A3">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第一部分  工程措施</w:t>
            </w:r>
          </w:p>
        </w:tc>
        <w:tc>
          <w:tcPr>
            <w:tcW w:w="1546" w:type="dxa"/>
            <w:tcBorders>
              <w:tl2br w:val="nil"/>
              <w:tr2bl w:val="nil"/>
            </w:tcBorders>
            <w:vAlign w:val="center"/>
          </w:tcPr>
          <w:p w14:paraId="24B81631">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20.92</w:t>
            </w:r>
          </w:p>
        </w:tc>
        <w:tc>
          <w:tcPr>
            <w:tcW w:w="1526" w:type="dxa"/>
            <w:tcBorders>
              <w:tl2br w:val="nil"/>
              <w:tr2bl w:val="nil"/>
            </w:tcBorders>
            <w:vAlign w:val="center"/>
          </w:tcPr>
          <w:p w14:paraId="6B1170C2">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3B9A5AD9">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3A495F47">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20.92</w:t>
            </w:r>
          </w:p>
        </w:tc>
      </w:tr>
      <w:tr w14:paraId="49748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vAlign w:val="center"/>
          </w:tcPr>
          <w:p w14:paraId="47FAA4C0">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一</w:t>
            </w:r>
          </w:p>
        </w:tc>
        <w:tc>
          <w:tcPr>
            <w:tcW w:w="2486" w:type="dxa"/>
            <w:tcBorders>
              <w:tl2br w:val="nil"/>
              <w:tr2bl w:val="nil"/>
            </w:tcBorders>
            <w:vAlign w:val="center"/>
          </w:tcPr>
          <w:p w14:paraId="2C093047">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建构筑物工程区</w:t>
            </w:r>
          </w:p>
        </w:tc>
        <w:tc>
          <w:tcPr>
            <w:tcW w:w="1546" w:type="dxa"/>
            <w:tcBorders>
              <w:tl2br w:val="nil"/>
              <w:tr2bl w:val="nil"/>
            </w:tcBorders>
            <w:shd w:val="clear" w:color="auto" w:fill="auto"/>
            <w:vAlign w:val="top"/>
          </w:tcPr>
          <w:p w14:paraId="1A7271DE">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26" w:type="dxa"/>
            <w:tcBorders>
              <w:tl2br w:val="nil"/>
              <w:tr2bl w:val="nil"/>
            </w:tcBorders>
            <w:vAlign w:val="center"/>
          </w:tcPr>
          <w:p w14:paraId="38B4E798">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1CACDD66">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top"/>
          </w:tcPr>
          <w:p w14:paraId="7DFF0A1B">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049FC7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vAlign w:val="center"/>
          </w:tcPr>
          <w:p w14:paraId="7FC17A6D">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二</w:t>
            </w:r>
          </w:p>
        </w:tc>
        <w:tc>
          <w:tcPr>
            <w:tcW w:w="2486" w:type="dxa"/>
            <w:tcBorders>
              <w:tl2br w:val="nil"/>
              <w:tr2bl w:val="nil"/>
            </w:tcBorders>
            <w:vAlign w:val="center"/>
          </w:tcPr>
          <w:p w14:paraId="74CB2D3E">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硬化工程区</w:t>
            </w:r>
          </w:p>
        </w:tc>
        <w:tc>
          <w:tcPr>
            <w:tcW w:w="1546" w:type="dxa"/>
            <w:tcBorders>
              <w:tl2br w:val="nil"/>
              <w:tr2bl w:val="nil"/>
            </w:tcBorders>
            <w:shd w:val="clear" w:color="auto" w:fill="auto"/>
            <w:vAlign w:val="top"/>
          </w:tcPr>
          <w:p w14:paraId="72D0DD2E">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0.02</w:t>
            </w:r>
          </w:p>
        </w:tc>
        <w:tc>
          <w:tcPr>
            <w:tcW w:w="1526" w:type="dxa"/>
            <w:tcBorders>
              <w:tl2br w:val="nil"/>
              <w:tr2bl w:val="nil"/>
            </w:tcBorders>
            <w:vAlign w:val="center"/>
          </w:tcPr>
          <w:p w14:paraId="4FB5066C">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1EDEEB40">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top"/>
          </w:tcPr>
          <w:p w14:paraId="13DABF2D">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0.02</w:t>
            </w:r>
          </w:p>
        </w:tc>
      </w:tr>
      <w:tr w14:paraId="256953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18E43548">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（一）</w:t>
            </w:r>
          </w:p>
        </w:tc>
        <w:tc>
          <w:tcPr>
            <w:tcW w:w="2486" w:type="dxa"/>
            <w:tcBorders>
              <w:tl2br w:val="nil"/>
              <w:tr2bl w:val="nil"/>
            </w:tcBorders>
            <w:shd w:val="clear" w:color="auto" w:fill="auto"/>
            <w:vAlign w:val="center"/>
          </w:tcPr>
          <w:p w14:paraId="292E41AB">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表土保护工程</w:t>
            </w:r>
          </w:p>
        </w:tc>
        <w:tc>
          <w:tcPr>
            <w:tcW w:w="1546" w:type="dxa"/>
            <w:tcBorders>
              <w:tl2br w:val="nil"/>
              <w:tr2bl w:val="nil"/>
            </w:tcBorders>
            <w:shd w:val="clear" w:color="auto" w:fill="auto"/>
            <w:vAlign w:val="top"/>
          </w:tcPr>
          <w:p w14:paraId="211F2558">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0.02</w:t>
            </w:r>
          </w:p>
        </w:tc>
        <w:tc>
          <w:tcPr>
            <w:tcW w:w="1526" w:type="dxa"/>
            <w:tcBorders>
              <w:tl2br w:val="nil"/>
              <w:tr2bl w:val="nil"/>
            </w:tcBorders>
            <w:vAlign w:val="center"/>
          </w:tcPr>
          <w:p w14:paraId="277B4EF5">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0AA90282">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top"/>
          </w:tcPr>
          <w:p w14:paraId="2E1C323D">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0.02</w:t>
            </w:r>
          </w:p>
        </w:tc>
      </w:tr>
      <w:tr w14:paraId="6CAE42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152AE01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（二）</w:t>
            </w:r>
          </w:p>
        </w:tc>
        <w:tc>
          <w:tcPr>
            <w:tcW w:w="2486" w:type="dxa"/>
            <w:tcBorders>
              <w:tl2br w:val="nil"/>
              <w:tr2bl w:val="nil"/>
            </w:tcBorders>
            <w:shd w:val="clear" w:color="auto" w:fill="auto"/>
            <w:vAlign w:val="center"/>
          </w:tcPr>
          <w:p w14:paraId="041EFB4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防洪排导工程</w:t>
            </w:r>
          </w:p>
        </w:tc>
        <w:tc>
          <w:tcPr>
            <w:tcW w:w="1546" w:type="dxa"/>
            <w:tcBorders>
              <w:tl2br w:val="nil"/>
              <w:tr2bl w:val="nil"/>
            </w:tcBorders>
            <w:shd w:val="clear" w:color="auto" w:fill="auto"/>
            <w:vAlign w:val="top"/>
          </w:tcPr>
          <w:p w14:paraId="651FA331">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20.78</w:t>
            </w:r>
          </w:p>
        </w:tc>
        <w:tc>
          <w:tcPr>
            <w:tcW w:w="1526" w:type="dxa"/>
            <w:tcBorders>
              <w:tl2br w:val="nil"/>
              <w:tr2bl w:val="nil"/>
            </w:tcBorders>
            <w:vAlign w:val="center"/>
          </w:tcPr>
          <w:p w14:paraId="1F8646F0">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296EFAB3">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top"/>
          </w:tcPr>
          <w:p w14:paraId="5EB81701">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20.78</w:t>
            </w:r>
          </w:p>
        </w:tc>
      </w:tr>
      <w:tr w14:paraId="30F34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3C474E75">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三</w:t>
            </w:r>
          </w:p>
        </w:tc>
        <w:tc>
          <w:tcPr>
            <w:tcW w:w="2486" w:type="dxa"/>
            <w:tcBorders>
              <w:tl2br w:val="nil"/>
              <w:tr2bl w:val="nil"/>
            </w:tcBorders>
            <w:shd w:val="clear" w:color="auto" w:fill="auto"/>
            <w:vAlign w:val="center"/>
          </w:tcPr>
          <w:p w14:paraId="2D805714">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绿化工程区</w:t>
            </w:r>
          </w:p>
        </w:tc>
        <w:tc>
          <w:tcPr>
            <w:tcW w:w="1546" w:type="dxa"/>
            <w:tcBorders>
              <w:tl2br w:val="nil"/>
              <w:tr2bl w:val="nil"/>
            </w:tcBorders>
            <w:shd w:val="clear" w:color="auto" w:fill="auto"/>
            <w:vAlign w:val="top"/>
          </w:tcPr>
          <w:p w14:paraId="67709F09">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0.12</w:t>
            </w:r>
          </w:p>
        </w:tc>
        <w:tc>
          <w:tcPr>
            <w:tcW w:w="1526" w:type="dxa"/>
            <w:tcBorders>
              <w:tl2br w:val="nil"/>
              <w:tr2bl w:val="nil"/>
            </w:tcBorders>
            <w:vAlign w:val="center"/>
          </w:tcPr>
          <w:p w14:paraId="576B4880">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6CAE5D89">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top"/>
          </w:tcPr>
          <w:p w14:paraId="6F1E9503">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0.12</w:t>
            </w:r>
          </w:p>
        </w:tc>
      </w:tr>
      <w:tr w14:paraId="489AE0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457F2E94">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（一）</w:t>
            </w:r>
          </w:p>
        </w:tc>
        <w:tc>
          <w:tcPr>
            <w:tcW w:w="2486" w:type="dxa"/>
            <w:tcBorders>
              <w:tl2br w:val="nil"/>
              <w:tr2bl w:val="nil"/>
            </w:tcBorders>
            <w:shd w:val="clear" w:color="auto" w:fill="auto"/>
            <w:vAlign w:val="center"/>
          </w:tcPr>
          <w:p w14:paraId="7B808FAE">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表土保护工程</w:t>
            </w:r>
          </w:p>
        </w:tc>
        <w:tc>
          <w:tcPr>
            <w:tcW w:w="1546" w:type="dxa"/>
            <w:tcBorders>
              <w:tl2br w:val="nil"/>
              <w:tr2bl w:val="nil"/>
            </w:tcBorders>
            <w:shd w:val="clear" w:color="auto" w:fill="auto"/>
            <w:vAlign w:val="top"/>
          </w:tcPr>
          <w:p w14:paraId="1BD78E57">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0.12</w:t>
            </w:r>
          </w:p>
        </w:tc>
        <w:tc>
          <w:tcPr>
            <w:tcW w:w="1526" w:type="dxa"/>
            <w:tcBorders>
              <w:tl2br w:val="nil"/>
              <w:tr2bl w:val="nil"/>
            </w:tcBorders>
            <w:vAlign w:val="center"/>
          </w:tcPr>
          <w:p w14:paraId="33A73014">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7EA37729">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top"/>
          </w:tcPr>
          <w:p w14:paraId="652835FF">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0.12</w:t>
            </w:r>
          </w:p>
        </w:tc>
      </w:tr>
      <w:tr w14:paraId="34A69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23F26627">
            <w:pPr>
              <w:jc w:val="center"/>
              <w:rPr>
                <w:rFonts w:hint="default" w:ascii="Times New Roman" w:hAnsi="Times New Roman" w:eastAsia="仿宋_GB2312" w:cs="Times New Roman"/>
                <w:color w:val="auto"/>
                <w:sz w:val="18"/>
                <w:szCs w:val="18"/>
                <w:lang w:val="en-US" w:eastAsia="zh-CN" w:bidi="ar"/>
              </w:rPr>
            </w:pPr>
          </w:p>
        </w:tc>
        <w:tc>
          <w:tcPr>
            <w:tcW w:w="2486" w:type="dxa"/>
            <w:tcBorders>
              <w:tl2br w:val="nil"/>
              <w:tr2bl w:val="nil"/>
            </w:tcBorders>
            <w:shd w:val="clear" w:color="auto" w:fill="auto"/>
            <w:vAlign w:val="center"/>
          </w:tcPr>
          <w:p w14:paraId="6CC9F82E">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第二部分  植物措施</w:t>
            </w:r>
          </w:p>
        </w:tc>
        <w:tc>
          <w:tcPr>
            <w:tcW w:w="1546" w:type="dxa"/>
            <w:tcBorders>
              <w:tl2br w:val="nil"/>
              <w:tr2bl w:val="nil"/>
            </w:tcBorders>
            <w:vAlign w:val="center"/>
          </w:tcPr>
          <w:p w14:paraId="0955A502">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0.13</w:t>
            </w:r>
          </w:p>
        </w:tc>
        <w:tc>
          <w:tcPr>
            <w:tcW w:w="1526" w:type="dxa"/>
            <w:tcBorders>
              <w:tl2br w:val="nil"/>
              <w:tr2bl w:val="nil"/>
            </w:tcBorders>
            <w:vAlign w:val="center"/>
          </w:tcPr>
          <w:p w14:paraId="35279AAA">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3CAB0A1A">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1F8E5EF0">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0.13</w:t>
            </w:r>
          </w:p>
        </w:tc>
      </w:tr>
      <w:tr w14:paraId="0FAB9D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3878913D">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一</w:t>
            </w:r>
          </w:p>
        </w:tc>
        <w:tc>
          <w:tcPr>
            <w:tcW w:w="2486" w:type="dxa"/>
            <w:tcBorders>
              <w:tl2br w:val="nil"/>
              <w:tr2bl w:val="nil"/>
            </w:tcBorders>
            <w:shd w:val="clear" w:color="auto" w:fill="auto"/>
            <w:vAlign w:val="center"/>
          </w:tcPr>
          <w:p w14:paraId="11985459">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建构筑物工程区</w:t>
            </w:r>
          </w:p>
        </w:tc>
        <w:tc>
          <w:tcPr>
            <w:tcW w:w="1546" w:type="dxa"/>
            <w:tcBorders>
              <w:tl2br w:val="nil"/>
              <w:tr2bl w:val="nil"/>
            </w:tcBorders>
            <w:vAlign w:val="center"/>
          </w:tcPr>
          <w:p w14:paraId="3DD285BC">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26" w:type="dxa"/>
            <w:tcBorders>
              <w:tl2br w:val="nil"/>
              <w:tr2bl w:val="nil"/>
            </w:tcBorders>
            <w:vAlign w:val="center"/>
          </w:tcPr>
          <w:p w14:paraId="1227D510">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45AD157D">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1D40A7EC">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793ED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484C3219">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二</w:t>
            </w:r>
          </w:p>
        </w:tc>
        <w:tc>
          <w:tcPr>
            <w:tcW w:w="2486" w:type="dxa"/>
            <w:tcBorders>
              <w:tl2br w:val="nil"/>
              <w:tr2bl w:val="nil"/>
            </w:tcBorders>
            <w:shd w:val="clear" w:color="auto" w:fill="auto"/>
            <w:vAlign w:val="center"/>
          </w:tcPr>
          <w:p w14:paraId="64A1ECBA">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硬化工程区</w:t>
            </w:r>
          </w:p>
        </w:tc>
        <w:tc>
          <w:tcPr>
            <w:tcW w:w="1546" w:type="dxa"/>
            <w:tcBorders>
              <w:tl2br w:val="nil"/>
              <w:tr2bl w:val="nil"/>
            </w:tcBorders>
            <w:vAlign w:val="center"/>
          </w:tcPr>
          <w:p w14:paraId="1BDCBBC6">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26" w:type="dxa"/>
            <w:tcBorders>
              <w:tl2br w:val="nil"/>
              <w:tr2bl w:val="nil"/>
            </w:tcBorders>
            <w:vAlign w:val="center"/>
          </w:tcPr>
          <w:p w14:paraId="3DA8A459">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1BC81053">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1164F6D7">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4D470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4D0ED6AB">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三</w:t>
            </w:r>
          </w:p>
        </w:tc>
        <w:tc>
          <w:tcPr>
            <w:tcW w:w="2486" w:type="dxa"/>
            <w:tcBorders>
              <w:tl2br w:val="nil"/>
              <w:tr2bl w:val="nil"/>
            </w:tcBorders>
            <w:shd w:val="clear" w:color="auto" w:fill="auto"/>
            <w:vAlign w:val="center"/>
          </w:tcPr>
          <w:p w14:paraId="53B1A541">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绿化工程区</w:t>
            </w:r>
          </w:p>
        </w:tc>
        <w:tc>
          <w:tcPr>
            <w:tcW w:w="1546" w:type="dxa"/>
            <w:tcBorders>
              <w:tl2br w:val="nil"/>
              <w:tr2bl w:val="nil"/>
            </w:tcBorders>
            <w:vAlign w:val="center"/>
          </w:tcPr>
          <w:p w14:paraId="63EA1C98">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0.13</w:t>
            </w:r>
          </w:p>
        </w:tc>
        <w:tc>
          <w:tcPr>
            <w:tcW w:w="1526" w:type="dxa"/>
            <w:tcBorders>
              <w:tl2br w:val="nil"/>
              <w:tr2bl w:val="nil"/>
            </w:tcBorders>
            <w:vAlign w:val="center"/>
          </w:tcPr>
          <w:p w14:paraId="0F97CF51">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7D9FAE95">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4EA6D8E8">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0.13</w:t>
            </w:r>
          </w:p>
        </w:tc>
      </w:tr>
      <w:tr w14:paraId="7E65DC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5CE526D2">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（一）</w:t>
            </w:r>
          </w:p>
        </w:tc>
        <w:tc>
          <w:tcPr>
            <w:tcW w:w="2486" w:type="dxa"/>
            <w:tcBorders>
              <w:tl2br w:val="nil"/>
              <w:tr2bl w:val="nil"/>
            </w:tcBorders>
            <w:shd w:val="clear" w:color="auto" w:fill="auto"/>
            <w:vAlign w:val="center"/>
          </w:tcPr>
          <w:p w14:paraId="58DB7FF8">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植被恢复与建设工程</w:t>
            </w:r>
          </w:p>
        </w:tc>
        <w:tc>
          <w:tcPr>
            <w:tcW w:w="1546" w:type="dxa"/>
            <w:tcBorders>
              <w:tl2br w:val="nil"/>
              <w:tr2bl w:val="nil"/>
            </w:tcBorders>
            <w:vAlign w:val="center"/>
          </w:tcPr>
          <w:p w14:paraId="69B46746">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0.13</w:t>
            </w:r>
          </w:p>
        </w:tc>
        <w:tc>
          <w:tcPr>
            <w:tcW w:w="1526" w:type="dxa"/>
            <w:tcBorders>
              <w:tl2br w:val="nil"/>
              <w:tr2bl w:val="nil"/>
            </w:tcBorders>
            <w:vAlign w:val="center"/>
          </w:tcPr>
          <w:p w14:paraId="32DD5201">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0A44D8AA">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3DF7224D">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0.13</w:t>
            </w:r>
          </w:p>
        </w:tc>
      </w:tr>
      <w:tr w14:paraId="0719BA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0AE78369">
            <w:pPr>
              <w:jc w:val="center"/>
              <w:rPr>
                <w:rFonts w:hint="default" w:ascii="Times New Roman" w:hAnsi="Times New Roman" w:eastAsia="仿宋_GB2312" w:cs="Times New Roman"/>
                <w:color w:val="auto"/>
                <w:sz w:val="18"/>
                <w:szCs w:val="18"/>
                <w:lang w:val="en-US" w:eastAsia="zh-CN" w:bidi="ar"/>
              </w:rPr>
            </w:pPr>
          </w:p>
        </w:tc>
        <w:tc>
          <w:tcPr>
            <w:tcW w:w="2486" w:type="dxa"/>
            <w:tcBorders>
              <w:tl2br w:val="nil"/>
              <w:tr2bl w:val="nil"/>
            </w:tcBorders>
            <w:shd w:val="clear" w:color="auto" w:fill="auto"/>
            <w:vAlign w:val="center"/>
          </w:tcPr>
          <w:p w14:paraId="7BA1E4BB">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第三部分  监测措施</w:t>
            </w:r>
          </w:p>
        </w:tc>
        <w:tc>
          <w:tcPr>
            <w:tcW w:w="1546" w:type="dxa"/>
            <w:tcBorders>
              <w:tl2br w:val="nil"/>
              <w:tr2bl w:val="nil"/>
            </w:tcBorders>
            <w:vAlign w:val="center"/>
          </w:tcPr>
          <w:p w14:paraId="5F784818">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26" w:type="dxa"/>
            <w:tcBorders>
              <w:tl2br w:val="nil"/>
              <w:tr2bl w:val="nil"/>
            </w:tcBorders>
            <w:vAlign w:val="center"/>
          </w:tcPr>
          <w:p w14:paraId="36ECE009">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1C339E81">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7306B95B">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6D6FB2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4028E845">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一</w:t>
            </w:r>
          </w:p>
        </w:tc>
        <w:tc>
          <w:tcPr>
            <w:tcW w:w="2486" w:type="dxa"/>
            <w:tcBorders>
              <w:tl2br w:val="nil"/>
              <w:tr2bl w:val="nil"/>
            </w:tcBorders>
            <w:shd w:val="clear" w:color="auto" w:fill="auto"/>
            <w:vAlign w:val="center"/>
          </w:tcPr>
          <w:p w14:paraId="59DAB0CC">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水土保持监测</w:t>
            </w:r>
          </w:p>
        </w:tc>
        <w:tc>
          <w:tcPr>
            <w:tcW w:w="1546" w:type="dxa"/>
            <w:tcBorders>
              <w:tl2br w:val="nil"/>
              <w:tr2bl w:val="nil"/>
            </w:tcBorders>
            <w:vAlign w:val="center"/>
          </w:tcPr>
          <w:p w14:paraId="55AB775B">
            <w:pPr>
              <w:jc w:val="center"/>
              <w:rPr>
                <w:rFonts w:hint="default" w:ascii="Times New Roman" w:hAnsi="Times New Roman" w:eastAsia="仿宋_GB2312" w:cs="Times New Roman"/>
                <w:color w:val="auto"/>
                <w:sz w:val="18"/>
                <w:szCs w:val="18"/>
                <w:lang w:val="en-US" w:eastAsia="zh-CN" w:bidi="ar"/>
              </w:rPr>
            </w:pPr>
          </w:p>
        </w:tc>
        <w:tc>
          <w:tcPr>
            <w:tcW w:w="1526" w:type="dxa"/>
            <w:tcBorders>
              <w:tl2br w:val="nil"/>
              <w:tr2bl w:val="nil"/>
            </w:tcBorders>
            <w:vAlign w:val="center"/>
          </w:tcPr>
          <w:p w14:paraId="4B7AD8DE">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0889EC8E">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03DA7124">
            <w:pPr>
              <w:jc w:val="center"/>
              <w:rPr>
                <w:rFonts w:hint="default" w:ascii="Times New Roman" w:hAnsi="Times New Roman" w:eastAsia="仿宋_GB2312" w:cs="Times New Roman"/>
                <w:color w:val="auto"/>
                <w:kern w:val="2"/>
                <w:sz w:val="18"/>
                <w:szCs w:val="18"/>
                <w:lang w:val="en-US" w:eastAsia="zh-CN" w:bidi="ar"/>
              </w:rPr>
            </w:pPr>
          </w:p>
        </w:tc>
      </w:tr>
      <w:tr w14:paraId="50071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4ECE465F">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（一）</w:t>
            </w:r>
          </w:p>
        </w:tc>
        <w:tc>
          <w:tcPr>
            <w:tcW w:w="2486" w:type="dxa"/>
            <w:tcBorders>
              <w:tl2br w:val="nil"/>
              <w:tr2bl w:val="nil"/>
            </w:tcBorders>
            <w:shd w:val="clear" w:color="auto" w:fill="auto"/>
            <w:vAlign w:val="center"/>
          </w:tcPr>
          <w:p w14:paraId="47DB3071">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土建设施</w:t>
            </w:r>
          </w:p>
        </w:tc>
        <w:tc>
          <w:tcPr>
            <w:tcW w:w="1546" w:type="dxa"/>
            <w:tcBorders>
              <w:tl2br w:val="nil"/>
              <w:tr2bl w:val="nil"/>
            </w:tcBorders>
            <w:vAlign w:val="center"/>
          </w:tcPr>
          <w:p w14:paraId="5C330F1C">
            <w:pPr>
              <w:jc w:val="center"/>
              <w:rPr>
                <w:rFonts w:hint="default" w:ascii="Times New Roman" w:hAnsi="Times New Roman" w:eastAsia="仿宋_GB2312" w:cs="Times New Roman"/>
                <w:color w:val="auto"/>
                <w:sz w:val="18"/>
                <w:szCs w:val="18"/>
                <w:lang w:val="en-US" w:eastAsia="zh-CN" w:bidi="ar"/>
              </w:rPr>
            </w:pPr>
          </w:p>
        </w:tc>
        <w:tc>
          <w:tcPr>
            <w:tcW w:w="1526" w:type="dxa"/>
            <w:tcBorders>
              <w:tl2br w:val="nil"/>
              <w:tr2bl w:val="nil"/>
            </w:tcBorders>
            <w:vAlign w:val="center"/>
          </w:tcPr>
          <w:p w14:paraId="6F7C8E88">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18DB76A5">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065C8E6F">
            <w:pPr>
              <w:jc w:val="center"/>
              <w:rPr>
                <w:rFonts w:hint="default" w:ascii="Times New Roman" w:hAnsi="Times New Roman" w:eastAsia="仿宋_GB2312" w:cs="Times New Roman"/>
                <w:color w:val="auto"/>
                <w:kern w:val="2"/>
                <w:sz w:val="18"/>
                <w:szCs w:val="18"/>
                <w:lang w:val="en-US" w:eastAsia="zh-CN" w:bidi="ar"/>
              </w:rPr>
            </w:pPr>
          </w:p>
        </w:tc>
      </w:tr>
      <w:tr w14:paraId="15801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05891A47">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（二）</w:t>
            </w:r>
          </w:p>
        </w:tc>
        <w:tc>
          <w:tcPr>
            <w:tcW w:w="2486" w:type="dxa"/>
            <w:tcBorders>
              <w:tl2br w:val="nil"/>
              <w:tr2bl w:val="nil"/>
            </w:tcBorders>
            <w:shd w:val="clear" w:color="auto" w:fill="auto"/>
            <w:vAlign w:val="center"/>
          </w:tcPr>
          <w:p w14:paraId="2B653625">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设备及安装</w:t>
            </w:r>
          </w:p>
        </w:tc>
        <w:tc>
          <w:tcPr>
            <w:tcW w:w="1546" w:type="dxa"/>
            <w:tcBorders>
              <w:tl2br w:val="nil"/>
              <w:tr2bl w:val="nil"/>
            </w:tcBorders>
            <w:vAlign w:val="center"/>
          </w:tcPr>
          <w:p w14:paraId="1257B77B">
            <w:pPr>
              <w:jc w:val="center"/>
              <w:rPr>
                <w:rFonts w:hint="default" w:ascii="Times New Roman" w:hAnsi="Times New Roman" w:eastAsia="仿宋_GB2312" w:cs="Times New Roman"/>
                <w:color w:val="auto"/>
                <w:sz w:val="18"/>
                <w:szCs w:val="18"/>
                <w:lang w:val="en-US" w:eastAsia="zh-CN" w:bidi="ar"/>
              </w:rPr>
            </w:pPr>
          </w:p>
        </w:tc>
        <w:tc>
          <w:tcPr>
            <w:tcW w:w="1526" w:type="dxa"/>
            <w:tcBorders>
              <w:tl2br w:val="nil"/>
              <w:tr2bl w:val="nil"/>
            </w:tcBorders>
            <w:vAlign w:val="center"/>
          </w:tcPr>
          <w:p w14:paraId="68DED8B1">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51E98B8D">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7F650B80">
            <w:pPr>
              <w:jc w:val="center"/>
              <w:rPr>
                <w:rFonts w:hint="default" w:ascii="Times New Roman" w:hAnsi="Times New Roman" w:eastAsia="仿宋_GB2312" w:cs="Times New Roman"/>
                <w:color w:val="auto"/>
                <w:kern w:val="2"/>
                <w:sz w:val="18"/>
                <w:szCs w:val="18"/>
                <w:lang w:val="en-US" w:eastAsia="zh-CN" w:bidi="ar"/>
              </w:rPr>
            </w:pPr>
          </w:p>
        </w:tc>
      </w:tr>
      <w:tr w14:paraId="1A3D9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3931578A">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二</w:t>
            </w:r>
          </w:p>
        </w:tc>
        <w:tc>
          <w:tcPr>
            <w:tcW w:w="2486" w:type="dxa"/>
            <w:tcBorders>
              <w:tl2br w:val="nil"/>
              <w:tr2bl w:val="nil"/>
            </w:tcBorders>
            <w:shd w:val="clear" w:color="auto" w:fill="auto"/>
            <w:vAlign w:val="center"/>
          </w:tcPr>
          <w:p w14:paraId="6E9590CF">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弃渣场稳定监测</w:t>
            </w:r>
          </w:p>
        </w:tc>
        <w:tc>
          <w:tcPr>
            <w:tcW w:w="1546" w:type="dxa"/>
            <w:tcBorders>
              <w:tl2br w:val="nil"/>
              <w:tr2bl w:val="nil"/>
            </w:tcBorders>
            <w:vAlign w:val="center"/>
          </w:tcPr>
          <w:p w14:paraId="28A233B1">
            <w:pPr>
              <w:jc w:val="center"/>
              <w:rPr>
                <w:rFonts w:hint="default" w:ascii="Times New Roman" w:hAnsi="Times New Roman" w:eastAsia="仿宋_GB2312" w:cs="Times New Roman"/>
                <w:color w:val="auto"/>
                <w:sz w:val="18"/>
                <w:szCs w:val="18"/>
                <w:lang w:val="en-US" w:eastAsia="zh-CN" w:bidi="ar"/>
              </w:rPr>
            </w:pPr>
          </w:p>
        </w:tc>
        <w:tc>
          <w:tcPr>
            <w:tcW w:w="1526" w:type="dxa"/>
            <w:tcBorders>
              <w:tl2br w:val="nil"/>
              <w:tr2bl w:val="nil"/>
            </w:tcBorders>
            <w:vAlign w:val="center"/>
          </w:tcPr>
          <w:p w14:paraId="38AD1C9B">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6ECACA64">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60B77B41">
            <w:pPr>
              <w:jc w:val="center"/>
              <w:rPr>
                <w:rFonts w:hint="default" w:ascii="Times New Roman" w:hAnsi="Times New Roman" w:eastAsia="仿宋_GB2312" w:cs="Times New Roman"/>
                <w:color w:val="auto"/>
                <w:kern w:val="2"/>
                <w:sz w:val="18"/>
                <w:szCs w:val="18"/>
                <w:lang w:val="en-US" w:eastAsia="zh-CN" w:bidi="ar"/>
              </w:rPr>
            </w:pPr>
          </w:p>
        </w:tc>
      </w:tr>
      <w:tr w14:paraId="4EC0F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15028E5D">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（一）</w:t>
            </w:r>
          </w:p>
        </w:tc>
        <w:tc>
          <w:tcPr>
            <w:tcW w:w="2486" w:type="dxa"/>
            <w:tcBorders>
              <w:tl2br w:val="nil"/>
              <w:tr2bl w:val="nil"/>
            </w:tcBorders>
            <w:shd w:val="clear" w:color="auto" w:fill="auto"/>
            <w:vAlign w:val="center"/>
          </w:tcPr>
          <w:p w14:paraId="31A44B48">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土建设施</w:t>
            </w:r>
          </w:p>
        </w:tc>
        <w:tc>
          <w:tcPr>
            <w:tcW w:w="1546" w:type="dxa"/>
            <w:tcBorders>
              <w:tl2br w:val="nil"/>
              <w:tr2bl w:val="nil"/>
            </w:tcBorders>
            <w:vAlign w:val="center"/>
          </w:tcPr>
          <w:p w14:paraId="785273DC">
            <w:pPr>
              <w:jc w:val="center"/>
              <w:rPr>
                <w:rFonts w:hint="default" w:ascii="Times New Roman" w:hAnsi="Times New Roman" w:eastAsia="仿宋_GB2312" w:cs="Times New Roman"/>
                <w:color w:val="auto"/>
                <w:sz w:val="18"/>
                <w:szCs w:val="18"/>
                <w:lang w:val="en-US" w:eastAsia="zh-CN" w:bidi="ar"/>
              </w:rPr>
            </w:pPr>
          </w:p>
        </w:tc>
        <w:tc>
          <w:tcPr>
            <w:tcW w:w="1526" w:type="dxa"/>
            <w:tcBorders>
              <w:tl2br w:val="nil"/>
              <w:tr2bl w:val="nil"/>
            </w:tcBorders>
            <w:vAlign w:val="center"/>
          </w:tcPr>
          <w:p w14:paraId="1849BDA3">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5109FA63">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283E06A8">
            <w:pPr>
              <w:jc w:val="center"/>
              <w:rPr>
                <w:rFonts w:hint="default" w:ascii="Times New Roman" w:hAnsi="Times New Roman" w:eastAsia="仿宋_GB2312" w:cs="Times New Roman"/>
                <w:color w:val="auto"/>
                <w:kern w:val="2"/>
                <w:sz w:val="18"/>
                <w:szCs w:val="18"/>
                <w:lang w:val="en-US" w:eastAsia="zh-CN" w:bidi="ar"/>
              </w:rPr>
            </w:pPr>
          </w:p>
        </w:tc>
      </w:tr>
      <w:tr w14:paraId="6BC6E0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5EBF7681">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（二）</w:t>
            </w:r>
          </w:p>
        </w:tc>
        <w:tc>
          <w:tcPr>
            <w:tcW w:w="2486" w:type="dxa"/>
            <w:tcBorders>
              <w:tl2br w:val="nil"/>
              <w:tr2bl w:val="nil"/>
            </w:tcBorders>
            <w:shd w:val="clear" w:color="auto" w:fill="auto"/>
            <w:vAlign w:val="center"/>
          </w:tcPr>
          <w:p w14:paraId="4733C1A8">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设备及安装</w:t>
            </w:r>
          </w:p>
        </w:tc>
        <w:tc>
          <w:tcPr>
            <w:tcW w:w="1546" w:type="dxa"/>
            <w:tcBorders>
              <w:tl2br w:val="nil"/>
              <w:tr2bl w:val="nil"/>
            </w:tcBorders>
            <w:vAlign w:val="center"/>
          </w:tcPr>
          <w:p w14:paraId="5159D39A">
            <w:pPr>
              <w:jc w:val="center"/>
              <w:rPr>
                <w:rFonts w:hint="default" w:ascii="Times New Roman" w:hAnsi="Times New Roman" w:eastAsia="仿宋_GB2312" w:cs="Times New Roman"/>
                <w:color w:val="auto"/>
                <w:sz w:val="18"/>
                <w:szCs w:val="18"/>
                <w:lang w:val="en-US" w:eastAsia="zh-CN" w:bidi="ar"/>
              </w:rPr>
            </w:pPr>
          </w:p>
        </w:tc>
        <w:tc>
          <w:tcPr>
            <w:tcW w:w="1526" w:type="dxa"/>
            <w:tcBorders>
              <w:tl2br w:val="nil"/>
              <w:tr2bl w:val="nil"/>
            </w:tcBorders>
            <w:vAlign w:val="center"/>
          </w:tcPr>
          <w:p w14:paraId="60C17F1D">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7634E8D1">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0CF28C55">
            <w:pPr>
              <w:jc w:val="center"/>
              <w:rPr>
                <w:rFonts w:hint="default" w:ascii="Times New Roman" w:hAnsi="Times New Roman" w:eastAsia="仿宋_GB2312" w:cs="Times New Roman"/>
                <w:color w:val="auto"/>
                <w:kern w:val="2"/>
                <w:sz w:val="18"/>
                <w:szCs w:val="18"/>
                <w:lang w:val="en-US" w:eastAsia="zh-CN" w:bidi="ar"/>
              </w:rPr>
            </w:pPr>
          </w:p>
        </w:tc>
      </w:tr>
      <w:tr w14:paraId="407AC1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264B76BE">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三</w:t>
            </w:r>
          </w:p>
        </w:tc>
        <w:tc>
          <w:tcPr>
            <w:tcW w:w="2486" w:type="dxa"/>
            <w:tcBorders>
              <w:tl2br w:val="nil"/>
              <w:tr2bl w:val="nil"/>
            </w:tcBorders>
            <w:shd w:val="clear" w:color="auto" w:fill="auto"/>
            <w:vAlign w:val="center"/>
          </w:tcPr>
          <w:p w14:paraId="43AA446E">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建设期观测费</w:t>
            </w:r>
          </w:p>
        </w:tc>
        <w:tc>
          <w:tcPr>
            <w:tcW w:w="1546" w:type="dxa"/>
            <w:tcBorders>
              <w:tl2br w:val="nil"/>
              <w:tr2bl w:val="nil"/>
            </w:tcBorders>
            <w:vAlign w:val="center"/>
          </w:tcPr>
          <w:p w14:paraId="67007CEA">
            <w:pPr>
              <w:jc w:val="center"/>
              <w:rPr>
                <w:rFonts w:hint="default" w:ascii="Times New Roman" w:hAnsi="Times New Roman" w:eastAsia="仿宋_GB2312" w:cs="Times New Roman"/>
                <w:color w:val="auto"/>
                <w:sz w:val="18"/>
                <w:szCs w:val="18"/>
                <w:lang w:val="en-US" w:eastAsia="zh-CN" w:bidi="ar"/>
              </w:rPr>
            </w:pPr>
          </w:p>
        </w:tc>
        <w:tc>
          <w:tcPr>
            <w:tcW w:w="1526" w:type="dxa"/>
            <w:tcBorders>
              <w:tl2br w:val="nil"/>
              <w:tr2bl w:val="nil"/>
            </w:tcBorders>
            <w:vAlign w:val="center"/>
          </w:tcPr>
          <w:p w14:paraId="3741B166">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1C1908E9">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7AD2A558">
            <w:pPr>
              <w:jc w:val="center"/>
              <w:rPr>
                <w:rFonts w:hint="default" w:ascii="Times New Roman" w:hAnsi="Times New Roman" w:eastAsia="仿宋_GB2312" w:cs="Times New Roman"/>
                <w:color w:val="auto"/>
                <w:kern w:val="2"/>
                <w:sz w:val="18"/>
                <w:szCs w:val="18"/>
                <w:lang w:val="en-US" w:eastAsia="zh-CN" w:bidi="ar"/>
              </w:rPr>
            </w:pPr>
          </w:p>
        </w:tc>
      </w:tr>
      <w:tr w14:paraId="1128D0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08FBC2C0">
            <w:pPr>
              <w:jc w:val="center"/>
              <w:rPr>
                <w:rFonts w:hint="default" w:ascii="Times New Roman" w:hAnsi="Times New Roman" w:eastAsia="仿宋_GB2312" w:cs="Times New Roman"/>
                <w:color w:val="auto"/>
                <w:sz w:val="18"/>
                <w:szCs w:val="18"/>
                <w:lang w:val="en-US" w:eastAsia="zh-CN" w:bidi="ar"/>
              </w:rPr>
            </w:pPr>
          </w:p>
        </w:tc>
        <w:tc>
          <w:tcPr>
            <w:tcW w:w="2486" w:type="dxa"/>
            <w:tcBorders>
              <w:tl2br w:val="nil"/>
              <w:tr2bl w:val="nil"/>
            </w:tcBorders>
            <w:shd w:val="clear" w:color="auto" w:fill="auto"/>
            <w:vAlign w:val="center"/>
          </w:tcPr>
          <w:p w14:paraId="4B1FF74C">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第四部分  施工临时工程</w:t>
            </w:r>
          </w:p>
        </w:tc>
        <w:tc>
          <w:tcPr>
            <w:tcW w:w="1546" w:type="dxa"/>
            <w:tcBorders>
              <w:tl2br w:val="nil"/>
              <w:tr2bl w:val="nil"/>
            </w:tcBorders>
            <w:vAlign w:val="center"/>
          </w:tcPr>
          <w:p w14:paraId="5BFD1942">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0.42</w:t>
            </w:r>
          </w:p>
        </w:tc>
        <w:tc>
          <w:tcPr>
            <w:tcW w:w="1526" w:type="dxa"/>
            <w:tcBorders>
              <w:tl2br w:val="nil"/>
              <w:tr2bl w:val="nil"/>
            </w:tcBorders>
            <w:vAlign w:val="center"/>
          </w:tcPr>
          <w:p w14:paraId="262CCC25">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32FA3AD6">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4996E002">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0.42</w:t>
            </w:r>
          </w:p>
        </w:tc>
      </w:tr>
      <w:tr w14:paraId="4E9AE1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4EE086CE">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一</w:t>
            </w:r>
          </w:p>
        </w:tc>
        <w:tc>
          <w:tcPr>
            <w:tcW w:w="2486" w:type="dxa"/>
            <w:tcBorders>
              <w:tl2br w:val="nil"/>
              <w:tr2bl w:val="nil"/>
            </w:tcBorders>
            <w:shd w:val="clear" w:color="auto" w:fill="auto"/>
            <w:vAlign w:val="center"/>
          </w:tcPr>
          <w:p w14:paraId="2157E09B">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临时防护工程</w:t>
            </w:r>
          </w:p>
        </w:tc>
        <w:tc>
          <w:tcPr>
            <w:tcW w:w="1546" w:type="dxa"/>
            <w:tcBorders>
              <w:tl2br w:val="nil"/>
              <w:tr2bl w:val="nil"/>
            </w:tcBorders>
            <w:vAlign w:val="center"/>
          </w:tcPr>
          <w:p w14:paraId="4D57FAE0">
            <w:pPr>
              <w:jc w:val="center"/>
              <w:rPr>
                <w:rFonts w:hint="default" w:ascii="Times New Roman" w:hAnsi="Times New Roman" w:eastAsia="仿宋_GB2312" w:cs="Times New Roman"/>
                <w:color w:val="auto"/>
                <w:sz w:val="18"/>
                <w:szCs w:val="18"/>
                <w:lang w:val="en-US" w:eastAsia="zh-CN" w:bidi="ar"/>
              </w:rPr>
            </w:pPr>
          </w:p>
        </w:tc>
        <w:tc>
          <w:tcPr>
            <w:tcW w:w="1526" w:type="dxa"/>
            <w:tcBorders>
              <w:tl2br w:val="nil"/>
              <w:tr2bl w:val="nil"/>
            </w:tcBorders>
            <w:vAlign w:val="center"/>
          </w:tcPr>
          <w:p w14:paraId="258A6577">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35B2F582">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53CC3B1A">
            <w:pPr>
              <w:jc w:val="center"/>
              <w:rPr>
                <w:rFonts w:hint="default" w:ascii="Times New Roman" w:hAnsi="Times New Roman" w:eastAsia="仿宋_GB2312" w:cs="Times New Roman"/>
                <w:color w:val="auto"/>
                <w:kern w:val="2"/>
                <w:sz w:val="18"/>
                <w:szCs w:val="18"/>
                <w:lang w:val="en-US" w:eastAsia="zh-CN" w:bidi="ar"/>
              </w:rPr>
            </w:pPr>
          </w:p>
        </w:tc>
      </w:tr>
      <w:tr w14:paraId="7DF5B1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0B94D992">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（一）</w:t>
            </w:r>
          </w:p>
        </w:tc>
        <w:tc>
          <w:tcPr>
            <w:tcW w:w="2486" w:type="dxa"/>
            <w:tcBorders>
              <w:tl2br w:val="nil"/>
              <w:tr2bl w:val="nil"/>
            </w:tcBorders>
            <w:shd w:val="clear" w:color="auto" w:fill="auto"/>
            <w:vAlign w:val="center"/>
          </w:tcPr>
          <w:p w14:paraId="61458467">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建构筑物工程区</w:t>
            </w:r>
          </w:p>
        </w:tc>
        <w:tc>
          <w:tcPr>
            <w:tcW w:w="1546" w:type="dxa"/>
            <w:tcBorders>
              <w:tl2br w:val="nil"/>
              <w:tr2bl w:val="nil"/>
            </w:tcBorders>
            <w:vAlign w:val="center"/>
          </w:tcPr>
          <w:p w14:paraId="427A8141">
            <w:pPr>
              <w:jc w:val="center"/>
              <w:rPr>
                <w:rFonts w:hint="default" w:ascii="Times New Roman" w:hAnsi="Times New Roman" w:eastAsia="仿宋_GB2312" w:cs="Times New Roman"/>
                <w:color w:val="auto"/>
                <w:sz w:val="18"/>
                <w:szCs w:val="18"/>
                <w:lang w:val="en-US" w:eastAsia="zh-CN" w:bidi="ar"/>
              </w:rPr>
            </w:pPr>
          </w:p>
        </w:tc>
        <w:tc>
          <w:tcPr>
            <w:tcW w:w="1526" w:type="dxa"/>
            <w:tcBorders>
              <w:tl2br w:val="nil"/>
              <w:tr2bl w:val="nil"/>
            </w:tcBorders>
            <w:vAlign w:val="center"/>
          </w:tcPr>
          <w:p w14:paraId="30722672">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467332E2">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09038E13">
            <w:pPr>
              <w:jc w:val="center"/>
              <w:rPr>
                <w:rFonts w:hint="default" w:ascii="Times New Roman" w:hAnsi="Times New Roman" w:eastAsia="仿宋_GB2312" w:cs="Times New Roman"/>
                <w:color w:val="auto"/>
                <w:kern w:val="2"/>
                <w:sz w:val="18"/>
                <w:szCs w:val="18"/>
                <w:lang w:val="en-US" w:eastAsia="zh-CN" w:bidi="ar"/>
              </w:rPr>
            </w:pPr>
          </w:p>
        </w:tc>
      </w:tr>
      <w:tr w14:paraId="371A05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2F35213A">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（二）</w:t>
            </w:r>
          </w:p>
        </w:tc>
        <w:tc>
          <w:tcPr>
            <w:tcW w:w="2486" w:type="dxa"/>
            <w:tcBorders>
              <w:tl2br w:val="nil"/>
              <w:tr2bl w:val="nil"/>
            </w:tcBorders>
            <w:shd w:val="clear" w:color="auto" w:fill="auto"/>
            <w:vAlign w:val="center"/>
          </w:tcPr>
          <w:p w14:paraId="7B473412">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硬化工程区</w:t>
            </w:r>
          </w:p>
        </w:tc>
        <w:tc>
          <w:tcPr>
            <w:tcW w:w="1546" w:type="dxa"/>
            <w:tcBorders>
              <w:tl2br w:val="nil"/>
              <w:tr2bl w:val="nil"/>
            </w:tcBorders>
            <w:vAlign w:val="center"/>
          </w:tcPr>
          <w:p w14:paraId="7207B882">
            <w:pPr>
              <w:jc w:val="center"/>
              <w:rPr>
                <w:rFonts w:hint="default" w:ascii="Times New Roman" w:hAnsi="Times New Roman" w:eastAsia="仿宋_GB2312" w:cs="Times New Roman"/>
                <w:color w:val="auto"/>
                <w:sz w:val="18"/>
                <w:szCs w:val="18"/>
                <w:lang w:val="en-US" w:eastAsia="zh-CN" w:bidi="ar"/>
              </w:rPr>
            </w:pPr>
          </w:p>
        </w:tc>
        <w:tc>
          <w:tcPr>
            <w:tcW w:w="1526" w:type="dxa"/>
            <w:tcBorders>
              <w:tl2br w:val="nil"/>
              <w:tr2bl w:val="nil"/>
            </w:tcBorders>
            <w:vAlign w:val="center"/>
          </w:tcPr>
          <w:p w14:paraId="73177FC5">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0E86B097">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6C2E6163">
            <w:pPr>
              <w:jc w:val="center"/>
              <w:rPr>
                <w:rFonts w:hint="default" w:ascii="Times New Roman" w:hAnsi="Times New Roman" w:eastAsia="仿宋_GB2312" w:cs="Times New Roman"/>
                <w:color w:val="auto"/>
                <w:kern w:val="2"/>
                <w:sz w:val="18"/>
                <w:szCs w:val="18"/>
                <w:lang w:val="en-US" w:eastAsia="zh-CN" w:bidi="ar"/>
              </w:rPr>
            </w:pPr>
          </w:p>
        </w:tc>
      </w:tr>
      <w:tr w14:paraId="46FCB4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02BE8F3F">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（三）</w:t>
            </w:r>
          </w:p>
        </w:tc>
        <w:tc>
          <w:tcPr>
            <w:tcW w:w="2486" w:type="dxa"/>
            <w:tcBorders>
              <w:tl2br w:val="nil"/>
              <w:tr2bl w:val="nil"/>
            </w:tcBorders>
            <w:shd w:val="clear" w:color="auto" w:fill="auto"/>
            <w:vAlign w:val="center"/>
          </w:tcPr>
          <w:p w14:paraId="6D0A5951">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绿化工程区</w:t>
            </w:r>
          </w:p>
        </w:tc>
        <w:tc>
          <w:tcPr>
            <w:tcW w:w="1546" w:type="dxa"/>
            <w:tcBorders>
              <w:tl2br w:val="nil"/>
              <w:tr2bl w:val="nil"/>
            </w:tcBorders>
            <w:vAlign w:val="center"/>
          </w:tcPr>
          <w:p w14:paraId="3CAAF82F">
            <w:pPr>
              <w:jc w:val="center"/>
              <w:rPr>
                <w:rFonts w:hint="default" w:ascii="Times New Roman" w:hAnsi="Times New Roman" w:eastAsia="仿宋_GB2312" w:cs="Times New Roman"/>
                <w:color w:val="auto"/>
                <w:sz w:val="18"/>
                <w:szCs w:val="18"/>
                <w:lang w:val="en-US" w:eastAsia="zh-CN" w:bidi="ar"/>
              </w:rPr>
            </w:pPr>
          </w:p>
        </w:tc>
        <w:tc>
          <w:tcPr>
            <w:tcW w:w="1526" w:type="dxa"/>
            <w:tcBorders>
              <w:tl2br w:val="nil"/>
              <w:tr2bl w:val="nil"/>
            </w:tcBorders>
            <w:vAlign w:val="center"/>
          </w:tcPr>
          <w:p w14:paraId="578EDCC2">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2DF3508D">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53C1575A">
            <w:pPr>
              <w:jc w:val="center"/>
              <w:rPr>
                <w:rFonts w:hint="default" w:ascii="Times New Roman" w:hAnsi="Times New Roman" w:eastAsia="仿宋_GB2312" w:cs="Times New Roman"/>
                <w:color w:val="auto"/>
                <w:kern w:val="2"/>
                <w:sz w:val="18"/>
                <w:szCs w:val="18"/>
                <w:lang w:val="en-US" w:eastAsia="zh-CN" w:bidi="ar"/>
              </w:rPr>
            </w:pPr>
          </w:p>
        </w:tc>
      </w:tr>
      <w:tr w14:paraId="20424F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0E06F919">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二</w:t>
            </w:r>
          </w:p>
        </w:tc>
        <w:tc>
          <w:tcPr>
            <w:tcW w:w="2486" w:type="dxa"/>
            <w:tcBorders>
              <w:tl2br w:val="nil"/>
              <w:tr2bl w:val="nil"/>
            </w:tcBorders>
            <w:shd w:val="clear" w:color="auto" w:fill="auto"/>
            <w:vAlign w:val="center"/>
          </w:tcPr>
          <w:p w14:paraId="413ADC4B">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其他临时工程</w:t>
            </w:r>
          </w:p>
        </w:tc>
        <w:tc>
          <w:tcPr>
            <w:tcW w:w="1546" w:type="dxa"/>
            <w:tcBorders>
              <w:tl2br w:val="nil"/>
              <w:tr2bl w:val="nil"/>
            </w:tcBorders>
            <w:vAlign w:val="center"/>
          </w:tcPr>
          <w:p w14:paraId="4FDE56FF">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0.42</w:t>
            </w:r>
          </w:p>
        </w:tc>
        <w:tc>
          <w:tcPr>
            <w:tcW w:w="1526" w:type="dxa"/>
            <w:tcBorders>
              <w:tl2br w:val="nil"/>
              <w:tr2bl w:val="nil"/>
            </w:tcBorders>
            <w:vAlign w:val="center"/>
          </w:tcPr>
          <w:p w14:paraId="7E6FF84F">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560009FE">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494F423E">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0.42</w:t>
            </w:r>
          </w:p>
        </w:tc>
      </w:tr>
      <w:tr w14:paraId="58EEF0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2F4C50C3">
            <w:pPr>
              <w:jc w:val="center"/>
              <w:rPr>
                <w:rFonts w:hint="default" w:ascii="Times New Roman" w:hAnsi="Times New Roman" w:eastAsia="仿宋_GB2312" w:cs="Times New Roman"/>
                <w:color w:val="auto"/>
                <w:sz w:val="18"/>
                <w:szCs w:val="18"/>
                <w:lang w:val="en-US" w:eastAsia="zh-CN" w:bidi="ar"/>
              </w:rPr>
            </w:pPr>
          </w:p>
        </w:tc>
        <w:tc>
          <w:tcPr>
            <w:tcW w:w="2486" w:type="dxa"/>
            <w:tcBorders>
              <w:tl2br w:val="nil"/>
              <w:tr2bl w:val="nil"/>
            </w:tcBorders>
            <w:shd w:val="clear" w:color="auto" w:fill="auto"/>
            <w:vAlign w:val="center"/>
          </w:tcPr>
          <w:p w14:paraId="1581FEC1">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第五部分  独立费用</w:t>
            </w:r>
          </w:p>
        </w:tc>
        <w:tc>
          <w:tcPr>
            <w:tcW w:w="1546" w:type="dxa"/>
            <w:tcBorders>
              <w:tl2br w:val="nil"/>
              <w:tr2bl w:val="nil"/>
            </w:tcBorders>
            <w:vAlign w:val="center"/>
          </w:tcPr>
          <w:p w14:paraId="339411C4">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15.70</w:t>
            </w:r>
          </w:p>
        </w:tc>
        <w:tc>
          <w:tcPr>
            <w:tcW w:w="1526" w:type="dxa"/>
            <w:tcBorders>
              <w:tl2br w:val="nil"/>
              <w:tr2bl w:val="nil"/>
            </w:tcBorders>
            <w:vAlign w:val="center"/>
          </w:tcPr>
          <w:p w14:paraId="6EE3ADEF">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4605496E">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4CC12735">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15.70</w:t>
            </w:r>
          </w:p>
        </w:tc>
      </w:tr>
      <w:tr w14:paraId="540A0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2D44416D">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一</w:t>
            </w:r>
          </w:p>
        </w:tc>
        <w:tc>
          <w:tcPr>
            <w:tcW w:w="2486" w:type="dxa"/>
            <w:tcBorders>
              <w:tl2br w:val="nil"/>
              <w:tr2bl w:val="nil"/>
            </w:tcBorders>
            <w:shd w:val="clear" w:color="auto" w:fill="auto"/>
            <w:vAlign w:val="center"/>
          </w:tcPr>
          <w:p w14:paraId="4B794B56">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建设管理费</w:t>
            </w:r>
          </w:p>
        </w:tc>
        <w:tc>
          <w:tcPr>
            <w:tcW w:w="1546" w:type="dxa"/>
            <w:tcBorders>
              <w:tl2br w:val="nil"/>
              <w:tr2bl w:val="nil"/>
            </w:tcBorders>
            <w:vAlign w:val="center"/>
          </w:tcPr>
          <w:p w14:paraId="3D60F1E6">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0.42</w:t>
            </w:r>
          </w:p>
        </w:tc>
        <w:tc>
          <w:tcPr>
            <w:tcW w:w="1526" w:type="dxa"/>
            <w:tcBorders>
              <w:tl2br w:val="nil"/>
              <w:tr2bl w:val="nil"/>
            </w:tcBorders>
            <w:vAlign w:val="center"/>
          </w:tcPr>
          <w:p w14:paraId="3B5AB4DD">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3DE8D48A">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438EC429">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0.42</w:t>
            </w:r>
          </w:p>
        </w:tc>
      </w:tr>
      <w:tr w14:paraId="04B327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4B3A157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（一）</w:t>
            </w:r>
          </w:p>
        </w:tc>
        <w:tc>
          <w:tcPr>
            <w:tcW w:w="2486" w:type="dxa"/>
            <w:tcBorders>
              <w:tl2br w:val="nil"/>
              <w:tr2bl w:val="nil"/>
            </w:tcBorders>
            <w:shd w:val="clear" w:color="auto" w:fill="auto"/>
            <w:vAlign w:val="center"/>
          </w:tcPr>
          <w:p w14:paraId="5C87561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项目经常费</w:t>
            </w:r>
          </w:p>
        </w:tc>
        <w:tc>
          <w:tcPr>
            <w:tcW w:w="1546" w:type="dxa"/>
            <w:tcBorders>
              <w:tl2br w:val="nil"/>
              <w:tr2bl w:val="nil"/>
            </w:tcBorders>
            <w:vAlign w:val="center"/>
          </w:tcPr>
          <w:p w14:paraId="2E4CB727">
            <w:pPr>
              <w:keepNext w:val="0"/>
              <w:keepLines w:val="0"/>
              <w:widowControl/>
              <w:suppressLineNumbers w:val="0"/>
              <w:jc w:val="center"/>
              <w:textAlignment w:val="center"/>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0.20</w:t>
            </w:r>
          </w:p>
        </w:tc>
        <w:tc>
          <w:tcPr>
            <w:tcW w:w="1526" w:type="dxa"/>
            <w:tcBorders>
              <w:tl2br w:val="nil"/>
              <w:tr2bl w:val="nil"/>
            </w:tcBorders>
            <w:vAlign w:val="center"/>
          </w:tcPr>
          <w:p w14:paraId="2C55CEFA">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672AC816">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20E1019D">
            <w:pPr>
              <w:keepNext w:val="0"/>
              <w:keepLines w:val="0"/>
              <w:widowControl/>
              <w:suppressLineNumbers w:val="0"/>
              <w:jc w:val="center"/>
              <w:textAlignment w:val="center"/>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0.20</w:t>
            </w:r>
          </w:p>
        </w:tc>
      </w:tr>
      <w:tr w14:paraId="76B18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4830D7C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（二）</w:t>
            </w:r>
          </w:p>
        </w:tc>
        <w:tc>
          <w:tcPr>
            <w:tcW w:w="2486" w:type="dxa"/>
            <w:tcBorders>
              <w:tl2br w:val="nil"/>
              <w:tr2bl w:val="nil"/>
            </w:tcBorders>
            <w:shd w:val="clear" w:color="auto" w:fill="auto"/>
            <w:vAlign w:val="center"/>
          </w:tcPr>
          <w:p w14:paraId="47E3686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技术咨询费</w:t>
            </w:r>
          </w:p>
        </w:tc>
        <w:tc>
          <w:tcPr>
            <w:tcW w:w="1546" w:type="dxa"/>
            <w:tcBorders>
              <w:tl2br w:val="nil"/>
              <w:tr2bl w:val="nil"/>
            </w:tcBorders>
            <w:vAlign w:val="center"/>
          </w:tcPr>
          <w:p w14:paraId="7BF08A87">
            <w:pPr>
              <w:keepNext w:val="0"/>
              <w:keepLines w:val="0"/>
              <w:widowControl/>
              <w:suppressLineNumbers w:val="0"/>
              <w:jc w:val="center"/>
              <w:textAlignment w:val="center"/>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0.22</w:t>
            </w:r>
          </w:p>
        </w:tc>
        <w:tc>
          <w:tcPr>
            <w:tcW w:w="1526" w:type="dxa"/>
            <w:tcBorders>
              <w:tl2br w:val="nil"/>
              <w:tr2bl w:val="nil"/>
            </w:tcBorders>
            <w:vAlign w:val="center"/>
          </w:tcPr>
          <w:p w14:paraId="3FB4F4DC">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29226B4D">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38259D3B">
            <w:pPr>
              <w:keepNext w:val="0"/>
              <w:keepLines w:val="0"/>
              <w:widowControl/>
              <w:suppressLineNumbers w:val="0"/>
              <w:jc w:val="center"/>
              <w:textAlignment w:val="center"/>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0..22</w:t>
            </w:r>
          </w:p>
        </w:tc>
      </w:tr>
      <w:tr w14:paraId="2B6AB8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4A26056B">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二</w:t>
            </w:r>
          </w:p>
        </w:tc>
        <w:tc>
          <w:tcPr>
            <w:tcW w:w="2486" w:type="dxa"/>
            <w:tcBorders>
              <w:tl2br w:val="nil"/>
              <w:tr2bl w:val="nil"/>
            </w:tcBorders>
            <w:shd w:val="clear" w:color="auto" w:fill="auto"/>
            <w:vAlign w:val="center"/>
          </w:tcPr>
          <w:p w14:paraId="7814A592">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科研勘测设计费</w:t>
            </w:r>
          </w:p>
        </w:tc>
        <w:tc>
          <w:tcPr>
            <w:tcW w:w="1546" w:type="dxa"/>
            <w:tcBorders>
              <w:tl2br w:val="nil"/>
              <w:tr2bl w:val="nil"/>
            </w:tcBorders>
            <w:vAlign w:val="center"/>
          </w:tcPr>
          <w:p w14:paraId="0989F8E5">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15.28</w:t>
            </w:r>
          </w:p>
        </w:tc>
        <w:tc>
          <w:tcPr>
            <w:tcW w:w="1526" w:type="dxa"/>
            <w:tcBorders>
              <w:tl2br w:val="nil"/>
              <w:tr2bl w:val="nil"/>
            </w:tcBorders>
            <w:vAlign w:val="center"/>
          </w:tcPr>
          <w:p w14:paraId="2CCEF6A6">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1858F986">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58C8B70F">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15.28</w:t>
            </w:r>
          </w:p>
        </w:tc>
      </w:tr>
      <w:tr w14:paraId="3CAE9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center"/>
          </w:tcPr>
          <w:p w14:paraId="728F3A15">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三</w:t>
            </w:r>
          </w:p>
        </w:tc>
        <w:tc>
          <w:tcPr>
            <w:tcW w:w="2486" w:type="dxa"/>
            <w:tcBorders>
              <w:tl2br w:val="nil"/>
              <w:tr2bl w:val="nil"/>
            </w:tcBorders>
            <w:shd w:val="clear" w:color="auto" w:fill="auto"/>
            <w:vAlign w:val="center"/>
          </w:tcPr>
          <w:p w14:paraId="19FE37E6">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水土保持监理费</w:t>
            </w:r>
          </w:p>
        </w:tc>
        <w:tc>
          <w:tcPr>
            <w:tcW w:w="1546" w:type="dxa"/>
            <w:tcBorders>
              <w:tl2br w:val="nil"/>
              <w:tr2bl w:val="nil"/>
            </w:tcBorders>
            <w:vAlign w:val="center"/>
          </w:tcPr>
          <w:p w14:paraId="33568606">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 </w:t>
            </w:r>
          </w:p>
        </w:tc>
        <w:tc>
          <w:tcPr>
            <w:tcW w:w="1526" w:type="dxa"/>
            <w:tcBorders>
              <w:tl2br w:val="nil"/>
              <w:tr2bl w:val="nil"/>
            </w:tcBorders>
            <w:vAlign w:val="center"/>
          </w:tcPr>
          <w:p w14:paraId="6FDD1D65">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3821430E">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center"/>
          </w:tcPr>
          <w:p w14:paraId="5B59AB7F">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 </w:t>
            </w:r>
          </w:p>
        </w:tc>
      </w:tr>
      <w:tr w14:paraId="15021A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top"/>
          </w:tcPr>
          <w:p w14:paraId="3867E277">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I</w:t>
            </w:r>
          </w:p>
        </w:tc>
        <w:tc>
          <w:tcPr>
            <w:tcW w:w="2486" w:type="dxa"/>
            <w:tcBorders>
              <w:tl2br w:val="nil"/>
              <w:tr2bl w:val="nil"/>
            </w:tcBorders>
            <w:shd w:val="clear" w:color="auto" w:fill="auto"/>
            <w:vAlign w:val="top"/>
          </w:tcPr>
          <w:p w14:paraId="49A3C678">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一至五部分合计</w:t>
            </w:r>
          </w:p>
        </w:tc>
        <w:tc>
          <w:tcPr>
            <w:tcW w:w="1546" w:type="dxa"/>
            <w:tcBorders>
              <w:tl2br w:val="nil"/>
              <w:tr2bl w:val="nil"/>
            </w:tcBorders>
            <w:vAlign w:val="top"/>
          </w:tcPr>
          <w:p w14:paraId="5E948D5F">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37.17 </w:t>
            </w:r>
          </w:p>
        </w:tc>
        <w:tc>
          <w:tcPr>
            <w:tcW w:w="1526" w:type="dxa"/>
            <w:tcBorders>
              <w:tl2br w:val="nil"/>
              <w:tr2bl w:val="nil"/>
            </w:tcBorders>
            <w:vAlign w:val="center"/>
          </w:tcPr>
          <w:p w14:paraId="44681CE7">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3B71F272">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top"/>
          </w:tcPr>
          <w:p w14:paraId="441AAFB5">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37.17 </w:t>
            </w:r>
          </w:p>
        </w:tc>
      </w:tr>
      <w:tr w14:paraId="7E9B5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top"/>
          </w:tcPr>
          <w:p w14:paraId="772E4082">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Ⅱ</w:t>
            </w:r>
          </w:p>
        </w:tc>
        <w:tc>
          <w:tcPr>
            <w:tcW w:w="2486" w:type="dxa"/>
            <w:tcBorders>
              <w:tl2br w:val="nil"/>
              <w:tr2bl w:val="nil"/>
            </w:tcBorders>
            <w:shd w:val="clear" w:color="auto" w:fill="auto"/>
            <w:vAlign w:val="top"/>
          </w:tcPr>
          <w:p w14:paraId="487A6ECA">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预备费</w:t>
            </w:r>
          </w:p>
        </w:tc>
        <w:tc>
          <w:tcPr>
            <w:tcW w:w="1546" w:type="dxa"/>
            <w:tcBorders>
              <w:tl2br w:val="nil"/>
              <w:tr2bl w:val="nil"/>
            </w:tcBorders>
            <w:vAlign w:val="top"/>
          </w:tcPr>
          <w:p w14:paraId="099D63F6">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26" w:type="dxa"/>
            <w:tcBorders>
              <w:tl2br w:val="nil"/>
              <w:tr2bl w:val="nil"/>
            </w:tcBorders>
            <w:vAlign w:val="center"/>
          </w:tcPr>
          <w:p w14:paraId="6BA6460C">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06236F2D">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top"/>
          </w:tcPr>
          <w:p w14:paraId="7F481F68">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66B944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top"/>
          </w:tcPr>
          <w:p w14:paraId="3B7CAB4F">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Ⅲ</w:t>
            </w:r>
          </w:p>
        </w:tc>
        <w:tc>
          <w:tcPr>
            <w:tcW w:w="2486" w:type="dxa"/>
            <w:tcBorders>
              <w:tl2br w:val="nil"/>
              <w:tr2bl w:val="nil"/>
            </w:tcBorders>
            <w:shd w:val="clear" w:color="auto" w:fill="auto"/>
            <w:vAlign w:val="top"/>
          </w:tcPr>
          <w:p w14:paraId="461BFC36">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水土保持补偿费</w:t>
            </w:r>
          </w:p>
        </w:tc>
        <w:tc>
          <w:tcPr>
            <w:tcW w:w="1546" w:type="dxa"/>
            <w:tcBorders>
              <w:tl2br w:val="nil"/>
              <w:tr2bl w:val="nil"/>
            </w:tcBorders>
            <w:vAlign w:val="top"/>
          </w:tcPr>
          <w:p w14:paraId="09ED5277">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0.43</w:t>
            </w:r>
          </w:p>
        </w:tc>
        <w:tc>
          <w:tcPr>
            <w:tcW w:w="1526" w:type="dxa"/>
            <w:tcBorders>
              <w:tl2br w:val="nil"/>
              <w:tr2bl w:val="nil"/>
            </w:tcBorders>
            <w:vAlign w:val="center"/>
          </w:tcPr>
          <w:p w14:paraId="61D9C2B5">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747677F3">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top"/>
          </w:tcPr>
          <w:p w14:paraId="4284DB39">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0.43</w:t>
            </w:r>
          </w:p>
        </w:tc>
      </w:tr>
      <w:tr w14:paraId="0378F6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70" w:type="dxa"/>
            <w:tcBorders>
              <w:tl2br w:val="nil"/>
              <w:tr2bl w:val="nil"/>
            </w:tcBorders>
            <w:shd w:val="clear" w:color="auto" w:fill="auto"/>
            <w:vAlign w:val="top"/>
          </w:tcPr>
          <w:p w14:paraId="6C1FFA7E">
            <w:pPr>
              <w:jc w:val="center"/>
              <w:rPr>
                <w:rFonts w:hint="default" w:ascii="Times New Roman" w:hAnsi="Times New Roman" w:eastAsia="仿宋_GB2312" w:cs="Times New Roman"/>
                <w:color w:val="auto"/>
                <w:sz w:val="18"/>
                <w:szCs w:val="18"/>
                <w:lang w:val="en-US" w:eastAsia="zh-CN" w:bidi="ar"/>
              </w:rPr>
            </w:pPr>
          </w:p>
        </w:tc>
        <w:tc>
          <w:tcPr>
            <w:tcW w:w="2486" w:type="dxa"/>
            <w:tcBorders>
              <w:tl2br w:val="nil"/>
              <w:tr2bl w:val="nil"/>
            </w:tcBorders>
            <w:shd w:val="clear" w:color="auto" w:fill="auto"/>
            <w:vAlign w:val="top"/>
          </w:tcPr>
          <w:p w14:paraId="3862B960">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水土保持总投资(I+Ⅱ+Ⅲ)</w:t>
            </w:r>
          </w:p>
        </w:tc>
        <w:tc>
          <w:tcPr>
            <w:tcW w:w="1546" w:type="dxa"/>
            <w:tcBorders>
              <w:tl2br w:val="nil"/>
              <w:tr2bl w:val="nil"/>
            </w:tcBorders>
            <w:vAlign w:val="top"/>
          </w:tcPr>
          <w:p w14:paraId="01ED968B">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37.60 </w:t>
            </w:r>
          </w:p>
        </w:tc>
        <w:tc>
          <w:tcPr>
            <w:tcW w:w="1526" w:type="dxa"/>
            <w:tcBorders>
              <w:tl2br w:val="nil"/>
              <w:tr2bl w:val="nil"/>
            </w:tcBorders>
            <w:vAlign w:val="center"/>
          </w:tcPr>
          <w:p w14:paraId="34FB3A1C">
            <w:pPr>
              <w:jc w:val="center"/>
              <w:rPr>
                <w:rFonts w:hint="default" w:ascii="Times New Roman" w:hAnsi="Times New Roman" w:eastAsia="仿宋_GB2312" w:cs="Times New Roman"/>
                <w:color w:val="auto"/>
                <w:sz w:val="18"/>
                <w:szCs w:val="18"/>
                <w:lang w:val="en-US" w:eastAsia="zh-CN" w:bidi="ar"/>
              </w:rPr>
            </w:pPr>
          </w:p>
        </w:tc>
        <w:tc>
          <w:tcPr>
            <w:tcW w:w="1306" w:type="dxa"/>
            <w:tcBorders>
              <w:tl2br w:val="nil"/>
              <w:tr2bl w:val="nil"/>
            </w:tcBorders>
            <w:vAlign w:val="center"/>
          </w:tcPr>
          <w:p w14:paraId="0051CA96">
            <w:pPr>
              <w:jc w:val="center"/>
              <w:rPr>
                <w:rFonts w:hint="default" w:ascii="Times New Roman" w:hAnsi="Times New Roman" w:eastAsia="仿宋_GB2312" w:cs="Times New Roman"/>
                <w:color w:val="auto"/>
                <w:sz w:val="18"/>
                <w:szCs w:val="18"/>
                <w:lang w:val="en-US" w:eastAsia="zh-CN" w:bidi="ar"/>
              </w:rPr>
            </w:pPr>
          </w:p>
        </w:tc>
        <w:tc>
          <w:tcPr>
            <w:tcW w:w="1355" w:type="dxa"/>
            <w:tcBorders>
              <w:tl2br w:val="nil"/>
              <w:tr2bl w:val="nil"/>
            </w:tcBorders>
            <w:shd w:val="clear" w:color="auto" w:fill="auto"/>
            <w:vAlign w:val="top"/>
          </w:tcPr>
          <w:p w14:paraId="486D7A03">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37.60 </w:t>
            </w:r>
          </w:p>
        </w:tc>
      </w:tr>
    </w:tbl>
    <w:p w14:paraId="3CEE6277">
      <w:pPr>
        <w:jc w:val="center"/>
        <w:rPr>
          <w:rFonts w:hint="default" w:ascii="Times New Roman" w:hAnsi="Times New Roman" w:eastAsia="仿宋_GB2312" w:cs="Times New Roman"/>
          <w:b/>
          <w:szCs w:val="21"/>
          <w:lang w:bidi="ar"/>
        </w:rPr>
      </w:pPr>
      <w:bookmarkStart w:id="183" w:name="_Toc7261"/>
      <w:r>
        <w:rPr>
          <w:rFonts w:hint="default" w:ascii="Times New Roman" w:hAnsi="Times New Roman" w:eastAsia="仿宋_GB2312" w:cs="Times New Roman"/>
          <w:b/>
          <w:szCs w:val="21"/>
          <w:lang w:bidi="ar"/>
        </w:rPr>
        <w:t>表7.1-</w:t>
      </w:r>
      <w:r>
        <w:rPr>
          <w:rFonts w:hint="default" w:ascii="Times New Roman" w:hAnsi="Times New Roman" w:eastAsia="仿宋_GB2312" w:cs="Times New Roman"/>
          <w:b/>
          <w:szCs w:val="21"/>
          <w:lang w:val="en-US" w:eastAsia="zh-CN" w:bidi="ar"/>
        </w:rPr>
        <w:t>3</w:t>
      </w:r>
      <w:r>
        <w:rPr>
          <w:rFonts w:hint="default" w:ascii="Times New Roman" w:hAnsi="Times New Roman" w:eastAsia="仿宋_GB2312" w:cs="Times New Roman"/>
          <w:b/>
          <w:szCs w:val="21"/>
          <w:lang w:bidi="ar"/>
        </w:rPr>
        <w:t xml:space="preserve"> </w:t>
      </w:r>
      <w:r>
        <w:rPr>
          <w:rFonts w:hint="default" w:ascii="Times New Roman" w:hAnsi="Times New Roman" w:eastAsia="仿宋_GB2312" w:cs="Times New Roman"/>
          <w:b/>
          <w:kern w:val="0"/>
          <w:szCs w:val="21"/>
        </w:rPr>
        <w:t xml:space="preserve"> </w:t>
      </w:r>
      <w:r>
        <w:rPr>
          <w:rFonts w:hint="default" w:ascii="Times New Roman" w:hAnsi="Times New Roman" w:eastAsia="仿宋_GB2312" w:cs="Times New Roman"/>
          <w:b/>
          <w:kern w:val="0"/>
          <w:szCs w:val="21"/>
          <w:lang w:val="en-US" w:eastAsia="zh-CN"/>
        </w:rPr>
        <w:t>分部概算表（工程措施）</w:t>
      </w:r>
    </w:p>
    <w:tbl>
      <w:tblPr>
        <w:tblStyle w:val="37"/>
        <w:tblW w:w="500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83"/>
        <w:gridCol w:w="2476"/>
        <w:gridCol w:w="1679"/>
        <w:gridCol w:w="1559"/>
        <w:gridCol w:w="1181"/>
        <w:gridCol w:w="1341"/>
      </w:tblGrid>
      <w:tr w14:paraId="2BA6A1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681" w:type="dxa"/>
            <w:tcBorders>
              <w:tl2br w:val="nil"/>
              <w:tr2bl w:val="nil"/>
            </w:tcBorders>
            <w:vAlign w:val="top"/>
          </w:tcPr>
          <w:p w14:paraId="69884EAE">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序号</w:t>
            </w:r>
          </w:p>
        </w:tc>
        <w:tc>
          <w:tcPr>
            <w:tcW w:w="2468" w:type="dxa"/>
            <w:tcBorders>
              <w:tl2br w:val="nil"/>
              <w:tr2bl w:val="nil"/>
            </w:tcBorders>
            <w:vAlign w:val="top"/>
          </w:tcPr>
          <w:p w14:paraId="5B16C6D1">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工程或费用名称</w:t>
            </w:r>
          </w:p>
        </w:tc>
        <w:tc>
          <w:tcPr>
            <w:tcW w:w="1673" w:type="dxa"/>
            <w:tcBorders>
              <w:tl2br w:val="nil"/>
              <w:tr2bl w:val="nil"/>
            </w:tcBorders>
            <w:vAlign w:val="top"/>
          </w:tcPr>
          <w:p w14:paraId="211B345D">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单位</w:t>
            </w:r>
          </w:p>
        </w:tc>
        <w:tc>
          <w:tcPr>
            <w:tcW w:w="1554" w:type="dxa"/>
            <w:tcBorders>
              <w:tl2br w:val="nil"/>
              <w:tr2bl w:val="nil"/>
            </w:tcBorders>
            <w:vAlign w:val="top"/>
          </w:tcPr>
          <w:p w14:paraId="2FAD09FB">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数量</w:t>
            </w:r>
          </w:p>
        </w:tc>
        <w:tc>
          <w:tcPr>
            <w:tcW w:w="1177" w:type="dxa"/>
            <w:tcBorders>
              <w:tl2br w:val="nil"/>
              <w:tr2bl w:val="nil"/>
            </w:tcBorders>
            <w:vAlign w:val="top"/>
          </w:tcPr>
          <w:p w14:paraId="46CAEFA0">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单价(元)</w:t>
            </w:r>
          </w:p>
        </w:tc>
        <w:tc>
          <w:tcPr>
            <w:tcW w:w="1336" w:type="dxa"/>
            <w:tcBorders>
              <w:tl2br w:val="nil"/>
              <w:tr2bl w:val="nil"/>
            </w:tcBorders>
            <w:vAlign w:val="top"/>
          </w:tcPr>
          <w:p w14:paraId="383E7D30">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合计(万元)</w:t>
            </w:r>
          </w:p>
        </w:tc>
      </w:tr>
      <w:tr w14:paraId="7C6901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681" w:type="dxa"/>
            <w:tcBorders>
              <w:tl2br w:val="nil"/>
              <w:tr2bl w:val="nil"/>
            </w:tcBorders>
            <w:vAlign w:val="top"/>
          </w:tcPr>
          <w:p w14:paraId="3EB2C54A">
            <w:pPr>
              <w:jc w:val="center"/>
              <w:rPr>
                <w:rFonts w:hint="default" w:ascii="Times New Roman" w:hAnsi="Times New Roman" w:eastAsia="仿宋_GB2312" w:cs="Times New Roman"/>
                <w:color w:val="auto"/>
                <w:sz w:val="18"/>
                <w:szCs w:val="18"/>
                <w:lang w:val="en-US" w:eastAsia="zh-CN" w:bidi="ar"/>
              </w:rPr>
            </w:pPr>
          </w:p>
        </w:tc>
        <w:tc>
          <w:tcPr>
            <w:tcW w:w="2468" w:type="dxa"/>
            <w:tcBorders>
              <w:tl2br w:val="nil"/>
              <w:tr2bl w:val="nil"/>
            </w:tcBorders>
            <w:vAlign w:val="center"/>
          </w:tcPr>
          <w:p w14:paraId="6CBA4E1E">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第一部分  工程措施</w:t>
            </w:r>
          </w:p>
        </w:tc>
        <w:tc>
          <w:tcPr>
            <w:tcW w:w="1673" w:type="dxa"/>
            <w:tcBorders>
              <w:tl2br w:val="nil"/>
              <w:tr2bl w:val="nil"/>
            </w:tcBorders>
            <w:vAlign w:val="top"/>
          </w:tcPr>
          <w:p w14:paraId="45E9C4BC">
            <w:pPr>
              <w:jc w:val="center"/>
              <w:rPr>
                <w:rFonts w:hint="default" w:ascii="Times New Roman" w:hAnsi="Times New Roman" w:eastAsia="仿宋_GB2312" w:cs="Times New Roman"/>
                <w:color w:val="auto"/>
                <w:sz w:val="18"/>
                <w:szCs w:val="18"/>
                <w:lang w:val="en-US" w:eastAsia="zh-CN" w:bidi="ar"/>
              </w:rPr>
            </w:pPr>
          </w:p>
        </w:tc>
        <w:tc>
          <w:tcPr>
            <w:tcW w:w="1554" w:type="dxa"/>
            <w:tcBorders>
              <w:tl2br w:val="nil"/>
              <w:tr2bl w:val="nil"/>
            </w:tcBorders>
            <w:vAlign w:val="top"/>
          </w:tcPr>
          <w:p w14:paraId="7D8AC72F">
            <w:pPr>
              <w:jc w:val="center"/>
              <w:rPr>
                <w:rFonts w:hint="default" w:ascii="Times New Roman" w:hAnsi="Times New Roman" w:eastAsia="仿宋_GB2312" w:cs="Times New Roman"/>
                <w:color w:val="auto"/>
                <w:sz w:val="18"/>
                <w:szCs w:val="18"/>
                <w:lang w:val="en-US" w:eastAsia="zh-CN" w:bidi="ar"/>
              </w:rPr>
            </w:pPr>
          </w:p>
        </w:tc>
        <w:tc>
          <w:tcPr>
            <w:tcW w:w="1177" w:type="dxa"/>
            <w:tcBorders>
              <w:tl2br w:val="nil"/>
              <w:tr2bl w:val="nil"/>
            </w:tcBorders>
            <w:vAlign w:val="top"/>
          </w:tcPr>
          <w:p w14:paraId="23916E7A">
            <w:pPr>
              <w:jc w:val="center"/>
              <w:rPr>
                <w:rFonts w:hint="default" w:ascii="Times New Roman" w:hAnsi="Times New Roman" w:eastAsia="仿宋_GB2312" w:cs="Times New Roman"/>
                <w:color w:val="auto"/>
                <w:sz w:val="18"/>
                <w:szCs w:val="18"/>
                <w:lang w:val="en-US" w:eastAsia="zh-CN" w:bidi="ar"/>
              </w:rPr>
            </w:pPr>
          </w:p>
        </w:tc>
        <w:tc>
          <w:tcPr>
            <w:tcW w:w="1336" w:type="dxa"/>
            <w:tcBorders>
              <w:tl2br w:val="nil"/>
              <w:tr2bl w:val="nil"/>
            </w:tcBorders>
            <w:vAlign w:val="top"/>
          </w:tcPr>
          <w:p w14:paraId="03798898">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20.92</w:t>
            </w:r>
          </w:p>
        </w:tc>
      </w:tr>
      <w:tr w14:paraId="1ED2F1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681" w:type="dxa"/>
            <w:tcBorders>
              <w:tl2br w:val="nil"/>
              <w:tr2bl w:val="nil"/>
            </w:tcBorders>
            <w:vAlign w:val="top"/>
          </w:tcPr>
          <w:p w14:paraId="421DE246">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一</w:t>
            </w:r>
          </w:p>
        </w:tc>
        <w:tc>
          <w:tcPr>
            <w:tcW w:w="2468" w:type="dxa"/>
            <w:tcBorders>
              <w:tl2br w:val="nil"/>
              <w:tr2bl w:val="nil"/>
            </w:tcBorders>
            <w:vAlign w:val="center"/>
          </w:tcPr>
          <w:p w14:paraId="637D7FC5">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建构筑物工程区</w:t>
            </w:r>
          </w:p>
        </w:tc>
        <w:tc>
          <w:tcPr>
            <w:tcW w:w="1673" w:type="dxa"/>
            <w:tcBorders>
              <w:tl2br w:val="nil"/>
              <w:tr2bl w:val="nil"/>
            </w:tcBorders>
            <w:vAlign w:val="top"/>
          </w:tcPr>
          <w:p w14:paraId="04027E11">
            <w:pPr>
              <w:jc w:val="center"/>
              <w:rPr>
                <w:rFonts w:hint="default" w:ascii="Times New Roman" w:hAnsi="Times New Roman" w:eastAsia="仿宋_GB2312" w:cs="Times New Roman"/>
                <w:color w:val="auto"/>
                <w:sz w:val="18"/>
                <w:szCs w:val="18"/>
                <w:lang w:val="en-US" w:eastAsia="zh-CN" w:bidi="ar"/>
              </w:rPr>
            </w:pPr>
          </w:p>
        </w:tc>
        <w:tc>
          <w:tcPr>
            <w:tcW w:w="1554" w:type="dxa"/>
            <w:tcBorders>
              <w:tl2br w:val="nil"/>
              <w:tr2bl w:val="nil"/>
            </w:tcBorders>
            <w:vAlign w:val="top"/>
          </w:tcPr>
          <w:p w14:paraId="09B56107">
            <w:pPr>
              <w:jc w:val="center"/>
              <w:rPr>
                <w:rFonts w:hint="default" w:ascii="Times New Roman" w:hAnsi="Times New Roman" w:eastAsia="仿宋_GB2312" w:cs="Times New Roman"/>
                <w:color w:val="auto"/>
                <w:sz w:val="18"/>
                <w:szCs w:val="18"/>
                <w:lang w:val="en-US" w:eastAsia="zh-CN" w:bidi="ar"/>
              </w:rPr>
            </w:pPr>
          </w:p>
        </w:tc>
        <w:tc>
          <w:tcPr>
            <w:tcW w:w="1177" w:type="dxa"/>
            <w:tcBorders>
              <w:tl2br w:val="nil"/>
              <w:tr2bl w:val="nil"/>
            </w:tcBorders>
            <w:vAlign w:val="top"/>
          </w:tcPr>
          <w:p w14:paraId="4B67DC36">
            <w:pPr>
              <w:jc w:val="center"/>
              <w:rPr>
                <w:rFonts w:hint="default" w:ascii="Times New Roman" w:hAnsi="Times New Roman" w:eastAsia="仿宋_GB2312" w:cs="Times New Roman"/>
                <w:color w:val="auto"/>
                <w:sz w:val="18"/>
                <w:szCs w:val="18"/>
                <w:lang w:val="en-US" w:eastAsia="zh-CN" w:bidi="ar"/>
              </w:rPr>
            </w:pPr>
          </w:p>
        </w:tc>
        <w:tc>
          <w:tcPr>
            <w:tcW w:w="1336" w:type="dxa"/>
            <w:tcBorders>
              <w:tl2br w:val="nil"/>
              <w:tr2bl w:val="nil"/>
            </w:tcBorders>
            <w:vAlign w:val="top"/>
          </w:tcPr>
          <w:p w14:paraId="41FC5F69">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w:t>
            </w:r>
          </w:p>
        </w:tc>
      </w:tr>
      <w:tr w14:paraId="1E3D88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681" w:type="dxa"/>
            <w:tcBorders>
              <w:tl2br w:val="nil"/>
              <w:tr2bl w:val="nil"/>
            </w:tcBorders>
            <w:vAlign w:val="top"/>
          </w:tcPr>
          <w:p w14:paraId="62B76257">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二</w:t>
            </w:r>
          </w:p>
        </w:tc>
        <w:tc>
          <w:tcPr>
            <w:tcW w:w="2468" w:type="dxa"/>
            <w:tcBorders>
              <w:tl2br w:val="nil"/>
              <w:tr2bl w:val="nil"/>
            </w:tcBorders>
            <w:vAlign w:val="center"/>
          </w:tcPr>
          <w:p w14:paraId="3C557402">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硬化工程区</w:t>
            </w:r>
          </w:p>
        </w:tc>
        <w:tc>
          <w:tcPr>
            <w:tcW w:w="1673" w:type="dxa"/>
            <w:tcBorders>
              <w:tl2br w:val="nil"/>
              <w:tr2bl w:val="nil"/>
            </w:tcBorders>
            <w:vAlign w:val="top"/>
          </w:tcPr>
          <w:p w14:paraId="164E7745">
            <w:pPr>
              <w:jc w:val="center"/>
              <w:rPr>
                <w:rFonts w:hint="default" w:ascii="Times New Roman" w:hAnsi="Times New Roman" w:eastAsia="仿宋_GB2312" w:cs="Times New Roman"/>
                <w:color w:val="auto"/>
                <w:sz w:val="18"/>
                <w:szCs w:val="18"/>
                <w:lang w:val="en-US" w:eastAsia="zh-CN" w:bidi="ar"/>
              </w:rPr>
            </w:pPr>
          </w:p>
        </w:tc>
        <w:tc>
          <w:tcPr>
            <w:tcW w:w="1554" w:type="dxa"/>
            <w:tcBorders>
              <w:tl2br w:val="nil"/>
              <w:tr2bl w:val="nil"/>
            </w:tcBorders>
            <w:vAlign w:val="top"/>
          </w:tcPr>
          <w:p w14:paraId="4DF11E53">
            <w:pPr>
              <w:jc w:val="center"/>
              <w:rPr>
                <w:rFonts w:hint="default" w:ascii="Times New Roman" w:hAnsi="Times New Roman" w:eastAsia="仿宋_GB2312" w:cs="Times New Roman"/>
                <w:color w:val="auto"/>
                <w:sz w:val="18"/>
                <w:szCs w:val="18"/>
                <w:lang w:val="en-US" w:eastAsia="zh-CN" w:bidi="ar"/>
              </w:rPr>
            </w:pPr>
          </w:p>
        </w:tc>
        <w:tc>
          <w:tcPr>
            <w:tcW w:w="1177" w:type="dxa"/>
            <w:tcBorders>
              <w:tl2br w:val="nil"/>
              <w:tr2bl w:val="nil"/>
            </w:tcBorders>
            <w:vAlign w:val="top"/>
          </w:tcPr>
          <w:p w14:paraId="707B1849">
            <w:pPr>
              <w:jc w:val="center"/>
              <w:rPr>
                <w:rFonts w:hint="default" w:ascii="Times New Roman" w:hAnsi="Times New Roman" w:eastAsia="仿宋_GB2312" w:cs="Times New Roman"/>
                <w:color w:val="auto"/>
                <w:sz w:val="18"/>
                <w:szCs w:val="18"/>
                <w:lang w:val="en-US" w:eastAsia="zh-CN" w:bidi="ar"/>
              </w:rPr>
            </w:pPr>
          </w:p>
        </w:tc>
        <w:tc>
          <w:tcPr>
            <w:tcW w:w="1336" w:type="dxa"/>
            <w:tcBorders>
              <w:tl2br w:val="nil"/>
              <w:tr2bl w:val="nil"/>
            </w:tcBorders>
            <w:vAlign w:val="top"/>
          </w:tcPr>
          <w:p w14:paraId="15519295">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20.80</w:t>
            </w:r>
          </w:p>
        </w:tc>
      </w:tr>
      <w:tr w14:paraId="549FC4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681" w:type="dxa"/>
            <w:tcBorders>
              <w:tl2br w:val="nil"/>
              <w:tr2bl w:val="nil"/>
            </w:tcBorders>
            <w:vAlign w:val="top"/>
          </w:tcPr>
          <w:p w14:paraId="0E688CBF">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default" w:ascii="Times New Roman" w:hAnsi="Times New Roman" w:eastAsia="仿宋_GB2312" w:cs="Times New Roman"/>
                <w:i w:val="0"/>
                <w:iCs w:val="0"/>
                <w:color w:val="000000"/>
                <w:kern w:val="0"/>
                <w:sz w:val="18"/>
                <w:szCs w:val="18"/>
                <w:u w:val="none"/>
                <w:lang w:val="en-US" w:eastAsia="zh-CN" w:bidi="ar"/>
              </w:rPr>
              <w:t xml:space="preserve">一 </w:t>
            </w:r>
            <w:r>
              <w:rPr>
                <w:rFonts w:hint="default" w:ascii="Times New Roman" w:hAnsi="Times New Roman" w:eastAsia="宋体" w:cs="Times New Roman"/>
                <w:i w:val="0"/>
                <w:iCs w:val="0"/>
                <w:color w:val="000000"/>
                <w:kern w:val="0"/>
                <w:sz w:val="18"/>
                <w:szCs w:val="18"/>
                <w:u w:val="none"/>
                <w:lang w:val="en-US" w:eastAsia="zh-CN" w:bidi="ar"/>
              </w:rPr>
              <w:t>)</w:t>
            </w:r>
          </w:p>
        </w:tc>
        <w:tc>
          <w:tcPr>
            <w:tcW w:w="2468" w:type="dxa"/>
            <w:tcBorders>
              <w:tl2br w:val="nil"/>
              <w:tr2bl w:val="nil"/>
            </w:tcBorders>
            <w:vAlign w:val="center"/>
          </w:tcPr>
          <w:p w14:paraId="7258D203">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表土保护工程</w:t>
            </w:r>
          </w:p>
        </w:tc>
        <w:tc>
          <w:tcPr>
            <w:tcW w:w="1673" w:type="dxa"/>
            <w:tcBorders>
              <w:tl2br w:val="nil"/>
              <w:tr2bl w:val="nil"/>
            </w:tcBorders>
            <w:vAlign w:val="top"/>
          </w:tcPr>
          <w:p w14:paraId="40BD7A8C">
            <w:pPr>
              <w:jc w:val="center"/>
              <w:rPr>
                <w:rFonts w:hint="default" w:ascii="Times New Roman" w:hAnsi="Times New Roman" w:eastAsia="仿宋_GB2312" w:cs="Times New Roman"/>
                <w:color w:val="auto"/>
                <w:sz w:val="18"/>
                <w:szCs w:val="18"/>
                <w:lang w:val="en-US" w:eastAsia="zh-CN" w:bidi="ar"/>
              </w:rPr>
            </w:pPr>
          </w:p>
        </w:tc>
        <w:tc>
          <w:tcPr>
            <w:tcW w:w="1554" w:type="dxa"/>
            <w:tcBorders>
              <w:tl2br w:val="nil"/>
              <w:tr2bl w:val="nil"/>
            </w:tcBorders>
            <w:vAlign w:val="top"/>
          </w:tcPr>
          <w:p w14:paraId="0853C1DB">
            <w:pPr>
              <w:jc w:val="center"/>
              <w:rPr>
                <w:rFonts w:hint="default" w:ascii="Times New Roman" w:hAnsi="Times New Roman" w:eastAsia="仿宋_GB2312" w:cs="Times New Roman"/>
                <w:color w:val="auto"/>
                <w:sz w:val="18"/>
                <w:szCs w:val="18"/>
                <w:lang w:val="en-US" w:eastAsia="zh-CN" w:bidi="ar"/>
              </w:rPr>
            </w:pPr>
          </w:p>
        </w:tc>
        <w:tc>
          <w:tcPr>
            <w:tcW w:w="1177" w:type="dxa"/>
            <w:tcBorders>
              <w:tl2br w:val="nil"/>
              <w:tr2bl w:val="nil"/>
            </w:tcBorders>
            <w:vAlign w:val="top"/>
          </w:tcPr>
          <w:p w14:paraId="4CE687A9">
            <w:pPr>
              <w:jc w:val="center"/>
              <w:rPr>
                <w:rFonts w:hint="default" w:ascii="Times New Roman" w:hAnsi="Times New Roman" w:eastAsia="仿宋_GB2312" w:cs="Times New Roman"/>
                <w:color w:val="auto"/>
                <w:sz w:val="18"/>
                <w:szCs w:val="18"/>
                <w:lang w:val="en-US" w:eastAsia="zh-CN" w:bidi="ar"/>
              </w:rPr>
            </w:pPr>
          </w:p>
        </w:tc>
        <w:tc>
          <w:tcPr>
            <w:tcW w:w="1336" w:type="dxa"/>
            <w:tcBorders>
              <w:tl2br w:val="nil"/>
              <w:tr2bl w:val="nil"/>
            </w:tcBorders>
            <w:vAlign w:val="top"/>
          </w:tcPr>
          <w:p w14:paraId="56352909">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0.02</w:t>
            </w:r>
          </w:p>
        </w:tc>
      </w:tr>
      <w:tr w14:paraId="3B3B43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681" w:type="dxa"/>
            <w:tcBorders>
              <w:tl2br w:val="nil"/>
              <w:tr2bl w:val="nil"/>
            </w:tcBorders>
            <w:vAlign w:val="top"/>
          </w:tcPr>
          <w:p w14:paraId="6A2A22BE">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468" w:type="dxa"/>
            <w:tcBorders>
              <w:tl2br w:val="nil"/>
              <w:tr2bl w:val="nil"/>
            </w:tcBorders>
            <w:vAlign w:val="center"/>
          </w:tcPr>
          <w:p w14:paraId="4E330AB2">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表土剥离0.01万m</w:t>
            </w:r>
            <w:r>
              <w:rPr>
                <w:rFonts w:hint="default" w:ascii="Times New Roman" w:hAnsi="Times New Roman" w:eastAsia="仿宋_GB2312" w:cs="Times New Roman"/>
                <w:i w:val="0"/>
                <w:iCs w:val="0"/>
                <w:color w:val="000000"/>
                <w:kern w:val="0"/>
                <w:sz w:val="18"/>
                <w:szCs w:val="18"/>
                <w:u w:val="none"/>
                <w:vertAlign w:val="superscript"/>
                <w:lang w:val="en-US" w:eastAsia="zh-CN" w:bidi="ar"/>
              </w:rPr>
              <w:t>3</w:t>
            </w:r>
          </w:p>
        </w:tc>
        <w:tc>
          <w:tcPr>
            <w:tcW w:w="1673" w:type="dxa"/>
            <w:tcBorders>
              <w:tl2br w:val="nil"/>
              <w:tr2bl w:val="nil"/>
            </w:tcBorders>
            <w:shd w:val="clear" w:color="auto" w:fill="auto"/>
            <w:vAlign w:val="top"/>
          </w:tcPr>
          <w:p w14:paraId="24FE5ED4">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100m</w:t>
            </w:r>
            <w:r>
              <w:rPr>
                <w:rFonts w:hint="default" w:ascii="Times New Roman" w:hAnsi="Times New Roman" w:cs="Times New Roman"/>
                <w:i w:val="0"/>
                <w:iCs w:val="0"/>
                <w:color w:val="000000"/>
                <w:kern w:val="0"/>
                <w:sz w:val="18"/>
                <w:szCs w:val="18"/>
                <w:u w:val="none"/>
                <w:vertAlign w:val="superscript"/>
                <w:lang w:val="en-US" w:eastAsia="zh-CN" w:bidi="ar"/>
              </w:rPr>
              <w:t>2</w:t>
            </w:r>
          </w:p>
        </w:tc>
        <w:tc>
          <w:tcPr>
            <w:tcW w:w="1554" w:type="dxa"/>
            <w:tcBorders>
              <w:tl2br w:val="nil"/>
              <w:tr2bl w:val="nil"/>
            </w:tcBorders>
            <w:shd w:val="clear" w:color="auto" w:fill="auto"/>
            <w:vAlign w:val="top"/>
          </w:tcPr>
          <w:p w14:paraId="2472B823">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kern w:val="2"/>
                <w:sz w:val="18"/>
                <w:szCs w:val="18"/>
                <w:lang w:val="en-US" w:eastAsia="zh-CN" w:bidi="ar"/>
              </w:rPr>
              <w:t>2.00</w:t>
            </w:r>
          </w:p>
        </w:tc>
        <w:tc>
          <w:tcPr>
            <w:tcW w:w="1177" w:type="dxa"/>
            <w:tcBorders>
              <w:tl2br w:val="nil"/>
              <w:tr2bl w:val="nil"/>
            </w:tcBorders>
            <w:shd w:val="clear" w:color="auto" w:fill="auto"/>
            <w:vAlign w:val="top"/>
          </w:tcPr>
          <w:p w14:paraId="27D8C95B">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75.99</w:t>
            </w:r>
          </w:p>
        </w:tc>
        <w:tc>
          <w:tcPr>
            <w:tcW w:w="1336" w:type="dxa"/>
            <w:tcBorders>
              <w:tl2br w:val="nil"/>
              <w:tr2bl w:val="nil"/>
            </w:tcBorders>
            <w:vAlign w:val="top"/>
          </w:tcPr>
          <w:p w14:paraId="6717B1D6">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0.02</w:t>
            </w:r>
          </w:p>
        </w:tc>
      </w:tr>
      <w:tr w14:paraId="04AE0B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681" w:type="dxa"/>
            <w:tcBorders>
              <w:tl2br w:val="nil"/>
              <w:tr2bl w:val="nil"/>
            </w:tcBorders>
            <w:vAlign w:val="top"/>
          </w:tcPr>
          <w:p w14:paraId="291FC9FA">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（二）</w:t>
            </w:r>
          </w:p>
        </w:tc>
        <w:tc>
          <w:tcPr>
            <w:tcW w:w="2468" w:type="dxa"/>
            <w:tcBorders>
              <w:tl2br w:val="nil"/>
              <w:tr2bl w:val="nil"/>
            </w:tcBorders>
            <w:vAlign w:val="center"/>
          </w:tcPr>
          <w:p w14:paraId="50124AE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防洪排导工程</w:t>
            </w:r>
          </w:p>
        </w:tc>
        <w:tc>
          <w:tcPr>
            <w:tcW w:w="1673" w:type="dxa"/>
            <w:tcBorders>
              <w:tl2br w:val="nil"/>
              <w:tr2bl w:val="nil"/>
            </w:tcBorders>
            <w:shd w:val="clear" w:color="auto" w:fill="auto"/>
            <w:vAlign w:val="top"/>
          </w:tcPr>
          <w:p w14:paraId="3D8652C0">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18"/>
                <w:szCs w:val="18"/>
                <w:u w:val="none"/>
                <w:lang w:val="en-US" w:eastAsia="zh-CN" w:bidi="ar"/>
              </w:rPr>
            </w:pPr>
          </w:p>
        </w:tc>
        <w:tc>
          <w:tcPr>
            <w:tcW w:w="1554" w:type="dxa"/>
            <w:tcBorders>
              <w:tl2br w:val="nil"/>
              <w:tr2bl w:val="nil"/>
            </w:tcBorders>
            <w:shd w:val="clear" w:color="auto" w:fill="auto"/>
            <w:vAlign w:val="top"/>
          </w:tcPr>
          <w:p w14:paraId="278000B6">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p>
        </w:tc>
        <w:tc>
          <w:tcPr>
            <w:tcW w:w="1177" w:type="dxa"/>
            <w:tcBorders>
              <w:tl2br w:val="nil"/>
              <w:tr2bl w:val="nil"/>
            </w:tcBorders>
            <w:shd w:val="clear" w:color="auto" w:fill="auto"/>
            <w:vAlign w:val="top"/>
          </w:tcPr>
          <w:p w14:paraId="1463FBF9">
            <w:pPr>
              <w:keepNext w:val="0"/>
              <w:keepLines w:val="0"/>
              <w:widowControl/>
              <w:suppressLineNumbers w:val="0"/>
              <w:jc w:val="center"/>
              <w:textAlignment w:val="top"/>
              <w:rPr>
                <w:rFonts w:hint="default" w:ascii="Times New Roman" w:hAnsi="Times New Roman" w:cs="Times New Roman"/>
                <w:i w:val="0"/>
                <w:iCs w:val="0"/>
                <w:color w:val="000000"/>
                <w:kern w:val="0"/>
                <w:sz w:val="18"/>
                <w:szCs w:val="18"/>
                <w:u w:val="none"/>
                <w:lang w:val="en-US" w:eastAsia="zh-CN" w:bidi="ar"/>
              </w:rPr>
            </w:pPr>
          </w:p>
        </w:tc>
        <w:tc>
          <w:tcPr>
            <w:tcW w:w="1336" w:type="dxa"/>
            <w:tcBorders>
              <w:tl2br w:val="nil"/>
              <w:tr2bl w:val="nil"/>
            </w:tcBorders>
            <w:vAlign w:val="top"/>
          </w:tcPr>
          <w:p w14:paraId="58B9B27C">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20.78</w:t>
            </w:r>
          </w:p>
        </w:tc>
      </w:tr>
      <w:tr w14:paraId="1C9112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681" w:type="dxa"/>
            <w:tcBorders>
              <w:tl2br w:val="nil"/>
              <w:tr2bl w:val="nil"/>
            </w:tcBorders>
            <w:vAlign w:val="top"/>
          </w:tcPr>
          <w:p w14:paraId="3C74897E">
            <w:pPr>
              <w:keepNext w:val="0"/>
              <w:keepLines w:val="0"/>
              <w:widowControl/>
              <w:suppressLineNumbers w:val="0"/>
              <w:jc w:val="center"/>
              <w:textAlignment w:val="top"/>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1</w:t>
            </w:r>
          </w:p>
        </w:tc>
        <w:tc>
          <w:tcPr>
            <w:tcW w:w="2468" w:type="dxa"/>
            <w:tcBorders>
              <w:tl2br w:val="nil"/>
              <w:tr2bl w:val="nil"/>
            </w:tcBorders>
            <w:shd w:val="clear" w:color="auto" w:fill="auto"/>
            <w:vAlign w:val="center"/>
          </w:tcPr>
          <w:p w14:paraId="1D0087DF">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DN300</w:t>
            </w:r>
            <w:r>
              <w:rPr>
                <w:rFonts w:hint="default" w:ascii="Times New Roman" w:hAnsi="Times New Roman" w:eastAsia="仿宋_GB2312" w:cs="Times New Roman"/>
                <w:i w:val="0"/>
                <w:iCs w:val="0"/>
                <w:color w:val="000000"/>
                <w:kern w:val="0"/>
                <w:sz w:val="18"/>
                <w:szCs w:val="18"/>
                <w:u w:val="none"/>
                <w:lang w:val="en-US" w:eastAsia="zh-CN" w:bidi="ar"/>
              </w:rPr>
              <w:t>排水管</w:t>
            </w:r>
          </w:p>
        </w:tc>
        <w:tc>
          <w:tcPr>
            <w:tcW w:w="1673" w:type="dxa"/>
            <w:tcBorders>
              <w:tl2br w:val="nil"/>
              <w:tr2bl w:val="nil"/>
            </w:tcBorders>
            <w:shd w:val="clear" w:color="auto" w:fill="auto"/>
            <w:vAlign w:val="center"/>
          </w:tcPr>
          <w:p w14:paraId="1EF7CB7F">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m</w:t>
            </w:r>
          </w:p>
        </w:tc>
        <w:tc>
          <w:tcPr>
            <w:tcW w:w="1554" w:type="dxa"/>
            <w:tcBorders>
              <w:tl2br w:val="nil"/>
              <w:tr2bl w:val="nil"/>
            </w:tcBorders>
            <w:shd w:val="clear" w:color="auto" w:fill="auto"/>
            <w:vAlign w:val="center"/>
          </w:tcPr>
          <w:p w14:paraId="6DBDBD6D">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720</w:t>
            </w:r>
          </w:p>
        </w:tc>
        <w:tc>
          <w:tcPr>
            <w:tcW w:w="1177" w:type="dxa"/>
            <w:tcBorders>
              <w:tl2br w:val="nil"/>
              <w:tr2bl w:val="nil"/>
            </w:tcBorders>
            <w:shd w:val="clear" w:color="auto" w:fill="auto"/>
            <w:vAlign w:val="center"/>
          </w:tcPr>
          <w:p w14:paraId="38274D9E">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222.7</w:t>
            </w:r>
            <w:r>
              <w:rPr>
                <w:rFonts w:hint="default" w:ascii="Times New Roman" w:hAnsi="Times New Roman" w:cs="Times New Roman"/>
                <w:i w:val="0"/>
                <w:iCs w:val="0"/>
                <w:color w:val="000000"/>
                <w:kern w:val="0"/>
                <w:sz w:val="18"/>
                <w:szCs w:val="18"/>
                <w:u w:val="none"/>
                <w:lang w:val="en-US" w:eastAsia="zh-CN" w:bidi="ar"/>
              </w:rPr>
              <w:t>0</w:t>
            </w:r>
          </w:p>
        </w:tc>
        <w:tc>
          <w:tcPr>
            <w:tcW w:w="1336" w:type="dxa"/>
            <w:tcBorders>
              <w:tl2br w:val="nil"/>
              <w:tr2bl w:val="nil"/>
            </w:tcBorders>
            <w:shd w:val="clear" w:color="auto" w:fill="auto"/>
            <w:vAlign w:val="center"/>
          </w:tcPr>
          <w:p w14:paraId="6455957F">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16.03 </w:t>
            </w:r>
          </w:p>
        </w:tc>
      </w:tr>
      <w:tr w14:paraId="763429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681" w:type="dxa"/>
            <w:tcBorders>
              <w:tl2br w:val="nil"/>
              <w:tr2bl w:val="nil"/>
            </w:tcBorders>
            <w:vAlign w:val="top"/>
          </w:tcPr>
          <w:p w14:paraId="2DF624C3">
            <w:pPr>
              <w:keepNext w:val="0"/>
              <w:keepLines w:val="0"/>
              <w:widowControl/>
              <w:suppressLineNumbers w:val="0"/>
              <w:jc w:val="center"/>
              <w:textAlignment w:val="top"/>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w:t>
            </w:r>
          </w:p>
        </w:tc>
        <w:tc>
          <w:tcPr>
            <w:tcW w:w="2468" w:type="dxa"/>
            <w:tcBorders>
              <w:tl2br w:val="nil"/>
              <w:tr2bl w:val="nil"/>
            </w:tcBorders>
            <w:shd w:val="clear" w:color="auto" w:fill="auto"/>
            <w:vAlign w:val="center"/>
          </w:tcPr>
          <w:p w14:paraId="721A26B8">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雨水井</w:t>
            </w:r>
          </w:p>
        </w:tc>
        <w:tc>
          <w:tcPr>
            <w:tcW w:w="1673" w:type="dxa"/>
            <w:tcBorders>
              <w:tl2br w:val="nil"/>
              <w:tr2bl w:val="nil"/>
            </w:tcBorders>
            <w:shd w:val="clear" w:color="auto" w:fill="auto"/>
            <w:vAlign w:val="center"/>
          </w:tcPr>
          <w:p w14:paraId="3B37D8A8">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座</w:t>
            </w:r>
          </w:p>
        </w:tc>
        <w:tc>
          <w:tcPr>
            <w:tcW w:w="1554" w:type="dxa"/>
            <w:tcBorders>
              <w:tl2br w:val="nil"/>
              <w:tr2bl w:val="nil"/>
            </w:tcBorders>
            <w:shd w:val="clear" w:color="auto" w:fill="auto"/>
            <w:vAlign w:val="center"/>
          </w:tcPr>
          <w:p w14:paraId="1D29CC7D">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1177" w:type="dxa"/>
            <w:tcBorders>
              <w:tl2br w:val="nil"/>
              <w:tr2bl w:val="nil"/>
            </w:tcBorders>
            <w:shd w:val="clear" w:color="auto" w:fill="auto"/>
            <w:vAlign w:val="center"/>
          </w:tcPr>
          <w:p w14:paraId="727319C5">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2000</w:t>
            </w:r>
            <w:r>
              <w:rPr>
                <w:rFonts w:hint="default" w:ascii="Times New Roman" w:hAnsi="Times New Roman" w:cs="Times New Roman"/>
                <w:i w:val="0"/>
                <w:iCs w:val="0"/>
                <w:color w:val="000000"/>
                <w:kern w:val="0"/>
                <w:sz w:val="18"/>
                <w:szCs w:val="18"/>
                <w:u w:val="none"/>
                <w:lang w:val="en-US" w:eastAsia="zh-CN" w:bidi="ar"/>
              </w:rPr>
              <w:t>.00</w:t>
            </w:r>
          </w:p>
        </w:tc>
        <w:tc>
          <w:tcPr>
            <w:tcW w:w="1336" w:type="dxa"/>
            <w:tcBorders>
              <w:tl2br w:val="nil"/>
              <w:tr2bl w:val="nil"/>
            </w:tcBorders>
            <w:shd w:val="clear" w:color="auto" w:fill="auto"/>
            <w:vAlign w:val="center"/>
          </w:tcPr>
          <w:p w14:paraId="376E1B01">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3EC342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681" w:type="dxa"/>
            <w:tcBorders>
              <w:tl2br w:val="nil"/>
              <w:tr2bl w:val="nil"/>
            </w:tcBorders>
            <w:vAlign w:val="top"/>
          </w:tcPr>
          <w:p w14:paraId="6EAEC30B">
            <w:pPr>
              <w:keepNext w:val="0"/>
              <w:keepLines w:val="0"/>
              <w:widowControl/>
              <w:suppressLineNumbers w:val="0"/>
              <w:jc w:val="center"/>
              <w:textAlignment w:val="top"/>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3</w:t>
            </w:r>
          </w:p>
        </w:tc>
        <w:tc>
          <w:tcPr>
            <w:tcW w:w="2468" w:type="dxa"/>
            <w:tcBorders>
              <w:tl2br w:val="nil"/>
              <w:tr2bl w:val="nil"/>
            </w:tcBorders>
            <w:shd w:val="clear" w:color="auto" w:fill="auto"/>
            <w:vAlign w:val="center"/>
          </w:tcPr>
          <w:p w14:paraId="55936958">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雨水口</w:t>
            </w:r>
          </w:p>
        </w:tc>
        <w:tc>
          <w:tcPr>
            <w:tcW w:w="1673" w:type="dxa"/>
            <w:tcBorders>
              <w:tl2br w:val="nil"/>
              <w:tr2bl w:val="nil"/>
            </w:tcBorders>
            <w:shd w:val="clear" w:color="auto" w:fill="auto"/>
            <w:vAlign w:val="center"/>
          </w:tcPr>
          <w:p w14:paraId="1B8C0461">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座</w:t>
            </w:r>
          </w:p>
        </w:tc>
        <w:tc>
          <w:tcPr>
            <w:tcW w:w="1554" w:type="dxa"/>
            <w:tcBorders>
              <w:tl2br w:val="nil"/>
              <w:tr2bl w:val="nil"/>
            </w:tcBorders>
            <w:shd w:val="clear" w:color="auto" w:fill="auto"/>
            <w:vAlign w:val="center"/>
          </w:tcPr>
          <w:p w14:paraId="11127B1C">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1177" w:type="dxa"/>
            <w:tcBorders>
              <w:tl2br w:val="nil"/>
              <w:tr2bl w:val="nil"/>
            </w:tcBorders>
            <w:shd w:val="clear" w:color="auto" w:fill="auto"/>
            <w:vAlign w:val="center"/>
          </w:tcPr>
          <w:p w14:paraId="17707CCF">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500</w:t>
            </w:r>
            <w:r>
              <w:rPr>
                <w:rFonts w:hint="default" w:ascii="Times New Roman" w:hAnsi="Times New Roman" w:cs="Times New Roman"/>
                <w:i w:val="0"/>
                <w:iCs w:val="0"/>
                <w:color w:val="000000"/>
                <w:kern w:val="0"/>
                <w:sz w:val="18"/>
                <w:szCs w:val="18"/>
                <w:u w:val="none"/>
                <w:lang w:val="en-US" w:eastAsia="zh-CN" w:bidi="ar"/>
              </w:rPr>
              <w:t>.00</w:t>
            </w:r>
          </w:p>
        </w:tc>
        <w:tc>
          <w:tcPr>
            <w:tcW w:w="1336" w:type="dxa"/>
            <w:tcBorders>
              <w:tl2br w:val="nil"/>
              <w:tr2bl w:val="nil"/>
            </w:tcBorders>
            <w:shd w:val="clear" w:color="auto" w:fill="auto"/>
            <w:vAlign w:val="center"/>
          </w:tcPr>
          <w:p w14:paraId="27926C50">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0.75 </w:t>
            </w:r>
          </w:p>
        </w:tc>
      </w:tr>
      <w:tr w14:paraId="75380C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681" w:type="dxa"/>
            <w:tcBorders>
              <w:tl2br w:val="nil"/>
              <w:tr2bl w:val="nil"/>
            </w:tcBorders>
            <w:vAlign w:val="top"/>
          </w:tcPr>
          <w:p w14:paraId="78A8E19F">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三</w:t>
            </w:r>
          </w:p>
        </w:tc>
        <w:tc>
          <w:tcPr>
            <w:tcW w:w="2468" w:type="dxa"/>
            <w:tcBorders>
              <w:tl2br w:val="nil"/>
              <w:tr2bl w:val="nil"/>
            </w:tcBorders>
            <w:vAlign w:val="center"/>
          </w:tcPr>
          <w:p w14:paraId="2F4EE0BA">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绿化工程区</w:t>
            </w:r>
          </w:p>
        </w:tc>
        <w:tc>
          <w:tcPr>
            <w:tcW w:w="1673" w:type="dxa"/>
            <w:tcBorders>
              <w:tl2br w:val="nil"/>
              <w:tr2bl w:val="nil"/>
            </w:tcBorders>
            <w:vAlign w:val="top"/>
          </w:tcPr>
          <w:p w14:paraId="3BC442B3">
            <w:pPr>
              <w:jc w:val="center"/>
              <w:rPr>
                <w:rFonts w:hint="default" w:ascii="Times New Roman" w:hAnsi="Times New Roman" w:eastAsia="仿宋_GB2312" w:cs="Times New Roman"/>
                <w:color w:val="auto"/>
                <w:sz w:val="18"/>
                <w:szCs w:val="18"/>
                <w:lang w:val="en-US" w:eastAsia="zh-CN" w:bidi="ar"/>
              </w:rPr>
            </w:pPr>
          </w:p>
        </w:tc>
        <w:tc>
          <w:tcPr>
            <w:tcW w:w="1554" w:type="dxa"/>
            <w:tcBorders>
              <w:tl2br w:val="nil"/>
              <w:tr2bl w:val="nil"/>
            </w:tcBorders>
            <w:vAlign w:val="top"/>
          </w:tcPr>
          <w:p w14:paraId="1E0FA209">
            <w:pPr>
              <w:jc w:val="center"/>
              <w:rPr>
                <w:rFonts w:hint="default" w:ascii="Times New Roman" w:hAnsi="Times New Roman" w:eastAsia="仿宋_GB2312" w:cs="Times New Roman"/>
                <w:color w:val="auto"/>
                <w:sz w:val="18"/>
                <w:szCs w:val="18"/>
                <w:lang w:val="en-US" w:eastAsia="zh-CN" w:bidi="ar"/>
              </w:rPr>
            </w:pPr>
          </w:p>
        </w:tc>
        <w:tc>
          <w:tcPr>
            <w:tcW w:w="1177" w:type="dxa"/>
            <w:tcBorders>
              <w:tl2br w:val="nil"/>
              <w:tr2bl w:val="nil"/>
            </w:tcBorders>
            <w:vAlign w:val="top"/>
          </w:tcPr>
          <w:p w14:paraId="1B36F782">
            <w:pPr>
              <w:jc w:val="center"/>
              <w:rPr>
                <w:rFonts w:hint="default" w:ascii="Times New Roman" w:hAnsi="Times New Roman" w:eastAsia="仿宋_GB2312" w:cs="Times New Roman"/>
                <w:color w:val="auto"/>
                <w:sz w:val="18"/>
                <w:szCs w:val="18"/>
                <w:lang w:val="en-US" w:eastAsia="zh-CN" w:bidi="ar"/>
              </w:rPr>
            </w:pPr>
          </w:p>
        </w:tc>
        <w:tc>
          <w:tcPr>
            <w:tcW w:w="1336" w:type="dxa"/>
            <w:tcBorders>
              <w:tl2br w:val="nil"/>
              <w:tr2bl w:val="nil"/>
            </w:tcBorders>
            <w:vAlign w:val="top"/>
          </w:tcPr>
          <w:p w14:paraId="1725DB9A">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0.12</w:t>
            </w:r>
          </w:p>
        </w:tc>
      </w:tr>
      <w:tr w14:paraId="481DD5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681" w:type="dxa"/>
            <w:tcBorders>
              <w:tl2br w:val="nil"/>
              <w:tr2bl w:val="nil"/>
            </w:tcBorders>
            <w:vAlign w:val="top"/>
          </w:tcPr>
          <w:p w14:paraId="07AEA0C7">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default" w:ascii="Times New Roman" w:hAnsi="Times New Roman" w:eastAsia="仿宋_GB2312" w:cs="Times New Roman"/>
                <w:i w:val="0"/>
                <w:iCs w:val="0"/>
                <w:color w:val="000000"/>
                <w:kern w:val="0"/>
                <w:sz w:val="18"/>
                <w:szCs w:val="18"/>
                <w:u w:val="none"/>
                <w:lang w:val="en-US" w:eastAsia="zh-CN" w:bidi="ar"/>
              </w:rPr>
              <w:t xml:space="preserve">一 </w:t>
            </w:r>
            <w:r>
              <w:rPr>
                <w:rFonts w:hint="default" w:ascii="Times New Roman" w:hAnsi="Times New Roman" w:eastAsia="宋体" w:cs="Times New Roman"/>
                <w:i w:val="0"/>
                <w:iCs w:val="0"/>
                <w:color w:val="000000"/>
                <w:kern w:val="0"/>
                <w:sz w:val="18"/>
                <w:szCs w:val="18"/>
                <w:u w:val="none"/>
                <w:lang w:val="en-US" w:eastAsia="zh-CN" w:bidi="ar"/>
              </w:rPr>
              <w:t>)</w:t>
            </w:r>
          </w:p>
        </w:tc>
        <w:tc>
          <w:tcPr>
            <w:tcW w:w="2468" w:type="dxa"/>
            <w:tcBorders>
              <w:tl2br w:val="nil"/>
              <w:tr2bl w:val="nil"/>
            </w:tcBorders>
            <w:vAlign w:val="center"/>
          </w:tcPr>
          <w:p w14:paraId="5ED63135">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表土保护工程</w:t>
            </w:r>
          </w:p>
        </w:tc>
        <w:tc>
          <w:tcPr>
            <w:tcW w:w="1673" w:type="dxa"/>
            <w:tcBorders>
              <w:tl2br w:val="nil"/>
              <w:tr2bl w:val="nil"/>
            </w:tcBorders>
            <w:vAlign w:val="top"/>
          </w:tcPr>
          <w:p w14:paraId="64ABEC6A">
            <w:pPr>
              <w:jc w:val="center"/>
              <w:rPr>
                <w:rFonts w:hint="default" w:ascii="Times New Roman" w:hAnsi="Times New Roman" w:eastAsia="仿宋_GB2312" w:cs="Times New Roman"/>
                <w:color w:val="auto"/>
                <w:sz w:val="18"/>
                <w:szCs w:val="18"/>
                <w:lang w:val="en-US" w:eastAsia="zh-CN" w:bidi="ar"/>
              </w:rPr>
            </w:pPr>
          </w:p>
        </w:tc>
        <w:tc>
          <w:tcPr>
            <w:tcW w:w="1554" w:type="dxa"/>
            <w:tcBorders>
              <w:tl2br w:val="nil"/>
              <w:tr2bl w:val="nil"/>
            </w:tcBorders>
            <w:vAlign w:val="top"/>
          </w:tcPr>
          <w:p w14:paraId="7D920927">
            <w:pPr>
              <w:jc w:val="center"/>
              <w:rPr>
                <w:rFonts w:hint="default" w:ascii="Times New Roman" w:hAnsi="Times New Roman" w:eastAsia="仿宋_GB2312" w:cs="Times New Roman"/>
                <w:color w:val="auto"/>
                <w:sz w:val="18"/>
                <w:szCs w:val="18"/>
                <w:lang w:val="en-US" w:eastAsia="zh-CN" w:bidi="ar"/>
              </w:rPr>
            </w:pPr>
          </w:p>
        </w:tc>
        <w:tc>
          <w:tcPr>
            <w:tcW w:w="1177" w:type="dxa"/>
            <w:tcBorders>
              <w:tl2br w:val="nil"/>
              <w:tr2bl w:val="nil"/>
            </w:tcBorders>
            <w:vAlign w:val="top"/>
          </w:tcPr>
          <w:p w14:paraId="1BEE6094">
            <w:pPr>
              <w:jc w:val="center"/>
              <w:rPr>
                <w:rFonts w:hint="default" w:ascii="Times New Roman" w:hAnsi="Times New Roman" w:eastAsia="仿宋_GB2312" w:cs="Times New Roman"/>
                <w:color w:val="auto"/>
                <w:sz w:val="18"/>
                <w:szCs w:val="18"/>
                <w:lang w:val="en-US" w:eastAsia="zh-CN" w:bidi="ar"/>
              </w:rPr>
            </w:pPr>
          </w:p>
        </w:tc>
        <w:tc>
          <w:tcPr>
            <w:tcW w:w="1336" w:type="dxa"/>
            <w:tcBorders>
              <w:tl2br w:val="nil"/>
              <w:tr2bl w:val="nil"/>
            </w:tcBorders>
            <w:vAlign w:val="top"/>
          </w:tcPr>
          <w:p w14:paraId="76BF22B7">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0.12</w:t>
            </w:r>
          </w:p>
        </w:tc>
      </w:tr>
      <w:tr w14:paraId="368056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681" w:type="dxa"/>
            <w:tcBorders>
              <w:tl2br w:val="nil"/>
              <w:tr2bl w:val="nil"/>
            </w:tcBorders>
            <w:vAlign w:val="top"/>
          </w:tcPr>
          <w:p w14:paraId="22E83A3C">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468" w:type="dxa"/>
            <w:tcBorders>
              <w:tl2br w:val="nil"/>
              <w:tr2bl w:val="nil"/>
            </w:tcBorders>
            <w:shd w:val="clear" w:color="auto" w:fill="auto"/>
            <w:vAlign w:val="center"/>
          </w:tcPr>
          <w:p w14:paraId="4CB13B98">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表土剥离0.01万m</w:t>
            </w:r>
            <w:r>
              <w:rPr>
                <w:rFonts w:hint="default" w:ascii="Times New Roman" w:hAnsi="Times New Roman" w:eastAsia="仿宋_GB2312" w:cs="Times New Roman"/>
                <w:i w:val="0"/>
                <w:iCs w:val="0"/>
                <w:color w:val="000000"/>
                <w:kern w:val="0"/>
                <w:sz w:val="18"/>
                <w:szCs w:val="18"/>
                <w:u w:val="none"/>
                <w:vertAlign w:val="superscript"/>
                <w:lang w:val="en-US" w:eastAsia="zh-CN" w:bidi="ar"/>
              </w:rPr>
              <w:t>3</w:t>
            </w:r>
          </w:p>
        </w:tc>
        <w:tc>
          <w:tcPr>
            <w:tcW w:w="1673" w:type="dxa"/>
            <w:tcBorders>
              <w:tl2br w:val="nil"/>
              <w:tr2bl w:val="nil"/>
            </w:tcBorders>
            <w:shd w:val="clear" w:color="auto" w:fill="auto"/>
            <w:vAlign w:val="center"/>
          </w:tcPr>
          <w:p w14:paraId="4B715547">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100</w:t>
            </w:r>
            <w:r>
              <w:rPr>
                <w:rFonts w:hint="default" w:ascii="Times New Roman" w:hAnsi="Times New Roman" w:eastAsia="宋体" w:cs="Times New Roman"/>
                <w:i w:val="0"/>
                <w:iCs w:val="0"/>
                <w:color w:val="000000"/>
                <w:kern w:val="0"/>
                <w:sz w:val="18"/>
                <w:szCs w:val="18"/>
                <w:u w:val="none"/>
                <w:lang w:val="en-US" w:eastAsia="zh-CN" w:bidi="ar"/>
              </w:rPr>
              <w:t>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p>
        </w:tc>
        <w:tc>
          <w:tcPr>
            <w:tcW w:w="1554" w:type="dxa"/>
            <w:tcBorders>
              <w:tl2br w:val="nil"/>
              <w:tr2bl w:val="nil"/>
            </w:tcBorders>
            <w:shd w:val="clear" w:color="auto" w:fill="auto"/>
            <w:vAlign w:val="center"/>
          </w:tcPr>
          <w:p w14:paraId="03E55469">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6.00</w:t>
            </w:r>
          </w:p>
        </w:tc>
        <w:tc>
          <w:tcPr>
            <w:tcW w:w="1177" w:type="dxa"/>
            <w:tcBorders>
              <w:tl2br w:val="nil"/>
              <w:tr2bl w:val="nil"/>
            </w:tcBorders>
            <w:shd w:val="clear" w:color="auto" w:fill="auto"/>
            <w:vAlign w:val="center"/>
          </w:tcPr>
          <w:p w14:paraId="6DDF9901">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75</w:t>
            </w:r>
            <w:r>
              <w:rPr>
                <w:rFonts w:hint="default" w:ascii="Times New Roman" w:hAnsi="Times New Roman"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99</w:t>
            </w:r>
          </w:p>
        </w:tc>
        <w:tc>
          <w:tcPr>
            <w:tcW w:w="1336" w:type="dxa"/>
            <w:tcBorders>
              <w:tl2br w:val="nil"/>
              <w:tr2bl w:val="nil"/>
            </w:tcBorders>
            <w:shd w:val="clear" w:color="auto" w:fill="auto"/>
            <w:vAlign w:val="center"/>
          </w:tcPr>
          <w:p w14:paraId="2C6269D6">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0.05 </w:t>
            </w:r>
          </w:p>
        </w:tc>
      </w:tr>
      <w:tr w14:paraId="11C4D7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681" w:type="dxa"/>
            <w:tcBorders>
              <w:tl2br w:val="nil"/>
              <w:tr2bl w:val="nil"/>
            </w:tcBorders>
            <w:vAlign w:val="top"/>
          </w:tcPr>
          <w:p w14:paraId="36833AC7">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468" w:type="dxa"/>
            <w:tcBorders>
              <w:tl2br w:val="nil"/>
              <w:tr2bl w:val="nil"/>
            </w:tcBorders>
            <w:shd w:val="clear" w:color="auto" w:fill="auto"/>
            <w:vAlign w:val="center"/>
          </w:tcPr>
          <w:p w14:paraId="4AC43FF3">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表土回覆</w:t>
            </w:r>
          </w:p>
        </w:tc>
        <w:tc>
          <w:tcPr>
            <w:tcW w:w="1673" w:type="dxa"/>
            <w:tcBorders>
              <w:tl2br w:val="nil"/>
              <w:tr2bl w:val="nil"/>
            </w:tcBorders>
            <w:shd w:val="clear" w:color="auto" w:fill="auto"/>
            <w:vAlign w:val="center"/>
          </w:tcPr>
          <w:p w14:paraId="58089D87">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100m</w:t>
            </w:r>
            <w:r>
              <w:rPr>
                <w:rFonts w:hint="default" w:ascii="Times New Roman" w:hAnsi="Times New Roman" w:eastAsia="仿宋_GB2312" w:cs="Times New Roman"/>
                <w:i w:val="0"/>
                <w:iCs w:val="0"/>
                <w:color w:val="000000"/>
                <w:kern w:val="0"/>
                <w:sz w:val="18"/>
                <w:szCs w:val="18"/>
                <w:u w:val="none"/>
                <w:vertAlign w:val="superscript"/>
                <w:lang w:val="en-US" w:eastAsia="zh-CN" w:bidi="ar"/>
              </w:rPr>
              <w:t>3</w:t>
            </w:r>
          </w:p>
        </w:tc>
        <w:tc>
          <w:tcPr>
            <w:tcW w:w="1554" w:type="dxa"/>
            <w:tcBorders>
              <w:tl2br w:val="nil"/>
              <w:tr2bl w:val="nil"/>
            </w:tcBorders>
            <w:shd w:val="clear" w:color="auto" w:fill="auto"/>
            <w:vAlign w:val="center"/>
          </w:tcPr>
          <w:p w14:paraId="3EE02D48">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2.00</w:t>
            </w:r>
          </w:p>
        </w:tc>
        <w:tc>
          <w:tcPr>
            <w:tcW w:w="1177" w:type="dxa"/>
            <w:tcBorders>
              <w:tl2br w:val="nil"/>
              <w:tr2bl w:val="nil"/>
            </w:tcBorders>
            <w:shd w:val="clear" w:color="auto" w:fill="auto"/>
            <w:vAlign w:val="center"/>
          </w:tcPr>
          <w:p w14:paraId="1D3FB785">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332</w:t>
            </w:r>
            <w:r>
              <w:rPr>
                <w:rFonts w:hint="default" w:ascii="Times New Roman" w:hAnsi="Times New Roman"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21</w:t>
            </w:r>
          </w:p>
        </w:tc>
        <w:tc>
          <w:tcPr>
            <w:tcW w:w="1336" w:type="dxa"/>
            <w:tcBorders>
              <w:tl2br w:val="nil"/>
              <w:tr2bl w:val="nil"/>
            </w:tcBorders>
            <w:shd w:val="clear" w:color="auto" w:fill="auto"/>
            <w:vAlign w:val="center"/>
          </w:tcPr>
          <w:p w14:paraId="72EA88C2">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0.07 </w:t>
            </w:r>
          </w:p>
        </w:tc>
      </w:tr>
    </w:tbl>
    <w:p w14:paraId="0DAE58BA">
      <w:pPr>
        <w:jc w:val="center"/>
        <w:rPr>
          <w:rFonts w:hint="default" w:ascii="Times New Roman" w:hAnsi="Times New Roman" w:eastAsia="仿宋_GB2312" w:cs="Times New Roman"/>
          <w:b/>
          <w:kern w:val="0"/>
          <w:szCs w:val="21"/>
          <w:lang w:val="en-US" w:eastAsia="zh-CN"/>
        </w:rPr>
      </w:pPr>
      <w:r>
        <w:rPr>
          <w:rFonts w:hint="default" w:ascii="Times New Roman" w:hAnsi="Times New Roman" w:eastAsia="仿宋_GB2312" w:cs="Times New Roman"/>
          <w:b/>
          <w:szCs w:val="21"/>
          <w:lang w:bidi="ar"/>
        </w:rPr>
        <w:t>表7.1-</w:t>
      </w:r>
      <w:r>
        <w:rPr>
          <w:rFonts w:hint="default" w:ascii="Times New Roman" w:hAnsi="Times New Roman" w:eastAsia="仿宋_GB2312" w:cs="Times New Roman"/>
          <w:b/>
          <w:szCs w:val="21"/>
          <w:lang w:val="en-US" w:eastAsia="zh-CN" w:bidi="ar"/>
        </w:rPr>
        <w:t>3</w:t>
      </w:r>
      <w:r>
        <w:rPr>
          <w:rFonts w:hint="default" w:ascii="Times New Roman" w:hAnsi="Times New Roman" w:eastAsia="仿宋_GB2312" w:cs="Times New Roman"/>
          <w:b/>
          <w:szCs w:val="21"/>
          <w:lang w:bidi="ar"/>
        </w:rPr>
        <w:t xml:space="preserve"> </w:t>
      </w:r>
      <w:r>
        <w:rPr>
          <w:rFonts w:hint="default" w:ascii="Times New Roman" w:hAnsi="Times New Roman" w:eastAsia="仿宋_GB2312" w:cs="Times New Roman"/>
          <w:b/>
          <w:kern w:val="0"/>
          <w:szCs w:val="21"/>
        </w:rPr>
        <w:t xml:space="preserve"> </w:t>
      </w:r>
      <w:r>
        <w:rPr>
          <w:rFonts w:hint="default" w:ascii="Times New Roman" w:hAnsi="Times New Roman" w:eastAsia="仿宋_GB2312" w:cs="Times New Roman"/>
          <w:b/>
          <w:kern w:val="0"/>
          <w:szCs w:val="21"/>
          <w:lang w:val="en-US" w:eastAsia="zh-CN"/>
        </w:rPr>
        <w:t>分部概算表（植物措施）</w:t>
      </w:r>
    </w:p>
    <w:tbl>
      <w:tblPr>
        <w:tblStyle w:val="37"/>
        <w:tblW w:w="5014"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65"/>
        <w:gridCol w:w="2415"/>
        <w:gridCol w:w="1636"/>
        <w:gridCol w:w="1519"/>
        <w:gridCol w:w="1316"/>
        <w:gridCol w:w="1382"/>
      </w:tblGrid>
      <w:tr w14:paraId="192FAB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72" w:type="pct"/>
            <w:tcBorders>
              <w:tl2br w:val="nil"/>
              <w:tr2bl w:val="nil"/>
            </w:tcBorders>
            <w:shd w:val="clear" w:color="auto" w:fill="auto"/>
            <w:vAlign w:val="top"/>
          </w:tcPr>
          <w:p w14:paraId="49467A2B">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序号</w:t>
            </w:r>
          </w:p>
        </w:tc>
        <w:tc>
          <w:tcPr>
            <w:tcW w:w="1351" w:type="pct"/>
            <w:tcBorders>
              <w:tl2br w:val="nil"/>
              <w:tr2bl w:val="nil"/>
            </w:tcBorders>
            <w:shd w:val="clear" w:color="auto" w:fill="auto"/>
            <w:vAlign w:val="top"/>
          </w:tcPr>
          <w:p w14:paraId="2E8A69A3">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工程或费用名称</w:t>
            </w:r>
          </w:p>
        </w:tc>
        <w:tc>
          <w:tcPr>
            <w:tcW w:w="915" w:type="pct"/>
            <w:tcBorders>
              <w:tl2br w:val="nil"/>
              <w:tr2bl w:val="nil"/>
            </w:tcBorders>
            <w:shd w:val="clear" w:color="auto" w:fill="auto"/>
            <w:vAlign w:val="top"/>
          </w:tcPr>
          <w:p w14:paraId="65E4F630">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单位</w:t>
            </w:r>
          </w:p>
        </w:tc>
        <w:tc>
          <w:tcPr>
            <w:tcW w:w="850" w:type="pct"/>
            <w:tcBorders>
              <w:tl2br w:val="nil"/>
              <w:tr2bl w:val="nil"/>
            </w:tcBorders>
            <w:shd w:val="clear" w:color="auto" w:fill="auto"/>
            <w:vAlign w:val="top"/>
          </w:tcPr>
          <w:p w14:paraId="05ABA71B">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数量</w:t>
            </w:r>
          </w:p>
        </w:tc>
        <w:tc>
          <w:tcPr>
            <w:tcW w:w="736" w:type="pct"/>
            <w:tcBorders>
              <w:tl2br w:val="nil"/>
              <w:tr2bl w:val="nil"/>
            </w:tcBorders>
            <w:shd w:val="clear" w:color="auto" w:fill="auto"/>
            <w:vAlign w:val="top"/>
          </w:tcPr>
          <w:p w14:paraId="1E38A22E">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单价(元)</w:t>
            </w:r>
          </w:p>
        </w:tc>
        <w:tc>
          <w:tcPr>
            <w:tcW w:w="773" w:type="pct"/>
            <w:tcBorders>
              <w:tl2br w:val="nil"/>
              <w:tr2bl w:val="nil"/>
            </w:tcBorders>
            <w:shd w:val="clear" w:color="auto" w:fill="auto"/>
            <w:vAlign w:val="top"/>
          </w:tcPr>
          <w:p w14:paraId="1C1ED060">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合计(万元)</w:t>
            </w:r>
          </w:p>
        </w:tc>
      </w:tr>
      <w:tr w14:paraId="0F8327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72" w:type="pct"/>
            <w:tcBorders>
              <w:tl2br w:val="nil"/>
              <w:tr2bl w:val="nil"/>
            </w:tcBorders>
            <w:vAlign w:val="top"/>
          </w:tcPr>
          <w:p w14:paraId="4B6E1D87">
            <w:pPr>
              <w:jc w:val="center"/>
              <w:rPr>
                <w:rFonts w:hint="default" w:ascii="Times New Roman" w:hAnsi="Times New Roman" w:eastAsia="仿宋_GB2312" w:cs="Times New Roman"/>
                <w:color w:val="auto"/>
                <w:sz w:val="18"/>
                <w:szCs w:val="18"/>
                <w:lang w:val="en-US" w:eastAsia="zh-CN" w:bidi="ar"/>
              </w:rPr>
            </w:pPr>
          </w:p>
        </w:tc>
        <w:tc>
          <w:tcPr>
            <w:tcW w:w="1351" w:type="pct"/>
            <w:tcBorders>
              <w:tl2br w:val="nil"/>
              <w:tr2bl w:val="nil"/>
            </w:tcBorders>
            <w:vAlign w:val="center"/>
          </w:tcPr>
          <w:p w14:paraId="7834D8C9">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第二部分  植物措施</w:t>
            </w:r>
          </w:p>
        </w:tc>
        <w:tc>
          <w:tcPr>
            <w:tcW w:w="915" w:type="pct"/>
            <w:tcBorders>
              <w:tl2br w:val="nil"/>
              <w:tr2bl w:val="nil"/>
            </w:tcBorders>
            <w:vAlign w:val="top"/>
          </w:tcPr>
          <w:p w14:paraId="39FBCFCA">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6D2C741E">
            <w:pPr>
              <w:jc w:val="center"/>
              <w:rPr>
                <w:rFonts w:hint="default" w:ascii="Times New Roman" w:hAnsi="Times New Roman" w:eastAsia="仿宋_GB2312" w:cs="Times New Roman"/>
                <w:color w:val="auto"/>
                <w:sz w:val="18"/>
                <w:szCs w:val="18"/>
                <w:lang w:val="en-US" w:eastAsia="zh-CN" w:bidi="ar"/>
              </w:rPr>
            </w:pPr>
          </w:p>
        </w:tc>
        <w:tc>
          <w:tcPr>
            <w:tcW w:w="736" w:type="pct"/>
            <w:tcBorders>
              <w:tl2br w:val="nil"/>
              <w:tr2bl w:val="nil"/>
            </w:tcBorders>
            <w:vAlign w:val="top"/>
          </w:tcPr>
          <w:p w14:paraId="653A658F">
            <w:pPr>
              <w:jc w:val="center"/>
              <w:rPr>
                <w:rFonts w:hint="default" w:ascii="Times New Roman" w:hAnsi="Times New Roman" w:eastAsia="仿宋_GB2312" w:cs="Times New Roman"/>
                <w:color w:val="auto"/>
                <w:sz w:val="18"/>
                <w:szCs w:val="18"/>
                <w:lang w:val="en-US" w:eastAsia="zh-CN" w:bidi="ar"/>
              </w:rPr>
            </w:pPr>
          </w:p>
        </w:tc>
        <w:tc>
          <w:tcPr>
            <w:tcW w:w="773" w:type="pct"/>
            <w:tcBorders>
              <w:tl2br w:val="nil"/>
              <w:tr2bl w:val="nil"/>
            </w:tcBorders>
            <w:vAlign w:val="top"/>
          </w:tcPr>
          <w:p w14:paraId="2A3B3A72">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0.13</w:t>
            </w:r>
          </w:p>
        </w:tc>
      </w:tr>
      <w:tr w14:paraId="327095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72" w:type="pct"/>
            <w:tcBorders>
              <w:tl2br w:val="nil"/>
              <w:tr2bl w:val="nil"/>
            </w:tcBorders>
            <w:vAlign w:val="top"/>
          </w:tcPr>
          <w:p w14:paraId="68EC0FC1">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一</w:t>
            </w:r>
          </w:p>
        </w:tc>
        <w:tc>
          <w:tcPr>
            <w:tcW w:w="1351" w:type="pct"/>
            <w:tcBorders>
              <w:tl2br w:val="nil"/>
              <w:tr2bl w:val="nil"/>
            </w:tcBorders>
            <w:vAlign w:val="center"/>
          </w:tcPr>
          <w:p w14:paraId="0E70DC08">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建构筑物工程区</w:t>
            </w:r>
          </w:p>
        </w:tc>
        <w:tc>
          <w:tcPr>
            <w:tcW w:w="915" w:type="pct"/>
            <w:tcBorders>
              <w:tl2br w:val="nil"/>
              <w:tr2bl w:val="nil"/>
            </w:tcBorders>
            <w:vAlign w:val="top"/>
          </w:tcPr>
          <w:p w14:paraId="3FFD9D9A">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31B17035">
            <w:pPr>
              <w:jc w:val="center"/>
              <w:rPr>
                <w:rFonts w:hint="default" w:ascii="Times New Roman" w:hAnsi="Times New Roman" w:eastAsia="仿宋_GB2312" w:cs="Times New Roman"/>
                <w:color w:val="auto"/>
                <w:sz w:val="18"/>
                <w:szCs w:val="18"/>
                <w:lang w:val="en-US" w:eastAsia="zh-CN" w:bidi="ar"/>
              </w:rPr>
            </w:pPr>
          </w:p>
        </w:tc>
        <w:tc>
          <w:tcPr>
            <w:tcW w:w="736" w:type="pct"/>
            <w:tcBorders>
              <w:tl2br w:val="nil"/>
              <w:tr2bl w:val="nil"/>
            </w:tcBorders>
            <w:vAlign w:val="top"/>
          </w:tcPr>
          <w:p w14:paraId="3340C3D1">
            <w:pPr>
              <w:jc w:val="center"/>
              <w:rPr>
                <w:rFonts w:hint="default" w:ascii="Times New Roman" w:hAnsi="Times New Roman" w:eastAsia="仿宋_GB2312" w:cs="Times New Roman"/>
                <w:color w:val="auto"/>
                <w:sz w:val="18"/>
                <w:szCs w:val="18"/>
                <w:lang w:val="en-US" w:eastAsia="zh-CN" w:bidi="ar"/>
              </w:rPr>
            </w:pPr>
          </w:p>
        </w:tc>
        <w:tc>
          <w:tcPr>
            <w:tcW w:w="773" w:type="pct"/>
            <w:tcBorders>
              <w:tl2br w:val="nil"/>
              <w:tr2bl w:val="nil"/>
            </w:tcBorders>
            <w:vAlign w:val="top"/>
          </w:tcPr>
          <w:p w14:paraId="2C47F540">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w:t>
            </w:r>
          </w:p>
        </w:tc>
      </w:tr>
      <w:tr w14:paraId="66E7D5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72" w:type="pct"/>
            <w:tcBorders>
              <w:tl2br w:val="nil"/>
              <w:tr2bl w:val="nil"/>
            </w:tcBorders>
            <w:vAlign w:val="top"/>
          </w:tcPr>
          <w:p w14:paraId="025E8600">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二</w:t>
            </w:r>
          </w:p>
        </w:tc>
        <w:tc>
          <w:tcPr>
            <w:tcW w:w="1351" w:type="pct"/>
            <w:tcBorders>
              <w:tl2br w:val="nil"/>
              <w:tr2bl w:val="nil"/>
            </w:tcBorders>
            <w:vAlign w:val="center"/>
          </w:tcPr>
          <w:p w14:paraId="176DFCC4">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硬化工程区</w:t>
            </w:r>
          </w:p>
        </w:tc>
        <w:tc>
          <w:tcPr>
            <w:tcW w:w="915" w:type="pct"/>
            <w:tcBorders>
              <w:tl2br w:val="nil"/>
              <w:tr2bl w:val="nil"/>
            </w:tcBorders>
            <w:vAlign w:val="top"/>
          </w:tcPr>
          <w:p w14:paraId="4D65B6C7">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11AE42FA">
            <w:pPr>
              <w:jc w:val="center"/>
              <w:rPr>
                <w:rFonts w:hint="default" w:ascii="Times New Roman" w:hAnsi="Times New Roman" w:eastAsia="仿宋_GB2312" w:cs="Times New Roman"/>
                <w:color w:val="auto"/>
                <w:sz w:val="18"/>
                <w:szCs w:val="18"/>
                <w:lang w:val="en-US" w:eastAsia="zh-CN" w:bidi="ar"/>
              </w:rPr>
            </w:pPr>
          </w:p>
        </w:tc>
        <w:tc>
          <w:tcPr>
            <w:tcW w:w="736" w:type="pct"/>
            <w:tcBorders>
              <w:tl2br w:val="nil"/>
              <w:tr2bl w:val="nil"/>
            </w:tcBorders>
            <w:vAlign w:val="top"/>
          </w:tcPr>
          <w:p w14:paraId="11318FD8">
            <w:pPr>
              <w:jc w:val="center"/>
              <w:rPr>
                <w:rFonts w:hint="default" w:ascii="Times New Roman" w:hAnsi="Times New Roman" w:eastAsia="仿宋_GB2312" w:cs="Times New Roman"/>
                <w:color w:val="auto"/>
                <w:sz w:val="18"/>
                <w:szCs w:val="18"/>
                <w:lang w:val="en-US" w:eastAsia="zh-CN" w:bidi="ar"/>
              </w:rPr>
            </w:pPr>
          </w:p>
        </w:tc>
        <w:tc>
          <w:tcPr>
            <w:tcW w:w="773" w:type="pct"/>
            <w:tcBorders>
              <w:tl2br w:val="nil"/>
              <w:tr2bl w:val="nil"/>
            </w:tcBorders>
            <w:vAlign w:val="top"/>
          </w:tcPr>
          <w:p w14:paraId="65B18428">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w:t>
            </w:r>
          </w:p>
        </w:tc>
      </w:tr>
      <w:tr w14:paraId="1D02EA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72" w:type="pct"/>
            <w:tcBorders>
              <w:tl2br w:val="nil"/>
              <w:tr2bl w:val="nil"/>
            </w:tcBorders>
            <w:vAlign w:val="top"/>
          </w:tcPr>
          <w:p w14:paraId="70878A5B">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三</w:t>
            </w:r>
          </w:p>
        </w:tc>
        <w:tc>
          <w:tcPr>
            <w:tcW w:w="1351" w:type="pct"/>
            <w:tcBorders>
              <w:tl2br w:val="nil"/>
              <w:tr2bl w:val="nil"/>
            </w:tcBorders>
            <w:vAlign w:val="center"/>
          </w:tcPr>
          <w:p w14:paraId="6901D77F">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绿化工程区</w:t>
            </w:r>
          </w:p>
        </w:tc>
        <w:tc>
          <w:tcPr>
            <w:tcW w:w="915" w:type="pct"/>
            <w:tcBorders>
              <w:tl2br w:val="nil"/>
              <w:tr2bl w:val="nil"/>
            </w:tcBorders>
            <w:vAlign w:val="top"/>
          </w:tcPr>
          <w:p w14:paraId="059A4574">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0D4624D6">
            <w:pPr>
              <w:jc w:val="center"/>
              <w:rPr>
                <w:rFonts w:hint="default" w:ascii="Times New Roman" w:hAnsi="Times New Roman" w:eastAsia="仿宋_GB2312" w:cs="Times New Roman"/>
                <w:color w:val="auto"/>
                <w:sz w:val="18"/>
                <w:szCs w:val="18"/>
                <w:lang w:val="en-US" w:eastAsia="zh-CN" w:bidi="ar"/>
              </w:rPr>
            </w:pPr>
          </w:p>
        </w:tc>
        <w:tc>
          <w:tcPr>
            <w:tcW w:w="736" w:type="pct"/>
            <w:tcBorders>
              <w:tl2br w:val="nil"/>
              <w:tr2bl w:val="nil"/>
            </w:tcBorders>
            <w:vAlign w:val="top"/>
          </w:tcPr>
          <w:p w14:paraId="6A11639D">
            <w:pPr>
              <w:jc w:val="center"/>
              <w:rPr>
                <w:rFonts w:hint="default" w:ascii="Times New Roman" w:hAnsi="Times New Roman" w:eastAsia="仿宋_GB2312" w:cs="Times New Roman"/>
                <w:color w:val="auto"/>
                <w:sz w:val="18"/>
                <w:szCs w:val="18"/>
                <w:lang w:val="en-US" w:eastAsia="zh-CN" w:bidi="ar"/>
              </w:rPr>
            </w:pPr>
          </w:p>
        </w:tc>
        <w:tc>
          <w:tcPr>
            <w:tcW w:w="773" w:type="pct"/>
            <w:tcBorders>
              <w:tl2br w:val="nil"/>
              <w:tr2bl w:val="nil"/>
            </w:tcBorders>
            <w:vAlign w:val="top"/>
          </w:tcPr>
          <w:p w14:paraId="24B81220">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0.13</w:t>
            </w:r>
          </w:p>
        </w:tc>
      </w:tr>
      <w:tr w14:paraId="679CD9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72" w:type="pct"/>
            <w:tcBorders>
              <w:tl2br w:val="nil"/>
              <w:tr2bl w:val="nil"/>
            </w:tcBorders>
            <w:vAlign w:val="top"/>
          </w:tcPr>
          <w:p w14:paraId="20A7DBC0">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（一）</w:t>
            </w:r>
          </w:p>
        </w:tc>
        <w:tc>
          <w:tcPr>
            <w:tcW w:w="1351" w:type="pct"/>
            <w:tcBorders>
              <w:tl2br w:val="nil"/>
              <w:tr2bl w:val="nil"/>
            </w:tcBorders>
            <w:vAlign w:val="center"/>
          </w:tcPr>
          <w:p w14:paraId="651EB0F5">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植被恢复与建设工程</w:t>
            </w:r>
          </w:p>
        </w:tc>
        <w:tc>
          <w:tcPr>
            <w:tcW w:w="915" w:type="pct"/>
            <w:tcBorders>
              <w:tl2br w:val="nil"/>
              <w:tr2bl w:val="nil"/>
            </w:tcBorders>
            <w:vAlign w:val="top"/>
          </w:tcPr>
          <w:p w14:paraId="40142F93">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66D4C390">
            <w:pPr>
              <w:jc w:val="center"/>
              <w:rPr>
                <w:rFonts w:hint="default" w:ascii="Times New Roman" w:hAnsi="Times New Roman" w:eastAsia="仿宋_GB2312" w:cs="Times New Roman"/>
                <w:color w:val="auto"/>
                <w:sz w:val="18"/>
                <w:szCs w:val="18"/>
                <w:lang w:val="en-US" w:eastAsia="zh-CN" w:bidi="ar"/>
              </w:rPr>
            </w:pPr>
          </w:p>
        </w:tc>
        <w:tc>
          <w:tcPr>
            <w:tcW w:w="736" w:type="pct"/>
            <w:tcBorders>
              <w:tl2br w:val="nil"/>
              <w:tr2bl w:val="nil"/>
            </w:tcBorders>
            <w:vAlign w:val="top"/>
          </w:tcPr>
          <w:p w14:paraId="0E618E9D">
            <w:pPr>
              <w:jc w:val="center"/>
              <w:rPr>
                <w:rFonts w:hint="default" w:ascii="Times New Roman" w:hAnsi="Times New Roman" w:eastAsia="仿宋_GB2312" w:cs="Times New Roman"/>
                <w:color w:val="auto"/>
                <w:sz w:val="18"/>
                <w:szCs w:val="18"/>
                <w:lang w:val="en-US" w:eastAsia="zh-CN" w:bidi="ar"/>
              </w:rPr>
            </w:pPr>
          </w:p>
        </w:tc>
        <w:tc>
          <w:tcPr>
            <w:tcW w:w="773" w:type="pct"/>
            <w:tcBorders>
              <w:tl2br w:val="nil"/>
              <w:tr2bl w:val="nil"/>
            </w:tcBorders>
            <w:vAlign w:val="top"/>
          </w:tcPr>
          <w:p w14:paraId="5B5BEF5A">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0.13</w:t>
            </w:r>
          </w:p>
        </w:tc>
      </w:tr>
      <w:tr w14:paraId="632EC5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72" w:type="pct"/>
            <w:tcBorders>
              <w:tl2br w:val="nil"/>
              <w:tr2bl w:val="nil"/>
            </w:tcBorders>
            <w:vAlign w:val="top"/>
          </w:tcPr>
          <w:p w14:paraId="5806AFE9">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1</w:t>
            </w:r>
          </w:p>
        </w:tc>
        <w:tc>
          <w:tcPr>
            <w:tcW w:w="1351" w:type="pct"/>
            <w:tcBorders>
              <w:tl2br w:val="nil"/>
              <w:tr2bl w:val="nil"/>
            </w:tcBorders>
            <w:vAlign w:val="center"/>
          </w:tcPr>
          <w:p w14:paraId="5234AE13">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撒播草籽</w:t>
            </w:r>
          </w:p>
        </w:tc>
        <w:tc>
          <w:tcPr>
            <w:tcW w:w="915" w:type="pct"/>
            <w:tcBorders>
              <w:tl2br w:val="nil"/>
              <w:tr2bl w:val="nil"/>
            </w:tcBorders>
            <w:vAlign w:val="top"/>
          </w:tcPr>
          <w:p w14:paraId="3EC3878F">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hm</w:t>
            </w:r>
            <w:r>
              <w:rPr>
                <w:rFonts w:hint="default" w:ascii="Times New Roman" w:hAnsi="Times New Roman" w:eastAsia="仿宋_GB2312" w:cs="Times New Roman"/>
                <w:color w:val="auto"/>
                <w:sz w:val="18"/>
                <w:szCs w:val="18"/>
                <w:vertAlign w:val="superscript"/>
                <w:lang w:val="en-US" w:eastAsia="zh-CN" w:bidi="ar"/>
              </w:rPr>
              <w:t>2</w:t>
            </w:r>
          </w:p>
        </w:tc>
        <w:tc>
          <w:tcPr>
            <w:tcW w:w="850" w:type="pct"/>
            <w:tcBorders>
              <w:tl2br w:val="nil"/>
              <w:tr2bl w:val="nil"/>
            </w:tcBorders>
            <w:vAlign w:val="top"/>
          </w:tcPr>
          <w:p w14:paraId="42797394">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0.12</w:t>
            </w:r>
          </w:p>
        </w:tc>
        <w:tc>
          <w:tcPr>
            <w:tcW w:w="736" w:type="pct"/>
            <w:tcBorders>
              <w:tl2br w:val="nil"/>
              <w:tr2bl w:val="nil"/>
            </w:tcBorders>
            <w:vAlign w:val="top"/>
          </w:tcPr>
          <w:p w14:paraId="29D30450">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10700.89</w:t>
            </w:r>
          </w:p>
        </w:tc>
        <w:tc>
          <w:tcPr>
            <w:tcW w:w="773" w:type="pct"/>
            <w:tcBorders>
              <w:tl2br w:val="nil"/>
              <w:tr2bl w:val="nil"/>
            </w:tcBorders>
            <w:vAlign w:val="top"/>
          </w:tcPr>
          <w:p w14:paraId="21A59DD5">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0.13</w:t>
            </w:r>
          </w:p>
        </w:tc>
      </w:tr>
    </w:tbl>
    <w:p w14:paraId="1E41AE3D">
      <w:pPr>
        <w:jc w:val="center"/>
        <w:rPr>
          <w:rFonts w:hint="default" w:ascii="Times New Roman" w:hAnsi="Times New Roman" w:eastAsia="仿宋_GB2312" w:cs="Times New Roman"/>
          <w:b/>
          <w:kern w:val="0"/>
          <w:szCs w:val="21"/>
          <w:lang w:val="en-US" w:eastAsia="zh-CN"/>
        </w:rPr>
      </w:pPr>
      <w:r>
        <w:rPr>
          <w:rFonts w:hint="default" w:ascii="Times New Roman" w:hAnsi="Times New Roman" w:eastAsia="仿宋_GB2312" w:cs="Times New Roman"/>
          <w:b/>
          <w:szCs w:val="21"/>
          <w:lang w:bidi="ar"/>
        </w:rPr>
        <w:t>表7.1-</w:t>
      </w:r>
      <w:r>
        <w:rPr>
          <w:rFonts w:hint="default" w:ascii="Times New Roman" w:hAnsi="Times New Roman" w:eastAsia="仿宋_GB2312" w:cs="Times New Roman"/>
          <w:b/>
          <w:szCs w:val="21"/>
          <w:lang w:val="en-US" w:eastAsia="zh-CN" w:bidi="ar"/>
        </w:rPr>
        <w:t>3</w:t>
      </w:r>
      <w:r>
        <w:rPr>
          <w:rFonts w:hint="default" w:ascii="Times New Roman" w:hAnsi="Times New Roman" w:eastAsia="仿宋_GB2312" w:cs="Times New Roman"/>
          <w:b/>
          <w:szCs w:val="21"/>
          <w:lang w:bidi="ar"/>
        </w:rPr>
        <w:t xml:space="preserve"> </w:t>
      </w:r>
      <w:r>
        <w:rPr>
          <w:rFonts w:hint="default" w:ascii="Times New Roman" w:hAnsi="Times New Roman" w:eastAsia="仿宋_GB2312" w:cs="Times New Roman"/>
          <w:b/>
          <w:kern w:val="0"/>
          <w:szCs w:val="21"/>
        </w:rPr>
        <w:t xml:space="preserve"> </w:t>
      </w:r>
      <w:r>
        <w:rPr>
          <w:rFonts w:hint="default" w:ascii="Times New Roman" w:hAnsi="Times New Roman" w:eastAsia="仿宋_GB2312" w:cs="Times New Roman"/>
          <w:b/>
          <w:kern w:val="0"/>
          <w:szCs w:val="21"/>
          <w:lang w:val="en-US" w:eastAsia="zh-CN"/>
        </w:rPr>
        <w:t>分部概算表（监测措施）</w:t>
      </w:r>
    </w:p>
    <w:tbl>
      <w:tblPr>
        <w:tblStyle w:val="37"/>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63"/>
        <w:gridCol w:w="2407"/>
        <w:gridCol w:w="1630"/>
        <w:gridCol w:w="1514"/>
        <w:gridCol w:w="1311"/>
        <w:gridCol w:w="1378"/>
      </w:tblGrid>
      <w:tr w14:paraId="52219B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72" w:type="pct"/>
            <w:tcBorders>
              <w:tl2br w:val="nil"/>
              <w:tr2bl w:val="nil"/>
            </w:tcBorders>
            <w:shd w:val="clear" w:color="auto" w:fill="auto"/>
            <w:vAlign w:val="top"/>
          </w:tcPr>
          <w:p w14:paraId="22B840DB">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序号</w:t>
            </w:r>
          </w:p>
        </w:tc>
        <w:tc>
          <w:tcPr>
            <w:tcW w:w="1351" w:type="pct"/>
            <w:tcBorders>
              <w:tl2br w:val="nil"/>
              <w:tr2bl w:val="nil"/>
            </w:tcBorders>
            <w:shd w:val="clear" w:color="auto" w:fill="auto"/>
            <w:vAlign w:val="top"/>
          </w:tcPr>
          <w:p w14:paraId="61E12FAA">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工程或费用名称</w:t>
            </w:r>
          </w:p>
        </w:tc>
        <w:tc>
          <w:tcPr>
            <w:tcW w:w="915" w:type="pct"/>
            <w:tcBorders>
              <w:tl2br w:val="nil"/>
              <w:tr2bl w:val="nil"/>
            </w:tcBorders>
            <w:shd w:val="clear" w:color="auto" w:fill="auto"/>
            <w:vAlign w:val="top"/>
          </w:tcPr>
          <w:p w14:paraId="0121D8A9">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单位</w:t>
            </w:r>
          </w:p>
        </w:tc>
        <w:tc>
          <w:tcPr>
            <w:tcW w:w="850" w:type="pct"/>
            <w:tcBorders>
              <w:tl2br w:val="nil"/>
              <w:tr2bl w:val="nil"/>
            </w:tcBorders>
            <w:shd w:val="clear" w:color="auto" w:fill="auto"/>
            <w:vAlign w:val="top"/>
          </w:tcPr>
          <w:p w14:paraId="2FBAF6F4">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数量</w:t>
            </w:r>
          </w:p>
        </w:tc>
        <w:tc>
          <w:tcPr>
            <w:tcW w:w="736" w:type="pct"/>
            <w:tcBorders>
              <w:tl2br w:val="nil"/>
              <w:tr2bl w:val="nil"/>
            </w:tcBorders>
            <w:shd w:val="clear" w:color="auto" w:fill="auto"/>
            <w:vAlign w:val="top"/>
          </w:tcPr>
          <w:p w14:paraId="1637DAF0">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单价(元)</w:t>
            </w:r>
          </w:p>
        </w:tc>
        <w:tc>
          <w:tcPr>
            <w:tcW w:w="773" w:type="pct"/>
            <w:tcBorders>
              <w:tl2br w:val="nil"/>
              <w:tr2bl w:val="nil"/>
            </w:tcBorders>
            <w:shd w:val="clear" w:color="auto" w:fill="auto"/>
            <w:vAlign w:val="top"/>
          </w:tcPr>
          <w:p w14:paraId="4D31FACF">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合计(万元)</w:t>
            </w:r>
          </w:p>
        </w:tc>
      </w:tr>
      <w:tr w14:paraId="2CD8E0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72" w:type="pct"/>
            <w:tcBorders>
              <w:tl2br w:val="nil"/>
              <w:tr2bl w:val="nil"/>
            </w:tcBorders>
            <w:vAlign w:val="top"/>
          </w:tcPr>
          <w:p w14:paraId="5956A8C2">
            <w:pPr>
              <w:jc w:val="center"/>
              <w:rPr>
                <w:rFonts w:hint="default" w:ascii="Times New Roman" w:hAnsi="Times New Roman" w:eastAsia="仿宋_GB2312" w:cs="Times New Roman"/>
                <w:color w:val="auto"/>
                <w:sz w:val="18"/>
                <w:szCs w:val="18"/>
                <w:lang w:val="en-US" w:eastAsia="zh-CN" w:bidi="ar"/>
              </w:rPr>
            </w:pPr>
          </w:p>
        </w:tc>
        <w:tc>
          <w:tcPr>
            <w:tcW w:w="1351" w:type="pct"/>
            <w:tcBorders>
              <w:tl2br w:val="nil"/>
              <w:tr2bl w:val="nil"/>
            </w:tcBorders>
            <w:vAlign w:val="center"/>
          </w:tcPr>
          <w:p w14:paraId="0CCBA5A8">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第三部分  监测措施</w:t>
            </w:r>
          </w:p>
        </w:tc>
        <w:tc>
          <w:tcPr>
            <w:tcW w:w="915" w:type="pct"/>
            <w:tcBorders>
              <w:tl2br w:val="nil"/>
              <w:tr2bl w:val="nil"/>
            </w:tcBorders>
            <w:vAlign w:val="top"/>
          </w:tcPr>
          <w:p w14:paraId="5CF25B33">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2C3ED50C">
            <w:pPr>
              <w:jc w:val="center"/>
              <w:rPr>
                <w:rFonts w:hint="default" w:ascii="Times New Roman" w:hAnsi="Times New Roman" w:eastAsia="仿宋_GB2312" w:cs="Times New Roman"/>
                <w:color w:val="auto"/>
                <w:sz w:val="18"/>
                <w:szCs w:val="18"/>
                <w:lang w:val="en-US" w:eastAsia="zh-CN" w:bidi="ar"/>
              </w:rPr>
            </w:pPr>
          </w:p>
        </w:tc>
        <w:tc>
          <w:tcPr>
            <w:tcW w:w="736" w:type="pct"/>
            <w:tcBorders>
              <w:tl2br w:val="nil"/>
              <w:tr2bl w:val="nil"/>
            </w:tcBorders>
            <w:vAlign w:val="top"/>
          </w:tcPr>
          <w:p w14:paraId="50898D6E">
            <w:pPr>
              <w:jc w:val="center"/>
              <w:rPr>
                <w:rFonts w:hint="default" w:ascii="Times New Roman" w:hAnsi="Times New Roman" w:eastAsia="仿宋_GB2312" w:cs="Times New Roman"/>
                <w:color w:val="auto"/>
                <w:sz w:val="18"/>
                <w:szCs w:val="18"/>
                <w:lang w:val="en-US" w:eastAsia="zh-CN" w:bidi="ar"/>
              </w:rPr>
            </w:pPr>
          </w:p>
        </w:tc>
        <w:tc>
          <w:tcPr>
            <w:tcW w:w="773" w:type="pct"/>
            <w:tcBorders>
              <w:tl2br w:val="nil"/>
              <w:tr2bl w:val="nil"/>
            </w:tcBorders>
            <w:vAlign w:val="top"/>
          </w:tcPr>
          <w:p w14:paraId="06F888F3">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w:t>
            </w:r>
          </w:p>
        </w:tc>
      </w:tr>
      <w:tr w14:paraId="1EF2C7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72" w:type="pct"/>
            <w:tcBorders>
              <w:tl2br w:val="nil"/>
              <w:tr2bl w:val="nil"/>
            </w:tcBorders>
            <w:shd w:val="clear" w:color="auto" w:fill="auto"/>
            <w:vAlign w:val="center"/>
          </w:tcPr>
          <w:p w14:paraId="782CCF28">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kern w:val="2"/>
                <w:sz w:val="18"/>
                <w:szCs w:val="18"/>
                <w:lang w:val="en-US" w:eastAsia="zh-CN" w:bidi="ar"/>
              </w:rPr>
              <w:t>一</w:t>
            </w:r>
          </w:p>
        </w:tc>
        <w:tc>
          <w:tcPr>
            <w:tcW w:w="1351" w:type="pct"/>
            <w:tcBorders>
              <w:tl2br w:val="nil"/>
              <w:tr2bl w:val="nil"/>
            </w:tcBorders>
            <w:shd w:val="clear" w:color="auto" w:fill="auto"/>
            <w:vAlign w:val="center"/>
          </w:tcPr>
          <w:p w14:paraId="397DA462">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水土保持监测</w:t>
            </w:r>
          </w:p>
        </w:tc>
        <w:tc>
          <w:tcPr>
            <w:tcW w:w="915" w:type="pct"/>
            <w:tcBorders>
              <w:tl2br w:val="nil"/>
              <w:tr2bl w:val="nil"/>
            </w:tcBorders>
            <w:vAlign w:val="top"/>
          </w:tcPr>
          <w:p w14:paraId="7B5F71DC">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79E2D9D1">
            <w:pPr>
              <w:jc w:val="center"/>
              <w:rPr>
                <w:rFonts w:hint="default" w:ascii="Times New Roman" w:hAnsi="Times New Roman" w:eastAsia="仿宋_GB2312" w:cs="Times New Roman"/>
                <w:color w:val="auto"/>
                <w:sz w:val="18"/>
                <w:szCs w:val="18"/>
                <w:lang w:val="en-US" w:eastAsia="zh-CN" w:bidi="ar"/>
              </w:rPr>
            </w:pPr>
          </w:p>
        </w:tc>
        <w:tc>
          <w:tcPr>
            <w:tcW w:w="736" w:type="pct"/>
            <w:tcBorders>
              <w:tl2br w:val="nil"/>
              <w:tr2bl w:val="nil"/>
            </w:tcBorders>
            <w:vAlign w:val="top"/>
          </w:tcPr>
          <w:p w14:paraId="4C0CA34E">
            <w:pPr>
              <w:jc w:val="center"/>
              <w:rPr>
                <w:rFonts w:hint="default" w:ascii="Times New Roman" w:hAnsi="Times New Roman" w:eastAsia="仿宋_GB2312" w:cs="Times New Roman"/>
                <w:color w:val="auto"/>
                <w:sz w:val="18"/>
                <w:szCs w:val="18"/>
                <w:lang w:val="en-US" w:eastAsia="zh-CN" w:bidi="ar"/>
              </w:rPr>
            </w:pPr>
          </w:p>
        </w:tc>
        <w:tc>
          <w:tcPr>
            <w:tcW w:w="773" w:type="pct"/>
            <w:tcBorders>
              <w:tl2br w:val="nil"/>
              <w:tr2bl w:val="nil"/>
            </w:tcBorders>
            <w:vAlign w:val="top"/>
          </w:tcPr>
          <w:p w14:paraId="70891767">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w:t>
            </w:r>
          </w:p>
        </w:tc>
      </w:tr>
      <w:tr w14:paraId="0D59CA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72" w:type="pct"/>
            <w:tcBorders>
              <w:tl2br w:val="nil"/>
              <w:tr2bl w:val="nil"/>
            </w:tcBorders>
            <w:shd w:val="clear" w:color="auto" w:fill="auto"/>
            <w:vAlign w:val="center"/>
          </w:tcPr>
          <w:p w14:paraId="77C44C9F">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kern w:val="2"/>
                <w:sz w:val="18"/>
                <w:szCs w:val="18"/>
                <w:lang w:val="en-US" w:eastAsia="zh-CN" w:bidi="ar"/>
              </w:rPr>
              <w:t>（一）</w:t>
            </w:r>
          </w:p>
        </w:tc>
        <w:tc>
          <w:tcPr>
            <w:tcW w:w="1351" w:type="pct"/>
            <w:tcBorders>
              <w:tl2br w:val="nil"/>
              <w:tr2bl w:val="nil"/>
            </w:tcBorders>
            <w:shd w:val="clear" w:color="auto" w:fill="auto"/>
            <w:vAlign w:val="center"/>
          </w:tcPr>
          <w:p w14:paraId="4A49687C">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土建设施</w:t>
            </w:r>
          </w:p>
        </w:tc>
        <w:tc>
          <w:tcPr>
            <w:tcW w:w="915" w:type="pct"/>
            <w:tcBorders>
              <w:tl2br w:val="nil"/>
              <w:tr2bl w:val="nil"/>
            </w:tcBorders>
            <w:vAlign w:val="top"/>
          </w:tcPr>
          <w:p w14:paraId="38FCBBC9">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6DDF38BD">
            <w:pPr>
              <w:jc w:val="center"/>
              <w:rPr>
                <w:rFonts w:hint="default" w:ascii="Times New Roman" w:hAnsi="Times New Roman" w:eastAsia="仿宋_GB2312" w:cs="Times New Roman"/>
                <w:color w:val="auto"/>
                <w:sz w:val="18"/>
                <w:szCs w:val="18"/>
                <w:lang w:val="en-US" w:eastAsia="zh-CN" w:bidi="ar"/>
              </w:rPr>
            </w:pPr>
          </w:p>
        </w:tc>
        <w:tc>
          <w:tcPr>
            <w:tcW w:w="736" w:type="pct"/>
            <w:tcBorders>
              <w:tl2br w:val="nil"/>
              <w:tr2bl w:val="nil"/>
            </w:tcBorders>
            <w:vAlign w:val="top"/>
          </w:tcPr>
          <w:p w14:paraId="243BBF77">
            <w:pPr>
              <w:jc w:val="center"/>
              <w:rPr>
                <w:rFonts w:hint="default" w:ascii="Times New Roman" w:hAnsi="Times New Roman" w:eastAsia="仿宋_GB2312" w:cs="Times New Roman"/>
                <w:color w:val="auto"/>
                <w:sz w:val="18"/>
                <w:szCs w:val="18"/>
                <w:lang w:val="en-US" w:eastAsia="zh-CN" w:bidi="ar"/>
              </w:rPr>
            </w:pPr>
          </w:p>
        </w:tc>
        <w:tc>
          <w:tcPr>
            <w:tcW w:w="773" w:type="pct"/>
            <w:tcBorders>
              <w:tl2br w:val="nil"/>
              <w:tr2bl w:val="nil"/>
            </w:tcBorders>
            <w:vAlign w:val="top"/>
          </w:tcPr>
          <w:p w14:paraId="701CA6D8">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w:t>
            </w:r>
          </w:p>
        </w:tc>
      </w:tr>
      <w:tr w14:paraId="678FAE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72" w:type="pct"/>
            <w:tcBorders>
              <w:tl2br w:val="nil"/>
              <w:tr2bl w:val="nil"/>
            </w:tcBorders>
            <w:shd w:val="clear" w:color="auto" w:fill="auto"/>
            <w:vAlign w:val="center"/>
          </w:tcPr>
          <w:p w14:paraId="63E5824D">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kern w:val="2"/>
                <w:sz w:val="18"/>
                <w:szCs w:val="18"/>
                <w:lang w:val="en-US" w:eastAsia="zh-CN" w:bidi="ar"/>
              </w:rPr>
              <w:t>（二）</w:t>
            </w:r>
          </w:p>
        </w:tc>
        <w:tc>
          <w:tcPr>
            <w:tcW w:w="1351" w:type="pct"/>
            <w:tcBorders>
              <w:tl2br w:val="nil"/>
              <w:tr2bl w:val="nil"/>
            </w:tcBorders>
            <w:shd w:val="clear" w:color="auto" w:fill="auto"/>
            <w:vAlign w:val="center"/>
          </w:tcPr>
          <w:p w14:paraId="0970634A">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设备及安装</w:t>
            </w:r>
          </w:p>
        </w:tc>
        <w:tc>
          <w:tcPr>
            <w:tcW w:w="915" w:type="pct"/>
            <w:tcBorders>
              <w:tl2br w:val="nil"/>
              <w:tr2bl w:val="nil"/>
            </w:tcBorders>
            <w:vAlign w:val="top"/>
          </w:tcPr>
          <w:p w14:paraId="4088BA52">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56AC2160">
            <w:pPr>
              <w:jc w:val="center"/>
              <w:rPr>
                <w:rFonts w:hint="default" w:ascii="Times New Roman" w:hAnsi="Times New Roman" w:eastAsia="仿宋_GB2312" w:cs="Times New Roman"/>
                <w:color w:val="auto"/>
                <w:sz w:val="18"/>
                <w:szCs w:val="18"/>
                <w:lang w:val="en-US" w:eastAsia="zh-CN" w:bidi="ar"/>
              </w:rPr>
            </w:pPr>
          </w:p>
        </w:tc>
        <w:tc>
          <w:tcPr>
            <w:tcW w:w="736" w:type="pct"/>
            <w:tcBorders>
              <w:tl2br w:val="nil"/>
              <w:tr2bl w:val="nil"/>
            </w:tcBorders>
            <w:vAlign w:val="top"/>
          </w:tcPr>
          <w:p w14:paraId="48D2B312">
            <w:pPr>
              <w:jc w:val="center"/>
              <w:rPr>
                <w:rFonts w:hint="default" w:ascii="Times New Roman" w:hAnsi="Times New Roman" w:eastAsia="仿宋_GB2312" w:cs="Times New Roman"/>
                <w:color w:val="auto"/>
                <w:sz w:val="18"/>
                <w:szCs w:val="18"/>
                <w:lang w:val="en-US" w:eastAsia="zh-CN" w:bidi="ar"/>
              </w:rPr>
            </w:pPr>
          </w:p>
        </w:tc>
        <w:tc>
          <w:tcPr>
            <w:tcW w:w="773" w:type="pct"/>
            <w:tcBorders>
              <w:tl2br w:val="nil"/>
              <w:tr2bl w:val="nil"/>
            </w:tcBorders>
            <w:vAlign w:val="top"/>
          </w:tcPr>
          <w:p w14:paraId="41A42C23">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w:t>
            </w:r>
          </w:p>
        </w:tc>
      </w:tr>
      <w:tr w14:paraId="4592E1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72" w:type="pct"/>
            <w:tcBorders>
              <w:tl2br w:val="nil"/>
              <w:tr2bl w:val="nil"/>
            </w:tcBorders>
            <w:shd w:val="clear" w:color="auto" w:fill="auto"/>
            <w:vAlign w:val="center"/>
          </w:tcPr>
          <w:p w14:paraId="40F66E13">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kern w:val="2"/>
                <w:sz w:val="18"/>
                <w:szCs w:val="18"/>
                <w:lang w:val="en-US" w:eastAsia="zh-CN" w:bidi="ar"/>
              </w:rPr>
              <w:t>二</w:t>
            </w:r>
          </w:p>
        </w:tc>
        <w:tc>
          <w:tcPr>
            <w:tcW w:w="1351" w:type="pct"/>
            <w:tcBorders>
              <w:tl2br w:val="nil"/>
              <w:tr2bl w:val="nil"/>
            </w:tcBorders>
            <w:shd w:val="clear" w:color="auto" w:fill="auto"/>
            <w:vAlign w:val="center"/>
          </w:tcPr>
          <w:p w14:paraId="7FA79777">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弃渣场稳定监测</w:t>
            </w:r>
          </w:p>
        </w:tc>
        <w:tc>
          <w:tcPr>
            <w:tcW w:w="915" w:type="pct"/>
            <w:tcBorders>
              <w:tl2br w:val="nil"/>
              <w:tr2bl w:val="nil"/>
            </w:tcBorders>
            <w:vAlign w:val="top"/>
          </w:tcPr>
          <w:p w14:paraId="2F914836">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295F5C45">
            <w:pPr>
              <w:jc w:val="center"/>
              <w:rPr>
                <w:rFonts w:hint="default" w:ascii="Times New Roman" w:hAnsi="Times New Roman" w:eastAsia="仿宋_GB2312" w:cs="Times New Roman"/>
                <w:color w:val="auto"/>
                <w:sz w:val="18"/>
                <w:szCs w:val="18"/>
                <w:lang w:val="en-US" w:eastAsia="zh-CN" w:bidi="ar"/>
              </w:rPr>
            </w:pPr>
          </w:p>
        </w:tc>
        <w:tc>
          <w:tcPr>
            <w:tcW w:w="736" w:type="pct"/>
            <w:tcBorders>
              <w:tl2br w:val="nil"/>
              <w:tr2bl w:val="nil"/>
            </w:tcBorders>
            <w:vAlign w:val="top"/>
          </w:tcPr>
          <w:p w14:paraId="6CEDACB2">
            <w:pPr>
              <w:jc w:val="center"/>
              <w:rPr>
                <w:rFonts w:hint="default" w:ascii="Times New Roman" w:hAnsi="Times New Roman" w:eastAsia="仿宋_GB2312" w:cs="Times New Roman"/>
                <w:color w:val="auto"/>
                <w:sz w:val="18"/>
                <w:szCs w:val="18"/>
                <w:lang w:val="en-US" w:eastAsia="zh-CN" w:bidi="ar"/>
              </w:rPr>
            </w:pPr>
          </w:p>
        </w:tc>
        <w:tc>
          <w:tcPr>
            <w:tcW w:w="773" w:type="pct"/>
            <w:tcBorders>
              <w:tl2br w:val="nil"/>
              <w:tr2bl w:val="nil"/>
            </w:tcBorders>
            <w:vAlign w:val="top"/>
          </w:tcPr>
          <w:p w14:paraId="7BDD272C">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w:t>
            </w:r>
          </w:p>
        </w:tc>
      </w:tr>
      <w:tr w14:paraId="4C741D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72" w:type="pct"/>
            <w:tcBorders>
              <w:tl2br w:val="nil"/>
              <w:tr2bl w:val="nil"/>
            </w:tcBorders>
            <w:shd w:val="clear" w:color="auto" w:fill="auto"/>
            <w:vAlign w:val="center"/>
          </w:tcPr>
          <w:p w14:paraId="721D4E8A">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kern w:val="2"/>
                <w:sz w:val="18"/>
                <w:szCs w:val="18"/>
                <w:lang w:val="en-US" w:eastAsia="zh-CN" w:bidi="ar"/>
              </w:rPr>
              <w:t>（一）</w:t>
            </w:r>
          </w:p>
        </w:tc>
        <w:tc>
          <w:tcPr>
            <w:tcW w:w="1351" w:type="pct"/>
            <w:tcBorders>
              <w:tl2br w:val="nil"/>
              <w:tr2bl w:val="nil"/>
            </w:tcBorders>
            <w:shd w:val="clear" w:color="auto" w:fill="auto"/>
            <w:vAlign w:val="center"/>
          </w:tcPr>
          <w:p w14:paraId="6ABBE997">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土建设施</w:t>
            </w:r>
          </w:p>
        </w:tc>
        <w:tc>
          <w:tcPr>
            <w:tcW w:w="915" w:type="pct"/>
            <w:tcBorders>
              <w:tl2br w:val="nil"/>
              <w:tr2bl w:val="nil"/>
            </w:tcBorders>
            <w:vAlign w:val="top"/>
          </w:tcPr>
          <w:p w14:paraId="07E8F377">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205D922F">
            <w:pPr>
              <w:jc w:val="center"/>
              <w:rPr>
                <w:rFonts w:hint="default" w:ascii="Times New Roman" w:hAnsi="Times New Roman" w:eastAsia="仿宋_GB2312" w:cs="Times New Roman"/>
                <w:color w:val="auto"/>
                <w:sz w:val="18"/>
                <w:szCs w:val="18"/>
                <w:lang w:val="en-US" w:eastAsia="zh-CN" w:bidi="ar"/>
              </w:rPr>
            </w:pPr>
          </w:p>
        </w:tc>
        <w:tc>
          <w:tcPr>
            <w:tcW w:w="736" w:type="pct"/>
            <w:tcBorders>
              <w:tl2br w:val="nil"/>
              <w:tr2bl w:val="nil"/>
            </w:tcBorders>
            <w:vAlign w:val="top"/>
          </w:tcPr>
          <w:p w14:paraId="4FE4291E">
            <w:pPr>
              <w:jc w:val="center"/>
              <w:rPr>
                <w:rFonts w:hint="default" w:ascii="Times New Roman" w:hAnsi="Times New Roman" w:eastAsia="仿宋_GB2312" w:cs="Times New Roman"/>
                <w:color w:val="auto"/>
                <w:sz w:val="18"/>
                <w:szCs w:val="18"/>
                <w:lang w:val="en-US" w:eastAsia="zh-CN" w:bidi="ar"/>
              </w:rPr>
            </w:pPr>
          </w:p>
        </w:tc>
        <w:tc>
          <w:tcPr>
            <w:tcW w:w="773" w:type="pct"/>
            <w:tcBorders>
              <w:tl2br w:val="nil"/>
              <w:tr2bl w:val="nil"/>
            </w:tcBorders>
            <w:vAlign w:val="top"/>
          </w:tcPr>
          <w:p w14:paraId="48ABCF9C">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w:t>
            </w:r>
          </w:p>
        </w:tc>
      </w:tr>
      <w:tr w14:paraId="3D0130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72" w:type="pct"/>
            <w:tcBorders>
              <w:tl2br w:val="nil"/>
              <w:tr2bl w:val="nil"/>
            </w:tcBorders>
            <w:shd w:val="clear" w:color="auto" w:fill="auto"/>
            <w:vAlign w:val="center"/>
          </w:tcPr>
          <w:p w14:paraId="147A7AC5">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kern w:val="2"/>
                <w:sz w:val="18"/>
                <w:szCs w:val="18"/>
                <w:lang w:val="en-US" w:eastAsia="zh-CN" w:bidi="ar"/>
              </w:rPr>
              <w:t>（二）</w:t>
            </w:r>
          </w:p>
        </w:tc>
        <w:tc>
          <w:tcPr>
            <w:tcW w:w="1351" w:type="pct"/>
            <w:tcBorders>
              <w:tl2br w:val="nil"/>
              <w:tr2bl w:val="nil"/>
            </w:tcBorders>
            <w:shd w:val="clear" w:color="auto" w:fill="auto"/>
            <w:vAlign w:val="center"/>
          </w:tcPr>
          <w:p w14:paraId="27D9309A">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设备及安装</w:t>
            </w:r>
          </w:p>
        </w:tc>
        <w:tc>
          <w:tcPr>
            <w:tcW w:w="915" w:type="pct"/>
            <w:tcBorders>
              <w:tl2br w:val="nil"/>
              <w:tr2bl w:val="nil"/>
            </w:tcBorders>
            <w:vAlign w:val="top"/>
          </w:tcPr>
          <w:p w14:paraId="29F67DED">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5896F7F8">
            <w:pPr>
              <w:jc w:val="center"/>
              <w:rPr>
                <w:rFonts w:hint="default" w:ascii="Times New Roman" w:hAnsi="Times New Roman" w:eastAsia="仿宋_GB2312" w:cs="Times New Roman"/>
                <w:color w:val="auto"/>
                <w:sz w:val="18"/>
                <w:szCs w:val="18"/>
                <w:lang w:val="en-US" w:eastAsia="zh-CN" w:bidi="ar"/>
              </w:rPr>
            </w:pPr>
          </w:p>
        </w:tc>
        <w:tc>
          <w:tcPr>
            <w:tcW w:w="736" w:type="pct"/>
            <w:tcBorders>
              <w:tl2br w:val="nil"/>
              <w:tr2bl w:val="nil"/>
            </w:tcBorders>
            <w:vAlign w:val="top"/>
          </w:tcPr>
          <w:p w14:paraId="6548672C">
            <w:pPr>
              <w:jc w:val="center"/>
              <w:rPr>
                <w:rFonts w:hint="default" w:ascii="Times New Roman" w:hAnsi="Times New Roman" w:eastAsia="仿宋_GB2312" w:cs="Times New Roman"/>
                <w:color w:val="auto"/>
                <w:sz w:val="18"/>
                <w:szCs w:val="18"/>
                <w:lang w:val="en-US" w:eastAsia="zh-CN" w:bidi="ar"/>
              </w:rPr>
            </w:pPr>
          </w:p>
        </w:tc>
        <w:tc>
          <w:tcPr>
            <w:tcW w:w="773" w:type="pct"/>
            <w:tcBorders>
              <w:tl2br w:val="nil"/>
              <w:tr2bl w:val="nil"/>
            </w:tcBorders>
            <w:vAlign w:val="top"/>
          </w:tcPr>
          <w:p w14:paraId="3DBFC8BF">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w:t>
            </w:r>
          </w:p>
        </w:tc>
      </w:tr>
      <w:tr w14:paraId="5D3622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72" w:type="pct"/>
            <w:tcBorders>
              <w:tl2br w:val="nil"/>
              <w:tr2bl w:val="nil"/>
            </w:tcBorders>
            <w:shd w:val="clear" w:color="auto" w:fill="auto"/>
            <w:vAlign w:val="center"/>
          </w:tcPr>
          <w:p w14:paraId="17D0C434">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kern w:val="2"/>
                <w:sz w:val="18"/>
                <w:szCs w:val="18"/>
                <w:lang w:val="en-US" w:eastAsia="zh-CN" w:bidi="ar"/>
              </w:rPr>
              <w:t>三</w:t>
            </w:r>
          </w:p>
        </w:tc>
        <w:tc>
          <w:tcPr>
            <w:tcW w:w="1351" w:type="pct"/>
            <w:tcBorders>
              <w:tl2br w:val="nil"/>
              <w:tr2bl w:val="nil"/>
            </w:tcBorders>
            <w:shd w:val="clear" w:color="auto" w:fill="auto"/>
            <w:vAlign w:val="center"/>
          </w:tcPr>
          <w:p w14:paraId="7F2C7B4E">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建设期观测费</w:t>
            </w:r>
          </w:p>
        </w:tc>
        <w:tc>
          <w:tcPr>
            <w:tcW w:w="915" w:type="pct"/>
            <w:tcBorders>
              <w:tl2br w:val="nil"/>
              <w:tr2bl w:val="nil"/>
            </w:tcBorders>
            <w:vAlign w:val="top"/>
          </w:tcPr>
          <w:p w14:paraId="41D074C6">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3C96CF3B">
            <w:pPr>
              <w:jc w:val="center"/>
              <w:rPr>
                <w:rFonts w:hint="default" w:ascii="Times New Roman" w:hAnsi="Times New Roman" w:eastAsia="仿宋_GB2312" w:cs="Times New Roman"/>
                <w:color w:val="auto"/>
                <w:sz w:val="18"/>
                <w:szCs w:val="18"/>
                <w:lang w:val="en-US" w:eastAsia="zh-CN" w:bidi="ar"/>
              </w:rPr>
            </w:pPr>
          </w:p>
        </w:tc>
        <w:tc>
          <w:tcPr>
            <w:tcW w:w="736" w:type="pct"/>
            <w:tcBorders>
              <w:tl2br w:val="nil"/>
              <w:tr2bl w:val="nil"/>
            </w:tcBorders>
            <w:vAlign w:val="top"/>
          </w:tcPr>
          <w:p w14:paraId="709A77A6">
            <w:pPr>
              <w:jc w:val="center"/>
              <w:rPr>
                <w:rFonts w:hint="default" w:ascii="Times New Roman" w:hAnsi="Times New Roman" w:eastAsia="仿宋_GB2312" w:cs="Times New Roman"/>
                <w:color w:val="auto"/>
                <w:sz w:val="18"/>
                <w:szCs w:val="18"/>
                <w:lang w:val="en-US" w:eastAsia="zh-CN" w:bidi="ar"/>
              </w:rPr>
            </w:pPr>
          </w:p>
        </w:tc>
        <w:tc>
          <w:tcPr>
            <w:tcW w:w="773" w:type="pct"/>
            <w:tcBorders>
              <w:tl2br w:val="nil"/>
              <w:tr2bl w:val="nil"/>
            </w:tcBorders>
            <w:vAlign w:val="top"/>
          </w:tcPr>
          <w:p w14:paraId="3892096A">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w:t>
            </w:r>
          </w:p>
        </w:tc>
      </w:tr>
    </w:tbl>
    <w:p w14:paraId="4D59FCF4">
      <w:pPr>
        <w:jc w:val="center"/>
        <w:rPr>
          <w:rFonts w:hint="default" w:ascii="Times New Roman" w:hAnsi="Times New Roman" w:eastAsia="仿宋_GB2312" w:cs="Times New Roman"/>
          <w:b/>
          <w:kern w:val="0"/>
          <w:szCs w:val="21"/>
          <w:lang w:val="en-US" w:eastAsia="zh-CN"/>
        </w:rPr>
      </w:pPr>
      <w:r>
        <w:rPr>
          <w:rFonts w:hint="default" w:ascii="Times New Roman" w:hAnsi="Times New Roman" w:eastAsia="仿宋_GB2312" w:cs="Times New Roman"/>
          <w:b/>
          <w:szCs w:val="21"/>
          <w:lang w:bidi="ar"/>
        </w:rPr>
        <w:t>表7.1-</w:t>
      </w:r>
      <w:r>
        <w:rPr>
          <w:rFonts w:hint="default" w:ascii="Times New Roman" w:hAnsi="Times New Roman" w:eastAsia="仿宋_GB2312" w:cs="Times New Roman"/>
          <w:b/>
          <w:szCs w:val="21"/>
          <w:lang w:val="en-US" w:eastAsia="zh-CN" w:bidi="ar"/>
        </w:rPr>
        <w:t>3</w:t>
      </w:r>
      <w:r>
        <w:rPr>
          <w:rFonts w:hint="default" w:ascii="Times New Roman" w:hAnsi="Times New Roman" w:eastAsia="仿宋_GB2312" w:cs="Times New Roman"/>
          <w:b/>
          <w:szCs w:val="21"/>
          <w:lang w:bidi="ar"/>
        </w:rPr>
        <w:t xml:space="preserve"> </w:t>
      </w:r>
      <w:r>
        <w:rPr>
          <w:rFonts w:hint="default" w:ascii="Times New Roman" w:hAnsi="Times New Roman" w:eastAsia="仿宋_GB2312" w:cs="Times New Roman"/>
          <w:b/>
          <w:kern w:val="0"/>
          <w:szCs w:val="21"/>
        </w:rPr>
        <w:t xml:space="preserve"> </w:t>
      </w:r>
      <w:r>
        <w:rPr>
          <w:rFonts w:hint="default" w:ascii="Times New Roman" w:hAnsi="Times New Roman" w:eastAsia="仿宋_GB2312" w:cs="Times New Roman"/>
          <w:b/>
          <w:kern w:val="0"/>
          <w:szCs w:val="21"/>
          <w:lang w:val="en-US" w:eastAsia="zh-CN"/>
        </w:rPr>
        <w:t>分部概算表（施工临时工程）</w:t>
      </w:r>
    </w:p>
    <w:tbl>
      <w:tblPr>
        <w:tblStyle w:val="37"/>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63"/>
        <w:gridCol w:w="2407"/>
        <w:gridCol w:w="1630"/>
        <w:gridCol w:w="1514"/>
        <w:gridCol w:w="1311"/>
        <w:gridCol w:w="1378"/>
      </w:tblGrid>
      <w:tr w14:paraId="0715BF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72" w:type="pct"/>
            <w:tcBorders>
              <w:tl2br w:val="nil"/>
              <w:tr2bl w:val="nil"/>
            </w:tcBorders>
            <w:shd w:val="clear" w:color="auto" w:fill="auto"/>
            <w:vAlign w:val="top"/>
          </w:tcPr>
          <w:p w14:paraId="1638B808">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序号</w:t>
            </w:r>
          </w:p>
        </w:tc>
        <w:tc>
          <w:tcPr>
            <w:tcW w:w="1351" w:type="pct"/>
            <w:tcBorders>
              <w:tl2br w:val="nil"/>
              <w:tr2bl w:val="nil"/>
            </w:tcBorders>
            <w:shd w:val="clear" w:color="auto" w:fill="auto"/>
            <w:vAlign w:val="top"/>
          </w:tcPr>
          <w:p w14:paraId="266B7762">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工程或费用名称</w:t>
            </w:r>
          </w:p>
        </w:tc>
        <w:tc>
          <w:tcPr>
            <w:tcW w:w="915" w:type="pct"/>
            <w:tcBorders>
              <w:tl2br w:val="nil"/>
              <w:tr2bl w:val="nil"/>
            </w:tcBorders>
            <w:shd w:val="clear" w:color="auto" w:fill="auto"/>
            <w:vAlign w:val="top"/>
          </w:tcPr>
          <w:p w14:paraId="3DB28DAA">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单位</w:t>
            </w:r>
          </w:p>
        </w:tc>
        <w:tc>
          <w:tcPr>
            <w:tcW w:w="850" w:type="pct"/>
            <w:tcBorders>
              <w:tl2br w:val="nil"/>
              <w:tr2bl w:val="nil"/>
            </w:tcBorders>
            <w:shd w:val="clear" w:color="auto" w:fill="auto"/>
            <w:vAlign w:val="top"/>
          </w:tcPr>
          <w:p w14:paraId="39C8D7CD">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数量</w:t>
            </w:r>
          </w:p>
        </w:tc>
        <w:tc>
          <w:tcPr>
            <w:tcW w:w="736" w:type="pct"/>
            <w:tcBorders>
              <w:tl2br w:val="nil"/>
              <w:tr2bl w:val="nil"/>
            </w:tcBorders>
            <w:shd w:val="clear" w:color="auto" w:fill="auto"/>
            <w:vAlign w:val="top"/>
          </w:tcPr>
          <w:p w14:paraId="617B2EBB">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单价(元)</w:t>
            </w:r>
          </w:p>
        </w:tc>
        <w:tc>
          <w:tcPr>
            <w:tcW w:w="773" w:type="pct"/>
            <w:tcBorders>
              <w:tl2br w:val="nil"/>
              <w:tr2bl w:val="nil"/>
            </w:tcBorders>
            <w:shd w:val="clear" w:color="auto" w:fill="auto"/>
            <w:vAlign w:val="top"/>
          </w:tcPr>
          <w:p w14:paraId="592EE083">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合计(万元)</w:t>
            </w:r>
          </w:p>
        </w:tc>
      </w:tr>
      <w:tr w14:paraId="37CBCC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72" w:type="pct"/>
            <w:tcBorders>
              <w:tl2br w:val="nil"/>
              <w:tr2bl w:val="nil"/>
            </w:tcBorders>
            <w:shd w:val="clear" w:color="auto" w:fill="auto"/>
            <w:vAlign w:val="center"/>
          </w:tcPr>
          <w:p w14:paraId="2BA0DD2E">
            <w:pPr>
              <w:jc w:val="center"/>
              <w:rPr>
                <w:rFonts w:hint="default" w:ascii="Times New Roman" w:hAnsi="Times New Roman" w:eastAsia="仿宋_GB2312" w:cs="Times New Roman"/>
                <w:color w:val="auto"/>
                <w:kern w:val="2"/>
                <w:sz w:val="18"/>
                <w:szCs w:val="18"/>
                <w:lang w:val="en-US" w:eastAsia="zh-CN" w:bidi="ar"/>
              </w:rPr>
            </w:pPr>
          </w:p>
        </w:tc>
        <w:tc>
          <w:tcPr>
            <w:tcW w:w="1351" w:type="pct"/>
            <w:tcBorders>
              <w:tl2br w:val="nil"/>
              <w:tr2bl w:val="nil"/>
            </w:tcBorders>
            <w:shd w:val="clear" w:color="auto" w:fill="auto"/>
            <w:vAlign w:val="center"/>
          </w:tcPr>
          <w:p w14:paraId="42A68774">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第四部分  施工临时工程</w:t>
            </w:r>
          </w:p>
        </w:tc>
        <w:tc>
          <w:tcPr>
            <w:tcW w:w="915" w:type="pct"/>
            <w:tcBorders>
              <w:tl2br w:val="nil"/>
              <w:tr2bl w:val="nil"/>
            </w:tcBorders>
            <w:vAlign w:val="top"/>
          </w:tcPr>
          <w:p w14:paraId="3B52AD73">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1327B93A">
            <w:pPr>
              <w:jc w:val="center"/>
              <w:rPr>
                <w:rFonts w:hint="default" w:ascii="Times New Roman" w:hAnsi="Times New Roman" w:eastAsia="仿宋_GB2312" w:cs="Times New Roman"/>
                <w:color w:val="auto"/>
                <w:sz w:val="18"/>
                <w:szCs w:val="18"/>
                <w:lang w:val="en-US" w:eastAsia="zh-CN" w:bidi="ar"/>
              </w:rPr>
            </w:pPr>
          </w:p>
        </w:tc>
        <w:tc>
          <w:tcPr>
            <w:tcW w:w="736" w:type="pct"/>
            <w:tcBorders>
              <w:tl2br w:val="nil"/>
              <w:tr2bl w:val="nil"/>
            </w:tcBorders>
            <w:vAlign w:val="top"/>
          </w:tcPr>
          <w:p w14:paraId="31C3DF49">
            <w:pPr>
              <w:jc w:val="center"/>
              <w:rPr>
                <w:rFonts w:hint="default" w:ascii="Times New Roman" w:hAnsi="Times New Roman" w:eastAsia="仿宋_GB2312" w:cs="Times New Roman"/>
                <w:color w:val="auto"/>
                <w:sz w:val="18"/>
                <w:szCs w:val="18"/>
                <w:lang w:val="en-US" w:eastAsia="zh-CN" w:bidi="ar"/>
              </w:rPr>
            </w:pPr>
          </w:p>
        </w:tc>
        <w:tc>
          <w:tcPr>
            <w:tcW w:w="773" w:type="pct"/>
            <w:tcBorders>
              <w:tl2br w:val="nil"/>
              <w:tr2bl w:val="nil"/>
            </w:tcBorders>
            <w:vAlign w:val="top"/>
          </w:tcPr>
          <w:p w14:paraId="48A4AFAF">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0.42</w:t>
            </w:r>
          </w:p>
        </w:tc>
      </w:tr>
      <w:tr w14:paraId="7B58BE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72" w:type="pct"/>
            <w:tcBorders>
              <w:tl2br w:val="nil"/>
              <w:tr2bl w:val="nil"/>
            </w:tcBorders>
            <w:shd w:val="clear" w:color="auto" w:fill="auto"/>
            <w:vAlign w:val="center"/>
          </w:tcPr>
          <w:p w14:paraId="275AD184">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kern w:val="2"/>
                <w:sz w:val="18"/>
                <w:szCs w:val="18"/>
                <w:lang w:val="en-US" w:eastAsia="zh-CN" w:bidi="ar"/>
              </w:rPr>
              <w:t>一</w:t>
            </w:r>
          </w:p>
        </w:tc>
        <w:tc>
          <w:tcPr>
            <w:tcW w:w="1351" w:type="pct"/>
            <w:tcBorders>
              <w:tl2br w:val="nil"/>
              <w:tr2bl w:val="nil"/>
            </w:tcBorders>
            <w:shd w:val="clear" w:color="auto" w:fill="auto"/>
            <w:vAlign w:val="center"/>
          </w:tcPr>
          <w:p w14:paraId="44A3179F">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临时防护工程</w:t>
            </w:r>
          </w:p>
        </w:tc>
        <w:tc>
          <w:tcPr>
            <w:tcW w:w="915" w:type="pct"/>
            <w:tcBorders>
              <w:tl2br w:val="nil"/>
              <w:tr2bl w:val="nil"/>
            </w:tcBorders>
            <w:vAlign w:val="top"/>
          </w:tcPr>
          <w:p w14:paraId="1C6DCEF0">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2B3204D5">
            <w:pPr>
              <w:jc w:val="center"/>
              <w:rPr>
                <w:rFonts w:hint="default" w:ascii="Times New Roman" w:hAnsi="Times New Roman" w:eastAsia="仿宋_GB2312" w:cs="Times New Roman"/>
                <w:color w:val="auto"/>
                <w:sz w:val="18"/>
                <w:szCs w:val="18"/>
                <w:lang w:val="en-US" w:eastAsia="zh-CN" w:bidi="ar"/>
              </w:rPr>
            </w:pPr>
          </w:p>
        </w:tc>
        <w:tc>
          <w:tcPr>
            <w:tcW w:w="736" w:type="pct"/>
            <w:tcBorders>
              <w:tl2br w:val="nil"/>
              <w:tr2bl w:val="nil"/>
            </w:tcBorders>
            <w:vAlign w:val="top"/>
          </w:tcPr>
          <w:p w14:paraId="7C4D0625">
            <w:pPr>
              <w:jc w:val="center"/>
              <w:rPr>
                <w:rFonts w:hint="default" w:ascii="Times New Roman" w:hAnsi="Times New Roman" w:eastAsia="仿宋_GB2312" w:cs="Times New Roman"/>
                <w:color w:val="auto"/>
                <w:sz w:val="18"/>
                <w:szCs w:val="18"/>
                <w:lang w:val="en-US" w:eastAsia="zh-CN" w:bidi="ar"/>
              </w:rPr>
            </w:pPr>
          </w:p>
        </w:tc>
        <w:tc>
          <w:tcPr>
            <w:tcW w:w="773" w:type="pct"/>
            <w:tcBorders>
              <w:tl2br w:val="nil"/>
              <w:tr2bl w:val="nil"/>
            </w:tcBorders>
            <w:vAlign w:val="top"/>
          </w:tcPr>
          <w:p w14:paraId="0D15B350">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w:t>
            </w:r>
          </w:p>
        </w:tc>
      </w:tr>
      <w:tr w14:paraId="2A08F8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72" w:type="pct"/>
            <w:tcBorders>
              <w:tl2br w:val="nil"/>
              <w:tr2bl w:val="nil"/>
            </w:tcBorders>
            <w:shd w:val="clear" w:color="auto" w:fill="auto"/>
            <w:vAlign w:val="center"/>
          </w:tcPr>
          <w:p w14:paraId="38EB7FF9">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kern w:val="2"/>
                <w:sz w:val="18"/>
                <w:szCs w:val="18"/>
                <w:lang w:val="en-US" w:eastAsia="zh-CN" w:bidi="ar"/>
              </w:rPr>
              <w:t>（一）</w:t>
            </w:r>
          </w:p>
        </w:tc>
        <w:tc>
          <w:tcPr>
            <w:tcW w:w="1351" w:type="pct"/>
            <w:tcBorders>
              <w:tl2br w:val="nil"/>
              <w:tr2bl w:val="nil"/>
            </w:tcBorders>
            <w:shd w:val="clear" w:color="auto" w:fill="auto"/>
            <w:vAlign w:val="center"/>
          </w:tcPr>
          <w:p w14:paraId="6B7DA5D4">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建构筑物工程区</w:t>
            </w:r>
          </w:p>
        </w:tc>
        <w:tc>
          <w:tcPr>
            <w:tcW w:w="915" w:type="pct"/>
            <w:tcBorders>
              <w:tl2br w:val="nil"/>
              <w:tr2bl w:val="nil"/>
            </w:tcBorders>
            <w:vAlign w:val="top"/>
          </w:tcPr>
          <w:p w14:paraId="0B6B0F4B">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49D46726">
            <w:pPr>
              <w:jc w:val="center"/>
              <w:rPr>
                <w:rFonts w:hint="default" w:ascii="Times New Roman" w:hAnsi="Times New Roman" w:eastAsia="仿宋_GB2312" w:cs="Times New Roman"/>
                <w:color w:val="auto"/>
                <w:sz w:val="18"/>
                <w:szCs w:val="18"/>
                <w:lang w:val="en-US" w:eastAsia="zh-CN" w:bidi="ar"/>
              </w:rPr>
            </w:pPr>
          </w:p>
        </w:tc>
        <w:tc>
          <w:tcPr>
            <w:tcW w:w="736" w:type="pct"/>
            <w:tcBorders>
              <w:tl2br w:val="nil"/>
              <w:tr2bl w:val="nil"/>
            </w:tcBorders>
            <w:vAlign w:val="top"/>
          </w:tcPr>
          <w:p w14:paraId="610767B2">
            <w:pPr>
              <w:jc w:val="center"/>
              <w:rPr>
                <w:rFonts w:hint="default" w:ascii="Times New Roman" w:hAnsi="Times New Roman" w:eastAsia="仿宋_GB2312" w:cs="Times New Roman"/>
                <w:color w:val="auto"/>
                <w:sz w:val="18"/>
                <w:szCs w:val="18"/>
                <w:lang w:val="en-US" w:eastAsia="zh-CN" w:bidi="ar"/>
              </w:rPr>
            </w:pPr>
          </w:p>
        </w:tc>
        <w:tc>
          <w:tcPr>
            <w:tcW w:w="773" w:type="pct"/>
            <w:tcBorders>
              <w:tl2br w:val="nil"/>
              <w:tr2bl w:val="nil"/>
            </w:tcBorders>
            <w:vAlign w:val="top"/>
          </w:tcPr>
          <w:p w14:paraId="698F4F00">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w:t>
            </w:r>
          </w:p>
        </w:tc>
      </w:tr>
      <w:tr w14:paraId="4ABD46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72" w:type="pct"/>
            <w:tcBorders>
              <w:tl2br w:val="nil"/>
              <w:tr2bl w:val="nil"/>
            </w:tcBorders>
            <w:shd w:val="clear" w:color="auto" w:fill="auto"/>
            <w:vAlign w:val="center"/>
          </w:tcPr>
          <w:p w14:paraId="5B026A50">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kern w:val="2"/>
                <w:sz w:val="18"/>
                <w:szCs w:val="18"/>
                <w:lang w:val="en-US" w:eastAsia="zh-CN" w:bidi="ar"/>
              </w:rPr>
              <w:t>（二）</w:t>
            </w:r>
          </w:p>
        </w:tc>
        <w:tc>
          <w:tcPr>
            <w:tcW w:w="1351" w:type="pct"/>
            <w:tcBorders>
              <w:tl2br w:val="nil"/>
              <w:tr2bl w:val="nil"/>
            </w:tcBorders>
            <w:shd w:val="clear" w:color="auto" w:fill="auto"/>
            <w:vAlign w:val="center"/>
          </w:tcPr>
          <w:p w14:paraId="45BCD1E1">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硬化工程区</w:t>
            </w:r>
          </w:p>
        </w:tc>
        <w:tc>
          <w:tcPr>
            <w:tcW w:w="915" w:type="pct"/>
            <w:tcBorders>
              <w:tl2br w:val="nil"/>
              <w:tr2bl w:val="nil"/>
            </w:tcBorders>
            <w:vAlign w:val="top"/>
          </w:tcPr>
          <w:p w14:paraId="3AEF8FFD">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098492B2">
            <w:pPr>
              <w:jc w:val="center"/>
              <w:rPr>
                <w:rFonts w:hint="default" w:ascii="Times New Roman" w:hAnsi="Times New Roman" w:eastAsia="仿宋_GB2312" w:cs="Times New Roman"/>
                <w:color w:val="auto"/>
                <w:sz w:val="18"/>
                <w:szCs w:val="18"/>
                <w:lang w:val="en-US" w:eastAsia="zh-CN" w:bidi="ar"/>
              </w:rPr>
            </w:pPr>
          </w:p>
        </w:tc>
        <w:tc>
          <w:tcPr>
            <w:tcW w:w="736" w:type="pct"/>
            <w:tcBorders>
              <w:tl2br w:val="nil"/>
              <w:tr2bl w:val="nil"/>
            </w:tcBorders>
            <w:vAlign w:val="top"/>
          </w:tcPr>
          <w:p w14:paraId="7AE87413">
            <w:pPr>
              <w:jc w:val="center"/>
              <w:rPr>
                <w:rFonts w:hint="default" w:ascii="Times New Roman" w:hAnsi="Times New Roman" w:eastAsia="仿宋_GB2312" w:cs="Times New Roman"/>
                <w:color w:val="auto"/>
                <w:sz w:val="18"/>
                <w:szCs w:val="18"/>
                <w:lang w:val="en-US" w:eastAsia="zh-CN" w:bidi="ar"/>
              </w:rPr>
            </w:pPr>
          </w:p>
        </w:tc>
        <w:tc>
          <w:tcPr>
            <w:tcW w:w="773" w:type="pct"/>
            <w:tcBorders>
              <w:tl2br w:val="nil"/>
              <w:tr2bl w:val="nil"/>
            </w:tcBorders>
            <w:vAlign w:val="top"/>
          </w:tcPr>
          <w:p w14:paraId="715EF4AE">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w:t>
            </w:r>
          </w:p>
        </w:tc>
      </w:tr>
      <w:tr w14:paraId="2623BC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72" w:type="pct"/>
            <w:tcBorders>
              <w:tl2br w:val="nil"/>
              <w:tr2bl w:val="nil"/>
            </w:tcBorders>
            <w:shd w:val="clear" w:color="auto" w:fill="auto"/>
            <w:vAlign w:val="center"/>
          </w:tcPr>
          <w:p w14:paraId="5B332E68">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kern w:val="2"/>
                <w:sz w:val="18"/>
                <w:szCs w:val="18"/>
                <w:lang w:val="en-US" w:eastAsia="zh-CN" w:bidi="ar"/>
              </w:rPr>
              <w:t>（三）</w:t>
            </w:r>
          </w:p>
        </w:tc>
        <w:tc>
          <w:tcPr>
            <w:tcW w:w="1351" w:type="pct"/>
            <w:tcBorders>
              <w:tl2br w:val="nil"/>
              <w:tr2bl w:val="nil"/>
            </w:tcBorders>
            <w:shd w:val="clear" w:color="auto" w:fill="auto"/>
            <w:vAlign w:val="center"/>
          </w:tcPr>
          <w:p w14:paraId="20A14305">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绿化工程区</w:t>
            </w:r>
          </w:p>
        </w:tc>
        <w:tc>
          <w:tcPr>
            <w:tcW w:w="915" w:type="pct"/>
            <w:tcBorders>
              <w:tl2br w:val="nil"/>
              <w:tr2bl w:val="nil"/>
            </w:tcBorders>
            <w:vAlign w:val="top"/>
          </w:tcPr>
          <w:p w14:paraId="5E2675F0">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2ADA128C">
            <w:pPr>
              <w:jc w:val="center"/>
              <w:rPr>
                <w:rFonts w:hint="default" w:ascii="Times New Roman" w:hAnsi="Times New Roman" w:eastAsia="仿宋_GB2312" w:cs="Times New Roman"/>
                <w:color w:val="auto"/>
                <w:sz w:val="18"/>
                <w:szCs w:val="18"/>
                <w:lang w:val="en-US" w:eastAsia="zh-CN" w:bidi="ar"/>
              </w:rPr>
            </w:pPr>
          </w:p>
        </w:tc>
        <w:tc>
          <w:tcPr>
            <w:tcW w:w="736" w:type="pct"/>
            <w:tcBorders>
              <w:tl2br w:val="nil"/>
              <w:tr2bl w:val="nil"/>
            </w:tcBorders>
            <w:vAlign w:val="top"/>
          </w:tcPr>
          <w:p w14:paraId="031BF09F">
            <w:pPr>
              <w:jc w:val="center"/>
              <w:rPr>
                <w:rFonts w:hint="default" w:ascii="Times New Roman" w:hAnsi="Times New Roman" w:eastAsia="仿宋_GB2312" w:cs="Times New Roman"/>
                <w:color w:val="auto"/>
                <w:sz w:val="18"/>
                <w:szCs w:val="18"/>
                <w:lang w:val="en-US" w:eastAsia="zh-CN" w:bidi="ar"/>
              </w:rPr>
            </w:pPr>
          </w:p>
        </w:tc>
        <w:tc>
          <w:tcPr>
            <w:tcW w:w="773" w:type="pct"/>
            <w:tcBorders>
              <w:tl2br w:val="nil"/>
              <w:tr2bl w:val="nil"/>
            </w:tcBorders>
            <w:vAlign w:val="top"/>
          </w:tcPr>
          <w:p w14:paraId="7743A309">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w:t>
            </w:r>
          </w:p>
        </w:tc>
      </w:tr>
      <w:tr w14:paraId="36C5C0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72" w:type="pct"/>
            <w:tcBorders>
              <w:tl2br w:val="nil"/>
              <w:tr2bl w:val="nil"/>
            </w:tcBorders>
            <w:shd w:val="clear" w:color="auto" w:fill="auto"/>
            <w:vAlign w:val="center"/>
          </w:tcPr>
          <w:p w14:paraId="710742C1">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kern w:val="2"/>
                <w:sz w:val="18"/>
                <w:szCs w:val="18"/>
                <w:lang w:val="en-US" w:eastAsia="zh-CN" w:bidi="ar"/>
              </w:rPr>
              <w:t>二</w:t>
            </w:r>
          </w:p>
        </w:tc>
        <w:tc>
          <w:tcPr>
            <w:tcW w:w="1351" w:type="pct"/>
            <w:tcBorders>
              <w:tl2br w:val="nil"/>
              <w:tr2bl w:val="nil"/>
            </w:tcBorders>
            <w:shd w:val="clear" w:color="auto" w:fill="auto"/>
            <w:vAlign w:val="center"/>
          </w:tcPr>
          <w:p w14:paraId="328181B9">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其他临时工程</w:t>
            </w:r>
          </w:p>
        </w:tc>
        <w:tc>
          <w:tcPr>
            <w:tcW w:w="915" w:type="pct"/>
            <w:tcBorders>
              <w:tl2br w:val="nil"/>
              <w:tr2bl w:val="nil"/>
            </w:tcBorders>
            <w:vAlign w:val="top"/>
          </w:tcPr>
          <w:p w14:paraId="130EE321">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0F959AA8">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21.05</w:t>
            </w:r>
          </w:p>
        </w:tc>
        <w:tc>
          <w:tcPr>
            <w:tcW w:w="736" w:type="pct"/>
            <w:tcBorders>
              <w:tl2br w:val="nil"/>
              <w:tr2bl w:val="nil"/>
            </w:tcBorders>
            <w:vAlign w:val="top"/>
          </w:tcPr>
          <w:p w14:paraId="24E0D918">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2.0%</w:t>
            </w:r>
          </w:p>
        </w:tc>
        <w:tc>
          <w:tcPr>
            <w:tcW w:w="773" w:type="pct"/>
            <w:tcBorders>
              <w:tl2br w:val="nil"/>
              <w:tr2bl w:val="nil"/>
            </w:tcBorders>
            <w:vAlign w:val="top"/>
          </w:tcPr>
          <w:p w14:paraId="1A5C29C3">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0.42</w:t>
            </w:r>
          </w:p>
        </w:tc>
      </w:tr>
    </w:tbl>
    <w:p w14:paraId="7B223578">
      <w:pPr>
        <w:jc w:val="center"/>
        <w:rPr>
          <w:rFonts w:hint="default" w:ascii="Times New Roman" w:hAnsi="Times New Roman" w:eastAsia="仿宋_GB2312" w:cs="Times New Roman"/>
          <w:b/>
          <w:szCs w:val="21"/>
          <w:lang w:bidi="ar"/>
        </w:rPr>
      </w:pPr>
    </w:p>
    <w:p w14:paraId="7D56391E">
      <w:pPr>
        <w:jc w:val="center"/>
        <w:rPr>
          <w:rFonts w:hint="default" w:ascii="Times New Roman" w:hAnsi="Times New Roman" w:eastAsia="仿宋_GB2312" w:cs="Times New Roman"/>
          <w:b/>
          <w:szCs w:val="21"/>
          <w:lang w:bidi="ar"/>
        </w:rPr>
      </w:pPr>
    </w:p>
    <w:p w14:paraId="3A0A9CD3">
      <w:pPr>
        <w:jc w:val="center"/>
        <w:rPr>
          <w:rFonts w:hint="default" w:ascii="Times New Roman" w:hAnsi="Times New Roman" w:eastAsia="仿宋_GB2312" w:cs="Times New Roman"/>
          <w:b/>
          <w:kern w:val="0"/>
          <w:szCs w:val="21"/>
          <w:lang w:val="en-US" w:eastAsia="zh-CN"/>
        </w:rPr>
      </w:pPr>
      <w:r>
        <w:rPr>
          <w:rFonts w:hint="default" w:ascii="Times New Roman" w:hAnsi="Times New Roman" w:eastAsia="仿宋_GB2312" w:cs="Times New Roman"/>
          <w:b/>
          <w:szCs w:val="21"/>
          <w:lang w:bidi="ar"/>
        </w:rPr>
        <w:t>表7.1-</w:t>
      </w:r>
      <w:r>
        <w:rPr>
          <w:rFonts w:hint="default" w:ascii="Times New Roman" w:hAnsi="Times New Roman" w:eastAsia="仿宋_GB2312" w:cs="Times New Roman"/>
          <w:b/>
          <w:szCs w:val="21"/>
          <w:lang w:val="en-US" w:eastAsia="zh-CN" w:bidi="ar"/>
        </w:rPr>
        <w:t>3</w:t>
      </w:r>
      <w:r>
        <w:rPr>
          <w:rFonts w:hint="default" w:ascii="Times New Roman" w:hAnsi="Times New Roman" w:eastAsia="仿宋_GB2312" w:cs="Times New Roman"/>
          <w:b/>
          <w:szCs w:val="21"/>
          <w:lang w:bidi="ar"/>
        </w:rPr>
        <w:t xml:space="preserve"> </w:t>
      </w:r>
      <w:r>
        <w:rPr>
          <w:rFonts w:hint="default" w:ascii="Times New Roman" w:hAnsi="Times New Roman" w:eastAsia="仿宋_GB2312" w:cs="Times New Roman"/>
          <w:b/>
          <w:kern w:val="0"/>
          <w:szCs w:val="21"/>
        </w:rPr>
        <w:t xml:space="preserve"> </w:t>
      </w:r>
      <w:r>
        <w:rPr>
          <w:rFonts w:hint="default" w:ascii="Times New Roman" w:hAnsi="Times New Roman" w:eastAsia="仿宋_GB2312" w:cs="Times New Roman"/>
          <w:b/>
          <w:kern w:val="0"/>
          <w:szCs w:val="21"/>
          <w:lang w:val="en-US" w:eastAsia="zh-CN"/>
        </w:rPr>
        <w:t>分部概算表（独立费用）</w:t>
      </w:r>
    </w:p>
    <w:tbl>
      <w:tblPr>
        <w:tblStyle w:val="37"/>
        <w:tblW w:w="503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67"/>
        <w:gridCol w:w="2423"/>
        <w:gridCol w:w="1641"/>
        <w:gridCol w:w="1524"/>
        <w:gridCol w:w="1322"/>
        <w:gridCol w:w="1384"/>
      </w:tblGrid>
      <w:tr w14:paraId="4F5623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372" w:type="pct"/>
            <w:tcBorders>
              <w:tl2br w:val="nil"/>
              <w:tr2bl w:val="nil"/>
            </w:tcBorders>
            <w:shd w:val="clear" w:color="auto" w:fill="auto"/>
            <w:vAlign w:val="top"/>
          </w:tcPr>
          <w:p w14:paraId="60785126">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序号</w:t>
            </w:r>
          </w:p>
        </w:tc>
        <w:tc>
          <w:tcPr>
            <w:tcW w:w="1351" w:type="pct"/>
            <w:tcBorders>
              <w:tl2br w:val="nil"/>
              <w:tr2bl w:val="nil"/>
            </w:tcBorders>
            <w:shd w:val="clear" w:color="auto" w:fill="auto"/>
            <w:vAlign w:val="top"/>
          </w:tcPr>
          <w:p w14:paraId="06ABE570">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工程或费用名称</w:t>
            </w:r>
          </w:p>
        </w:tc>
        <w:tc>
          <w:tcPr>
            <w:tcW w:w="915" w:type="pct"/>
            <w:tcBorders>
              <w:tl2br w:val="nil"/>
              <w:tr2bl w:val="nil"/>
            </w:tcBorders>
            <w:shd w:val="clear" w:color="auto" w:fill="auto"/>
            <w:vAlign w:val="top"/>
          </w:tcPr>
          <w:p w14:paraId="3BE19FA6">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单位</w:t>
            </w:r>
          </w:p>
        </w:tc>
        <w:tc>
          <w:tcPr>
            <w:tcW w:w="850" w:type="pct"/>
            <w:tcBorders>
              <w:tl2br w:val="nil"/>
              <w:tr2bl w:val="nil"/>
            </w:tcBorders>
            <w:shd w:val="clear" w:color="auto" w:fill="auto"/>
            <w:vAlign w:val="top"/>
          </w:tcPr>
          <w:p w14:paraId="3F48305D">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数量</w:t>
            </w:r>
          </w:p>
        </w:tc>
        <w:tc>
          <w:tcPr>
            <w:tcW w:w="737" w:type="pct"/>
            <w:tcBorders>
              <w:tl2br w:val="nil"/>
              <w:tr2bl w:val="nil"/>
            </w:tcBorders>
            <w:shd w:val="clear" w:color="auto" w:fill="auto"/>
            <w:vAlign w:val="top"/>
          </w:tcPr>
          <w:p w14:paraId="68D8FB2C">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单价(元)</w:t>
            </w:r>
          </w:p>
        </w:tc>
        <w:tc>
          <w:tcPr>
            <w:tcW w:w="772" w:type="pct"/>
            <w:tcBorders>
              <w:tl2br w:val="nil"/>
              <w:tr2bl w:val="nil"/>
            </w:tcBorders>
            <w:shd w:val="clear" w:color="auto" w:fill="auto"/>
            <w:vAlign w:val="top"/>
          </w:tcPr>
          <w:p w14:paraId="3B9689A6">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合计(万元)</w:t>
            </w:r>
          </w:p>
        </w:tc>
      </w:tr>
      <w:tr w14:paraId="3BDE78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372" w:type="pct"/>
            <w:tcBorders>
              <w:tl2br w:val="nil"/>
              <w:tr2bl w:val="nil"/>
            </w:tcBorders>
            <w:shd w:val="clear" w:color="auto" w:fill="auto"/>
            <w:vAlign w:val="center"/>
          </w:tcPr>
          <w:p w14:paraId="0726F940">
            <w:pPr>
              <w:jc w:val="center"/>
              <w:rPr>
                <w:rFonts w:hint="default" w:ascii="Times New Roman" w:hAnsi="Times New Roman" w:eastAsia="仿宋_GB2312" w:cs="Times New Roman"/>
                <w:color w:val="auto"/>
                <w:kern w:val="2"/>
                <w:sz w:val="18"/>
                <w:szCs w:val="18"/>
                <w:lang w:val="en-US" w:eastAsia="zh-CN" w:bidi="ar"/>
              </w:rPr>
            </w:pPr>
          </w:p>
        </w:tc>
        <w:tc>
          <w:tcPr>
            <w:tcW w:w="1351" w:type="pct"/>
            <w:tcBorders>
              <w:tl2br w:val="nil"/>
              <w:tr2bl w:val="nil"/>
            </w:tcBorders>
            <w:shd w:val="clear" w:color="auto" w:fill="auto"/>
            <w:vAlign w:val="center"/>
          </w:tcPr>
          <w:p w14:paraId="584D2929">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第五部分  独立费用</w:t>
            </w:r>
          </w:p>
        </w:tc>
        <w:tc>
          <w:tcPr>
            <w:tcW w:w="915" w:type="pct"/>
            <w:tcBorders>
              <w:tl2br w:val="nil"/>
              <w:tr2bl w:val="nil"/>
            </w:tcBorders>
            <w:vAlign w:val="top"/>
          </w:tcPr>
          <w:p w14:paraId="1364D4FE">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1720D59A">
            <w:pPr>
              <w:jc w:val="center"/>
              <w:rPr>
                <w:rFonts w:hint="default" w:ascii="Times New Roman" w:hAnsi="Times New Roman" w:eastAsia="仿宋_GB2312" w:cs="Times New Roman"/>
                <w:color w:val="auto"/>
                <w:sz w:val="18"/>
                <w:szCs w:val="18"/>
                <w:lang w:val="en-US" w:eastAsia="zh-CN" w:bidi="ar"/>
              </w:rPr>
            </w:pPr>
          </w:p>
        </w:tc>
        <w:tc>
          <w:tcPr>
            <w:tcW w:w="737" w:type="pct"/>
            <w:tcBorders>
              <w:tl2br w:val="nil"/>
              <w:tr2bl w:val="nil"/>
            </w:tcBorders>
            <w:vAlign w:val="top"/>
          </w:tcPr>
          <w:p w14:paraId="185CC9E1">
            <w:pPr>
              <w:jc w:val="center"/>
              <w:rPr>
                <w:rFonts w:hint="default" w:ascii="Times New Roman" w:hAnsi="Times New Roman" w:eastAsia="仿宋_GB2312" w:cs="Times New Roman"/>
                <w:color w:val="auto"/>
                <w:sz w:val="18"/>
                <w:szCs w:val="18"/>
                <w:lang w:val="en-US" w:eastAsia="zh-CN" w:bidi="ar"/>
              </w:rPr>
            </w:pPr>
          </w:p>
        </w:tc>
        <w:tc>
          <w:tcPr>
            <w:tcW w:w="772" w:type="pct"/>
            <w:tcBorders>
              <w:tl2br w:val="nil"/>
              <w:tr2bl w:val="nil"/>
            </w:tcBorders>
            <w:vAlign w:val="top"/>
          </w:tcPr>
          <w:p w14:paraId="1C5C0766">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15.70</w:t>
            </w:r>
          </w:p>
        </w:tc>
      </w:tr>
      <w:tr w14:paraId="680C0B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372" w:type="pct"/>
            <w:tcBorders>
              <w:tl2br w:val="nil"/>
              <w:tr2bl w:val="nil"/>
            </w:tcBorders>
            <w:shd w:val="clear" w:color="auto" w:fill="auto"/>
            <w:vAlign w:val="center"/>
          </w:tcPr>
          <w:p w14:paraId="58C2FA72">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kern w:val="2"/>
                <w:sz w:val="18"/>
                <w:szCs w:val="18"/>
                <w:lang w:val="en-US" w:eastAsia="zh-CN" w:bidi="ar"/>
              </w:rPr>
              <w:t>一</w:t>
            </w:r>
          </w:p>
        </w:tc>
        <w:tc>
          <w:tcPr>
            <w:tcW w:w="1351" w:type="pct"/>
            <w:tcBorders>
              <w:tl2br w:val="nil"/>
              <w:tr2bl w:val="nil"/>
            </w:tcBorders>
            <w:shd w:val="clear" w:color="auto" w:fill="auto"/>
            <w:vAlign w:val="center"/>
          </w:tcPr>
          <w:p w14:paraId="4BC8A010">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建设管理费</w:t>
            </w:r>
          </w:p>
        </w:tc>
        <w:tc>
          <w:tcPr>
            <w:tcW w:w="915" w:type="pct"/>
            <w:tcBorders>
              <w:tl2br w:val="nil"/>
              <w:tr2bl w:val="nil"/>
            </w:tcBorders>
            <w:vAlign w:val="top"/>
          </w:tcPr>
          <w:p w14:paraId="46B29A4E">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14390101">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21.05</w:t>
            </w:r>
          </w:p>
        </w:tc>
        <w:tc>
          <w:tcPr>
            <w:tcW w:w="737" w:type="pct"/>
            <w:tcBorders>
              <w:tl2br w:val="nil"/>
              <w:tr2bl w:val="nil"/>
            </w:tcBorders>
            <w:vAlign w:val="top"/>
          </w:tcPr>
          <w:p w14:paraId="7B350D47">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2%</w:t>
            </w:r>
          </w:p>
        </w:tc>
        <w:tc>
          <w:tcPr>
            <w:tcW w:w="772" w:type="pct"/>
            <w:tcBorders>
              <w:tl2br w:val="nil"/>
              <w:tr2bl w:val="nil"/>
            </w:tcBorders>
            <w:vAlign w:val="top"/>
          </w:tcPr>
          <w:p w14:paraId="379806A9">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0.42</w:t>
            </w:r>
          </w:p>
        </w:tc>
      </w:tr>
      <w:tr w14:paraId="207DA8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372" w:type="pct"/>
            <w:tcBorders>
              <w:tl2br w:val="nil"/>
              <w:tr2bl w:val="nil"/>
            </w:tcBorders>
            <w:shd w:val="clear" w:color="auto" w:fill="auto"/>
            <w:vAlign w:val="center"/>
          </w:tcPr>
          <w:p w14:paraId="4FCD2536">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kern w:val="2"/>
                <w:sz w:val="18"/>
                <w:szCs w:val="18"/>
                <w:lang w:val="en-US" w:eastAsia="zh-CN" w:bidi="ar"/>
              </w:rPr>
              <w:t>（一）</w:t>
            </w:r>
          </w:p>
        </w:tc>
        <w:tc>
          <w:tcPr>
            <w:tcW w:w="1351" w:type="pct"/>
            <w:tcBorders>
              <w:tl2br w:val="nil"/>
              <w:tr2bl w:val="nil"/>
            </w:tcBorders>
            <w:shd w:val="clear" w:color="auto" w:fill="auto"/>
            <w:vAlign w:val="center"/>
          </w:tcPr>
          <w:p w14:paraId="37131EFF">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项目经常费</w:t>
            </w:r>
          </w:p>
        </w:tc>
        <w:tc>
          <w:tcPr>
            <w:tcW w:w="915" w:type="pct"/>
            <w:tcBorders>
              <w:tl2br w:val="nil"/>
              <w:tr2bl w:val="nil"/>
            </w:tcBorders>
            <w:vAlign w:val="top"/>
          </w:tcPr>
          <w:p w14:paraId="5DFF6F78">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5E49A0F6">
            <w:pPr>
              <w:jc w:val="center"/>
              <w:rPr>
                <w:rFonts w:hint="default" w:ascii="Times New Roman" w:hAnsi="Times New Roman" w:eastAsia="仿宋_GB2312" w:cs="Times New Roman"/>
                <w:color w:val="auto"/>
                <w:sz w:val="18"/>
                <w:szCs w:val="18"/>
                <w:lang w:val="en-US" w:eastAsia="zh-CN" w:bidi="ar"/>
              </w:rPr>
            </w:pPr>
          </w:p>
        </w:tc>
        <w:tc>
          <w:tcPr>
            <w:tcW w:w="737" w:type="pct"/>
            <w:tcBorders>
              <w:tl2br w:val="nil"/>
              <w:tr2bl w:val="nil"/>
            </w:tcBorders>
            <w:vAlign w:val="top"/>
          </w:tcPr>
          <w:p w14:paraId="7AB39844">
            <w:pPr>
              <w:jc w:val="center"/>
              <w:rPr>
                <w:rFonts w:hint="default" w:ascii="Times New Roman" w:hAnsi="Times New Roman" w:eastAsia="仿宋_GB2312" w:cs="Times New Roman"/>
                <w:color w:val="auto"/>
                <w:sz w:val="18"/>
                <w:szCs w:val="18"/>
                <w:lang w:val="en-US" w:eastAsia="zh-CN" w:bidi="ar"/>
              </w:rPr>
            </w:pPr>
          </w:p>
        </w:tc>
        <w:tc>
          <w:tcPr>
            <w:tcW w:w="772" w:type="pct"/>
            <w:tcBorders>
              <w:tl2br w:val="nil"/>
              <w:tr2bl w:val="nil"/>
            </w:tcBorders>
            <w:vAlign w:val="top"/>
          </w:tcPr>
          <w:p w14:paraId="4F955198">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0.20</w:t>
            </w:r>
          </w:p>
        </w:tc>
      </w:tr>
      <w:tr w14:paraId="6A9AD2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372" w:type="pct"/>
            <w:tcBorders>
              <w:tl2br w:val="nil"/>
              <w:tr2bl w:val="nil"/>
            </w:tcBorders>
            <w:shd w:val="clear" w:color="auto" w:fill="auto"/>
            <w:vAlign w:val="center"/>
          </w:tcPr>
          <w:p w14:paraId="36FA8617">
            <w:pPr>
              <w:jc w:val="center"/>
              <w:rPr>
                <w:rFonts w:hint="default" w:ascii="Times New Roman" w:hAnsi="Times New Roman" w:eastAsia="仿宋_GB2312" w:cs="Times New Roman"/>
                <w:color w:val="auto"/>
                <w:kern w:val="2"/>
                <w:sz w:val="18"/>
                <w:szCs w:val="18"/>
                <w:lang w:val="en-US" w:eastAsia="zh-CN" w:bidi="ar"/>
              </w:rPr>
            </w:pPr>
          </w:p>
        </w:tc>
        <w:tc>
          <w:tcPr>
            <w:tcW w:w="1351" w:type="pct"/>
            <w:tcBorders>
              <w:tl2br w:val="nil"/>
              <w:tr2bl w:val="nil"/>
            </w:tcBorders>
            <w:shd w:val="clear" w:color="auto" w:fill="auto"/>
            <w:vAlign w:val="center"/>
          </w:tcPr>
          <w:p w14:paraId="688907A2">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水土保持设施验收费</w:t>
            </w:r>
          </w:p>
        </w:tc>
        <w:tc>
          <w:tcPr>
            <w:tcW w:w="915" w:type="pct"/>
            <w:tcBorders>
              <w:tl2br w:val="nil"/>
              <w:tr2bl w:val="nil"/>
            </w:tcBorders>
            <w:vAlign w:val="top"/>
          </w:tcPr>
          <w:p w14:paraId="2F1B97C0">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01BEE9D3">
            <w:pPr>
              <w:jc w:val="center"/>
              <w:rPr>
                <w:rFonts w:hint="default" w:ascii="Times New Roman" w:hAnsi="Times New Roman" w:eastAsia="仿宋_GB2312" w:cs="Times New Roman"/>
                <w:color w:val="auto"/>
                <w:sz w:val="18"/>
                <w:szCs w:val="18"/>
                <w:lang w:val="en-US" w:eastAsia="zh-CN" w:bidi="ar"/>
              </w:rPr>
            </w:pPr>
          </w:p>
        </w:tc>
        <w:tc>
          <w:tcPr>
            <w:tcW w:w="737" w:type="pct"/>
            <w:tcBorders>
              <w:tl2br w:val="nil"/>
              <w:tr2bl w:val="nil"/>
            </w:tcBorders>
            <w:vAlign w:val="top"/>
          </w:tcPr>
          <w:p w14:paraId="166D21D3">
            <w:pPr>
              <w:jc w:val="center"/>
              <w:rPr>
                <w:rFonts w:hint="default" w:ascii="Times New Roman" w:hAnsi="Times New Roman" w:eastAsia="仿宋_GB2312" w:cs="Times New Roman"/>
                <w:color w:val="auto"/>
                <w:sz w:val="18"/>
                <w:szCs w:val="18"/>
                <w:lang w:val="en-US" w:eastAsia="zh-CN" w:bidi="ar"/>
              </w:rPr>
            </w:pPr>
          </w:p>
        </w:tc>
        <w:tc>
          <w:tcPr>
            <w:tcW w:w="772" w:type="pct"/>
            <w:tcBorders>
              <w:tl2br w:val="nil"/>
              <w:tr2bl w:val="nil"/>
            </w:tcBorders>
            <w:vAlign w:val="top"/>
          </w:tcPr>
          <w:p w14:paraId="23AE1F48">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0.20</w:t>
            </w:r>
          </w:p>
        </w:tc>
      </w:tr>
      <w:tr w14:paraId="431ECF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372" w:type="pct"/>
            <w:tcBorders>
              <w:tl2br w:val="nil"/>
              <w:tr2bl w:val="nil"/>
            </w:tcBorders>
            <w:shd w:val="clear" w:color="auto" w:fill="auto"/>
            <w:vAlign w:val="center"/>
          </w:tcPr>
          <w:p w14:paraId="42E5E4BD">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kern w:val="2"/>
                <w:sz w:val="18"/>
                <w:szCs w:val="18"/>
                <w:lang w:val="en-US" w:eastAsia="zh-CN" w:bidi="ar"/>
              </w:rPr>
              <w:t>（二）</w:t>
            </w:r>
          </w:p>
        </w:tc>
        <w:tc>
          <w:tcPr>
            <w:tcW w:w="1351" w:type="pct"/>
            <w:tcBorders>
              <w:tl2br w:val="nil"/>
              <w:tr2bl w:val="nil"/>
            </w:tcBorders>
            <w:shd w:val="clear" w:color="auto" w:fill="auto"/>
            <w:vAlign w:val="center"/>
          </w:tcPr>
          <w:p w14:paraId="7B22926A">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技术咨询费</w:t>
            </w:r>
          </w:p>
        </w:tc>
        <w:tc>
          <w:tcPr>
            <w:tcW w:w="915" w:type="pct"/>
            <w:tcBorders>
              <w:tl2br w:val="nil"/>
              <w:tr2bl w:val="nil"/>
            </w:tcBorders>
            <w:vAlign w:val="top"/>
          </w:tcPr>
          <w:p w14:paraId="3CB9905A">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199B8E2E">
            <w:pPr>
              <w:jc w:val="center"/>
              <w:rPr>
                <w:rFonts w:hint="default" w:ascii="Times New Roman" w:hAnsi="Times New Roman" w:eastAsia="仿宋_GB2312" w:cs="Times New Roman"/>
                <w:color w:val="auto"/>
                <w:sz w:val="18"/>
                <w:szCs w:val="18"/>
                <w:lang w:val="en-US" w:eastAsia="zh-CN" w:bidi="ar"/>
              </w:rPr>
            </w:pPr>
          </w:p>
        </w:tc>
        <w:tc>
          <w:tcPr>
            <w:tcW w:w="737" w:type="pct"/>
            <w:tcBorders>
              <w:tl2br w:val="nil"/>
              <w:tr2bl w:val="nil"/>
            </w:tcBorders>
            <w:vAlign w:val="top"/>
          </w:tcPr>
          <w:p w14:paraId="4BEB8696">
            <w:pPr>
              <w:jc w:val="center"/>
              <w:rPr>
                <w:rFonts w:hint="default" w:ascii="Times New Roman" w:hAnsi="Times New Roman" w:eastAsia="仿宋_GB2312" w:cs="Times New Roman"/>
                <w:color w:val="auto"/>
                <w:sz w:val="18"/>
                <w:szCs w:val="18"/>
                <w:lang w:val="en-US" w:eastAsia="zh-CN" w:bidi="ar"/>
              </w:rPr>
            </w:pPr>
          </w:p>
        </w:tc>
        <w:tc>
          <w:tcPr>
            <w:tcW w:w="772" w:type="pct"/>
            <w:tcBorders>
              <w:tl2br w:val="nil"/>
              <w:tr2bl w:val="nil"/>
            </w:tcBorders>
            <w:vAlign w:val="top"/>
          </w:tcPr>
          <w:p w14:paraId="7336ED16">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0.22</w:t>
            </w:r>
          </w:p>
        </w:tc>
      </w:tr>
      <w:tr w14:paraId="204908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372" w:type="pct"/>
            <w:tcBorders>
              <w:tl2br w:val="nil"/>
              <w:tr2bl w:val="nil"/>
            </w:tcBorders>
            <w:shd w:val="clear" w:color="auto" w:fill="auto"/>
            <w:vAlign w:val="center"/>
          </w:tcPr>
          <w:p w14:paraId="5CB541C7">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kern w:val="2"/>
                <w:sz w:val="18"/>
                <w:szCs w:val="18"/>
                <w:lang w:val="en-US" w:eastAsia="zh-CN" w:bidi="ar"/>
              </w:rPr>
              <w:t>二</w:t>
            </w:r>
          </w:p>
        </w:tc>
        <w:tc>
          <w:tcPr>
            <w:tcW w:w="1351" w:type="pct"/>
            <w:tcBorders>
              <w:tl2br w:val="nil"/>
              <w:tr2bl w:val="nil"/>
            </w:tcBorders>
            <w:shd w:val="clear" w:color="auto" w:fill="auto"/>
            <w:vAlign w:val="center"/>
          </w:tcPr>
          <w:p w14:paraId="3AE85C33">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科研勘测设计费</w:t>
            </w:r>
          </w:p>
        </w:tc>
        <w:tc>
          <w:tcPr>
            <w:tcW w:w="915" w:type="pct"/>
            <w:tcBorders>
              <w:tl2br w:val="nil"/>
              <w:tr2bl w:val="nil"/>
            </w:tcBorders>
            <w:vAlign w:val="top"/>
          </w:tcPr>
          <w:p w14:paraId="3C744252">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00B03AC2">
            <w:pPr>
              <w:jc w:val="center"/>
              <w:rPr>
                <w:rFonts w:hint="default" w:ascii="Times New Roman" w:hAnsi="Times New Roman" w:eastAsia="仿宋_GB2312" w:cs="Times New Roman"/>
                <w:color w:val="auto"/>
                <w:sz w:val="18"/>
                <w:szCs w:val="18"/>
                <w:lang w:val="en-US" w:eastAsia="zh-CN" w:bidi="ar"/>
              </w:rPr>
            </w:pPr>
          </w:p>
        </w:tc>
        <w:tc>
          <w:tcPr>
            <w:tcW w:w="737" w:type="pct"/>
            <w:tcBorders>
              <w:tl2br w:val="nil"/>
              <w:tr2bl w:val="nil"/>
            </w:tcBorders>
            <w:vAlign w:val="top"/>
          </w:tcPr>
          <w:p w14:paraId="2CDA81A1">
            <w:pPr>
              <w:jc w:val="center"/>
              <w:rPr>
                <w:rFonts w:hint="default" w:ascii="Times New Roman" w:hAnsi="Times New Roman" w:eastAsia="仿宋_GB2312" w:cs="Times New Roman"/>
                <w:color w:val="auto"/>
                <w:sz w:val="18"/>
                <w:szCs w:val="18"/>
                <w:lang w:val="en-US" w:eastAsia="zh-CN" w:bidi="ar"/>
              </w:rPr>
            </w:pPr>
          </w:p>
        </w:tc>
        <w:tc>
          <w:tcPr>
            <w:tcW w:w="772" w:type="pct"/>
            <w:tcBorders>
              <w:tl2br w:val="nil"/>
              <w:tr2bl w:val="nil"/>
            </w:tcBorders>
            <w:vAlign w:val="top"/>
          </w:tcPr>
          <w:p w14:paraId="26AA7A32">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15.28</w:t>
            </w:r>
          </w:p>
        </w:tc>
      </w:tr>
      <w:tr w14:paraId="312186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372" w:type="pct"/>
            <w:tcBorders>
              <w:tl2br w:val="nil"/>
              <w:tr2bl w:val="nil"/>
            </w:tcBorders>
            <w:shd w:val="clear" w:color="auto" w:fill="auto"/>
            <w:vAlign w:val="center"/>
          </w:tcPr>
          <w:p w14:paraId="19082D31">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kern w:val="2"/>
                <w:sz w:val="18"/>
                <w:szCs w:val="18"/>
                <w:lang w:val="en-US" w:eastAsia="zh-CN" w:bidi="ar"/>
              </w:rPr>
              <w:t>（一）</w:t>
            </w:r>
          </w:p>
        </w:tc>
        <w:tc>
          <w:tcPr>
            <w:tcW w:w="1351" w:type="pct"/>
            <w:tcBorders>
              <w:tl2br w:val="nil"/>
              <w:tr2bl w:val="nil"/>
            </w:tcBorders>
            <w:shd w:val="clear" w:color="auto" w:fill="auto"/>
            <w:vAlign w:val="top"/>
          </w:tcPr>
          <w:p w14:paraId="6919F4D6">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工程科学研究试验费</w:t>
            </w:r>
          </w:p>
        </w:tc>
        <w:tc>
          <w:tcPr>
            <w:tcW w:w="915" w:type="pct"/>
            <w:tcBorders>
              <w:tl2br w:val="nil"/>
              <w:tr2bl w:val="nil"/>
            </w:tcBorders>
            <w:vAlign w:val="top"/>
          </w:tcPr>
          <w:p w14:paraId="6F47B795">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2C651A0D">
            <w:pPr>
              <w:jc w:val="center"/>
              <w:rPr>
                <w:rFonts w:hint="default" w:ascii="Times New Roman" w:hAnsi="Times New Roman" w:eastAsia="仿宋_GB2312" w:cs="Times New Roman"/>
                <w:color w:val="auto"/>
                <w:sz w:val="18"/>
                <w:szCs w:val="18"/>
                <w:lang w:val="en-US" w:eastAsia="zh-CN" w:bidi="ar"/>
              </w:rPr>
            </w:pPr>
          </w:p>
        </w:tc>
        <w:tc>
          <w:tcPr>
            <w:tcW w:w="737" w:type="pct"/>
            <w:tcBorders>
              <w:tl2br w:val="nil"/>
              <w:tr2bl w:val="nil"/>
            </w:tcBorders>
            <w:vAlign w:val="top"/>
          </w:tcPr>
          <w:p w14:paraId="2688B611">
            <w:pPr>
              <w:jc w:val="center"/>
              <w:rPr>
                <w:rFonts w:hint="default" w:ascii="Times New Roman" w:hAnsi="Times New Roman" w:eastAsia="仿宋_GB2312" w:cs="Times New Roman"/>
                <w:color w:val="auto"/>
                <w:sz w:val="18"/>
                <w:szCs w:val="18"/>
                <w:lang w:val="en-US" w:eastAsia="zh-CN" w:bidi="ar"/>
              </w:rPr>
            </w:pPr>
          </w:p>
        </w:tc>
        <w:tc>
          <w:tcPr>
            <w:tcW w:w="772" w:type="pct"/>
            <w:tcBorders>
              <w:tl2br w:val="nil"/>
              <w:tr2bl w:val="nil"/>
            </w:tcBorders>
            <w:vAlign w:val="top"/>
          </w:tcPr>
          <w:p w14:paraId="649C8871">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w:t>
            </w:r>
          </w:p>
        </w:tc>
      </w:tr>
      <w:tr w14:paraId="070941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372" w:type="pct"/>
            <w:tcBorders>
              <w:tl2br w:val="nil"/>
              <w:tr2bl w:val="nil"/>
            </w:tcBorders>
            <w:shd w:val="clear" w:color="auto" w:fill="auto"/>
            <w:vAlign w:val="center"/>
          </w:tcPr>
          <w:p w14:paraId="02332A5D">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kern w:val="2"/>
                <w:sz w:val="18"/>
                <w:szCs w:val="18"/>
                <w:lang w:val="en-US" w:eastAsia="zh-CN" w:bidi="ar"/>
              </w:rPr>
              <w:t>（二）</w:t>
            </w:r>
          </w:p>
        </w:tc>
        <w:tc>
          <w:tcPr>
            <w:tcW w:w="1351" w:type="pct"/>
            <w:tcBorders>
              <w:tl2br w:val="nil"/>
              <w:tr2bl w:val="nil"/>
            </w:tcBorders>
            <w:shd w:val="clear" w:color="auto" w:fill="auto"/>
            <w:vAlign w:val="top"/>
          </w:tcPr>
          <w:p w14:paraId="013F9C1E">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工程勘测设计费</w:t>
            </w:r>
          </w:p>
        </w:tc>
        <w:tc>
          <w:tcPr>
            <w:tcW w:w="915" w:type="pct"/>
            <w:tcBorders>
              <w:tl2br w:val="nil"/>
              <w:tr2bl w:val="nil"/>
            </w:tcBorders>
            <w:vAlign w:val="top"/>
          </w:tcPr>
          <w:p w14:paraId="72B721DD">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657B02AC">
            <w:pPr>
              <w:jc w:val="center"/>
              <w:rPr>
                <w:rFonts w:hint="default" w:ascii="Times New Roman" w:hAnsi="Times New Roman" w:eastAsia="仿宋_GB2312" w:cs="Times New Roman"/>
                <w:color w:val="auto"/>
                <w:sz w:val="18"/>
                <w:szCs w:val="18"/>
                <w:lang w:val="en-US" w:eastAsia="zh-CN" w:bidi="ar"/>
              </w:rPr>
            </w:pPr>
          </w:p>
        </w:tc>
        <w:tc>
          <w:tcPr>
            <w:tcW w:w="737" w:type="pct"/>
            <w:tcBorders>
              <w:tl2br w:val="nil"/>
              <w:tr2bl w:val="nil"/>
            </w:tcBorders>
            <w:vAlign w:val="top"/>
          </w:tcPr>
          <w:p w14:paraId="6A7748E5">
            <w:pPr>
              <w:jc w:val="center"/>
              <w:rPr>
                <w:rFonts w:hint="default" w:ascii="Times New Roman" w:hAnsi="Times New Roman" w:eastAsia="仿宋_GB2312" w:cs="Times New Roman"/>
                <w:color w:val="auto"/>
                <w:sz w:val="18"/>
                <w:szCs w:val="18"/>
                <w:lang w:val="en-US" w:eastAsia="zh-CN" w:bidi="ar"/>
              </w:rPr>
            </w:pPr>
          </w:p>
        </w:tc>
        <w:tc>
          <w:tcPr>
            <w:tcW w:w="772" w:type="pct"/>
            <w:tcBorders>
              <w:tl2br w:val="nil"/>
              <w:tr2bl w:val="nil"/>
            </w:tcBorders>
            <w:vAlign w:val="top"/>
          </w:tcPr>
          <w:p w14:paraId="23975822">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15.28</w:t>
            </w:r>
          </w:p>
        </w:tc>
      </w:tr>
      <w:tr w14:paraId="3E7067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372" w:type="pct"/>
            <w:tcBorders>
              <w:tl2br w:val="nil"/>
              <w:tr2bl w:val="nil"/>
            </w:tcBorders>
            <w:shd w:val="clear" w:color="auto" w:fill="auto"/>
            <w:vAlign w:val="center"/>
          </w:tcPr>
          <w:p w14:paraId="60958410">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kern w:val="2"/>
                <w:sz w:val="18"/>
                <w:szCs w:val="18"/>
                <w:lang w:val="en-US" w:eastAsia="zh-CN" w:bidi="ar"/>
              </w:rPr>
              <w:t>三</w:t>
            </w:r>
          </w:p>
        </w:tc>
        <w:tc>
          <w:tcPr>
            <w:tcW w:w="1351" w:type="pct"/>
            <w:tcBorders>
              <w:tl2br w:val="nil"/>
              <w:tr2bl w:val="nil"/>
            </w:tcBorders>
            <w:shd w:val="clear" w:color="auto" w:fill="auto"/>
            <w:vAlign w:val="center"/>
          </w:tcPr>
          <w:p w14:paraId="6B99C189">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水土保持监理费</w:t>
            </w:r>
          </w:p>
        </w:tc>
        <w:tc>
          <w:tcPr>
            <w:tcW w:w="915" w:type="pct"/>
            <w:tcBorders>
              <w:tl2br w:val="nil"/>
              <w:tr2bl w:val="nil"/>
            </w:tcBorders>
            <w:vAlign w:val="top"/>
          </w:tcPr>
          <w:p w14:paraId="5F28292D">
            <w:pPr>
              <w:jc w:val="center"/>
              <w:rPr>
                <w:rFonts w:hint="default" w:ascii="Times New Roman" w:hAnsi="Times New Roman" w:eastAsia="仿宋_GB2312" w:cs="Times New Roman"/>
                <w:color w:val="auto"/>
                <w:sz w:val="18"/>
                <w:szCs w:val="18"/>
                <w:lang w:val="en-US" w:eastAsia="zh-CN" w:bidi="ar"/>
              </w:rPr>
            </w:pPr>
          </w:p>
        </w:tc>
        <w:tc>
          <w:tcPr>
            <w:tcW w:w="850" w:type="pct"/>
            <w:tcBorders>
              <w:tl2br w:val="nil"/>
              <w:tr2bl w:val="nil"/>
            </w:tcBorders>
            <w:vAlign w:val="top"/>
          </w:tcPr>
          <w:p w14:paraId="155414DA">
            <w:pPr>
              <w:jc w:val="center"/>
              <w:rPr>
                <w:rFonts w:hint="default" w:ascii="Times New Roman" w:hAnsi="Times New Roman" w:eastAsia="仿宋_GB2312" w:cs="Times New Roman"/>
                <w:color w:val="auto"/>
                <w:sz w:val="18"/>
                <w:szCs w:val="18"/>
                <w:lang w:val="en-US" w:eastAsia="zh-CN" w:bidi="ar"/>
              </w:rPr>
            </w:pPr>
          </w:p>
        </w:tc>
        <w:tc>
          <w:tcPr>
            <w:tcW w:w="737" w:type="pct"/>
            <w:tcBorders>
              <w:tl2br w:val="nil"/>
              <w:tr2bl w:val="nil"/>
            </w:tcBorders>
            <w:vAlign w:val="top"/>
          </w:tcPr>
          <w:p w14:paraId="25B30ED3">
            <w:pPr>
              <w:jc w:val="center"/>
              <w:rPr>
                <w:rFonts w:hint="default" w:ascii="Times New Roman" w:hAnsi="Times New Roman" w:eastAsia="仿宋_GB2312" w:cs="Times New Roman"/>
                <w:color w:val="auto"/>
                <w:sz w:val="18"/>
                <w:szCs w:val="18"/>
                <w:lang w:val="en-US" w:eastAsia="zh-CN" w:bidi="ar"/>
              </w:rPr>
            </w:pPr>
          </w:p>
        </w:tc>
        <w:tc>
          <w:tcPr>
            <w:tcW w:w="772" w:type="pct"/>
            <w:tcBorders>
              <w:tl2br w:val="nil"/>
              <w:tr2bl w:val="nil"/>
            </w:tcBorders>
            <w:vAlign w:val="top"/>
          </w:tcPr>
          <w:p w14:paraId="3C2A288D">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0</w:t>
            </w:r>
          </w:p>
        </w:tc>
      </w:tr>
    </w:tbl>
    <w:p w14:paraId="5BDA0613">
      <w:pPr>
        <w:widowControl/>
        <w:spacing w:before="120" w:beforeLines="50"/>
        <w:jc w:val="center"/>
        <w:rPr>
          <w:rFonts w:hint="default" w:ascii="Times New Roman" w:hAnsi="Times New Roman" w:eastAsia="仿宋_GB2312" w:cs="Times New Roman"/>
          <w:b/>
          <w:bCs/>
          <w:szCs w:val="21"/>
        </w:rPr>
      </w:pPr>
      <w:r>
        <w:rPr>
          <w:rFonts w:hint="default" w:ascii="Times New Roman" w:hAnsi="Times New Roman" w:eastAsia="仿宋_GB2312" w:cs="Times New Roman"/>
          <w:b/>
          <w:bCs/>
          <w:szCs w:val="21"/>
        </w:rPr>
        <w:t>表</w:t>
      </w:r>
      <w:r>
        <w:rPr>
          <w:rFonts w:hint="default" w:ascii="Times New Roman" w:hAnsi="Times New Roman" w:eastAsia="仿宋_GB2312" w:cs="Times New Roman"/>
          <w:b/>
          <w:kern w:val="0"/>
          <w:szCs w:val="21"/>
        </w:rPr>
        <w:t>7.1-</w:t>
      </w:r>
      <w:r>
        <w:rPr>
          <w:rFonts w:hint="default" w:ascii="Times New Roman" w:hAnsi="Times New Roman" w:eastAsia="仿宋_GB2312" w:cs="Times New Roman"/>
          <w:b/>
          <w:kern w:val="0"/>
          <w:szCs w:val="21"/>
          <w:lang w:val="en-US" w:eastAsia="zh-CN"/>
        </w:rPr>
        <w:t>6</w:t>
      </w:r>
      <w:r>
        <w:rPr>
          <w:rFonts w:hint="default" w:ascii="Times New Roman" w:hAnsi="Times New Roman" w:eastAsia="仿宋_GB2312" w:cs="Times New Roman"/>
          <w:b/>
          <w:bCs/>
          <w:szCs w:val="21"/>
        </w:rPr>
        <w:t xml:space="preserve">  水土保持补偿费计算表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44"/>
        <w:gridCol w:w="2592"/>
        <w:gridCol w:w="1476"/>
        <w:gridCol w:w="1711"/>
      </w:tblGrid>
      <w:tr w14:paraId="37551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244" w:type="dxa"/>
            <w:tcBorders>
              <w:tl2br w:val="nil"/>
              <w:tr2bl w:val="nil"/>
            </w:tcBorders>
            <w:noWrap w:val="0"/>
            <w:vAlign w:val="center"/>
          </w:tcPr>
          <w:p w14:paraId="1D30B301">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项目</w:t>
            </w:r>
          </w:p>
        </w:tc>
        <w:tc>
          <w:tcPr>
            <w:tcW w:w="2592" w:type="dxa"/>
            <w:tcBorders>
              <w:tl2br w:val="nil"/>
              <w:tr2bl w:val="nil"/>
            </w:tcBorders>
            <w:noWrap w:val="0"/>
            <w:vAlign w:val="center"/>
          </w:tcPr>
          <w:p w14:paraId="159176AD">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征占地面积（</w:t>
            </w:r>
            <w:r>
              <w:rPr>
                <w:rFonts w:hint="default" w:ascii="Times New Roman" w:hAnsi="Times New Roman" w:cs="Times New Roman"/>
                <w:color w:val="auto"/>
                <w:sz w:val="18"/>
                <w:szCs w:val="18"/>
                <w:lang w:val="en-US" w:eastAsia="zh-CN" w:bidi="ar"/>
              </w:rPr>
              <w:t>h</w:t>
            </w:r>
            <w:r>
              <w:rPr>
                <w:rFonts w:hint="default" w:ascii="Times New Roman" w:hAnsi="Times New Roman" w:eastAsia="仿宋_GB2312" w:cs="Times New Roman"/>
                <w:color w:val="auto"/>
                <w:sz w:val="18"/>
                <w:szCs w:val="18"/>
                <w:lang w:eastAsia="zh-CN" w:bidi="ar"/>
              </w:rPr>
              <w:t>m</w:t>
            </w:r>
            <w:r>
              <w:rPr>
                <w:rFonts w:hint="default" w:ascii="Times New Roman" w:hAnsi="Times New Roman" w:eastAsia="仿宋_GB2312" w:cs="Times New Roman"/>
                <w:color w:val="auto"/>
                <w:sz w:val="18"/>
                <w:szCs w:val="18"/>
                <w:vertAlign w:val="superscript"/>
                <w:lang w:eastAsia="zh-CN" w:bidi="ar"/>
              </w:rPr>
              <w:t>2</w:t>
            </w:r>
            <w:r>
              <w:rPr>
                <w:rFonts w:hint="default" w:ascii="Times New Roman" w:hAnsi="Times New Roman" w:eastAsia="仿宋_GB2312" w:cs="Times New Roman"/>
                <w:color w:val="auto"/>
                <w:sz w:val="18"/>
                <w:szCs w:val="18"/>
                <w:lang w:eastAsia="zh-CN" w:bidi="ar"/>
              </w:rPr>
              <w:t>）</w:t>
            </w:r>
          </w:p>
        </w:tc>
        <w:tc>
          <w:tcPr>
            <w:tcW w:w="1476" w:type="dxa"/>
            <w:tcBorders>
              <w:tl2br w:val="nil"/>
              <w:tr2bl w:val="nil"/>
            </w:tcBorders>
            <w:noWrap w:val="0"/>
            <w:vAlign w:val="center"/>
          </w:tcPr>
          <w:p w14:paraId="4F4E5DC7">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补偿标准</w:t>
            </w:r>
          </w:p>
        </w:tc>
        <w:tc>
          <w:tcPr>
            <w:tcW w:w="1711" w:type="dxa"/>
            <w:tcBorders>
              <w:tl2br w:val="nil"/>
              <w:tr2bl w:val="nil"/>
            </w:tcBorders>
            <w:noWrap w:val="0"/>
            <w:vAlign w:val="center"/>
          </w:tcPr>
          <w:p w14:paraId="6B2642FF">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合计（万元）</w:t>
            </w:r>
          </w:p>
        </w:tc>
      </w:tr>
      <w:tr w14:paraId="0A83D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244" w:type="dxa"/>
            <w:tcBorders>
              <w:tl2br w:val="nil"/>
              <w:tr2bl w:val="nil"/>
            </w:tcBorders>
            <w:noWrap w:val="0"/>
            <w:vAlign w:val="center"/>
          </w:tcPr>
          <w:p w14:paraId="506B7FBF">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剑阁县王河镇干部周转房建设项目</w:t>
            </w:r>
          </w:p>
        </w:tc>
        <w:tc>
          <w:tcPr>
            <w:tcW w:w="2592" w:type="dxa"/>
            <w:tcBorders>
              <w:tl2br w:val="nil"/>
              <w:tr2bl w:val="nil"/>
            </w:tcBorders>
            <w:noWrap w:val="0"/>
            <w:vAlign w:val="center"/>
          </w:tcPr>
          <w:p w14:paraId="0083D835">
            <w:pPr>
              <w:spacing w:line="240" w:lineRule="auto"/>
              <w:ind w:firstLine="0" w:firstLineChars="0"/>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b w:val="0"/>
                <w:bCs w:val="0"/>
                <w:color w:val="auto"/>
                <w:kern w:val="2"/>
                <w:sz w:val="18"/>
                <w:szCs w:val="18"/>
                <w:lang w:val="en-US" w:eastAsia="zh-CN" w:bidi="ar"/>
              </w:rPr>
              <w:t>0.33</w:t>
            </w:r>
            <w:r>
              <w:rPr>
                <w:rFonts w:hint="default" w:ascii="Times New Roman" w:hAnsi="Times New Roman" w:eastAsia="仿宋_GB2312" w:cs="Times New Roman"/>
                <w:color w:val="auto"/>
                <w:sz w:val="18"/>
                <w:szCs w:val="18"/>
                <w:lang w:val="en-US" w:eastAsia="zh-CN" w:bidi="ar"/>
              </w:rPr>
              <w:t>hm</w:t>
            </w:r>
            <w:r>
              <w:rPr>
                <w:rFonts w:hint="default" w:ascii="Times New Roman" w:hAnsi="Times New Roman" w:eastAsia="仿宋_GB2312" w:cs="Times New Roman"/>
                <w:color w:val="auto"/>
                <w:sz w:val="18"/>
                <w:szCs w:val="18"/>
                <w:vertAlign w:val="superscript"/>
                <w:lang w:val="en-US" w:eastAsia="zh-CN" w:bidi="ar"/>
              </w:rPr>
              <w:t>2</w:t>
            </w:r>
            <w:r>
              <w:rPr>
                <w:rFonts w:hint="default" w:ascii="Times New Roman" w:hAnsi="Times New Roman" w:eastAsia="仿宋_GB2312" w:cs="Times New Roman"/>
                <w:b w:val="0"/>
                <w:bCs w:val="0"/>
                <w:color w:val="auto"/>
                <w:kern w:val="2"/>
                <w:sz w:val="18"/>
                <w:szCs w:val="18"/>
                <w:lang w:val="en-US" w:eastAsia="zh-CN" w:bidi="ar"/>
              </w:rPr>
              <w:t>（3270.00m</w:t>
            </w:r>
            <w:r>
              <w:rPr>
                <w:rFonts w:hint="default" w:ascii="Times New Roman" w:hAnsi="Times New Roman" w:eastAsia="仿宋_GB2312" w:cs="Times New Roman"/>
                <w:b w:val="0"/>
                <w:bCs w:val="0"/>
                <w:color w:val="auto"/>
                <w:kern w:val="2"/>
                <w:sz w:val="18"/>
                <w:szCs w:val="18"/>
                <w:vertAlign w:val="superscript"/>
                <w:lang w:val="en-US" w:eastAsia="zh-CN" w:bidi="ar"/>
              </w:rPr>
              <w:t>2</w:t>
            </w:r>
            <w:r>
              <w:rPr>
                <w:rFonts w:hint="default" w:ascii="Times New Roman" w:hAnsi="Times New Roman" w:eastAsia="仿宋_GB2312" w:cs="Times New Roman"/>
                <w:b w:val="0"/>
                <w:bCs w:val="0"/>
                <w:color w:val="auto"/>
                <w:kern w:val="2"/>
                <w:sz w:val="18"/>
                <w:szCs w:val="18"/>
                <w:lang w:val="en-US" w:eastAsia="zh-CN" w:bidi="ar"/>
              </w:rPr>
              <w:t>）</w:t>
            </w:r>
          </w:p>
        </w:tc>
        <w:tc>
          <w:tcPr>
            <w:tcW w:w="1476" w:type="dxa"/>
            <w:tcBorders>
              <w:tl2br w:val="nil"/>
              <w:tr2bl w:val="nil"/>
            </w:tcBorders>
            <w:noWrap w:val="0"/>
            <w:vAlign w:val="center"/>
          </w:tcPr>
          <w:p w14:paraId="33B417D2">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1.30元/m</w:t>
            </w:r>
            <w:r>
              <w:rPr>
                <w:rFonts w:hint="default" w:ascii="Times New Roman" w:hAnsi="Times New Roman" w:eastAsia="仿宋_GB2312" w:cs="Times New Roman"/>
                <w:color w:val="auto"/>
                <w:sz w:val="18"/>
                <w:szCs w:val="18"/>
                <w:vertAlign w:val="superscript"/>
                <w:lang w:eastAsia="zh-CN" w:bidi="ar"/>
              </w:rPr>
              <w:t>2</w:t>
            </w:r>
          </w:p>
        </w:tc>
        <w:tc>
          <w:tcPr>
            <w:tcW w:w="1711" w:type="dxa"/>
            <w:tcBorders>
              <w:tl2br w:val="nil"/>
              <w:tr2bl w:val="nil"/>
            </w:tcBorders>
            <w:noWrap w:val="0"/>
            <w:vAlign w:val="center"/>
          </w:tcPr>
          <w:p w14:paraId="58DEE4BB">
            <w:pPr>
              <w:spacing w:line="240" w:lineRule="auto"/>
              <w:ind w:firstLine="0" w:firstLineChars="0"/>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kern w:val="0"/>
                <w:sz w:val="18"/>
                <w:szCs w:val="18"/>
                <w:lang w:val="en-US" w:eastAsia="zh-CN"/>
              </w:rPr>
              <w:t>0.43（</w:t>
            </w:r>
            <w:r>
              <w:rPr>
                <w:rFonts w:hint="default" w:ascii="Times New Roman" w:hAnsi="Times New Roman" w:eastAsia="仿宋_GB2312" w:cs="Times New Roman"/>
                <w:color w:val="auto"/>
                <w:sz w:val="18"/>
                <w:szCs w:val="18"/>
                <w:lang w:val="en-US" w:eastAsia="zh-CN" w:bidi="ar"/>
              </w:rPr>
              <w:t>4251.00元</w:t>
            </w:r>
            <w:r>
              <w:rPr>
                <w:rFonts w:hint="default" w:ascii="Times New Roman" w:hAnsi="Times New Roman" w:eastAsia="仿宋_GB2312" w:cs="Times New Roman"/>
                <w:color w:val="auto"/>
                <w:kern w:val="0"/>
                <w:sz w:val="18"/>
                <w:szCs w:val="18"/>
                <w:lang w:val="en-US" w:eastAsia="zh-CN"/>
              </w:rPr>
              <w:t>）</w:t>
            </w:r>
          </w:p>
        </w:tc>
      </w:tr>
    </w:tbl>
    <w:p w14:paraId="262256A8">
      <w:pPr>
        <w:jc w:val="right"/>
        <w:rPr>
          <w:rFonts w:hint="default" w:ascii="Times New Roman" w:hAnsi="Times New Roman" w:eastAsia="仿宋_GB2312" w:cs="Times New Roman"/>
          <w:b/>
          <w:szCs w:val="21"/>
          <w:lang w:bidi="ar"/>
        </w:rPr>
      </w:pPr>
    </w:p>
    <w:p w14:paraId="49E9F017">
      <w:pPr>
        <w:jc w:val="right"/>
        <w:rPr>
          <w:rFonts w:hint="default" w:ascii="Times New Roman" w:hAnsi="Times New Roman" w:eastAsia="仿宋_GB2312" w:cs="Times New Roman"/>
          <w:b/>
          <w:szCs w:val="21"/>
          <w:lang w:bidi="ar"/>
        </w:rPr>
      </w:pPr>
      <w:r>
        <w:rPr>
          <w:rFonts w:hint="default" w:ascii="Times New Roman" w:hAnsi="Times New Roman" w:eastAsia="仿宋_GB2312" w:cs="Times New Roman"/>
          <w:b/>
          <w:szCs w:val="21"/>
          <w:lang w:bidi="ar"/>
        </w:rPr>
        <w:t>表7.1-</w:t>
      </w:r>
      <w:r>
        <w:rPr>
          <w:rFonts w:hint="default" w:ascii="Times New Roman" w:hAnsi="Times New Roman" w:eastAsia="仿宋_GB2312" w:cs="Times New Roman"/>
          <w:b/>
          <w:szCs w:val="21"/>
          <w:lang w:val="en-US" w:eastAsia="zh-CN" w:bidi="ar"/>
        </w:rPr>
        <w:t xml:space="preserve">4 </w:t>
      </w:r>
      <w:r>
        <w:rPr>
          <w:rFonts w:hint="default" w:ascii="Times New Roman" w:hAnsi="Times New Roman" w:eastAsia="仿宋_GB2312" w:cs="Times New Roman"/>
          <w:b/>
          <w:kern w:val="0"/>
          <w:szCs w:val="21"/>
        </w:rPr>
        <w:t xml:space="preserve"> 分年度投资</w:t>
      </w:r>
      <w:r>
        <w:rPr>
          <w:rFonts w:hint="default" w:ascii="Times New Roman" w:hAnsi="Times New Roman" w:cs="Times New Roman"/>
          <w:b/>
          <w:kern w:val="0"/>
          <w:szCs w:val="21"/>
          <w:lang w:eastAsia="zh-CN"/>
        </w:rPr>
        <w:t>概</w:t>
      </w:r>
      <w:r>
        <w:rPr>
          <w:rFonts w:hint="default" w:ascii="Times New Roman" w:hAnsi="Times New Roman" w:eastAsia="仿宋_GB2312" w:cs="Times New Roman"/>
          <w:b/>
          <w:kern w:val="0"/>
          <w:szCs w:val="21"/>
        </w:rPr>
        <w:t>算表               单位：万元</w:t>
      </w:r>
    </w:p>
    <w:tbl>
      <w:tblPr>
        <w:tblStyle w:val="37"/>
        <w:tblW w:w="5001"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969"/>
        <w:gridCol w:w="1247"/>
        <w:gridCol w:w="1696"/>
        <w:gridCol w:w="1784"/>
        <w:gridCol w:w="1214"/>
      </w:tblGrid>
      <w:tr w14:paraId="14CAFA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959" w:type="dxa"/>
            <w:vMerge w:val="restart"/>
            <w:tcBorders>
              <w:tl2br w:val="nil"/>
              <w:tr2bl w:val="nil"/>
            </w:tcBorders>
            <w:vAlign w:val="top"/>
          </w:tcPr>
          <w:p w14:paraId="3B30214B">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工程或费用名称</w:t>
            </w:r>
          </w:p>
        </w:tc>
        <w:tc>
          <w:tcPr>
            <w:tcW w:w="1243" w:type="dxa"/>
            <w:tcBorders>
              <w:tl2br w:val="nil"/>
              <w:tr2bl w:val="nil"/>
            </w:tcBorders>
            <w:vAlign w:val="top"/>
          </w:tcPr>
          <w:p w14:paraId="3D9CB604">
            <w:pPr>
              <w:jc w:val="center"/>
              <w:rPr>
                <w:rFonts w:hint="default" w:ascii="Times New Roman" w:hAnsi="Times New Roman" w:eastAsia="仿宋_GB2312" w:cs="Times New Roman"/>
                <w:color w:val="auto"/>
                <w:sz w:val="18"/>
                <w:szCs w:val="18"/>
                <w:lang w:val="en-US" w:eastAsia="zh-CN" w:bidi="ar"/>
              </w:rPr>
            </w:pPr>
          </w:p>
        </w:tc>
        <w:tc>
          <w:tcPr>
            <w:tcW w:w="4678" w:type="dxa"/>
            <w:gridSpan w:val="3"/>
            <w:tcBorders>
              <w:tl2br w:val="nil"/>
              <w:tr2bl w:val="nil"/>
            </w:tcBorders>
            <w:vAlign w:val="top"/>
          </w:tcPr>
          <w:p w14:paraId="2BEB6F2C">
            <w:pPr>
              <w:keepNext w:val="0"/>
              <w:keepLines w:val="0"/>
              <w:widowControl/>
              <w:suppressLineNumbers w:val="0"/>
              <w:jc w:val="center"/>
              <w:textAlignment w:val="top"/>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建设工期(年)</w:t>
            </w:r>
          </w:p>
        </w:tc>
      </w:tr>
      <w:tr w14:paraId="343AD2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959" w:type="dxa"/>
            <w:vMerge w:val="continue"/>
            <w:tcBorders>
              <w:tl2br w:val="nil"/>
              <w:tr2bl w:val="nil"/>
            </w:tcBorders>
            <w:vAlign w:val="top"/>
          </w:tcPr>
          <w:p w14:paraId="65C724DF">
            <w:pPr>
              <w:jc w:val="center"/>
              <w:rPr>
                <w:rFonts w:hint="default" w:ascii="Times New Roman" w:hAnsi="Times New Roman" w:eastAsia="仿宋_GB2312" w:cs="Times New Roman"/>
                <w:color w:val="auto"/>
                <w:sz w:val="18"/>
                <w:szCs w:val="18"/>
                <w:lang w:val="en-US" w:eastAsia="zh-CN" w:bidi="ar"/>
              </w:rPr>
            </w:pPr>
          </w:p>
        </w:tc>
        <w:tc>
          <w:tcPr>
            <w:tcW w:w="1243" w:type="dxa"/>
            <w:tcBorders>
              <w:tl2br w:val="nil"/>
              <w:tr2bl w:val="nil"/>
            </w:tcBorders>
            <w:vAlign w:val="top"/>
          </w:tcPr>
          <w:p w14:paraId="7AC4A44F">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合计</w:t>
            </w:r>
          </w:p>
        </w:tc>
        <w:tc>
          <w:tcPr>
            <w:tcW w:w="1690" w:type="dxa"/>
            <w:tcBorders>
              <w:tl2br w:val="nil"/>
              <w:tr2bl w:val="nil"/>
            </w:tcBorders>
            <w:vAlign w:val="top"/>
          </w:tcPr>
          <w:p w14:paraId="0D12B0B3">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2022</w:t>
            </w:r>
            <w:r>
              <w:rPr>
                <w:rFonts w:hint="default" w:ascii="Times New Roman" w:hAnsi="Times New Roman" w:eastAsia="仿宋_GB2312" w:cs="Times New Roman"/>
                <w:i w:val="0"/>
                <w:iCs w:val="0"/>
                <w:color w:val="000000"/>
                <w:kern w:val="0"/>
                <w:sz w:val="18"/>
                <w:szCs w:val="18"/>
                <w:u w:val="none"/>
                <w:lang w:val="en-US" w:eastAsia="zh-CN" w:bidi="ar"/>
              </w:rPr>
              <w:t>年（</w:t>
            </w:r>
            <w:r>
              <w:rPr>
                <w:rFonts w:hint="default" w:ascii="Times New Roman" w:hAnsi="Times New Roman" w:eastAsia="宋体" w:cs="Times New Roman"/>
                <w:i w:val="0"/>
                <w:iCs w:val="0"/>
                <w:color w:val="000000"/>
                <w:kern w:val="0"/>
                <w:sz w:val="18"/>
                <w:szCs w:val="18"/>
                <w:u w:val="none"/>
                <w:lang w:val="en-US" w:eastAsia="zh-CN" w:bidi="ar"/>
              </w:rPr>
              <w:t>7~12</w:t>
            </w:r>
            <w:r>
              <w:rPr>
                <w:rFonts w:hint="default" w:ascii="Times New Roman" w:hAnsi="Times New Roman" w:eastAsia="仿宋_GB2312" w:cs="Times New Roman"/>
                <w:i w:val="0"/>
                <w:iCs w:val="0"/>
                <w:color w:val="000000"/>
                <w:kern w:val="0"/>
                <w:sz w:val="18"/>
                <w:szCs w:val="18"/>
                <w:u w:val="none"/>
                <w:lang w:val="en-US" w:eastAsia="zh-CN" w:bidi="ar"/>
              </w:rPr>
              <w:t>月）</w:t>
            </w:r>
          </w:p>
        </w:tc>
        <w:tc>
          <w:tcPr>
            <w:tcW w:w="1778" w:type="dxa"/>
            <w:tcBorders>
              <w:tl2br w:val="nil"/>
              <w:tr2bl w:val="nil"/>
            </w:tcBorders>
            <w:vAlign w:val="top"/>
          </w:tcPr>
          <w:p w14:paraId="734BB7FF">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2023</w:t>
            </w:r>
            <w:r>
              <w:rPr>
                <w:rFonts w:hint="default" w:ascii="Times New Roman" w:hAnsi="Times New Roman" w:eastAsia="仿宋_GB2312" w:cs="Times New Roman"/>
                <w:i w:val="0"/>
                <w:iCs w:val="0"/>
                <w:color w:val="000000"/>
                <w:kern w:val="0"/>
                <w:sz w:val="18"/>
                <w:szCs w:val="18"/>
                <w:u w:val="none"/>
                <w:lang w:val="en-US" w:eastAsia="zh-CN" w:bidi="ar"/>
              </w:rPr>
              <w:t>年（</w:t>
            </w:r>
            <w:r>
              <w:rPr>
                <w:rFonts w:hint="default" w:ascii="Times New Roman" w:hAnsi="Times New Roman" w:eastAsia="宋体" w:cs="Times New Roman"/>
                <w:i w:val="0"/>
                <w:iCs w:val="0"/>
                <w:color w:val="000000"/>
                <w:kern w:val="0"/>
                <w:sz w:val="18"/>
                <w:szCs w:val="18"/>
                <w:u w:val="none"/>
                <w:lang w:val="en-US" w:eastAsia="zh-CN" w:bidi="ar"/>
              </w:rPr>
              <w:t>1~8</w:t>
            </w:r>
            <w:r>
              <w:rPr>
                <w:rFonts w:hint="default" w:ascii="Times New Roman" w:hAnsi="Times New Roman" w:eastAsia="仿宋_GB2312" w:cs="Times New Roman"/>
                <w:i w:val="0"/>
                <w:iCs w:val="0"/>
                <w:color w:val="000000"/>
                <w:kern w:val="0"/>
                <w:sz w:val="18"/>
                <w:szCs w:val="18"/>
                <w:u w:val="none"/>
                <w:lang w:val="en-US" w:eastAsia="zh-CN" w:bidi="ar"/>
              </w:rPr>
              <w:t>月）</w:t>
            </w:r>
          </w:p>
        </w:tc>
        <w:tc>
          <w:tcPr>
            <w:tcW w:w="1210" w:type="dxa"/>
            <w:tcBorders>
              <w:tl2br w:val="nil"/>
              <w:tr2bl w:val="nil"/>
            </w:tcBorders>
            <w:vAlign w:val="top"/>
          </w:tcPr>
          <w:p w14:paraId="21DAAE15">
            <w:pPr>
              <w:keepNext w:val="0"/>
              <w:keepLines w:val="0"/>
              <w:widowControl/>
              <w:suppressLineNumbers w:val="0"/>
              <w:jc w:val="center"/>
              <w:textAlignment w:val="top"/>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2025</w:t>
            </w:r>
            <w:r>
              <w:rPr>
                <w:rFonts w:hint="default" w:ascii="Times New Roman" w:hAnsi="Times New Roman" w:eastAsia="仿宋_GB2312" w:cs="Times New Roman"/>
                <w:i w:val="0"/>
                <w:iCs w:val="0"/>
                <w:color w:val="000000"/>
                <w:kern w:val="0"/>
                <w:sz w:val="18"/>
                <w:szCs w:val="18"/>
                <w:u w:val="none"/>
                <w:lang w:val="en-US" w:eastAsia="zh-CN" w:bidi="ar"/>
              </w:rPr>
              <w:t>年</w:t>
            </w:r>
          </w:p>
        </w:tc>
      </w:tr>
      <w:tr w14:paraId="2CBF6C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59" w:type="dxa"/>
            <w:tcBorders>
              <w:tl2br w:val="nil"/>
              <w:tr2bl w:val="nil"/>
            </w:tcBorders>
            <w:vAlign w:val="top"/>
          </w:tcPr>
          <w:p w14:paraId="2E273F3A">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一、工程措施</w:t>
            </w:r>
          </w:p>
        </w:tc>
        <w:tc>
          <w:tcPr>
            <w:tcW w:w="1243" w:type="dxa"/>
            <w:tcBorders>
              <w:tl2br w:val="nil"/>
              <w:tr2bl w:val="nil"/>
            </w:tcBorders>
            <w:vAlign w:val="top"/>
          </w:tcPr>
          <w:p w14:paraId="51C15856">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20.92</w:t>
            </w:r>
          </w:p>
        </w:tc>
        <w:tc>
          <w:tcPr>
            <w:tcW w:w="1690" w:type="dxa"/>
            <w:tcBorders>
              <w:tl2br w:val="nil"/>
              <w:tr2bl w:val="nil"/>
            </w:tcBorders>
            <w:vAlign w:val="top"/>
          </w:tcPr>
          <w:p w14:paraId="20C33951">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12.92</w:t>
            </w:r>
          </w:p>
        </w:tc>
        <w:tc>
          <w:tcPr>
            <w:tcW w:w="1778" w:type="dxa"/>
            <w:tcBorders>
              <w:tl2br w:val="nil"/>
              <w:tr2bl w:val="nil"/>
            </w:tcBorders>
            <w:vAlign w:val="top"/>
          </w:tcPr>
          <w:p w14:paraId="3CD96BEE">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8.00</w:t>
            </w:r>
          </w:p>
        </w:tc>
        <w:tc>
          <w:tcPr>
            <w:tcW w:w="1210" w:type="dxa"/>
            <w:tcBorders>
              <w:tl2br w:val="nil"/>
              <w:tr2bl w:val="nil"/>
            </w:tcBorders>
            <w:vAlign w:val="top"/>
          </w:tcPr>
          <w:p w14:paraId="418AA308">
            <w:pPr>
              <w:jc w:val="center"/>
              <w:rPr>
                <w:rFonts w:hint="default" w:ascii="Times New Roman" w:hAnsi="Times New Roman" w:eastAsia="仿宋_GB2312" w:cs="Times New Roman"/>
                <w:color w:val="auto"/>
                <w:sz w:val="18"/>
                <w:szCs w:val="18"/>
                <w:lang w:val="en-US" w:eastAsia="zh-CN" w:bidi="ar"/>
              </w:rPr>
            </w:pPr>
          </w:p>
        </w:tc>
      </w:tr>
      <w:tr w14:paraId="6C1ADB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959" w:type="dxa"/>
            <w:tcBorders>
              <w:tl2br w:val="nil"/>
              <w:tr2bl w:val="nil"/>
            </w:tcBorders>
            <w:vAlign w:val="top"/>
          </w:tcPr>
          <w:p w14:paraId="6D28F6FC">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r>
              <w:rPr>
                <w:rFonts w:hint="default" w:ascii="Times New Roman" w:hAnsi="Times New Roman" w:eastAsia="仿宋_GB2312" w:cs="Times New Roman"/>
                <w:i w:val="0"/>
                <w:iCs w:val="0"/>
                <w:color w:val="000000"/>
                <w:kern w:val="0"/>
                <w:sz w:val="18"/>
                <w:szCs w:val="18"/>
                <w:u w:val="none"/>
                <w:lang w:val="en-US" w:eastAsia="zh-CN" w:bidi="ar"/>
              </w:rPr>
              <w:t>一</w:t>
            </w:r>
            <w:r>
              <w:rPr>
                <w:rFonts w:hint="default" w:ascii="Times New Roman" w:hAnsi="Times New Roman" w:eastAsia="宋体" w:cs="Times New Roman"/>
                <w:i w:val="0"/>
                <w:iCs w:val="0"/>
                <w:color w:val="000000"/>
                <w:kern w:val="0"/>
                <w:sz w:val="18"/>
                <w:szCs w:val="18"/>
                <w:u w:val="none"/>
                <w:lang w:val="en-US" w:eastAsia="zh-CN" w:bidi="ar"/>
              </w:rPr>
              <w:t>)</w:t>
            </w:r>
            <w:r>
              <w:rPr>
                <w:rFonts w:hint="default" w:ascii="Times New Roman" w:hAnsi="Times New Roman" w:eastAsia="仿宋_GB2312" w:cs="Times New Roman"/>
                <w:i w:val="0"/>
                <w:iCs w:val="0"/>
                <w:color w:val="000000"/>
                <w:kern w:val="0"/>
                <w:sz w:val="18"/>
                <w:szCs w:val="18"/>
                <w:u w:val="none"/>
                <w:lang w:val="en-US" w:eastAsia="zh-CN" w:bidi="ar"/>
              </w:rPr>
              <w:t>建构筑物工程区</w:t>
            </w:r>
          </w:p>
        </w:tc>
        <w:tc>
          <w:tcPr>
            <w:tcW w:w="1243" w:type="dxa"/>
            <w:tcBorders>
              <w:tl2br w:val="nil"/>
              <w:tr2bl w:val="nil"/>
            </w:tcBorders>
            <w:shd w:val="clear" w:color="auto" w:fill="auto"/>
            <w:vAlign w:val="top"/>
          </w:tcPr>
          <w:p w14:paraId="6F16D2A9">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690" w:type="dxa"/>
            <w:tcBorders>
              <w:tl2br w:val="nil"/>
              <w:tr2bl w:val="nil"/>
            </w:tcBorders>
            <w:shd w:val="clear" w:color="auto" w:fill="auto"/>
            <w:vAlign w:val="top"/>
          </w:tcPr>
          <w:p w14:paraId="2CC6FA89">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778" w:type="dxa"/>
            <w:tcBorders>
              <w:tl2br w:val="nil"/>
              <w:tr2bl w:val="nil"/>
            </w:tcBorders>
            <w:vAlign w:val="top"/>
          </w:tcPr>
          <w:p w14:paraId="430A1819">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210" w:type="dxa"/>
            <w:tcBorders>
              <w:tl2br w:val="nil"/>
              <w:tr2bl w:val="nil"/>
            </w:tcBorders>
            <w:shd w:val="clear" w:color="auto" w:fill="auto"/>
            <w:vAlign w:val="top"/>
          </w:tcPr>
          <w:p w14:paraId="1A186CC0">
            <w:pPr>
              <w:jc w:val="center"/>
              <w:rPr>
                <w:rFonts w:hint="default" w:ascii="Times New Roman" w:hAnsi="Times New Roman" w:eastAsia="仿宋_GB2312" w:cs="Times New Roman"/>
                <w:color w:val="auto"/>
                <w:sz w:val="18"/>
                <w:szCs w:val="18"/>
                <w:lang w:val="en-US" w:eastAsia="zh-CN" w:bidi="ar"/>
              </w:rPr>
            </w:pPr>
          </w:p>
        </w:tc>
      </w:tr>
      <w:tr w14:paraId="279A31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959" w:type="dxa"/>
            <w:tcBorders>
              <w:tl2br w:val="nil"/>
              <w:tr2bl w:val="nil"/>
            </w:tcBorders>
            <w:shd w:val="clear" w:color="auto" w:fill="auto"/>
            <w:vAlign w:val="center"/>
          </w:tcPr>
          <w:p w14:paraId="261FE676">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（二）硬化工程区</w:t>
            </w:r>
          </w:p>
        </w:tc>
        <w:tc>
          <w:tcPr>
            <w:tcW w:w="1243" w:type="dxa"/>
            <w:tcBorders>
              <w:tl2br w:val="nil"/>
              <w:tr2bl w:val="nil"/>
            </w:tcBorders>
            <w:shd w:val="clear" w:color="auto" w:fill="auto"/>
            <w:vAlign w:val="top"/>
          </w:tcPr>
          <w:p w14:paraId="48031ECC">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20.92</w:t>
            </w:r>
          </w:p>
        </w:tc>
        <w:tc>
          <w:tcPr>
            <w:tcW w:w="1690" w:type="dxa"/>
            <w:tcBorders>
              <w:tl2br w:val="nil"/>
              <w:tr2bl w:val="nil"/>
            </w:tcBorders>
            <w:shd w:val="clear" w:color="auto" w:fill="auto"/>
            <w:vAlign w:val="top"/>
          </w:tcPr>
          <w:p w14:paraId="2D1D09DC">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12.92</w:t>
            </w:r>
          </w:p>
        </w:tc>
        <w:tc>
          <w:tcPr>
            <w:tcW w:w="1778" w:type="dxa"/>
            <w:tcBorders>
              <w:tl2br w:val="nil"/>
              <w:tr2bl w:val="nil"/>
            </w:tcBorders>
            <w:vAlign w:val="top"/>
          </w:tcPr>
          <w:p w14:paraId="221F5B73">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8.00</w:t>
            </w:r>
          </w:p>
        </w:tc>
        <w:tc>
          <w:tcPr>
            <w:tcW w:w="1210" w:type="dxa"/>
            <w:tcBorders>
              <w:tl2br w:val="nil"/>
              <w:tr2bl w:val="nil"/>
            </w:tcBorders>
            <w:shd w:val="clear" w:color="auto" w:fill="auto"/>
            <w:vAlign w:val="top"/>
          </w:tcPr>
          <w:p w14:paraId="75AE2A9D">
            <w:pPr>
              <w:jc w:val="center"/>
              <w:rPr>
                <w:rFonts w:hint="default" w:ascii="Times New Roman" w:hAnsi="Times New Roman" w:eastAsia="仿宋_GB2312" w:cs="Times New Roman"/>
                <w:color w:val="auto"/>
                <w:sz w:val="18"/>
                <w:szCs w:val="18"/>
                <w:lang w:val="en-US" w:eastAsia="zh-CN" w:bidi="ar"/>
              </w:rPr>
            </w:pPr>
          </w:p>
        </w:tc>
      </w:tr>
      <w:tr w14:paraId="07BF0B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959" w:type="dxa"/>
            <w:tcBorders>
              <w:tl2br w:val="nil"/>
              <w:tr2bl w:val="nil"/>
            </w:tcBorders>
            <w:shd w:val="clear" w:color="auto" w:fill="auto"/>
            <w:vAlign w:val="center"/>
          </w:tcPr>
          <w:p w14:paraId="380B2EEC">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表土保护工程</w:t>
            </w:r>
          </w:p>
        </w:tc>
        <w:tc>
          <w:tcPr>
            <w:tcW w:w="1243" w:type="dxa"/>
            <w:tcBorders>
              <w:tl2br w:val="nil"/>
              <w:tr2bl w:val="nil"/>
            </w:tcBorders>
            <w:shd w:val="clear" w:color="auto" w:fill="auto"/>
            <w:vAlign w:val="top"/>
          </w:tcPr>
          <w:p w14:paraId="6F714352">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0.02</w:t>
            </w:r>
          </w:p>
        </w:tc>
        <w:tc>
          <w:tcPr>
            <w:tcW w:w="1690" w:type="dxa"/>
            <w:tcBorders>
              <w:tl2br w:val="nil"/>
              <w:tr2bl w:val="nil"/>
            </w:tcBorders>
            <w:shd w:val="clear" w:color="auto" w:fill="auto"/>
            <w:vAlign w:val="top"/>
          </w:tcPr>
          <w:p w14:paraId="1927AB84">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0.02</w:t>
            </w:r>
          </w:p>
        </w:tc>
        <w:tc>
          <w:tcPr>
            <w:tcW w:w="1778" w:type="dxa"/>
            <w:tcBorders>
              <w:tl2br w:val="nil"/>
              <w:tr2bl w:val="nil"/>
            </w:tcBorders>
            <w:vAlign w:val="top"/>
          </w:tcPr>
          <w:p w14:paraId="054938C9">
            <w:pPr>
              <w:jc w:val="center"/>
              <w:rPr>
                <w:rFonts w:hint="default" w:ascii="Times New Roman" w:hAnsi="Times New Roman" w:eastAsia="仿宋_GB2312" w:cs="Times New Roman"/>
                <w:color w:val="auto"/>
                <w:sz w:val="18"/>
                <w:szCs w:val="18"/>
                <w:lang w:val="en-US" w:eastAsia="zh-CN" w:bidi="ar"/>
              </w:rPr>
            </w:pPr>
          </w:p>
        </w:tc>
        <w:tc>
          <w:tcPr>
            <w:tcW w:w="1210" w:type="dxa"/>
            <w:tcBorders>
              <w:tl2br w:val="nil"/>
              <w:tr2bl w:val="nil"/>
            </w:tcBorders>
            <w:shd w:val="clear" w:color="auto" w:fill="auto"/>
            <w:vAlign w:val="top"/>
          </w:tcPr>
          <w:p w14:paraId="714DB589">
            <w:pPr>
              <w:jc w:val="center"/>
              <w:rPr>
                <w:rFonts w:hint="default" w:ascii="Times New Roman" w:hAnsi="Times New Roman" w:eastAsia="仿宋_GB2312" w:cs="Times New Roman"/>
                <w:color w:val="auto"/>
                <w:sz w:val="18"/>
                <w:szCs w:val="18"/>
                <w:lang w:val="en-US" w:eastAsia="zh-CN" w:bidi="ar"/>
              </w:rPr>
            </w:pPr>
          </w:p>
        </w:tc>
      </w:tr>
      <w:tr w14:paraId="058CBB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959" w:type="dxa"/>
            <w:tcBorders>
              <w:tl2br w:val="nil"/>
              <w:tr2bl w:val="nil"/>
            </w:tcBorders>
            <w:shd w:val="clear" w:color="auto" w:fill="auto"/>
            <w:vAlign w:val="center"/>
          </w:tcPr>
          <w:p w14:paraId="49A6C59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防洪排导工程</w:t>
            </w:r>
          </w:p>
        </w:tc>
        <w:tc>
          <w:tcPr>
            <w:tcW w:w="1243" w:type="dxa"/>
            <w:tcBorders>
              <w:tl2br w:val="nil"/>
              <w:tr2bl w:val="nil"/>
            </w:tcBorders>
            <w:shd w:val="clear" w:color="auto" w:fill="auto"/>
            <w:vAlign w:val="top"/>
          </w:tcPr>
          <w:p w14:paraId="54710E7E">
            <w:pPr>
              <w:keepNext w:val="0"/>
              <w:keepLines w:val="0"/>
              <w:widowControl/>
              <w:suppressLineNumbers w:val="0"/>
              <w:jc w:val="center"/>
              <w:textAlignment w:val="top"/>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20.78</w:t>
            </w:r>
          </w:p>
        </w:tc>
        <w:tc>
          <w:tcPr>
            <w:tcW w:w="1690" w:type="dxa"/>
            <w:tcBorders>
              <w:tl2br w:val="nil"/>
              <w:tr2bl w:val="nil"/>
            </w:tcBorders>
            <w:shd w:val="clear" w:color="auto" w:fill="auto"/>
            <w:vAlign w:val="top"/>
          </w:tcPr>
          <w:p w14:paraId="478B02B5">
            <w:pPr>
              <w:keepNext w:val="0"/>
              <w:keepLines w:val="0"/>
              <w:widowControl/>
              <w:suppressLineNumbers w:val="0"/>
              <w:jc w:val="center"/>
              <w:textAlignment w:val="top"/>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12.85</w:t>
            </w:r>
          </w:p>
        </w:tc>
        <w:tc>
          <w:tcPr>
            <w:tcW w:w="1778" w:type="dxa"/>
            <w:tcBorders>
              <w:tl2br w:val="nil"/>
              <w:tr2bl w:val="nil"/>
            </w:tcBorders>
            <w:vAlign w:val="top"/>
          </w:tcPr>
          <w:p w14:paraId="6EB3065E">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7.93</w:t>
            </w:r>
          </w:p>
        </w:tc>
        <w:tc>
          <w:tcPr>
            <w:tcW w:w="1210" w:type="dxa"/>
            <w:tcBorders>
              <w:tl2br w:val="nil"/>
              <w:tr2bl w:val="nil"/>
            </w:tcBorders>
            <w:shd w:val="clear" w:color="auto" w:fill="auto"/>
            <w:vAlign w:val="top"/>
          </w:tcPr>
          <w:p w14:paraId="5C64E663">
            <w:pPr>
              <w:jc w:val="center"/>
              <w:rPr>
                <w:rFonts w:hint="default" w:ascii="Times New Roman" w:hAnsi="Times New Roman" w:eastAsia="仿宋_GB2312" w:cs="Times New Roman"/>
                <w:color w:val="auto"/>
                <w:sz w:val="18"/>
                <w:szCs w:val="18"/>
                <w:lang w:val="en-US" w:eastAsia="zh-CN" w:bidi="ar"/>
              </w:rPr>
            </w:pPr>
          </w:p>
        </w:tc>
      </w:tr>
      <w:tr w14:paraId="06DB28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959" w:type="dxa"/>
            <w:tcBorders>
              <w:tl2br w:val="nil"/>
              <w:tr2bl w:val="nil"/>
            </w:tcBorders>
            <w:shd w:val="clear" w:color="auto" w:fill="auto"/>
            <w:vAlign w:val="center"/>
          </w:tcPr>
          <w:p w14:paraId="78C4172C">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（三）绿化工程区</w:t>
            </w:r>
          </w:p>
        </w:tc>
        <w:tc>
          <w:tcPr>
            <w:tcW w:w="1243" w:type="dxa"/>
            <w:tcBorders>
              <w:tl2br w:val="nil"/>
              <w:tr2bl w:val="nil"/>
            </w:tcBorders>
            <w:vAlign w:val="top"/>
          </w:tcPr>
          <w:p w14:paraId="50E93325">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0.12</w:t>
            </w:r>
          </w:p>
        </w:tc>
        <w:tc>
          <w:tcPr>
            <w:tcW w:w="1690" w:type="dxa"/>
            <w:tcBorders>
              <w:tl2br w:val="nil"/>
              <w:tr2bl w:val="nil"/>
            </w:tcBorders>
            <w:vAlign w:val="top"/>
          </w:tcPr>
          <w:p w14:paraId="31A15661">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0.05</w:t>
            </w:r>
          </w:p>
        </w:tc>
        <w:tc>
          <w:tcPr>
            <w:tcW w:w="1778" w:type="dxa"/>
            <w:tcBorders>
              <w:tl2br w:val="nil"/>
              <w:tr2bl w:val="nil"/>
            </w:tcBorders>
            <w:vAlign w:val="top"/>
          </w:tcPr>
          <w:p w14:paraId="5AE0C159">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0.07</w:t>
            </w:r>
          </w:p>
        </w:tc>
        <w:tc>
          <w:tcPr>
            <w:tcW w:w="1210" w:type="dxa"/>
            <w:tcBorders>
              <w:tl2br w:val="nil"/>
              <w:tr2bl w:val="nil"/>
            </w:tcBorders>
            <w:vAlign w:val="top"/>
          </w:tcPr>
          <w:p w14:paraId="2653F88C">
            <w:pPr>
              <w:jc w:val="center"/>
              <w:rPr>
                <w:rFonts w:hint="default" w:ascii="Times New Roman" w:hAnsi="Times New Roman" w:cs="Times New Roman"/>
                <w:i w:val="0"/>
                <w:iCs w:val="0"/>
                <w:color w:val="000000"/>
                <w:kern w:val="0"/>
                <w:sz w:val="18"/>
                <w:szCs w:val="18"/>
                <w:u w:val="none"/>
                <w:lang w:val="en-US" w:eastAsia="zh-CN" w:bidi="ar"/>
              </w:rPr>
            </w:pPr>
          </w:p>
        </w:tc>
      </w:tr>
      <w:tr w14:paraId="3B90FD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959" w:type="dxa"/>
            <w:tcBorders>
              <w:tl2br w:val="nil"/>
              <w:tr2bl w:val="nil"/>
            </w:tcBorders>
            <w:shd w:val="clear" w:color="auto" w:fill="auto"/>
            <w:vAlign w:val="center"/>
          </w:tcPr>
          <w:p w14:paraId="7E18AE15">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表土保护工程</w:t>
            </w:r>
          </w:p>
        </w:tc>
        <w:tc>
          <w:tcPr>
            <w:tcW w:w="1243" w:type="dxa"/>
            <w:tcBorders>
              <w:tl2br w:val="nil"/>
              <w:tr2bl w:val="nil"/>
            </w:tcBorders>
            <w:shd w:val="clear" w:color="auto" w:fill="auto"/>
            <w:vAlign w:val="top"/>
          </w:tcPr>
          <w:p w14:paraId="0F89ADBB">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0.12</w:t>
            </w:r>
          </w:p>
        </w:tc>
        <w:tc>
          <w:tcPr>
            <w:tcW w:w="1690" w:type="dxa"/>
            <w:tcBorders>
              <w:tl2br w:val="nil"/>
              <w:tr2bl w:val="nil"/>
            </w:tcBorders>
            <w:shd w:val="clear" w:color="auto" w:fill="auto"/>
            <w:vAlign w:val="top"/>
          </w:tcPr>
          <w:p w14:paraId="52F6DC47">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0.05</w:t>
            </w:r>
          </w:p>
        </w:tc>
        <w:tc>
          <w:tcPr>
            <w:tcW w:w="1778" w:type="dxa"/>
            <w:tcBorders>
              <w:tl2br w:val="nil"/>
              <w:tr2bl w:val="nil"/>
            </w:tcBorders>
            <w:shd w:val="clear" w:color="auto" w:fill="auto"/>
            <w:vAlign w:val="top"/>
          </w:tcPr>
          <w:p w14:paraId="7B035FE1">
            <w:pPr>
              <w:keepNext w:val="0"/>
              <w:keepLines w:val="0"/>
              <w:widowControl/>
              <w:suppressLineNumbers w:val="0"/>
              <w:jc w:val="center"/>
              <w:textAlignment w:val="top"/>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0.07</w:t>
            </w:r>
          </w:p>
        </w:tc>
        <w:tc>
          <w:tcPr>
            <w:tcW w:w="1210" w:type="dxa"/>
            <w:tcBorders>
              <w:tl2br w:val="nil"/>
              <w:tr2bl w:val="nil"/>
            </w:tcBorders>
            <w:shd w:val="clear" w:color="auto" w:fill="auto"/>
            <w:vAlign w:val="top"/>
          </w:tcPr>
          <w:p w14:paraId="49AE0104">
            <w:pPr>
              <w:jc w:val="center"/>
              <w:rPr>
                <w:rFonts w:hint="default" w:ascii="Times New Roman" w:hAnsi="Times New Roman" w:cs="Times New Roman"/>
                <w:i w:val="0"/>
                <w:iCs w:val="0"/>
                <w:color w:val="000000"/>
                <w:kern w:val="0"/>
                <w:sz w:val="18"/>
                <w:szCs w:val="18"/>
                <w:u w:val="none"/>
                <w:lang w:val="en-US" w:eastAsia="zh-CN" w:bidi="ar"/>
              </w:rPr>
            </w:pPr>
          </w:p>
        </w:tc>
      </w:tr>
      <w:tr w14:paraId="7C4FF7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2959" w:type="dxa"/>
            <w:tcBorders>
              <w:tl2br w:val="nil"/>
              <w:tr2bl w:val="nil"/>
            </w:tcBorders>
            <w:vAlign w:val="top"/>
          </w:tcPr>
          <w:p w14:paraId="1ED01C9F">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二、植物措施</w:t>
            </w:r>
          </w:p>
        </w:tc>
        <w:tc>
          <w:tcPr>
            <w:tcW w:w="1243" w:type="dxa"/>
            <w:tcBorders>
              <w:tl2br w:val="nil"/>
              <w:tr2bl w:val="nil"/>
            </w:tcBorders>
            <w:vAlign w:val="top"/>
          </w:tcPr>
          <w:p w14:paraId="4CD8C427">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0.13</w:t>
            </w:r>
          </w:p>
        </w:tc>
        <w:tc>
          <w:tcPr>
            <w:tcW w:w="1690" w:type="dxa"/>
            <w:tcBorders>
              <w:tl2br w:val="nil"/>
              <w:tr2bl w:val="nil"/>
            </w:tcBorders>
            <w:vAlign w:val="top"/>
          </w:tcPr>
          <w:p w14:paraId="36B047F1">
            <w:pPr>
              <w:jc w:val="center"/>
              <w:rPr>
                <w:rFonts w:hint="default" w:ascii="Times New Roman" w:hAnsi="Times New Roman" w:eastAsia="仿宋_GB2312" w:cs="Times New Roman"/>
                <w:color w:val="auto"/>
                <w:sz w:val="18"/>
                <w:szCs w:val="18"/>
                <w:lang w:val="en-US" w:eastAsia="zh-CN" w:bidi="ar"/>
              </w:rPr>
            </w:pPr>
          </w:p>
        </w:tc>
        <w:tc>
          <w:tcPr>
            <w:tcW w:w="1778" w:type="dxa"/>
            <w:tcBorders>
              <w:tl2br w:val="nil"/>
              <w:tr2bl w:val="nil"/>
            </w:tcBorders>
            <w:vAlign w:val="top"/>
          </w:tcPr>
          <w:p w14:paraId="7479FF9C">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0.13</w:t>
            </w:r>
          </w:p>
        </w:tc>
        <w:tc>
          <w:tcPr>
            <w:tcW w:w="1210" w:type="dxa"/>
            <w:tcBorders>
              <w:tl2br w:val="nil"/>
              <w:tr2bl w:val="nil"/>
            </w:tcBorders>
            <w:vAlign w:val="top"/>
          </w:tcPr>
          <w:p w14:paraId="0BBD6DDF">
            <w:pPr>
              <w:jc w:val="center"/>
              <w:rPr>
                <w:rFonts w:hint="default" w:ascii="Times New Roman" w:hAnsi="Times New Roman" w:eastAsia="仿宋_GB2312" w:cs="Times New Roman"/>
                <w:color w:val="auto"/>
                <w:sz w:val="18"/>
                <w:szCs w:val="18"/>
                <w:lang w:val="en-US" w:eastAsia="zh-CN" w:bidi="ar"/>
              </w:rPr>
            </w:pPr>
          </w:p>
        </w:tc>
      </w:tr>
      <w:tr w14:paraId="7F105E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959" w:type="dxa"/>
            <w:tcBorders>
              <w:tl2br w:val="nil"/>
              <w:tr2bl w:val="nil"/>
            </w:tcBorders>
            <w:vAlign w:val="top"/>
          </w:tcPr>
          <w:p w14:paraId="1F4EF1B4">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r>
              <w:rPr>
                <w:rFonts w:hint="default" w:ascii="Times New Roman" w:hAnsi="Times New Roman" w:eastAsia="仿宋_GB2312" w:cs="Times New Roman"/>
                <w:i w:val="0"/>
                <w:iCs w:val="0"/>
                <w:color w:val="000000"/>
                <w:kern w:val="0"/>
                <w:sz w:val="18"/>
                <w:szCs w:val="18"/>
                <w:u w:val="none"/>
                <w:lang w:val="en-US" w:eastAsia="zh-CN" w:bidi="ar"/>
              </w:rPr>
              <w:t>一</w:t>
            </w:r>
            <w:r>
              <w:rPr>
                <w:rFonts w:hint="default" w:ascii="Times New Roman" w:hAnsi="Times New Roman" w:eastAsia="宋体" w:cs="Times New Roman"/>
                <w:i w:val="0"/>
                <w:iCs w:val="0"/>
                <w:color w:val="000000"/>
                <w:kern w:val="0"/>
                <w:sz w:val="18"/>
                <w:szCs w:val="18"/>
                <w:u w:val="none"/>
                <w:lang w:val="en-US" w:eastAsia="zh-CN" w:bidi="ar"/>
              </w:rPr>
              <w:t>)</w:t>
            </w:r>
            <w:r>
              <w:rPr>
                <w:rFonts w:hint="default" w:ascii="Times New Roman" w:hAnsi="Times New Roman" w:eastAsia="仿宋_GB2312" w:cs="Times New Roman"/>
                <w:i w:val="0"/>
                <w:iCs w:val="0"/>
                <w:color w:val="000000"/>
                <w:kern w:val="0"/>
                <w:sz w:val="18"/>
                <w:szCs w:val="18"/>
                <w:u w:val="none"/>
                <w:lang w:val="en-US" w:eastAsia="zh-CN" w:bidi="ar"/>
              </w:rPr>
              <w:t>建构筑物工程区</w:t>
            </w:r>
          </w:p>
        </w:tc>
        <w:tc>
          <w:tcPr>
            <w:tcW w:w="1243" w:type="dxa"/>
            <w:tcBorders>
              <w:tl2br w:val="nil"/>
              <w:tr2bl w:val="nil"/>
            </w:tcBorders>
            <w:vAlign w:val="top"/>
          </w:tcPr>
          <w:p w14:paraId="23F4CB6B">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690" w:type="dxa"/>
            <w:tcBorders>
              <w:tl2br w:val="nil"/>
              <w:tr2bl w:val="nil"/>
            </w:tcBorders>
            <w:vAlign w:val="top"/>
          </w:tcPr>
          <w:p w14:paraId="0107FD16">
            <w:pPr>
              <w:jc w:val="center"/>
              <w:rPr>
                <w:rFonts w:hint="default" w:ascii="Times New Roman" w:hAnsi="Times New Roman" w:eastAsia="仿宋_GB2312" w:cs="Times New Roman"/>
                <w:color w:val="auto"/>
                <w:sz w:val="18"/>
                <w:szCs w:val="18"/>
                <w:lang w:val="en-US" w:eastAsia="zh-CN" w:bidi="ar"/>
              </w:rPr>
            </w:pPr>
          </w:p>
        </w:tc>
        <w:tc>
          <w:tcPr>
            <w:tcW w:w="1778" w:type="dxa"/>
            <w:tcBorders>
              <w:tl2br w:val="nil"/>
              <w:tr2bl w:val="nil"/>
            </w:tcBorders>
            <w:vAlign w:val="top"/>
          </w:tcPr>
          <w:p w14:paraId="6550C9FF">
            <w:pPr>
              <w:jc w:val="center"/>
              <w:rPr>
                <w:rFonts w:hint="default" w:ascii="Times New Roman" w:hAnsi="Times New Roman" w:eastAsia="仿宋_GB2312" w:cs="Times New Roman"/>
                <w:color w:val="auto"/>
                <w:sz w:val="18"/>
                <w:szCs w:val="18"/>
                <w:lang w:val="en-US" w:eastAsia="zh-CN" w:bidi="ar"/>
              </w:rPr>
            </w:pPr>
          </w:p>
        </w:tc>
        <w:tc>
          <w:tcPr>
            <w:tcW w:w="1210" w:type="dxa"/>
            <w:tcBorders>
              <w:tl2br w:val="nil"/>
              <w:tr2bl w:val="nil"/>
            </w:tcBorders>
            <w:vAlign w:val="top"/>
          </w:tcPr>
          <w:p w14:paraId="489C963F">
            <w:pPr>
              <w:jc w:val="center"/>
              <w:rPr>
                <w:rFonts w:hint="default" w:ascii="Times New Roman" w:hAnsi="Times New Roman" w:eastAsia="仿宋_GB2312" w:cs="Times New Roman"/>
                <w:color w:val="auto"/>
                <w:sz w:val="18"/>
                <w:szCs w:val="18"/>
                <w:lang w:val="en-US" w:eastAsia="zh-CN" w:bidi="ar"/>
              </w:rPr>
            </w:pPr>
          </w:p>
        </w:tc>
      </w:tr>
      <w:tr w14:paraId="5D8CEE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59" w:type="dxa"/>
            <w:tcBorders>
              <w:tl2br w:val="nil"/>
              <w:tr2bl w:val="nil"/>
            </w:tcBorders>
            <w:vAlign w:val="top"/>
          </w:tcPr>
          <w:p w14:paraId="49551C52">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（二）硬化工程区</w:t>
            </w:r>
          </w:p>
        </w:tc>
        <w:tc>
          <w:tcPr>
            <w:tcW w:w="1243" w:type="dxa"/>
            <w:tcBorders>
              <w:tl2br w:val="nil"/>
              <w:tr2bl w:val="nil"/>
            </w:tcBorders>
            <w:vAlign w:val="top"/>
          </w:tcPr>
          <w:p w14:paraId="471AAAFE">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690" w:type="dxa"/>
            <w:tcBorders>
              <w:tl2br w:val="nil"/>
              <w:tr2bl w:val="nil"/>
            </w:tcBorders>
            <w:vAlign w:val="top"/>
          </w:tcPr>
          <w:p w14:paraId="10856AA6">
            <w:pPr>
              <w:jc w:val="center"/>
              <w:rPr>
                <w:rFonts w:hint="default" w:ascii="Times New Roman" w:hAnsi="Times New Roman" w:eastAsia="仿宋_GB2312" w:cs="Times New Roman"/>
                <w:color w:val="auto"/>
                <w:sz w:val="18"/>
                <w:szCs w:val="18"/>
                <w:lang w:val="en-US" w:eastAsia="zh-CN" w:bidi="ar"/>
              </w:rPr>
            </w:pPr>
          </w:p>
        </w:tc>
        <w:tc>
          <w:tcPr>
            <w:tcW w:w="1778" w:type="dxa"/>
            <w:tcBorders>
              <w:tl2br w:val="nil"/>
              <w:tr2bl w:val="nil"/>
            </w:tcBorders>
            <w:vAlign w:val="top"/>
          </w:tcPr>
          <w:p w14:paraId="3292AB1A">
            <w:pPr>
              <w:jc w:val="center"/>
              <w:rPr>
                <w:rFonts w:hint="default" w:ascii="Times New Roman" w:hAnsi="Times New Roman" w:eastAsia="仿宋_GB2312" w:cs="Times New Roman"/>
                <w:color w:val="auto"/>
                <w:sz w:val="18"/>
                <w:szCs w:val="18"/>
                <w:lang w:val="en-US" w:eastAsia="zh-CN" w:bidi="ar"/>
              </w:rPr>
            </w:pPr>
          </w:p>
        </w:tc>
        <w:tc>
          <w:tcPr>
            <w:tcW w:w="1210" w:type="dxa"/>
            <w:tcBorders>
              <w:tl2br w:val="nil"/>
              <w:tr2bl w:val="nil"/>
            </w:tcBorders>
            <w:vAlign w:val="top"/>
          </w:tcPr>
          <w:p w14:paraId="4E07BD97">
            <w:pPr>
              <w:jc w:val="center"/>
              <w:rPr>
                <w:rFonts w:hint="default" w:ascii="Times New Roman" w:hAnsi="Times New Roman" w:eastAsia="仿宋_GB2312" w:cs="Times New Roman"/>
                <w:color w:val="auto"/>
                <w:sz w:val="18"/>
                <w:szCs w:val="18"/>
                <w:lang w:val="en-US" w:eastAsia="zh-CN" w:bidi="ar"/>
              </w:rPr>
            </w:pPr>
          </w:p>
        </w:tc>
      </w:tr>
      <w:tr w14:paraId="3FE0C2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59" w:type="dxa"/>
            <w:tcBorders>
              <w:tl2br w:val="nil"/>
              <w:tr2bl w:val="nil"/>
            </w:tcBorders>
            <w:vAlign w:val="top"/>
          </w:tcPr>
          <w:p w14:paraId="5103C656">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（三）绿化工程区</w:t>
            </w:r>
          </w:p>
        </w:tc>
        <w:tc>
          <w:tcPr>
            <w:tcW w:w="1243" w:type="dxa"/>
            <w:tcBorders>
              <w:tl2br w:val="nil"/>
              <w:tr2bl w:val="nil"/>
            </w:tcBorders>
            <w:vAlign w:val="top"/>
          </w:tcPr>
          <w:p w14:paraId="2684B66A">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0.13</w:t>
            </w:r>
          </w:p>
        </w:tc>
        <w:tc>
          <w:tcPr>
            <w:tcW w:w="1690" w:type="dxa"/>
            <w:tcBorders>
              <w:tl2br w:val="nil"/>
              <w:tr2bl w:val="nil"/>
            </w:tcBorders>
            <w:vAlign w:val="top"/>
          </w:tcPr>
          <w:p w14:paraId="55560889">
            <w:pPr>
              <w:jc w:val="center"/>
              <w:rPr>
                <w:rFonts w:hint="default" w:ascii="Times New Roman" w:hAnsi="Times New Roman" w:eastAsia="仿宋_GB2312" w:cs="Times New Roman"/>
                <w:color w:val="auto"/>
                <w:sz w:val="18"/>
                <w:szCs w:val="18"/>
                <w:lang w:val="en-US" w:eastAsia="zh-CN" w:bidi="ar"/>
              </w:rPr>
            </w:pPr>
          </w:p>
        </w:tc>
        <w:tc>
          <w:tcPr>
            <w:tcW w:w="1778" w:type="dxa"/>
            <w:tcBorders>
              <w:tl2br w:val="nil"/>
              <w:tr2bl w:val="nil"/>
            </w:tcBorders>
            <w:vAlign w:val="top"/>
          </w:tcPr>
          <w:p w14:paraId="6292537D">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0.13</w:t>
            </w:r>
          </w:p>
        </w:tc>
        <w:tc>
          <w:tcPr>
            <w:tcW w:w="1210" w:type="dxa"/>
            <w:tcBorders>
              <w:tl2br w:val="nil"/>
              <w:tr2bl w:val="nil"/>
            </w:tcBorders>
            <w:vAlign w:val="top"/>
          </w:tcPr>
          <w:p w14:paraId="36F7AA65">
            <w:pPr>
              <w:jc w:val="center"/>
              <w:rPr>
                <w:rFonts w:hint="default" w:ascii="Times New Roman" w:hAnsi="Times New Roman" w:eastAsia="仿宋_GB2312" w:cs="Times New Roman"/>
                <w:color w:val="auto"/>
                <w:sz w:val="18"/>
                <w:szCs w:val="18"/>
                <w:lang w:val="en-US" w:eastAsia="zh-CN" w:bidi="ar"/>
              </w:rPr>
            </w:pPr>
          </w:p>
        </w:tc>
      </w:tr>
      <w:tr w14:paraId="55634C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59" w:type="dxa"/>
            <w:tcBorders>
              <w:tl2br w:val="nil"/>
              <w:tr2bl w:val="nil"/>
            </w:tcBorders>
            <w:vAlign w:val="top"/>
          </w:tcPr>
          <w:p w14:paraId="3FDC80E6">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植被恢复与建设工程</w:t>
            </w:r>
          </w:p>
        </w:tc>
        <w:tc>
          <w:tcPr>
            <w:tcW w:w="1243" w:type="dxa"/>
            <w:tcBorders>
              <w:tl2br w:val="nil"/>
              <w:tr2bl w:val="nil"/>
            </w:tcBorders>
            <w:vAlign w:val="top"/>
          </w:tcPr>
          <w:p w14:paraId="520FC468">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0.13</w:t>
            </w:r>
          </w:p>
        </w:tc>
        <w:tc>
          <w:tcPr>
            <w:tcW w:w="1690" w:type="dxa"/>
            <w:tcBorders>
              <w:tl2br w:val="nil"/>
              <w:tr2bl w:val="nil"/>
            </w:tcBorders>
            <w:vAlign w:val="top"/>
          </w:tcPr>
          <w:p w14:paraId="3BF26926">
            <w:pPr>
              <w:jc w:val="center"/>
              <w:rPr>
                <w:rFonts w:hint="default" w:ascii="Times New Roman" w:hAnsi="Times New Roman" w:eastAsia="仿宋_GB2312" w:cs="Times New Roman"/>
                <w:color w:val="auto"/>
                <w:sz w:val="18"/>
                <w:szCs w:val="18"/>
                <w:lang w:val="en-US" w:eastAsia="zh-CN" w:bidi="ar"/>
              </w:rPr>
            </w:pPr>
          </w:p>
        </w:tc>
        <w:tc>
          <w:tcPr>
            <w:tcW w:w="1778" w:type="dxa"/>
            <w:tcBorders>
              <w:tl2br w:val="nil"/>
              <w:tr2bl w:val="nil"/>
            </w:tcBorders>
            <w:vAlign w:val="top"/>
          </w:tcPr>
          <w:p w14:paraId="2904F399">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0.13</w:t>
            </w:r>
          </w:p>
        </w:tc>
        <w:tc>
          <w:tcPr>
            <w:tcW w:w="1210" w:type="dxa"/>
            <w:tcBorders>
              <w:tl2br w:val="nil"/>
              <w:tr2bl w:val="nil"/>
            </w:tcBorders>
            <w:vAlign w:val="top"/>
          </w:tcPr>
          <w:p w14:paraId="44CE9133">
            <w:pPr>
              <w:jc w:val="center"/>
              <w:rPr>
                <w:rFonts w:hint="default" w:ascii="Times New Roman" w:hAnsi="Times New Roman" w:eastAsia="仿宋_GB2312" w:cs="Times New Roman"/>
                <w:color w:val="auto"/>
                <w:sz w:val="18"/>
                <w:szCs w:val="18"/>
                <w:lang w:val="en-US" w:eastAsia="zh-CN" w:bidi="ar"/>
              </w:rPr>
            </w:pPr>
          </w:p>
        </w:tc>
      </w:tr>
      <w:tr w14:paraId="2356E7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2959" w:type="dxa"/>
            <w:tcBorders>
              <w:tl2br w:val="nil"/>
              <w:tr2bl w:val="nil"/>
            </w:tcBorders>
            <w:vAlign w:val="top"/>
          </w:tcPr>
          <w:p w14:paraId="6270E832">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三、监测措施</w:t>
            </w:r>
          </w:p>
        </w:tc>
        <w:tc>
          <w:tcPr>
            <w:tcW w:w="1243" w:type="dxa"/>
            <w:tcBorders>
              <w:tl2br w:val="nil"/>
              <w:tr2bl w:val="nil"/>
            </w:tcBorders>
            <w:vAlign w:val="top"/>
          </w:tcPr>
          <w:p w14:paraId="3BB6CD56">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690" w:type="dxa"/>
            <w:tcBorders>
              <w:tl2br w:val="nil"/>
              <w:tr2bl w:val="nil"/>
            </w:tcBorders>
            <w:vAlign w:val="top"/>
          </w:tcPr>
          <w:p w14:paraId="08F9A8C2">
            <w:pPr>
              <w:jc w:val="center"/>
              <w:rPr>
                <w:rFonts w:hint="default" w:ascii="Times New Roman" w:hAnsi="Times New Roman" w:eastAsia="仿宋_GB2312" w:cs="Times New Roman"/>
                <w:color w:val="auto"/>
                <w:sz w:val="18"/>
                <w:szCs w:val="18"/>
                <w:lang w:val="en-US" w:eastAsia="zh-CN" w:bidi="ar"/>
              </w:rPr>
            </w:pPr>
          </w:p>
        </w:tc>
        <w:tc>
          <w:tcPr>
            <w:tcW w:w="1778" w:type="dxa"/>
            <w:tcBorders>
              <w:tl2br w:val="nil"/>
              <w:tr2bl w:val="nil"/>
            </w:tcBorders>
            <w:vAlign w:val="top"/>
          </w:tcPr>
          <w:p w14:paraId="2091B2FD">
            <w:pPr>
              <w:jc w:val="center"/>
              <w:rPr>
                <w:rFonts w:hint="default" w:ascii="Times New Roman" w:hAnsi="Times New Roman" w:eastAsia="仿宋_GB2312" w:cs="Times New Roman"/>
                <w:color w:val="auto"/>
                <w:sz w:val="18"/>
                <w:szCs w:val="18"/>
                <w:lang w:val="en-US" w:eastAsia="zh-CN" w:bidi="ar"/>
              </w:rPr>
            </w:pPr>
          </w:p>
        </w:tc>
        <w:tc>
          <w:tcPr>
            <w:tcW w:w="1210" w:type="dxa"/>
            <w:tcBorders>
              <w:tl2br w:val="nil"/>
              <w:tr2bl w:val="nil"/>
            </w:tcBorders>
            <w:vAlign w:val="top"/>
          </w:tcPr>
          <w:p w14:paraId="0707FB2E">
            <w:pPr>
              <w:jc w:val="center"/>
              <w:rPr>
                <w:rFonts w:hint="default" w:ascii="Times New Roman" w:hAnsi="Times New Roman" w:eastAsia="仿宋_GB2312" w:cs="Times New Roman"/>
                <w:color w:val="auto"/>
                <w:sz w:val="18"/>
                <w:szCs w:val="18"/>
                <w:lang w:val="en-US" w:eastAsia="zh-CN" w:bidi="ar"/>
              </w:rPr>
            </w:pPr>
          </w:p>
        </w:tc>
      </w:tr>
      <w:tr w14:paraId="52EAF6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959" w:type="dxa"/>
            <w:tcBorders>
              <w:tl2br w:val="nil"/>
              <w:tr2bl w:val="nil"/>
            </w:tcBorders>
            <w:vAlign w:val="top"/>
          </w:tcPr>
          <w:p w14:paraId="481ABC66">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r>
              <w:rPr>
                <w:rFonts w:hint="default" w:ascii="Times New Roman" w:hAnsi="Times New Roman" w:eastAsia="仿宋_GB2312" w:cs="Times New Roman"/>
                <w:i w:val="0"/>
                <w:iCs w:val="0"/>
                <w:color w:val="000000"/>
                <w:kern w:val="0"/>
                <w:sz w:val="18"/>
                <w:szCs w:val="18"/>
                <w:u w:val="none"/>
                <w:lang w:val="en-US" w:eastAsia="zh-CN" w:bidi="ar"/>
              </w:rPr>
              <w:t>一</w:t>
            </w:r>
            <w:r>
              <w:rPr>
                <w:rFonts w:hint="default" w:ascii="Times New Roman" w:hAnsi="Times New Roman" w:eastAsia="宋体" w:cs="Times New Roman"/>
                <w:i w:val="0"/>
                <w:iCs w:val="0"/>
                <w:color w:val="000000"/>
                <w:kern w:val="0"/>
                <w:sz w:val="18"/>
                <w:szCs w:val="18"/>
                <w:u w:val="none"/>
                <w:lang w:val="en-US" w:eastAsia="zh-CN" w:bidi="ar"/>
              </w:rPr>
              <w:t>)</w:t>
            </w:r>
            <w:r>
              <w:rPr>
                <w:rFonts w:hint="default" w:ascii="Times New Roman" w:hAnsi="Times New Roman" w:eastAsia="仿宋_GB2312" w:cs="Times New Roman"/>
                <w:i w:val="0"/>
                <w:iCs w:val="0"/>
                <w:color w:val="000000"/>
                <w:kern w:val="0"/>
                <w:sz w:val="18"/>
                <w:szCs w:val="18"/>
                <w:u w:val="none"/>
                <w:lang w:val="en-US" w:eastAsia="zh-CN" w:bidi="ar"/>
              </w:rPr>
              <w:t>水土保持监测</w:t>
            </w:r>
          </w:p>
        </w:tc>
        <w:tc>
          <w:tcPr>
            <w:tcW w:w="1243" w:type="dxa"/>
            <w:tcBorders>
              <w:tl2br w:val="nil"/>
              <w:tr2bl w:val="nil"/>
            </w:tcBorders>
            <w:vAlign w:val="top"/>
          </w:tcPr>
          <w:p w14:paraId="58C46CA8">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690" w:type="dxa"/>
            <w:tcBorders>
              <w:tl2br w:val="nil"/>
              <w:tr2bl w:val="nil"/>
            </w:tcBorders>
            <w:vAlign w:val="top"/>
          </w:tcPr>
          <w:p w14:paraId="795F67AE">
            <w:pPr>
              <w:jc w:val="center"/>
              <w:rPr>
                <w:rFonts w:hint="default" w:ascii="Times New Roman" w:hAnsi="Times New Roman" w:eastAsia="仿宋_GB2312" w:cs="Times New Roman"/>
                <w:color w:val="auto"/>
                <w:sz w:val="18"/>
                <w:szCs w:val="18"/>
                <w:lang w:val="en-US" w:eastAsia="zh-CN" w:bidi="ar"/>
              </w:rPr>
            </w:pPr>
          </w:p>
        </w:tc>
        <w:tc>
          <w:tcPr>
            <w:tcW w:w="1778" w:type="dxa"/>
            <w:tcBorders>
              <w:tl2br w:val="nil"/>
              <w:tr2bl w:val="nil"/>
            </w:tcBorders>
            <w:vAlign w:val="top"/>
          </w:tcPr>
          <w:p w14:paraId="4E2631FF">
            <w:pPr>
              <w:jc w:val="center"/>
              <w:rPr>
                <w:rFonts w:hint="default" w:ascii="Times New Roman" w:hAnsi="Times New Roman" w:eastAsia="仿宋_GB2312" w:cs="Times New Roman"/>
                <w:color w:val="auto"/>
                <w:sz w:val="18"/>
                <w:szCs w:val="18"/>
                <w:lang w:val="en-US" w:eastAsia="zh-CN" w:bidi="ar"/>
              </w:rPr>
            </w:pPr>
          </w:p>
        </w:tc>
        <w:tc>
          <w:tcPr>
            <w:tcW w:w="1210" w:type="dxa"/>
            <w:tcBorders>
              <w:tl2br w:val="nil"/>
              <w:tr2bl w:val="nil"/>
            </w:tcBorders>
            <w:vAlign w:val="top"/>
          </w:tcPr>
          <w:p w14:paraId="65B2F3ED">
            <w:pPr>
              <w:jc w:val="center"/>
              <w:rPr>
                <w:rFonts w:hint="default" w:ascii="Times New Roman" w:hAnsi="Times New Roman" w:eastAsia="仿宋_GB2312" w:cs="Times New Roman"/>
                <w:color w:val="auto"/>
                <w:sz w:val="18"/>
                <w:szCs w:val="18"/>
                <w:lang w:val="en-US" w:eastAsia="zh-CN" w:bidi="ar"/>
              </w:rPr>
            </w:pPr>
          </w:p>
        </w:tc>
      </w:tr>
      <w:tr w14:paraId="3EABAC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959" w:type="dxa"/>
            <w:tcBorders>
              <w:tl2br w:val="nil"/>
              <w:tr2bl w:val="nil"/>
            </w:tcBorders>
            <w:vAlign w:val="top"/>
          </w:tcPr>
          <w:p w14:paraId="5DA3AFFA">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r>
              <w:rPr>
                <w:rFonts w:hint="default" w:ascii="Times New Roman" w:hAnsi="Times New Roman" w:eastAsia="仿宋_GB2312" w:cs="Times New Roman"/>
                <w:i w:val="0"/>
                <w:iCs w:val="0"/>
                <w:color w:val="000000"/>
                <w:kern w:val="0"/>
                <w:sz w:val="18"/>
                <w:szCs w:val="18"/>
                <w:u w:val="none"/>
                <w:lang w:val="en-US" w:eastAsia="zh-CN" w:bidi="ar"/>
              </w:rPr>
              <w:t>二</w:t>
            </w:r>
            <w:r>
              <w:rPr>
                <w:rFonts w:hint="default" w:ascii="Times New Roman" w:hAnsi="Times New Roman" w:eastAsia="宋体" w:cs="Times New Roman"/>
                <w:i w:val="0"/>
                <w:iCs w:val="0"/>
                <w:color w:val="000000"/>
                <w:kern w:val="0"/>
                <w:sz w:val="18"/>
                <w:szCs w:val="18"/>
                <w:u w:val="none"/>
                <w:lang w:val="en-US" w:eastAsia="zh-CN" w:bidi="ar"/>
              </w:rPr>
              <w:t>)</w:t>
            </w:r>
            <w:r>
              <w:rPr>
                <w:rFonts w:hint="default" w:ascii="Times New Roman" w:hAnsi="Times New Roman" w:eastAsia="仿宋_GB2312" w:cs="Times New Roman"/>
                <w:i w:val="0"/>
                <w:iCs w:val="0"/>
                <w:color w:val="000000"/>
                <w:kern w:val="0"/>
                <w:sz w:val="18"/>
                <w:szCs w:val="18"/>
                <w:u w:val="none"/>
                <w:lang w:val="en-US" w:eastAsia="zh-CN" w:bidi="ar"/>
              </w:rPr>
              <w:t>弃渣场稳定监测</w:t>
            </w:r>
          </w:p>
        </w:tc>
        <w:tc>
          <w:tcPr>
            <w:tcW w:w="1243" w:type="dxa"/>
            <w:tcBorders>
              <w:tl2br w:val="nil"/>
              <w:tr2bl w:val="nil"/>
            </w:tcBorders>
            <w:vAlign w:val="top"/>
          </w:tcPr>
          <w:p w14:paraId="326DCBD9">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690" w:type="dxa"/>
            <w:tcBorders>
              <w:tl2br w:val="nil"/>
              <w:tr2bl w:val="nil"/>
            </w:tcBorders>
            <w:vAlign w:val="top"/>
          </w:tcPr>
          <w:p w14:paraId="5F56FEF1">
            <w:pPr>
              <w:jc w:val="center"/>
              <w:rPr>
                <w:rFonts w:hint="default" w:ascii="Times New Roman" w:hAnsi="Times New Roman" w:eastAsia="仿宋_GB2312" w:cs="Times New Roman"/>
                <w:color w:val="auto"/>
                <w:sz w:val="18"/>
                <w:szCs w:val="18"/>
                <w:lang w:val="en-US" w:eastAsia="zh-CN" w:bidi="ar"/>
              </w:rPr>
            </w:pPr>
          </w:p>
        </w:tc>
        <w:tc>
          <w:tcPr>
            <w:tcW w:w="1778" w:type="dxa"/>
            <w:tcBorders>
              <w:tl2br w:val="nil"/>
              <w:tr2bl w:val="nil"/>
            </w:tcBorders>
            <w:vAlign w:val="top"/>
          </w:tcPr>
          <w:p w14:paraId="2C69133B">
            <w:pPr>
              <w:jc w:val="center"/>
              <w:rPr>
                <w:rFonts w:hint="default" w:ascii="Times New Roman" w:hAnsi="Times New Roman" w:eastAsia="仿宋_GB2312" w:cs="Times New Roman"/>
                <w:color w:val="auto"/>
                <w:sz w:val="18"/>
                <w:szCs w:val="18"/>
                <w:lang w:val="en-US" w:eastAsia="zh-CN" w:bidi="ar"/>
              </w:rPr>
            </w:pPr>
          </w:p>
        </w:tc>
        <w:tc>
          <w:tcPr>
            <w:tcW w:w="1210" w:type="dxa"/>
            <w:tcBorders>
              <w:tl2br w:val="nil"/>
              <w:tr2bl w:val="nil"/>
            </w:tcBorders>
            <w:vAlign w:val="top"/>
          </w:tcPr>
          <w:p w14:paraId="2811360E">
            <w:pPr>
              <w:jc w:val="center"/>
              <w:rPr>
                <w:rFonts w:hint="default" w:ascii="Times New Roman" w:hAnsi="Times New Roman" w:eastAsia="仿宋_GB2312" w:cs="Times New Roman"/>
                <w:color w:val="auto"/>
                <w:sz w:val="18"/>
                <w:szCs w:val="18"/>
                <w:lang w:val="en-US" w:eastAsia="zh-CN" w:bidi="ar"/>
              </w:rPr>
            </w:pPr>
          </w:p>
        </w:tc>
      </w:tr>
      <w:tr w14:paraId="10FD8D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959" w:type="dxa"/>
            <w:tcBorders>
              <w:tl2br w:val="nil"/>
              <w:tr2bl w:val="nil"/>
            </w:tcBorders>
            <w:vAlign w:val="top"/>
          </w:tcPr>
          <w:p w14:paraId="0CEA5279">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r>
              <w:rPr>
                <w:rFonts w:hint="default" w:ascii="Times New Roman" w:hAnsi="Times New Roman" w:eastAsia="仿宋_GB2312" w:cs="Times New Roman"/>
                <w:i w:val="0"/>
                <w:iCs w:val="0"/>
                <w:color w:val="000000"/>
                <w:kern w:val="0"/>
                <w:sz w:val="18"/>
                <w:szCs w:val="18"/>
                <w:u w:val="none"/>
                <w:lang w:val="en-US" w:eastAsia="zh-CN" w:bidi="ar"/>
              </w:rPr>
              <w:t>三</w:t>
            </w:r>
            <w:r>
              <w:rPr>
                <w:rFonts w:hint="default" w:ascii="Times New Roman" w:hAnsi="Times New Roman" w:eastAsia="宋体" w:cs="Times New Roman"/>
                <w:i w:val="0"/>
                <w:iCs w:val="0"/>
                <w:color w:val="000000"/>
                <w:kern w:val="0"/>
                <w:sz w:val="18"/>
                <w:szCs w:val="18"/>
                <w:u w:val="none"/>
                <w:lang w:val="en-US" w:eastAsia="zh-CN" w:bidi="ar"/>
              </w:rPr>
              <w:t>)</w:t>
            </w:r>
            <w:r>
              <w:rPr>
                <w:rFonts w:hint="default" w:ascii="Times New Roman" w:hAnsi="Times New Roman" w:eastAsia="仿宋_GB2312" w:cs="Times New Roman"/>
                <w:i w:val="0"/>
                <w:iCs w:val="0"/>
                <w:color w:val="000000"/>
                <w:kern w:val="0"/>
                <w:sz w:val="18"/>
                <w:szCs w:val="18"/>
                <w:u w:val="none"/>
                <w:lang w:val="en-US" w:eastAsia="zh-CN" w:bidi="ar"/>
              </w:rPr>
              <w:t>建设期观测费</w:t>
            </w:r>
          </w:p>
        </w:tc>
        <w:tc>
          <w:tcPr>
            <w:tcW w:w="1243" w:type="dxa"/>
            <w:tcBorders>
              <w:tl2br w:val="nil"/>
              <w:tr2bl w:val="nil"/>
            </w:tcBorders>
            <w:vAlign w:val="top"/>
          </w:tcPr>
          <w:p w14:paraId="0DF0EB55">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690" w:type="dxa"/>
            <w:tcBorders>
              <w:tl2br w:val="nil"/>
              <w:tr2bl w:val="nil"/>
            </w:tcBorders>
            <w:vAlign w:val="top"/>
          </w:tcPr>
          <w:p w14:paraId="05909437">
            <w:pPr>
              <w:jc w:val="center"/>
              <w:rPr>
                <w:rFonts w:hint="default" w:ascii="Times New Roman" w:hAnsi="Times New Roman" w:eastAsia="仿宋_GB2312" w:cs="Times New Roman"/>
                <w:color w:val="auto"/>
                <w:sz w:val="18"/>
                <w:szCs w:val="18"/>
                <w:lang w:val="en-US" w:eastAsia="zh-CN" w:bidi="ar"/>
              </w:rPr>
            </w:pPr>
          </w:p>
        </w:tc>
        <w:tc>
          <w:tcPr>
            <w:tcW w:w="1778" w:type="dxa"/>
            <w:tcBorders>
              <w:tl2br w:val="nil"/>
              <w:tr2bl w:val="nil"/>
            </w:tcBorders>
            <w:vAlign w:val="top"/>
          </w:tcPr>
          <w:p w14:paraId="70EF059E">
            <w:pPr>
              <w:jc w:val="center"/>
              <w:rPr>
                <w:rFonts w:hint="default" w:ascii="Times New Roman" w:hAnsi="Times New Roman" w:eastAsia="仿宋_GB2312" w:cs="Times New Roman"/>
                <w:color w:val="auto"/>
                <w:sz w:val="18"/>
                <w:szCs w:val="18"/>
                <w:lang w:val="en-US" w:eastAsia="zh-CN" w:bidi="ar"/>
              </w:rPr>
            </w:pPr>
          </w:p>
        </w:tc>
        <w:tc>
          <w:tcPr>
            <w:tcW w:w="1210" w:type="dxa"/>
            <w:tcBorders>
              <w:tl2br w:val="nil"/>
              <w:tr2bl w:val="nil"/>
            </w:tcBorders>
            <w:vAlign w:val="top"/>
          </w:tcPr>
          <w:p w14:paraId="63FA00E6">
            <w:pPr>
              <w:jc w:val="center"/>
              <w:rPr>
                <w:rFonts w:hint="default" w:ascii="Times New Roman" w:hAnsi="Times New Roman" w:eastAsia="仿宋_GB2312" w:cs="Times New Roman"/>
                <w:color w:val="auto"/>
                <w:sz w:val="18"/>
                <w:szCs w:val="18"/>
                <w:lang w:val="en-US" w:eastAsia="zh-CN" w:bidi="ar"/>
              </w:rPr>
            </w:pPr>
          </w:p>
        </w:tc>
      </w:tr>
      <w:tr w14:paraId="4CD76F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959" w:type="dxa"/>
            <w:tcBorders>
              <w:tl2br w:val="nil"/>
              <w:tr2bl w:val="nil"/>
            </w:tcBorders>
            <w:vAlign w:val="top"/>
          </w:tcPr>
          <w:p w14:paraId="4D7A0676">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四、施工临时工程</w:t>
            </w:r>
          </w:p>
        </w:tc>
        <w:tc>
          <w:tcPr>
            <w:tcW w:w="1243" w:type="dxa"/>
            <w:tcBorders>
              <w:tl2br w:val="nil"/>
              <w:tr2bl w:val="nil"/>
            </w:tcBorders>
            <w:vAlign w:val="top"/>
          </w:tcPr>
          <w:p w14:paraId="33D6475D">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0.42</w:t>
            </w:r>
          </w:p>
        </w:tc>
        <w:tc>
          <w:tcPr>
            <w:tcW w:w="1690" w:type="dxa"/>
            <w:tcBorders>
              <w:tl2br w:val="nil"/>
              <w:tr2bl w:val="nil"/>
            </w:tcBorders>
            <w:vAlign w:val="top"/>
          </w:tcPr>
          <w:p w14:paraId="2EB91B2B">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0.28</w:t>
            </w:r>
          </w:p>
        </w:tc>
        <w:tc>
          <w:tcPr>
            <w:tcW w:w="1778" w:type="dxa"/>
            <w:tcBorders>
              <w:tl2br w:val="nil"/>
              <w:tr2bl w:val="nil"/>
            </w:tcBorders>
            <w:vAlign w:val="top"/>
          </w:tcPr>
          <w:p w14:paraId="0FD0B0E1">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0.14</w:t>
            </w:r>
          </w:p>
        </w:tc>
        <w:tc>
          <w:tcPr>
            <w:tcW w:w="1210" w:type="dxa"/>
            <w:tcBorders>
              <w:tl2br w:val="nil"/>
              <w:tr2bl w:val="nil"/>
            </w:tcBorders>
            <w:vAlign w:val="top"/>
          </w:tcPr>
          <w:p w14:paraId="2430CF70">
            <w:pPr>
              <w:jc w:val="center"/>
              <w:rPr>
                <w:rFonts w:hint="default" w:ascii="Times New Roman" w:hAnsi="Times New Roman" w:eastAsia="仿宋_GB2312" w:cs="Times New Roman"/>
                <w:color w:val="auto"/>
                <w:sz w:val="18"/>
                <w:szCs w:val="18"/>
                <w:lang w:val="en-US" w:eastAsia="zh-CN" w:bidi="ar"/>
              </w:rPr>
            </w:pPr>
          </w:p>
        </w:tc>
      </w:tr>
      <w:tr w14:paraId="02A7A8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2959" w:type="dxa"/>
            <w:tcBorders>
              <w:tl2br w:val="nil"/>
              <w:tr2bl w:val="nil"/>
            </w:tcBorders>
            <w:vAlign w:val="top"/>
          </w:tcPr>
          <w:p w14:paraId="4E69299A">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r>
              <w:rPr>
                <w:rFonts w:hint="default" w:ascii="Times New Roman" w:hAnsi="Times New Roman" w:eastAsia="仿宋_GB2312" w:cs="Times New Roman"/>
                <w:i w:val="0"/>
                <w:iCs w:val="0"/>
                <w:color w:val="000000"/>
                <w:kern w:val="0"/>
                <w:sz w:val="18"/>
                <w:szCs w:val="18"/>
                <w:u w:val="none"/>
                <w:lang w:val="en-US" w:eastAsia="zh-CN" w:bidi="ar"/>
              </w:rPr>
              <w:t>一</w:t>
            </w:r>
            <w:r>
              <w:rPr>
                <w:rFonts w:hint="default" w:ascii="Times New Roman" w:hAnsi="Times New Roman" w:eastAsia="宋体" w:cs="Times New Roman"/>
                <w:i w:val="0"/>
                <w:iCs w:val="0"/>
                <w:color w:val="000000"/>
                <w:kern w:val="0"/>
                <w:sz w:val="18"/>
                <w:szCs w:val="18"/>
                <w:u w:val="none"/>
                <w:lang w:val="en-US" w:eastAsia="zh-CN" w:bidi="ar"/>
              </w:rPr>
              <w:t>)</w:t>
            </w:r>
            <w:r>
              <w:rPr>
                <w:rFonts w:hint="default" w:ascii="Times New Roman" w:hAnsi="Times New Roman" w:eastAsia="仿宋_GB2312" w:cs="Times New Roman"/>
                <w:i w:val="0"/>
                <w:iCs w:val="0"/>
                <w:color w:val="000000"/>
                <w:kern w:val="0"/>
                <w:sz w:val="18"/>
                <w:szCs w:val="18"/>
                <w:u w:val="none"/>
                <w:lang w:val="en-US" w:eastAsia="zh-CN" w:bidi="ar"/>
              </w:rPr>
              <w:t>临时防护工程</w:t>
            </w:r>
          </w:p>
        </w:tc>
        <w:tc>
          <w:tcPr>
            <w:tcW w:w="1243" w:type="dxa"/>
            <w:tcBorders>
              <w:tl2br w:val="nil"/>
              <w:tr2bl w:val="nil"/>
            </w:tcBorders>
            <w:vAlign w:val="top"/>
          </w:tcPr>
          <w:p w14:paraId="3D2F95EF">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690" w:type="dxa"/>
            <w:tcBorders>
              <w:tl2br w:val="nil"/>
              <w:tr2bl w:val="nil"/>
            </w:tcBorders>
            <w:vAlign w:val="top"/>
          </w:tcPr>
          <w:p w14:paraId="480BBA7F">
            <w:pPr>
              <w:jc w:val="center"/>
              <w:rPr>
                <w:rFonts w:hint="default" w:ascii="Times New Roman" w:hAnsi="Times New Roman" w:eastAsia="仿宋_GB2312" w:cs="Times New Roman"/>
                <w:color w:val="auto"/>
                <w:sz w:val="18"/>
                <w:szCs w:val="18"/>
                <w:lang w:val="en-US" w:eastAsia="zh-CN" w:bidi="ar"/>
              </w:rPr>
            </w:pPr>
          </w:p>
        </w:tc>
        <w:tc>
          <w:tcPr>
            <w:tcW w:w="1778" w:type="dxa"/>
            <w:tcBorders>
              <w:tl2br w:val="nil"/>
              <w:tr2bl w:val="nil"/>
            </w:tcBorders>
            <w:vAlign w:val="top"/>
          </w:tcPr>
          <w:p w14:paraId="62966D51">
            <w:pPr>
              <w:jc w:val="center"/>
              <w:rPr>
                <w:rFonts w:hint="default" w:ascii="Times New Roman" w:hAnsi="Times New Roman" w:eastAsia="仿宋_GB2312" w:cs="Times New Roman"/>
                <w:color w:val="auto"/>
                <w:sz w:val="18"/>
                <w:szCs w:val="18"/>
                <w:lang w:val="en-US" w:eastAsia="zh-CN" w:bidi="ar"/>
              </w:rPr>
            </w:pPr>
          </w:p>
        </w:tc>
        <w:tc>
          <w:tcPr>
            <w:tcW w:w="1210" w:type="dxa"/>
            <w:tcBorders>
              <w:tl2br w:val="nil"/>
              <w:tr2bl w:val="nil"/>
            </w:tcBorders>
            <w:vAlign w:val="top"/>
          </w:tcPr>
          <w:p w14:paraId="199C0431">
            <w:pPr>
              <w:jc w:val="center"/>
              <w:rPr>
                <w:rFonts w:hint="default" w:ascii="Times New Roman" w:hAnsi="Times New Roman" w:eastAsia="仿宋_GB2312" w:cs="Times New Roman"/>
                <w:color w:val="auto"/>
                <w:sz w:val="18"/>
                <w:szCs w:val="18"/>
                <w:lang w:val="en-US" w:eastAsia="zh-CN" w:bidi="ar"/>
              </w:rPr>
            </w:pPr>
          </w:p>
        </w:tc>
      </w:tr>
      <w:tr w14:paraId="67A860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59" w:type="dxa"/>
            <w:tcBorders>
              <w:tl2br w:val="nil"/>
              <w:tr2bl w:val="nil"/>
            </w:tcBorders>
            <w:vAlign w:val="top"/>
          </w:tcPr>
          <w:p w14:paraId="30CEB004">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建构筑物工程区</w:t>
            </w:r>
          </w:p>
        </w:tc>
        <w:tc>
          <w:tcPr>
            <w:tcW w:w="1243" w:type="dxa"/>
            <w:tcBorders>
              <w:tl2br w:val="nil"/>
              <w:tr2bl w:val="nil"/>
            </w:tcBorders>
            <w:vAlign w:val="top"/>
          </w:tcPr>
          <w:p w14:paraId="610B70B5">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690" w:type="dxa"/>
            <w:tcBorders>
              <w:tl2br w:val="nil"/>
              <w:tr2bl w:val="nil"/>
            </w:tcBorders>
            <w:vAlign w:val="top"/>
          </w:tcPr>
          <w:p w14:paraId="5DF3D67D">
            <w:pPr>
              <w:jc w:val="center"/>
              <w:rPr>
                <w:rFonts w:hint="default" w:ascii="Times New Roman" w:hAnsi="Times New Roman" w:eastAsia="仿宋_GB2312" w:cs="Times New Roman"/>
                <w:color w:val="auto"/>
                <w:sz w:val="18"/>
                <w:szCs w:val="18"/>
                <w:lang w:val="en-US" w:eastAsia="zh-CN" w:bidi="ar"/>
              </w:rPr>
            </w:pPr>
          </w:p>
        </w:tc>
        <w:tc>
          <w:tcPr>
            <w:tcW w:w="1778" w:type="dxa"/>
            <w:tcBorders>
              <w:tl2br w:val="nil"/>
              <w:tr2bl w:val="nil"/>
            </w:tcBorders>
            <w:vAlign w:val="top"/>
          </w:tcPr>
          <w:p w14:paraId="60FEDCED">
            <w:pPr>
              <w:jc w:val="center"/>
              <w:rPr>
                <w:rFonts w:hint="default" w:ascii="Times New Roman" w:hAnsi="Times New Roman" w:eastAsia="仿宋_GB2312" w:cs="Times New Roman"/>
                <w:color w:val="auto"/>
                <w:sz w:val="18"/>
                <w:szCs w:val="18"/>
                <w:lang w:val="en-US" w:eastAsia="zh-CN" w:bidi="ar"/>
              </w:rPr>
            </w:pPr>
          </w:p>
        </w:tc>
        <w:tc>
          <w:tcPr>
            <w:tcW w:w="1210" w:type="dxa"/>
            <w:tcBorders>
              <w:tl2br w:val="nil"/>
              <w:tr2bl w:val="nil"/>
            </w:tcBorders>
            <w:vAlign w:val="top"/>
          </w:tcPr>
          <w:p w14:paraId="068BCE2A">
            <w:pPr>
              <w:jc w:val="center"/>
              <w:rPr>
                <w:rFonts w:hint="default" w:ascii="Times New Roman" w:hAnsi="Times New Roman" w:eastAsia="仿宋_GB2312" w:cs="Times New Roman"/>
                <w:color w:val="auto"/>
                <w:sz w:val="18"/>
                <w:szCs w:val="18"/>
                <w:lang w:val="en-US" w:eastAsia="zh-CN" w:bidi="ar"/>
              </w:rPr>
            </w:pPr>
          </w:p>
        </w:tc>
      </w:tr>
      <w:tr w14:paraId="43DF04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59" w:type="dxa"/>
            <w:tcBorders>
              <w:tl2br w:val="nil"/>
              <w:tr2bl w:val="nil"/>
            </w:tcBorders>
            <w:vAlign w:val="top"/>
          </w:tcPr>
          <w:p w14:paraId="3684C97D">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硬化工程区</w:t>
            </w:r>
          </w:p>
        </w:tc>
        <w:tc>
          <w:tcPr>
            <w:tcW w:w="1243" w:type="dxa"/>
            <w:tcBorders>
              <w:tl2br w:val="nil"/>
              <w:tr2bl w:val="nil"/>
            </w:tcBorders>
            <w:vAlign w:val="top"/>
          </w:tcPr>
          <w:p w14:paraId="74132E72">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690" w:type="dxa"/>
            <w:tcBorders>
              <w:tl2br w:val="nil"/>
              <w:tr2bl w:val="nil"/>
            </w:tcBorders>
            <w:vAlign w:val="top"/>
          </w:tcPr>
          <w:p w14:paraId="74113ECA">
            <w:pPr>
              <w:jc w:val="center"/>
              <w:rPr>
                <w:rFonts w:hint="default" w:ascii="Times New Roman" w:hAnsi="Times New Roman" w:eastAsia="仿宋_GB2312" w:cs="Times New Roman"/>
                <w:color w:val="auto"/>
                <w:sz w:val="18"/>
                <w:szCs w:val="18"/>
                <w:lang w:val="en-US" w:eastAsia="zh-CN" w:bidi="ar"/>
              </w:rPr>
            </w:pPr>
          </w:p>
        </w:tc>
        <w:tc>
          <w:tcPr>
            <w:tcW w:w="1778" w:type="dxa"/>
            <w:tcBorders>
              <w:tl2br w:val="nil"/>
              <w:tr2bl w:val="nil"/>
            </w:tcBorders>
            <w:vAlign w:val="top"/>
          </w:tcPr>
          <w:p w14:paraId="53297AB6">
            <w:pPr>
              <w:jc w:val="center"/>
              <w:rPr>
                <w:rFonts w:hint="default" w:ascii="Times New Roman" w:hAnsi="Times New Roman" w:eastAsia="仿宋_GB2312" w:cs="Times New Roman"/>
                <w:color w:val="auto"/>
                <w:sz w:val="18"/>
                <w:szCs w:val="18"/>
                <w:lang w:val="en-US" w:eastAsia="zh-CN" w:bidi="ar"/>
              </w:rPr>
            </w:pPr>
          </w:p>
        </w:tc>
        <w:tc>
          <w:tcPr>
            <w:tcW w:w="1210" w:type="dxa"/>
            <w:tcBorders>
              <w:tl2br w:val="nil"/>
              <w:tr2bl w:val="nil"/>
            </w:tcBorders>
            <w:vAlign w:val="top"/>
          </w:tcPr>
          <w:p w14:paraId="7C9B9527">
            <w:pPr>
              <w:jc w:val="center"/>
              <w:rPr>
                <w:rFonts w:hint="default" w:ascii="Times New Roman" w:hAnsi="Times New Roman" w:eastAsia="仿宋_GB2312" w:cs="Times New Roman"/>
                <w:color w:val="auto"/>
                <w:sz w:val="18"/>
                <w:szCs w:val="18"/>
                <w:lang w:val="en-US" w:eastAsia="zh-CN" w:bidi="ar"/>
              </w:rPr>
            </w:pPr>
          </w:p>
        </w:tc>
      </w:tr>
      <w:tr w14:paraId="4DBCE9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59" w:type="dxa"/>
            <w:tcBorders>
              <w:tl2br w:val="nil"/>
              <w:tr2bl w:val="nil"/>
            </w:tcBorders>
            <w:vAlign w:val="top"/>
          </w:tcPr>
          <w:p w14:paraId="04091ABE">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绿化工程区</w:t>
            </w:r>
          </w:p>
        </w:tc>
        <w:tc>
          <w:tcPr>
            <w:tcW w:w="1243" w:type="dxa"/>
            <w:tcBorders>
              <w:tl2br w:val="nil"/>
              <w:tr2bl w:val="nil"/>
            </w:tcBorders>
            <w:vAlign w:val="top"/>
          </w:tcPr>
          <w:p w14:paraId="21F59488">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690" w:type="dxa"/>
            <w:tcBorders>
              <w:tl2br w:val="nil"/>
              <w:tr2bl w:val="nil"/>
            </w:tcBorders>
            <w:vAlign w:val="top"/>
          </w:tcPr>
          <w:p w14:paraId="160F8837">
            <w:pPr>
              <w:jc w:val="center"/>
              <w:rPr>
                <w:rFonts w:hint="default" w:ascii="Times New Roman" w:hAnsi="Times New Roman" w:eastAsia="仿宋_GB2312" w:cs="Times New Roman"/>
                <w:color w:val="auto"/>
                <w:sz w:val="18"/>
                <w:szCs w:val="18"/>
                <w:lang w:val="en-US" w:eastAsia="zh-CN" w:bidi="ar"/>
              </w:rPr>
            </w:pPr>
          </w:p>
        </w:tc>
        <w:tc>
          <w:tcPr>
            <w:tcW w:w="1778" w:type="dxa"/>
            <w:tcBorders>
              <w:tl2br w:val="nil"/>
              <w:tr2bl w:val="nil"/>
            </w:tcBorders>
            <w:vAlign w:val="top"/>
          </w:tcPr>
          <w:p w14:paraId="3EA4483E">
            <w:pPr>
              <w:jc w:val="center"/>
              <w:rPr>
                <w:rFonts w:hint="default" w:ascii="Times New Roman" w:hAnsi="Times New Roman" w:eastAsia="仿宋_GB2312" w:cs="Times New Roman"/>
                <w:color w:val="auto"/>
                <w:sz w:val="18"/>
                <w:szCs w:val="18"/>
                <w:lang w:val="en-US" w:eastAsia="zh-CN" w:bidi="ar"/>
              </w:rPr>
            </w:pPr>
          </w:p>
        </w:tc>
        <w:tc>
          <w:tcPr>
            <w:tcW w:w="1210" w:type="dxa"/>
            <w:tcBorders>
              <w:tl2br w:val="nil"/>
              <w:tr2bl w:val="nil"/>
            </w:tcBorders>
            <w:vAlign w:val="top"/>
          </w:tcPr>
          <w:p w14:paraId="2E9C9E52">
            <w:pPr>
              <w:jc w:val="center"/>
              <w:rPr>
                <w:rFonts w:hint="default" w:ascii="Times New Roman" w:hAnsi="Times New Roman" w:eastAsia="仿宋_GB2312" w:cs="Times New Roman"/>
                <w:color w:val="auto"/>
                <w:sz w:val="18"/>
                <w:szCs w:val="18"/>
                <w:lang w:val="en-US" w:eastAsia="zh-CN" w:bidi="ar"/>
              </w:rPr>
            </w:pPr>
          </w:p>
        </w:tc>
      </w:tr>
      <w:tr w14:paraId="168D28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59" w:type="dxa"/>
            <w:tcBorders>
              <w:tl2br w:val="nil"/>
              <w:tr2bl w:val="nil"/>
            </w:tcBorders>
            <w:vAlign w:val="top"/>
          </w:tcPr>
          <w:p w14:paraId="271A98E9">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（二）其他临时工程</w:t>
            </w:r>
          </w:p>
        </w:tc>
        <w:tc>
          <w:tcPr>
            <w:tcW w:w="1243" w:type="dxa"/>
            <w:tcBorders>
              <w:tl2br w:val="nil"/>
              <w:tr2bl w:val="nil"/>
            </w:tcBorders>
            <w:vAlign w:val="top"/>
          </w:tcPr>
          <w:p w14:paraId="045BF281">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0.42</w:t>
            </w:r>
          </w:p>
        </w:tc>
        <w:tc>
          <w:tcPr>
            <w:tcW w:w="1690" w:type="dxa"/>
            <w:tcBorders>
              <w:tl2br w:val="nil"/>
              <w:tr2bl w:val="nil"/>
            </w:tcBorders>
            <w:vAlign w:val="top"/>
          </w:tcPr>
          <w:p w14:paraId="74A0E2EB">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0.28</w:t>
            </w:r>
          </w:p>
        </w:tc>
        <w:tc>
          <w:tcPr>
            <w:tcW w:w="1778" w:type="dxa"/>
            <w:tcBorders>
              <w:tl2br w:val="nil"/>
              <w:tr2bl w:val="nil"/>
            </w:tcBorders>
            <w:vAlign w:val="top"/>
          </w:tcPr>
          <w:p w14:paraId="1DD4C09B">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0.14</w:t>
            </w:r>
          </w:p>
        </w:tc>
        <w:tc>
          <w:tcPr>
            <w:tcW w:w="1210" w:type="dxa"/>
            <w:tcBorders>
              <w:tl2br w:val="nil"/>
              <w:tr2bl w:val="nil"/>
            </w:tcBorders>
            <w:vAlign w:val="top"/>
          </w:tcPr>
          <w:p w14:paraId="58C30592">
            <w:pPr>
              <w:jc w:val="center"/>
              <w:rPr>
                <w:rFonts w:hint="default" w:ascii="Times New Roman" w:hAnsi="Times New Roman" w:eastAsia="仿宋_GB2312" w:cs="Times New Roman"/>
                <w:color w:val="auto"/>
                <w:sz w:val="18"/>
                <w:szCs w:val="18"/>
                <w:lang w:val="en-US" w:eastAsia="zh-CN" w:bidi="ar"/>
              </w:rPr>
            </w:pPr>
          </w:p>
        </w:tc>
      </w:tr>
      <w:tr w14:paraId="74E630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59" w:type="dxa"/>
            <w:tcBorders>
              <w:tl2br w:val="nil"/>
              <w:tr2bl w:val="nil"/>
            </w:tcBorders>
            <w:vAlign w:val="top"/>
          </w:tcPr>
          <w:p w14:paraId="4D41149D">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五、独立费用</w:t>
            </w:r>
          </w:p>
        </w:tc>
        <w:tc>
          <w:tcPr>
            <w:tcW w:w="1243" w:type="dxa"/>
            <w:tcBorders>
              <w:tl2br w:val="nil"/>
              <w:tr2bl w:val="nil"/>
            </w:tcBorders>
            <w:vAlign w:val="top"/>
          </w:tcPr>
          <w:p w14:paraId="59BE0CBA">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15.70 </w:t>
            </w:r>
          </w:p>
        </w:tc>
        <w:tc>
          <w:tcPr>
            <w:tcW w:w="1690" w:type="dxa"/>
            <w:tcBorders>
              <w:tl2br w:val="nil"/>
              <w:tr2bl w:val="nil"/>
            </w:tcBorders>
            <w:vAlign w:val="top"/>
          </w:tcPr>
          <w:p w14:paraId="63A6E239">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10.20 </w:t>
            </w:r>
          </w:p>
        </w:tc>
        <w:tc>
          <w:tcPr>
            <w:tcW w:w="1778" w:type="dxa"/>
            <w:tcBorders>
              <w:tl2br w:val="nil"/>
              <w:tr2bl w:val="nil"/>
            </w:tcBorders>
            <w:vAlign w:val="top"/>
          </w:tcPr>
          <w:p w14:paraId="70CD3ED8">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4.30 </w:t>
            </w:r>
          </w:p>
        </w:tc>
        <w:tc>
          <w:tcPr>
            <w:tcW w:w="1210" w:type="dxa"/>
            <w:tcBorders>
              <w:tl2br w:val="nil"/>
              <w:tr2bl w:val="nil"/>
            </w:tcBorders>
            <w:vAlign w:val="top"/>
          </w:tcPr>
          <w:p w14:paraId="2A0D478B">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1.20 </w:t>
            </w:r>
          </w:p>
        </w:tc>
      </w:tr>
      <w:tr w14:paraId="3D52CB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59" w:type="dxa"/>
            <w:tcBorders>
              <w:tl2br w:val="nil"/>
              <w:tr2bl w:val="nil"/>
            </w:tcBorders>
            <w:shd w:val="clear" w:color="auto" w:fill="auto"/>
            <w:vAlign w:val="center"/>
          </w:tcPr>
          <w:p w14:paraId="7E9CCFDF">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（一）建设管理费</w:t>
            </w:r>
          </w:p>
        </w:tc>
        <w:tc>
          <w:tcPr>
            <w:tcW w:w="1243" w:type="dxa"/>
            <w:tcBorders>
              <w:tl2br w:val="nil"/>
              <w:tr2bl w:val="nil"/>
            </w:tcBorders>
            <w:vAlign w:val="top"/>
          </w:tcPr>
          <w:p w14:paraId="3DCF849D">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0.42 </w:t>
            </w:r>
          </w:p>
        </w:tc>
        <w:tc>
          <w:tcPr>
            <w:tcW w:w="1690" w:type="dxa"/>
            <w:tcBorders>
              <w:tl2br w:val="nil"/>
              <w:tr2bl w:val="nil"/>
            </w:tcBorders>
            <w:vAlign w:val="top"/>
          </w:tcPr>
          <w:p w14:paraId="13674AB7">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0.22 </w:t>
            </w:r>
          </w:p>
        </w:tc>
        <w:tc>
          <w:tcPr>
            <w:tcW w:w="1778" w:type="dxa"/>
            <w:tcBorders>
              <w:tl2br w:val="nil"/>
              <w:tr2bl w:val="nil"/>
            </w:tcBorders>
            <w:vAlign w:val="top"/>
          </w:tcPr>
          <w:p w14:paraId="165853D8">
            <w:pPr>
              <w:jc w:val="center"/>
              <w:rPr>
                <w:rFonts w:hint="default" w:ascii="Times New Roman" w:hAnsi="Times New Roman" w:eastAsia="仿宋_GB2312" w:cs="Times New Roman"/>
                <w:color w:val="auto"/>
                <w:sz w:val="18"/>
                <w:szCs w:val="18"/>
                <w:lang w:val="en-US" w:eastAsia="zh-CN" w:bidi="ar"/>
              </w:rPr>
            </w:pPr>
          </w:p>
        </w:tc>
        <w:tc>
          <w:tcPr>
            <w:tcW w:w="1210" w:type="dxa"/>
            <w:tcBorders>
              <w:tl2br w:val="nil"/>
              <w:tr2bl w:val="nil"/>
            </w:tcBorders>
            <w:vAlign w:val="top"/>
          </w:tcPr>
          <w:p w14:paraId="78FD5BAF">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0.20 </w:t>
            </w:r>
          </w:p>
        </w:tc>
      </w:tr>
      <w:tr w14:paraId="79E47C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59" w:type="dxa"/>
            <w:tcBorders>
              <w:tl2br w:val="nil"/>
              <w:tr2bl w:val="nil"/>
            </w:tcBorders>
            <w:shd w:val="clear" w:color="auto" w:fill="auto"/>
            <w:vAlign w:val="center"/>
          </w:tcPr>
          <w:p w14:paraId="14808AB3">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（二）科研勘测设计费</w:t>
            </w:r>
          </w:p>
        </w:tc>
        <w:tc>
          <w:tcPr>
            <w:tcW w:w="1243" w:type="dxa"/>
            <w:tcBorders>
              <w:tl2br w:val="nil"/>
              <w:tr2bl w:val="nil"/>
            </w:tcBorders>
            <w:vAlign w:val="top"/>
          </w:tcPr>
          <w:p w14:paraId="669ECFE8">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15.28 </w:t>
            </w:r>
          </w:p>
        </w:tc>
        <w:tc>
          <w:tcPr>
            <w:tcW w:w="1690" w:type="dxa"/>
            <w:tcBorders>
              <w:tl2br w:val="nil"/>
              <w:tr2bl w:val="nil"/>
            </w:tcBorders>
            <w:vAlign w:val="top"/>
          </w:tcPr>
          <w:p w14:paraId="2411BE17">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9.98 </w:t>
            </w:r>
          </w:p>
        </w:tc>
        <w:tc>
          <w:tcPr>
            <w:tcW w:w="1778" w:type="dxa"/>
            <w:tcBorders>
              <w:tl2br w:val="nil"/>
              <w:tr2bl w:val="nil"/>
            </w:tcBorders>
            <w:vAlign w:val="top"/>
          </w:tcPr>
          <w:p w14:paraId="1F96D315">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4.30 </w:t>
            </w:r>
          </w:p>
        </w:tc>
        <w:tc>
          <w:tcPr>
            <w:tcW w:w="1210" w:type="dxa"/>
            <w:tcBorders>
              <w:tl2br w:val="nil"/>
              <w:tr2bl w:val="nil"/>
            </w:tcBorders>
            <w:vAlign w:val="top"/>
          </w:tcPr>
          <w:p w14:paraId="54D32A82">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1.00 </w:t>
            </w:r>
          </w:p>
        </w:tc>
      </w:tr>
      <w:tr w14:paraId="7784AF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59" w:type="dxa"/>
            <w:tcBorders>
              <w:tl2br w:val="nil"/>
              <w:tr2bl w:val="nil"/>
            </w:tcBorders>
            <w:shd w:val="clear" w:color="auto" w:fill="auto"/>
            <w:vAlign w:val="center"/>
          </w:tcPr>
          <w:p w14:paraId="0BB8C1B2">
            <w:pPr>
              <w:keepNext w:val="0"/>
              <w:keepLines w:val="0"/>
              <w:widowControl/>
              <w:suppressLineNumbers w:val="0"/>
              <w:jc w:val="center"/>
              <w:textAlignment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（三）水土保持监理费</w:t>
            </w:r>
          </w:p>
        </w:tc>
        <w:tc>
          <w:tcPr>
            <w:tcW w:w="1243" w:type="dxa"/>
            <w:tcBorders>
              <w:tl2br w:val="nil"/>
              <w:tr2bl w:val="nil"/>
            </w:tcBorders>
            <w:vAlign w:val="top"/>
          </w:tcPr>
          <w:p w14:paraId="5711A688">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690" w:type="dxa"/>
            <w:tcBorders>
              <w:tl2br w:val="nil"/>
              <w:tr2bl w:val="nil"/>
            </w:tcBorders>
            <w:vAlign w:val="top"/>
          </w:tcPr>
          <w:p w14:paraId="36EDEE81">
            <w:pPr>
              <w:jc w:val="center"/>
              <w:rPr>
                <w:rFonts w:hint="default" w:ascii="Times New Roman" w:hAnsi="Times New Roman" w:eastAsia="仿宋_GB2312" w:cs="Times New Roman"/>
                <w:color w:val="auto"/>
                <w:sz w:val="18"/>
                <w:szCs w:val="18"/>
                <w:lang w:val="en-US" w:eastAsia="zh-CN" w:bidi="ar"/>
              </w:rPr>
            </w:pPr>
          </w:p>
        </w:tc>
        <w:tc>
          <w:tcPr>
            <w:tcW w:w="1778" w:type="dxa"/>
            <w:tcBorders>
              <w:tl2br w:val="nil"/>
              <w:tr2bl w:val="nil"/>
            </w:tcBorders>
            <w:vAlign w:val="top"/>
          </w:tcPr>
          <w:p w14:paraId="4DFAAA14">
            <w:pPr>
              <w:jc w:val="center"/>
              <w:rPr>
                <w:rFonts w:hint="default" w:ascii="Times New Roman" w:hAnsi="Times New Roman" w:eastAsia="仿宋_GB2312" w:cs="Times New Roman"/>
                <w:color w:val="auto"/>
                <w:sz w:val="18"/>
                <w:szCs w:val="18"/>
                <w:lang w:val="en-US" w:eastAsia="zh-CN" w:bidi="ar"/>
              </w:rPr>
            </w:pPr>
          </w:p>
        </w:tc>
        <w:tc>
          <w:tcPr>
            <w:tcW w:w="1210" w:type="dxa"/>
            <w:tcBorders>
              <w:tl2br w:val="nil"/>
              <w:tr2bl w:val="nil"/>
            </w:tcBorders>
            <w:vAlign w:val="top"/>
          </w:tcPr>
          <w:p w14:paraId="40FB0183">
            <w:pPr>
              <w:jc w:val="center"/>
              <w:rPr>
                <w:rFonts w:hint="default" w:ascii="Times New Roman" w:hAnsi="Times New Roman" w:eastAsia="仿宋_GB2312" w:cs="Times New Roman"/>
                <w:color w:val="auto"/>
                <w:sz w:val="18"/>
                <w:szCs w:val="18"/>
                <w:lang w:val="en-US" w:eastAsia="zh-CN" w:bidi="ar"/>
              </w:rPr>
            </w:pPr>
          </w:p>
        </w:tc>
      </w:tr>
      <w:tr w14:paraId="39DA18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959" w:type="dxa"/>
            <w:tcBorders>
              <w:tl2br w:val="nil"/>
              <w:tr2bl w:val="nil"/>
            </w:tcBorders>
            <w:vAlign w:val="top"/>
          </w:tcPr>
          <w:p w14:paraId="1742C026">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一至五部分合计</w:t>
            </w:r>
          </w:p>
        </w:tc>
        <w:tc>
          <w:tcPr>
            <w:tcW w:w="1243" w:type="dxa"/>
            <w:tcBorders>
              <w:tl2br w:val="nil"/>
              <w:tr2bl w:val="nil"/>
            </w:tcBorders>
            <w:vAlign w:val="top"/>
          </w:tcPr>
          <w:p w14:paraId="436077A1">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37.17 </w:t>
            </w:r>
          </w:p>
        </w:tc>
        <w:tc>
          <w:tcPr>
            <w:tcW w:w="1690" w:type="dxa"/>
            <w:tcBorders>
              <w:tl2br w:val="nil"/>
              <w:tr2bl w:val="nil"/>
            </w:tcBorders>
            <w:vAlign w:val="top"/>
          </w:tcPr>
          <w:p w14:paraId="226D47A5">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23.40 </w:t>
            </w:r>
          </w:p>
        </w:tc>
        <w:tc>
          <w:tcPr>
            <w:tcW w:w="1778" w:type="dxa"/>
            <w:tcBorders>
              <w:tl2br w:val="nil"/>
              <w:tr2bl w:val="nil"/>
            </w:tcBorders>
            <w:vAlign w:val="top"/>
          </w:tcPr>
          <w:p w14:paraId="63A27B22">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12.57 </w:t>
            </w:r>
          </w:p>
        </w:tc>
        <w:tc>
          <w:tcPr>
            <w:tcW w:w="1210" w:type="dxa"/>
            <w:tcBorders>
              <w:tl2br w:val="nil"/>
              <w:tr2bl w:val="nil"/>
            </w:tcBorders>
            <w:vAlign w:val="top"/>
          </w:tcPr>
          <w:p w14:paraId="47092677">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1.20 </w:t>
            </w:r>
          </w:p>
        </w:tc>
      </w:tr>
      <w:tr w14:paraId="67C95C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959" w:type="dxa"/>
            <w:tcBorders>
              <w:tl2br w:val="nil"/>
              <w:tr2bl w:val="nil"/>
            </w:tcBorders>
            <w:vAlign w:val="top"/>
          </w:tcPr>
          <w:p w14:paraId="061E0D67">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预备费</w:t>
            </w:r>
          </w:p>
        </w:tc>
        <w:tc>
          <w:tcPr>
            <w:tcW w:w="1243" w:type="dxa"/>
            <w:tcBorders>
              <w:tl2br w:val="nil"/>
              <w:tr2bl w:val="nil"/>
            </w:tcBorders>
            <w:vAlign w:val="top"/>
          </w:tcPr>
          <w:p w14:paraId="192342BC">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690" w:type="dxa"/>
            <w:tcBorders>
              <w:tl2br w:val="nil"/>
              <w:tr2bl w:val="nil"/>
            </w:tcBorders>
            <w:vAlign w:val="top"/>
          </w:tcPr>
          <w:p w14:paraId="1983FC1B">
            <w:pPr>
              <w:jc w:val="center"/>
              <w:rPr>
                <w:rFonts w:hint="default" w:ascii="Times New Roman" w:hAnsi="Times New Roman" w:eastAsia="仿宋_GB2312" w:cs="Times New Roman"/>
                <w:color w:val="auto"/>
                <w:sz w:val="18"/>
                <w:szCs w:val="18"/>
                <w:lang w:val="en-US" w:eastAsia="zh-CN" w:bidi="ar"/>
              </w:rPr>
            </w:pPr>
          </w:p>
        </w:tc>
        <w:tc>
          <w:tcPr>
            <w:tcW w:w="1778" w:type="dxa"/>
            <w:tcBorders>
              <w:tl2br w:val="nil"/>
              <w:tr2bl w:val="nil"/>
            </w:tcBorders>
            <w:vAlign w:val="top"/>
          </w:tcPr>
          <w:p w14:paraId="6E02A10A">
            <w:pPr>
              <w:jc w:val="center"/>
              <w:rPr>
                <w:rFonts w:hint="default" w:ascii="Times New Roman" w:hAnsi="Times New Roman" w:eastAsia="仿宋_GB2312" w:cs="Times New Roman"/>
                <w:color w:val="auto"/>
                <w:sz w:val="18"/>
                <w:szCs w:val="18"/>
                <w:lang w:val="en-US" w:eastAsia="zh-CN" w:bidi="ar"/>
              </w:rPr>
            </w:pPr>
          </w:p>
        </w:tc>
        <w:tc>
          <w:tcPr>
            <w:tcW w:w="1210" w:type="dxa"/>
            <w:tcBorders>
              <w:tl2br w:val="nil"/>
              <w:tr2bl w:val="nil"/>
            </w:tcBorders>
            <w:vAlign w:val="top"/>
          </w:tcPr>
          <w:p w14:paraId="3096A22D">
            <w:pPr>
              <w:jc w:val="center"/>
              <w:rPr>
                <w:rFonts w:hint="default" w:ascii="Times New Roman" w:hAnsi="Times New Roman" w:eastAsia="宋体" w:cs="Times New Roman"/>
                <w:i w:val="0"/>
                <w:iCs w:val="0"/>
                <w:color w:val="000000"/>
                <w:kern w:val="0"/>
                <w:sz w:val="18"/>
                <w:szCs w:val="18"/>
                <w:u w:val="none"/>
                <w:lang w:val="en-US" w:eastAsia="zh-CN" w:bidi="ar"/>
              </w:rPr>
            </w:pPr>
          </w:p>
        </w:tc>
      </w:tr>
      <w:tr w14:paraId="6F64F3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2959" w:type="dxa"/>
            <w:tcBorders>
              <w:tl2br w:val="nil"/>
              <w:tr2bl w:val="nil"/>
            </w:tcBorders>
            <w:vAlign w:val="top"/>
          </w:tcPr>
          <w:p w14:paraId="386D3019">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水土保持补偿费</w:t>
            </w:r>
          </w:p>
        </w:tc>
        <w:tc>
          <w:tcPr>
            <w:tcW w:w="1243" w:type="dxa"/>
            <w:tcBorders>
              <w:tl2br w:val="nil"/>
              <w:tr2bl w:val="nil"/>
            </w:tcBorders>
            <w:vAlign w:val="top"/>
          </w:tcPr>
          <w:p w14:paraId="7B0B7704">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0.43</w:t>
            </w:r>
          </w:p>
        </w:tc>
        <w:tc>
          <w:tcPr>
            <w:tcW w:w="1690" w:type="dxa"/>
            <w:tcBorders>
              <w:tl2br w:val="nil"/>
              <w:tr2bl w:val="nil"/>
            </w:tcBorders>
            <w:vAlign w:val="top"/>
          </w:tcPr>
          <w:p w14:paraId="4708BACA">
            <w:pPr>
              <w:jc w:val="center"/>
              <w:rPr>
                <w:rFonts w:hint="default" w:ascii="Times New Roman" w:hAnsi="Times New Roman" w:eastAsia="仿宋_GB2312" w:cs="Times New Roman"/>
                <w:color w:val="auto"/>
                <w:sz w:val="18"/>
                <w:szCs w:val="18"/>
                <w:lang w:val="en-US" w:eastAsia="zh-CN" w:bidi="ar"/>
              </w:rPr>
            </w:pPr>
          </w:p>
        </w:tc>
        <w:tc>
          <w:tcPr>
            <w:tcW w:w="1778" w:type="dxa"/>
            <w:tcBorders>
              <w:tl2br w:val="nil"/>
              <w:tr2bl w:val="nil"/>
            </w:tcBorders>
            <w:vAlign w:val="top"/>
          </w:tcPr>
          <w:p w14:paraId="45AAB332">
            <w:pPr>
              <w:jc w:val="center"/>
              <w:rPr>
                <w:rFonts w:hint="default" w:ascii="Times New Roman" w:hAnsi="Times New Roman" w:eastAsia="仿宋_GB2312" w:cs="Times New Roman"/>
                <w:color w:val="auto"/>
                <w:sz w:val="18"/>
                <w:szCs w:val="18"/>
                <w:lang w:val="en-US" w:eastAsia="zh-CN" w:bidi="ar"/>
              </w:rPr>
            </w:pPr>
          </w:p>
        </w:tc>
        <w:tc>
          <w:tcPr>
            <w:tcW w:w="1210" w:type="dxa"/>
            <w:tcBorders>
              <w:tl2br w:val="nil"/>
              <w:tr2bl w:val="nil"/>
            </w:tcBorders>
            <w:vAlign w:val="top"/>
          </w:tcPr>
          <w:p w14:paraId="113E7138">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0.43</w:t>
            </w:r>
          </w:p>
        </w:tc>
      </w:tr>
      <w:tr w14:paraId="109F60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959" w:type="dxa"/>
            <w:tcBorders>
              <w:tl2br w:val="nil"/>
              <w:tr2bl w:val="nil"/>
            </w:tcBorders>
            <w:vAlign w:val="top"/>
          </w:tcPr>
          <w:p w14:paraId="5B90D5BA">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水土保持总投资</w:t>
            </w:r>
          </w:p>
        </w:tc>
        <w:tc>
          <w:tcPr>
            <w:tcW w:w="1243" w:type="dxa"/>
            <w:tcBorders>
              <w:tl2br w:val="nil"/>
              <w:tr2bl w:val="nil"/>
            </w:tcBorders>
            <w:vAlign w:val="top"/>
          </w:tcPr>
          <w:p w14:paraId="417E827C">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37.60 </w:t>
            </w:r>
          </w:p>
        </w:tc>
        <w:tc>
          <w:tcPr>
            <w:tcW w:w="1690" w:type="dxa"/>
            <w:tcBorders>
              <w:tl2br w:val="nil"/>
              <w:tr2bl w:val="nil"/>
            </w:tcBorders>
            <w:vAlign w:val="top"/>
          </w:tcPr>
          <w:p w14:paraId="4FBA7A1B">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23.40 </w:t>
            </w:r>
          </w:p>
        </w:tc>
        <w:tc>
          <w:tcPr>
            <w:tcW w:w="1778" w:type="dxa"/>
            <w:tcBorders>
              <w:tl2br w:val="nil"/>
              <w:tr2bl w:val="nil"/>
            </w:tcBorders>
            <w:vAlign w:val="top"/>
          </w:tcPr>
          <w:p w14:paraId="1B768015">
            <w:pPr>
              <w:keepNext w:val="0"/>
              <w:keepLines w:val="0"/>
              <w:widowControl/>
              <w:suppressLineNumbers w:val="0"/>
              <w:jc w:val="center"/>
              <w:textAlignment w:val="top"/>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12.57 </w:t>
            </w:r>
          </w:p>
        </w:tc>
        <w:tc>
          <w:tcPr>
            <w:tcW w:w="1210" w:type="dxa"/>
            <w:tcBorders>
              <w:tl2br w:val="nil"/>
              <w:tr2bl w:val="nil"/>
            </w:tcBorders>
            <w:vAlign w:val="top"/>
          </w:tcPr>
          <w:p w14:paraId="5115D777">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1.63 </w:t>
            </w:r>
          </w:p>
        </w:tc>
      </w:tr>
    </w:tbl>
    <w:p w14:paraId="1DB3E4C7">
      <w:pPr>
        <w:keepNext w:val="0"/>
        <w:keepLines w:val="0"/>
        <w:pageBreakBefore w:val="0"/>
        <w:widowControl w:val="0"/>
        <w:kinsoku/>
        <w:wordWrap/>
        <w:overflowPunct/>
        <w:topLinePunct w:val="0"/>
        <w:autoSpaceDE/>
        <w:autoSpaceDN/>
        <w:bidi w:val="0"/>
        <w:adjustRightInd/>
        <w:snapToGrid/>
        <w:spacing w:beforeLines="50" w:line="240" w:lineRule="auto"/>
        <w:jc w:val="center"/>
        <w:textAlignment w:val="auto"/>
        <w:rPr>
          <w:rFonts w:hint="default" w:ascii="Times New Roman" w:hAnsi="Times New Roman" w:eastAsia="仿宋_GB2312" w:cs="Times New Roman"/>
          <w:b/>
          <w:bCs/>
          <w:color w:val="auto"/>
          <w:sz w:val="21"/>
          <w:lang w:val="en-US" w:eastAsia="zh-CN"/>
        </w:rPr>
      </w:pPr>
      <w:r>
        <w:rPr>
          <w:rFonts w:hint="default" w:ascii="Times New Roman" w:hAnsi="Times New Roman" w:eastAsia="仿宋_GB2312" w:cs="Times New Roman"/>
          <w:b/>
          <w:bCs/>
          <w:color w:val="auto"/>
          <w:sz w:val="21"/>
        </w:rPr>
        <w:t>表7.1-</w:t>
      </w:r>
      <w:r>
        <w:rPr>
          <w:rFonts w:hint="default" w:ascii="Times New Roman" w:hAnsi="Times New Roman" w:eastAsia="仿宋_GB2312" w:cs="Times New Roman"/>
          <w:b/>
          <w:bCs/>
          <w:color w:val="auto"/>
          <w:sz w:val="21"/>
          <w:lang w:val="en-US" w:eastAsia="zh-CN"/>
        </w:rPr>
        <w:t>7</w:t>
      </w:r>
      <w:r>
        <w:rPr>
          <w:rFonts w:hint="default" w:ascii="Times New Roman" w:hAnsi="Times New Roman" w:eastAsia="仿宋_GB2312" w:cs="Times New Roman"/>
          <w:b/>
          <w:bCs/>
          <w:color w:val="auto"/>
          <w:sz w:val="21"/>
        </w:rPr>
        <w:t xml:space="preserve">  </w:t>
      </w:r>
      <w:r>
        <w:rPr>
          <w:rFonts w:hint="default" w:ascii="Times New Roman" w:hAnsi="Times New Roman" w:eastAsia="仿宋_GB2312" w:cs="Times New Roman"/>
          <w:b/>
          <w:bCs/>
          <w:color w:val="auto"/>
          <w:sz w:val="21"/>
          <w:lang w:val="en-US" w:eastAsia="zh-CN"/>
        </w:rPr>
        <w:t>工程单价汇总表</w:t>
      </w:r>
    </w:p>
    <w:tbl>
      <w:tblPr>
        <w:tblStyle w:val="18"/>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397"/>
        <w:gridCol w:w="742"/>
        <w:gridCol w:w="800"/>
        <w:gridCol w:w="895"/>
        <w:gridCol w:w="624"/>
        <w:gridCol w:w="804"/>
        <w:gridCol w:w="715"/>
        <w:gridCol w:w="624"/>
        <w:gridCol w:w="715"/>
        <w:gridCol w:w="715"/>
        <w:gridCol w:w="804"/>
        <w:gridCol w:w="715"/>
        <w:gridCol w:w="540"/>
      </w:tblGrid>
      <w:tr w14:paraId="572625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218" w:type="pct"/>
            <w:vMerge w:val="restart"/>
            <w:tcBorders>
              <w:tl2br w:val="nil"/>
              <w:tr2bl w:val="nil"/>
            </w:tcBorders>
            <w:shd w:val="clear" w:color="auto" w:fill="auto"/>
            <w:vAlign w:val="center"/>
          </w:tcPr>
          <w:p w14:paraId="27802525">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序号</w:t>
            </w:r>
          </w:p>
        </w:tc>
        <w:tc>
          <w:tcPr>
            <w:tcW w:w="408" w:type="pct"/>
            <w:vMerge w:val="restart"/>
            <w:tcBorders>
              <w:tl2br w:val="nil"/>
              <w:tr2bl w:val="nil"/>
            </w:tcBorders>
            <w:shd w:val="clear" w:color="auto" w:fill="auto"/>
            <w:vAlign w:val="center"/>
          </w:tcPr>
          <w:p w14:paraId="2BC639F2">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工程</w:t>
            </w:r>
          </w:p>
          <w:p w14:paraId="172AF256">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名称</w:t>
            </w:r>
          </w:p>
        </w:tc>
        <w:tc>
          <w:tcPr>
            <w:tcW w:w="440" w:type="pct"/>
            <w:vMerge w:val="restart"/>
            <w:tcBorders>
              <w:tl2br w:val="nil"/>
              <w:tr2bl w:val="nil"/>
            </w:tcBorders>
            <w:shd w:val="clear" w:color="auto" w:fill="auto"/>
            <w:vAlign w:val="center"/>
          </w:tcPr>
          <w:p w14:paraId="1FED51D1">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单位</w:t>
            </w:r>
          </w:p>
        </w:tc>
        <w:tc>
          <w:tcPr>
            <w:tcW w:w="492" w:type="pct"/>
            <w:vMerge w:val="restart"/>
            <w:tcBorders>
              <w:tl2br w:val="nil"/>
              <w:tr2bl w:val="nil"/>
            </w:tcBorders>
            <w:shd w:val="clear" w:color="auto" w:fill="auto"/>
            <w:vAlign w:val="center"/>
          </w:tcPr>
          <w:p w14:paraId="3D8940D7">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单价</w:t>
            </w:r>
          </w:p>
        </w:tc>
        <w:tc>
          <w:tcPr>
            <w:tcW w:w="3439" w:type="pct"/>
            <w:gridSpan w:val="9"/>
            <w:tcBorders>
              <w:tl2br w:val="nil"/>
              <w:tr2bl w:val="nil"/>
            </w:tcBorders>
            <w:shd w:val="clear" w:color="auto" w:fill="auto"/>
            <w:vAlign w:val="center"/>
          </w:tcPr>
          <w:p w14:paraId="565B8094">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其    中</w:t>
            </w:r>
          </w:p>
        </w:tc>
      </w:tr>
      <w:tr w14:paraId="471C68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6" w:hRule="atLeast"/>
        </w:trPr>
        <w:tc>
          <w:tcPr>
            <w:tcW w:w="218" w:type="pct"/>
            <w:vMerge w:val="continue"/>
            <w:tcBorders>
              <w:tl2br w:val="nil"/>
              <w:tr2bl w:val="nil"/>
            </w:tcBorders>
            <w:shd w:val="clear" w:color="auto" w:fill="auto"/>
            <w:vAlign w:val="center"/>
          </w:tcPr>
          <w:p w14:paraId="2AF151F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408" w:type="pct"/>
            <w:vMerge w:val="continue"/>
            <w:tcBorders>
              <w:tl2br w:val="nil"/>
              <w:tr2bl w:val="nil"/>
            </w:tcBorders>
            <w:shd w:val="clear" w:color="auto" w:fill="auto"/>
            <w:vAlign w:val="center"/>
          </w:tcPr>
          <w:p w14:paraId="075EC6CA">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440" w:type="pct"/>
            <w:vMerge w:val="continue"/>
            <w:tcBorders>
              <w:tl2br w:val="nil"/>
              <w:tr2bl w:val="nil"/>
            </w:tcBorders>
            <w:shd w:val="clear" w:color="auto" w:fill="auto"/>
            <w:vAlign w:val="center"/>
          </w:tcPr>
          <w:p w14:paraId="1A2E9442">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492" w:type="pct"/>
            <w:vMerge w:val="continue"/>
            <w:tcBorders>
              <w:tl2br w:val="nil"/>
              <w:tr2bl w:val="nil"/>
            </w:tcBorders>
            <w:shd w:val="clear" w:color="auto" w:fill="auto"/>
            <w:vAlign w:val="center"/>
          </w:tcPr>
          <w:p w14:paraId="093F5E95">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343" w:type="pct"/>
            <w:tcBorders>
              <w:tl2br w:val="nil"/>
              <w:tr2bl w:val="nil"/>
            </w:tcBorders>
            <w:shd w:val="clear" w:color="auto" w:fill="auto"/>
            <w:vAlign w:val="center"/>
          </w:tcPr>
          <w:p w14:paraId="4569702A">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人工费</w:t>
            </w:r>
          </w:p>
        </w:tc>
        <w:tc>
          <w:tcPr>
            <w:tcW w:w="442" w:type="pct"/>
            <w:tcBorders>
              <w:tl2br w:val="nil"/>
              <w:tr2bl w:val="nil"/>
            </w:tcBorders>
            <w:shd w:val="clear" w:color="auto" w:fill="auto"/>
            <w:vAlign w:val="center"/>
          </w:tcPr>
          <w:p w14:paraId="050878E1">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材料费</w:t>
            </w:r>
          </w:p>
        </w:tc>
        <w:tc>
          <w:tcPr>
            <w:tcW w:w="393" w:type="pct"/>
            <w:tcBorders>
              <w:tl2br w:val="nil"/>
              <w:tr2bl w:val="nil"/>
            </w:tcBorders>
            <w:shd w:val="clear" w:color="auto" w:fill="auto"/>
            <w:vAlign w:val="center"/>
          </w:tcPr>
          <w:p w14:paraId="3337F2EB">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机械</w:t>
            </w:r>
          </w:p>
          <w:p w14:paraId="5FAD94FF">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使用费</w:t>
            </w:r>
          </w:p>
        </w:tc>
        <w:tc>
          <w:tcPr>
            <w:tcW w:w="343" w:type="pct"/>
            <w:tcBorders>
              <w:tl2br w:val="nil"/>
              <w:tr2bl w:val="nil"/>
            </w:tcBorders>
            <w:shd w:val="clear" w:color="auto" w:fill="auto"/>
            <w:vAlign w:val="center"/>
          </w:tcPr>
          <w:p w14:paraId="549C3755">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其他</w:t>
            </w:r>
          </w:p>
          <w:p w14:paraId="6AC09AD0">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直接费</w:t>
            </w:r>
          </w:p>
        </w:tc>
        <w:tc>
          <w:tcPr>
            <w:tcW w:w="393" w:type="pct"/>
            <w:tcBorders>
              <w:tl2br w:val="nil"/>
              <w:tr2bl w:val="nil"/>
            </w:tcBorders>
            <w:shd w:val="clear" w:color="auto" w:fill="auto"/>
            <w:vAlign w:val="center"/>
          </w:tcPr>
          <w:p w14:paraId="5DA59673">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间接费</w:t>
            </w:r>
          </w:p>
        </w:tc>
        <w:tc>
          <w:tcPr>
            <w:tcW w:w="393" w:type="pct"/>
            <w:tcBorders>
              <w:tl2br w:val="nil"/>
              <w:tr2bl w:val="nil"/>
            </w:tcBorders>
            <w:shd w:val="clear" w:color="auto" w:fill="auto"/>
            <w:vAlign w:val="center"/>
          </w:tcPr>
          <w:p w14:paraId="7978EB1D">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利润</w:t>
            </w:r>
          </w:p>
        </w:tc>
        <w:tc>
          <w:tcPr>
            <w:tcW w:w="442" w:type="pct"/>
            <w:tcBorders>
              <w:tl2br w:val="nil"/>
              <w:tr2bl w:val="nil"/>
            </w:tcBorders>
            <w:shd w:val="clear" w:color="auto" w:fill="auto"/>
            <w:vAlign w:val="center"/>
          </w:tcPr>
          <w:p w14:paraId="362BE256">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材料补差</w:t>
            </w:r>
          </w:p>
        </w:tc>
        <w:tc>
          <w:tcPr>
            <w:tcW w:w="393" w:type="pct"/>
            <w:tcBorders>
              <w:tl2br w:val="nil"/>
              <w:tr2bl w:val="nil"/>
            </w:tcBorders>
            <w:shd w:val="clear" w:color="auto" w:fill="auto"/>
            <w:vAlign w:val="center"/>
          </w:tcPr>
          <w:p w14:paraId="6235D677">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税金</w:t>
            </w:r>
          </w:p>
        </w:tc>
        <w:tc>
          <w:tcPr>
            <w:tcW w:w="294" w:type="pct"/>
            <w:tcBorders>
              <w:tl2br w:val="nil"/>
              <w:tr2bl w:val="nil"/>
            </w:tcBorders>
            <w:shd w:val="clear" w:color="auto" w:fill="auto"/>
            <w:vAlign w:val="center"/>
          </w:tcPr>
          <w:p w14:paraId="15097AB2">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扩大系数</w:t>
            </w:r>
          </w:p>
        </w:tc>
      </w:tr>
      <w:tr w14:paraId="6CFD4C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vAlign w:val="center"/>
          </w:tcPr>
          <w:p w14:paraId="4EEE6BB4">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w:t>
            </w:r>
          </w:p>
        </w:tc>
        <w:tc>
          <w:tcPr>
            <w:tcW w:w="408" w:type="pct"/>
            <w:tcBorders>
              <w:tl2br w:val="nil"/>
              <w:tr2bl w:val="nil"/>
            </w:tcBorders>
            <w:shd w:val="clear" w:color="auto" w:fill="auto"/>
            <w:vAlign w:val="center"/>
          </w:tcPr>
          <w:p w14:paraId="4F35FAC0">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表土剥离</w:t>
            </w:r>
          </w:p>
        </w:tc>
        <w:tc>
          <w:tcPr>
            <w:tcW w:w="440" w:type="pct"/>
            <w:tcBorders>
              <w:tl2br w:val="nil"/>
              <w:tr2bl w:val="nil"/>
            </w:tcBorders>
            <w:shd w:val="clear" w:color="auto" w:fill="auto"/>
            <w:vAlign w:val="center"/>
          </w:tcPr>
          <w:p w14:paraId="393441DD">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100m</w:t>
            </w:r>
            <w:r>
              <w:rPr>
                <w:rFonts w:hint="default" w:ascii="Times New Roman" w:hAnsi="Times New Roman" w:eastAsia="仿宋_GB2312" w:cs="Times New Roman"/>
                <w:i w:val="0"/>
                <w:color w:val="000000"/>
                <w:kern w:val="0"/>
                <w:sz w:val="18"/>
                <w:szCs w:val="18"/>
                <w:u w:val="none"/>
                <w:vertAlign w:val="superscript"/>
                <w:lang w:val="en-US" w:eastAsia="zh-CN" w:bidi="ar"/>
              </w:rPr>
              <w:t>2</w:t>
            </w:r>
          </w:p>
        </w:tc>
        <w:tc>
          <w:tcPr>
            <w:tcW w:w="492" w:type="pct"/>
            <w:tcBorders>
              <w:tl2br w:val="nil"/>
              <w:tr2bl w:val="nil"/>
            </w:tcBorders>
            <w:shd w:val="clear" w:color="auto" w:fill="auto"/>
            <w:vAlign w:val="center"/>
          </w:tcPr>
          <w:p w14:paraId="4E2F9B5A">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75.99</w:t>
            </w:r>
          </w:p>
        </w:tc>
        <w:tc>
          <w:tcPr>
            <w:tcW w:w="343" w:type="pct"/>
            <w:tcBorders>
              <w:tl2br w:val="nil"/>
              <w:tr2bl w:val="nil"/>
            </w:tcBorders>
            <w:shd w:val="clear" w:color="auto" w:fill="auto"/>
            <w:vAlign w:val="center"/>
          </w:tcPr>
          <w:p w14:paraId="3DE177B2">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4.47 </w:t>
            </w:r>
          </w:p>
        </w:tc>
        <w:tc>
          <w:tcPr>
            <w:tcW w:w="442" w:type="pct"/>
            <w:tcBorders>
              <w:tl2br w:val="nil"/>
              <w:tr2bl w:val="nil"/>
            </w:tcBorders>
            <w:shd w:val="clear" w:color="auto" w:fill="auto"/>
            <w:vAlign w:val="center"/>
          </w:tcPr>
          <w:p w14:paraId="3BDA9600">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6.21</w:t>
            </w:r>
          </w:p>
        </w:tc>
        <w:tc>
          <w:tcPr>
            <w:tcW w:w="393" w:type="pct"/>
            <w:tcBorders>
              <w:tl2br w:val="nil"/>
              <w:tr2bl w:val="nil"/>
            </w:tcBorders>
            <w:shd w:val="clear" w:color="auto" w:fill="auto"/>
            <w:vAlign w:val="center"/>
          </w:tcPr>
          <w:p w14:paraId="070B4A8D">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32.05</w:t>
            </w:r>
          </w:p>
        </w:tc>
        <w:tc>
          <w:tcPr>
            <w:tcW w:w="343" w:type="pct"/>
            <w:tcBorders>
              <w:tl2br w:val="nil"/>
              <w:tr2bl w:val="nil"/>
            </w:tcBorders>
            <w:shd w:val="clear" w:color="auto" w:fill="auto"/>
            <w:vAlign w:val="center"/>
          </w:tcPr>
          <w:p w14:paraId="2254F50C">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0.85</w:t>
            </w:r>
          </w:p>
        </w:tc>
        <w:tc>
          <w:tcPr>
            <w:tcW w:w="393" w:type="pct"/>
            <w:tcBorders>
              <w:tl2br w:val="nil"/>
              <w:tr2bl w:val="nil"/>
            </w:tcBorders>
            <w:shd w:val="clear" w:color="auto" w:fill="auto"/>
            <w:vAlign w:val="center"/>
          </w:tcPr>
          <w:p w14:paraId="3855A28A">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2.18 </w:t>
            </w:r>
          </w:p>
        </w:tc>
        <w:tc>
          <w:tcPr>
            <w:tcW w:w="393" w:type="pct"/>
            <w:tcBorders>
              <w:tl2br w:val="nil"/>
              <w:tr2bl w:val="nil"/>
            </w:tcBorders>
            <w:shd w:val="clear" w:color="auto" w:fill="auto"/>
            <w:vAlign w:val="center"/>
          </w:tcPr>
          <w:p w14:paraId="39ED24B5">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3.20 </w:t>
            </w:r>
          </w:p>
        </w:tc>
        <w:tc>
          <w:tcPr>
            <w:tcW w:w="442" w:type="pct"/>
            <w:tcBorders>
              <w:tl2br w:val="nil"/>
              <w:tr2bl w:val="nil"/>
            </w:tcBorders>
            <w:shd w:val="clear" w:color="auto" w:fill="auto"/>
            <w:vAlign w:val="center"/>
          </w:tcPr>
          <w:p w14:paraId="75AE063C">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20.75</w:t>
            </w:r>
          </w:p>
        </w:tc>
        <w:tc>
          <w:tcPr>
            <w:tcW w:w="393" w:type="pct"/>
            <w:tcBorders>
              <w:tl2br w:val="nil"/>
              <w:tr2bl w:val="nil"/>
            </w:tcBorders>
            <w:shd w:val="clear" w:color="auto" w:fill="auto"/>
            <w:vAlign w:val="center"/>
          </w:tcPr>
          <w:p w14:paraId="59052DD4">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6.27 </w:t>
            </w:r>
          </w:p>
        </w:tc>
        <w:tc>
          <w:tcPr>
            <w:tcW w:w="294" w:type="pct"/>
            <w:tcBorders>
              <w:tl2br w:val="nil"/>
              <w:tr2bl w:val="nil"/>
            </w:tcBorders>
            <w:shd w:val="clear" w:color="auto" w:fill="auto"/>
            <w:vAlign w:val="center"/>
          </w:tcPr>
          <w:p w14:paraId="493B799A">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0.00 </w:t>
            </w:r>
          </w:p>
        </w:tc>
      </w:tr>
      <w:tr w14:paraId="1744EE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vAlign w:val="center"/>
          </w:tcPr>
          <w:p w14:paraId="104D5816">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w:t>
            </w:r>
          </w:p>
        </w:tc>
        <w:tc>
          <w:tcPr>
            <w:tcW w:w="408" w:type="pct"/>
            <w:tcBorders>
              <w:tl2br w:val="nil"/>
              <w:tr2bl w:val="nil"/>
            </w:tcBorders>
            <w:shd w:val="clear" w:color="auto" w:fill="auto"/>
            <w:vAlign w:val="center"/>
          </w:tcPr>
          <w:p w14:paraId="5EA8BDD6">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表土回覆</w:t>
            </w:r>
          </w:p>
        </w:tc>
        <w:tc>
          <w:tcPr>
            <w:tcW w:w="440" w:type="pct"/>
            <w:tcBorders>
              <w:tl2br w:val="nil"/>
              <w:tr2bl w:val="nil"/>
            </w:tcBorders>
            <w:shd w:val="clear" w:color="auto" w:fill="auto"/>
            <w:vAlign w:val="center"/>
          </w:tcPr>
          <w:p w14:paraId="645B1DB6">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100m</w:t>
            </w:r>
            <w:r>
              <w:rPr>
                <w:rFonts w:hint="default" w:ascii="Times New Roman" w:hAnsi="Times New Roman" w:eastAsia="仿宋_GB2312" w:cs="Times New Roman"/>
                <w:i w:val="0"/>
                <w:color w:val="000000"/>
                <w:kern w:val="0"/>
                <w:sz w:val="18"/>
                <w:szCs w:val="18"/>
                <w:u w:val="none"/>
                <w:vertAlign w:val="superscript"/>
                <w:lang w:val="en-US" w:eastAsia="zh-CN" w:bidi="ar"/>
              </w:rPr>
              <w:t>3</w:t>
            </w:r>
            <w:r>
              <w:rPr>
                <w:rFonts w:hint="default" w:ascii="Times New Roman" w:hAnsi="Times New Roman" w:eastAsia="仿宋_GB2312" w:cs="Times New Roman"/>
                <w:i w:val="0"/>
                <w:color w:val="000000"/>
                <w:kern w:val="0"/>
                <w:sz w:val="18"/>
                <w:szCs w:val="18"/>
                <w:u w:val="none"/>
                <w:lang w:val="en-US" w:eastAsia="zh-CN" w:bidi="ar"/>
              </w:rPr>
              <w:t>堆方</w:t>
            </w:r>
          </w:p>
        </w:tc>
        <w:tc>
          <w:tcPr>
            <w:tcW w:w="492" w:type="pct"/>
            <w:tcBorders>
              <w:tl2br w:val="nil"/>
              <w:tr2bl w:val="nil"/>
            </w:tcBorders>
            <w:shd w:val="clear" w:color="auto" w:fill="auto"/>
            <w:vAlign w:val="center"/>
          </w:tcPr>
          <w:p w14:paraId="625643B3">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332.21</w:t>
            </w:r>
          </w:p>
        </w:tc>
        <w:tc>
          <w:tcPr>
            <w:tcW w:w="343" w:type="pct"/>
            <w:tcBorders>
              <w:tl2br w:val="nil"/>
              <w:tr2bl w:val="nil"/>
            </w:tcBorders>
            <w:shd w:val="clear" w:color="auto" w:fill="auto"/>
            <w:vAlign w:val="center"/>
          </w:tcPr>
          <w:p w14:paraId="666C5F98">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31.90</w:t>
            </w:r>
          </w:p>
        </w:tc>
        <w:tc>
          <w:tcPr>
            <w:tcW w:w="442" w:type="pct"/>
            <w:tcBorders>
              <w:tl2br w:val="nil"/>
              <w:tr2bl w:val="nil"/>
            </w:tcBorders>
            <w:shd w:val="clear" w:color="auto" w:fill="auto"/>
            <w:vAlign w:val="center"/>
          </w:tcPr>
          <w:p w14:paraId="32AEB162">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37.25</w:t>
            </w:r>
          </w:p>
        </w:tc>
        <w:tc>
          <w:tcPr>
            <w:tcW w:w="393" w:type="pct"/>
            <w:tcBorders>
              <w:tl2br w:val="nil"/>
              <w:tr2bl w:val="nil"/>
            </w:tcBorders>
            <w:shd w:val="clear" w:color="auto" w:fill="auto"/>
            <w:vAlign w:val="center"/>
          </w:tcPr>
          <w:p w14:paraId="73A93C2C">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130.06</w:t>
            </w:r>
          </w:p>
        </w:tc>
        <w:tc>
          <w:tcPr>
            <w:tcW w:w="343" w:type="pct"/>
            <w:tcBorders>
              <w:tl2br w:val="nil"/>
              <w:tr2bl w:val="nil"/>
            </w:tcBorders>
            <w:shd w:val="clear" w:color="auto" w:fill="auto"/>
            <w:vAlign w:val="center"/>
          </w:tcPr>
          <w:p w14:paraId="7D48FC1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3.98</w:t>
            </w:r>
          </w:p>
        </w:tc>
        <w:tc>
          <w:tcPr>
            <w:tcW w:w="393" w:type="pct"/>
            <w:tcBorders>
              <w:tl2br w:val="nil"/>
              <w:tr2bl w:val="nil"/>
            </w:tcBorders>
            <w:shd w:val="clear" w:color="auto" w:fill="auto"/>
            <w:vAlign w:val="center"/>
          </w:tcPr>
          <w:p w14:paraId="10C0A63E">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10.16 </w:t>
            </w:r>
          </w:p>
        </w:tc>
        <w:tc>
          <w:tcPr>
            <w:tcW w:w="393" w:type="pct"/>
            <w:tcBorders>
              <w:tl2br w:val="nil"/>
              <w:tr2bl w:val="nil"/>
            </w:tcBorders>
            <w:shd w:val="clear" w:color="auto" w:fill="auto"/>
            <w:vAlign w:val="center"/>
          </w:tcPr>
          <w:p w14:paraId="51DCD6AD">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14.94 </w:t>
            </w:r>
          </w:p>
        </w:tc>
        <w:tc>
          <w:tcPr>
            <w:tcW w:w="442" w:type="pct"/>
            <w:tcBorders>
              <w:tl2br w:val="nil"/>
              <w:tr2bl w:val="nil"/>
            </w:tcBorders>
            <w:shd w:val="clear" w:color="auto" w:fill="auto"/>
            <w:vAlign w:val="center"/>
          </w:tcPr>
          <w:p w14:paraId="162E6FC2">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76.49</w:t>
            </w:r>
          </w:p>
        </w:tc>
        <w:tc>
          <w:tcPr>
            <w:tcW w:w="393" w:type="pct"/>
            <w:tcBorders>
              <w:tl2br w:val="nil"/>
              <w:tr2bl w:val="nil"/>
            </w:tcBorders>
            <w:shd w:val="clear" w:color="auto" w:fill="auto"/>
            <w:vAlign w:val="center"/>
          </w:tcPr>
          <w:p w14:paraId="7D9DADB4">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27.43</w:t>
            </w:r>
          </w:p>
        </w:tc>
        <w:tc>
          <w:tcPr>
            <w:tcW w:w="294" w:type="pct"/>
            <w:tcBorders>
              <w:tl2br w:val="nil"/>
              <w:tr2bl w:val="nil"/>
            </w:tcBorders>
            <w:shd w:val="clear" w:color="auto" w:fill="auto"/>
            <w:vAlign w:val="center"/>
          </w:tcPr>
          <w:p w14:paraId="05A43203">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0.00 </w:t>
            </w:r>
          </w:p>
        </w:tc>
      </w:tr>
      <w:tr w14:paraId="3EF84E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vAlign w:val="center"/>
          </w:tcPr>
          <w:p w14:paraId="68DFC934">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w:t>
            </w:r>
          </w:p>
        </w:tc>
        <w:tc>
          <w:tcPr>
            <w:tcW w:w="408" w:type="pct"/>
            <w:tcBorders>
              <w:tl2br w:val="nil"/>
              <w:tr2bl w:val="nil"/>
            </w:tcBorders>
            <w:shd w:val="clear" w:color="auto" w:fill="auto"/>
            <w:vAlign w:val="center"/>
          </w:tcPr>
          <w:p w14:paraId="42B6BD01">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撒播草籽</w:t>
            </w:r>
          </w:p>
        </w:tc>
        <w:tc>
          <w:tcPr>
            <w:tcW w:w="440" w:type="pct"/>
            <w:tcBorders>
              <w:tl2br w:val="nil"/>
              <w:tr2bl w:val="nil"/>
            </w:tcBorders>
            <w:shd w:val="clear" w:color="auto" w:fill="auto"/>
            <w:vAlign w:val="center"/>
          </w:tcPr>
          <w:p w14:paraId="427595A4">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1hm</w:t>
            </w:r>
            <w:r>
              <w:rPr>
                <w:rFonts w:hint="default" w:ascii="Times New Roman" w:hAnsi="Times New Roman" w:eastAsia="仿宋_GB2312" w:cs="Times New Roman"/>
                <w:i w:val="0"/>
                <w:color w:val="000000"/>
                <w:kern w:val="0"/>
                <w:sz w:val="18"/>
                <w:szCs w:val="18"/>
                <w:u w:val="none"/>
                <w:vertAlign w:val="superscript"/>
                <w:lang w:val="en-US" w:eastAsia="zh-CN" w:bidi="ar"/>
              </w:rPr>
              <w:t>2</w:t>
            </w:r>
          </w:p>
        </w:tc>
        <w:tc>
          <w:tcPr>
            <w:tcW w:w="492" w:type="pct"/>
            <w:tcBorders>
              <w:tl2br w:val="nil"/>
              <w:tr2bl w:val="nil"/>
            </w:tcBorders>
            <w:shd w:val="clear" w:color="auto" w:fill="auto"/>
            <w:vAlign w:val="center"/>
          </w:tcPr>
          <w:p w14:paraId="24A65FC6">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10700.89</w:t>
            </w:r>
          </w:p>
        </w:tc>
        <w:tc>
          <w:tcPr>
            <w:tcW w:w="343" w:type="pct"/>
            <w:tcBorders>
              <w:tl2br w:val="nil"/>
              <w:tr2bl w:val="nil"/>
            </w:tcBorders>
            <w:shd w:val="clear" w:color="auto" w:fill="auto"/>
            <w:vAlign w:val="center"/>
          </w:tcPr>
          <w:p w14:paraId="66744D51">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88.68</w:t>
            </w:r>
          </w:p>
        </w:tc>
        <w:tc>
          <w:tcPr>
            <w:tcW w:w="442" w:type="pct"/>
            <w:tcBorders>
              <w:tl2br w:val="nil"/>
              <w:tr2bl w:val="nil"/>
            </w:tcBorders>
            <w:shd w:val="clear" w:color="auto" w:fill="auto"/>
            <w:vAlign w:val="center"/>
          </w:tcPr>
          <w:p w14:paraId="1C2B2178">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6180.00</w:t>
            </w:r>
          </w:p>
        </w:tc>
        <w:tc>
          <w:tcPr>
            <w:tcW w:w="393" w:type="pct"/>
            <w:tcBorders>
              <w:tl2br w:val="nil"/>
              <w:tr2bl w:val="nil"/>
            </w:tcBorders>
            <w:shd w:val="clear" w:color="auto" w:fill="auto"/>
            <w:vAlign w:val="center"/>
          </w:tcPr>
          <w:p w14:paraId="2CA384A0">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343" w:type="pct"/>
            <w:tcBorders>
              <w:tl2br w:val="nil"/>
              <w:tr2bl w:val="nil"/>
            </w:tcBorders>
            <w:shd w:val="clear" w:color="auto" w:fill="auto"/>
            <w:vAlign w:val="center"/>
          </w:tcPr>
          <w:p w14:paraId="5C3D9B7F">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62.69</w:t>
            </w:r>
          </w:p>
        </w:tc>
        <w:tc>
          <w:tcPr>
            <w:tcW w:w="393" w:type="pct"/>
            <w:tcBorders>
              <w:tl2br w:val="nil"/>
              <w:tr2bl w:val="nil"/>
            </w:tcBorders>
            <w:shd w:val="clear" w:color="auto" w:fill="auto"/>
            <w:vAlign w:val="center"/>
          </w:tcPr>
          <w:p w14:paraId="1CC02F6F">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379.88</w:t>
            </w:r>
          </w:p>
        </w:tc>
        <w:tc>
          <w:tcPr>
            <w:tcW w:w="393" w:type="pct"/>
            <w:tcBorders>
              <w:tl2br w:val="nil"/>
              <w:tr2bl w:val="nil"/>
            </w:tcBorders>
            <w:shd w:val="clear" w:color="auto" w:fill="auto"/>
            <w:vAlign w:val="center"/>
          </w:tcPr>
          <w:p w14:paraId="62198BE2">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469.79</w:t>
            </w:r>
          </w:p>
        </w:tc>
        <w:tc>
          <w:tcPr>
            <w:tcW w:w="442" w:type="pct"/>
            <w:tcBorders>
              <w:tl2br w:val="nil"/>
              <w:tr2bl w:val="nil"/>
            </w:tcBorders>
            <w:shd w:val="clear" w:color="auto" w:fill="auto"/>
            <w:vAlign w:val="center"/>
          </w:tcPr>
          <w:p w14:paraId="4842DA8B">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2639.29</w:t>
            </w:r>
          </w:p>
        </w:tc>
        <w:tc>
          <w:tcPr>
            <w:tcW w:w="393" w:type="pct"/>
            <w:tcBorders>
              <w:tl2br w:val="nil"/>
              <w:tr2bl w:val="nil"/>
            </w:tcBorders>
            <w:shd w:val="clear" w:color="auto" w:fill="auto"/>
            <w:vAlign w:val="center"/>
          </w:tcPr>
          <w:p w14:paraId="15BD1564">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883.36</w:t>
            </w:r>
          </w:p>
        </w:tc>
        <w:tc>
          <w:tcPr>
            <w:tcW w:w="294" w:type="pct"/>
            <w:tcBorders>
              <w:tl2br w:val="nil"/>
              <w:tr2bl w:val="nil"/>
            </w:tcBorders>
            <w:shd w:val="clear" w:color="auto" w:fill="auto"/>
            <w:vAlign w:val="center"/>
          </w:tcPr>
          <w:p w14:paraId="7F5314BA">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0.00</w:t>
            </w:r>
          </w:p>
        </w:tc>
      </w:tr>
    </w:tbl>
    <w:p w14:paraId="43F84925">
      <w:pPr>
        <w:keepNext w:val="0"/>
        <w:keepLines w:val="0"/>
        <w:pageBreakBefore w:val="0"/>
        <w:widowControl w:val="0"/>
        <w:kinsoku/>
        <w:wordWrap/>
        <w:overflowPunct/>
        <w:topLinePunct w:val="0"/>
        <w:autoSpaceDE/>
        <w:autoSpaceDN/>
        <w:bidi w:val="0"/>
        <w:adjustRightInd/>
        <w:snapToGrid/>
        <w:spacing w:beforeLines="50" w:line="240" w:lineRule="auto"/>
        <w:jc w:val="center"/>
        <w:textAlignment w:val="auto"/>
        <w:rPr>
          <w:rFonts w:hint="default" w:ascii="Times New Roman" w:hAnsi="Times New Roman" w:eastAsia="仿宋_GB2312" w:cs="Times New Roman"/>
          <w:b/>
          <w:bCs/>
          <w:color w:val="auto"/>
          <w:sz w:val="21"/>
          <w:lang w:val="en-US" w:eastAsia="zh-CN"/>
        </w:rPr>
      </w:pPr>
      <w:r>
        <w:rPr>
          <w:rFonts w:hint="default" w:ascii="Times New Roman" w:hAnsi="Times New Roman" w:eastAsia="仿宋_GB2312" w:cs="Times New Roman"/>
          <w:b/>
          <w:bCs/>
          <w:color w:val="auto"/>
          <w:sz w:val="21"/>
          <w:lang w:val="en-US" w:eastAsia="zh-CN"/>
        </w:rPr>
        <w:t>表7.1-8  单价分析表</w:t>
      </w:r>
    </w:p>
    <w:tbl>
      <w:tblPr>
        <w:tblStyle w:val="18"/>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136"/>
        <w:gridCol w:w="1165"/>
        <w:gridCol w:w="1165"/>
        <w:gridCol w:w="1165"/>
        <w:gridCol w:w="1258"/>
        <w:gridCol w:w="1595"/>
        <w:gridCol w:w="1606"/>
      </w:tblGrid>
      <w:tr w14:paraId="34D4C1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4955E237">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fldChar w:fldCharType="begin"/>
            </w:r>
            <w:r>
              <w:rPr>
                <w:rFonts w:hint="default" w:ascii="Times New Roman" w:hAnsi="Times New Roman" w:eastAsia="仿宋_GB2312" w:cs="Times New Roman"/>
                <w:i w:val="0"/>
                <w:color w:val="000000"/>
                <w:kern w:val="0"/>
                <w:sz w:val="18"/>
                <w:szCs w:val="18"/>
                <w:u w:val="none"/>
                <w:lang w:val="en-US" w:eastAsia="zh-CN" w:bidi="ar"/>
              </w:rPr>
              <w:instrText xml:space="preserve"> HYPERLINK "" \l "工程单价汇总表!G7" </w:instrText>
            </w:r>
            <w:r>
              <w:rPr>
                <w:rFonts w:hint="default" w:ascii="Times New Roman" w:hAnsi="Times New Roman" w:eastAsia="仿宋_GB2312" w:cs="Times New Roman"/>
                <w:i w:val="0"/>
                <w:color w:val="000000"/>
                <w:kern w:val="0"/>
                <w:sz w:val="18"/>
                <w:szCs w:val="18"/>
                <w:u w:val="none"/>
                <w:lang w:val="en-US" w:eastAsia="zh-CN" w:bidi="ar"/>
              </w:rPr>
              <w:fldChar w:fldCharType="separate"/>
            </w:r>
            <w:r>
              <w:rPr>
                <w:rFonts w:hint="default" w:ascii="Times New Roman" w:hAnsi="Times New Roman" w:eastAsia="仿宋_GB2312" w:cs="Times New Roman"/>
                <w:i w:val="0"/>
                <w:color w:val="000000"/>
                <w:kern w:val="0"/>
                <w:sz w:val="18"/>
                <w:szCs w:val="18"/>
                <w:u w:val="none"/>
                <w:lang w:val="en-US" w:eastAsia="zh-CN" w:bidi="ar"/>
              </w:rPr>
              <w:t>工程名称</w:t>
            </w:r>
            <w:r>
              <w:rPr>
                <w:rFonts w:hint="default" w:ascii="Times New Roman" w:hAnsi="Times New Roman" w:eastAsia="仿宋_GB2312" w:cs="Times New Roman"/>
                <w:i w:val="0"/>
                <w:color w:val="000000"/>
                <w:kern w:val="0"/>
                <w:sz w:val="18"/>
                <w:szCs w:val="18"/>
                <w:u w:val="none"/>
                <w:lang w:val="en-US" w:eastAsia="zh-CN" w:bidi="ar"/>
              </w:rPr>
              <w:fldChar w:fldCharType="end"/>
            </w:r>
          </w:p>
        </w:tc>
        <w:tc>
          <w:tcPr>
            <w:tcW w:w="2615" w:type="pct"/>
            <w:gridSpan w:val="4"/>
            <w:tcBorders>
              <w:tl2br w:val="nil"/>
              <w:tr2bl w:val="nil"/>
            </w:tcBorders>
            <w:shd w:val="clear" w:color="auto" w:fill="auto"/>
            <w:noWrap/>
            <w:vAlign w:val="center"/>
          </w:tcPr>
          <w:p w14:paraId="58E48FD0">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表土剥离</w:t>
            </w:r>
          </w:p>
        </w:tc>
        <w:tc>
          <w:tcPr>
            <w:tcW w:w="877" w:type="pct"/>
            <w:tcBorders>
              <w:tl2br w:val="nil"/>
              <w:tr2bl w:val="nil"/>
            </w:tcBorders>
            <w:shd w:val="clear" w:color="auto" w:fill="auto"/>
            <w:noWrap/>
            <w:vAlign w:val="center"/>
          </w:tcPr>
          <w:p w14:paraId="06CC879C">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单价编号</w:t>
            </w:r>
          </w:p>
        </w:tc>
        <w:tc>
          <w:tcPr>
            <w:tcW w:w="882" w:type="pct"/>
            <w:tcBorders>
              <w:tl2br w:val="nil"/>
              <w:tr2bl w:val="nil"/>
            </w:tcBorders>
            <w:shd w:val="clear" w:color="auto" w:fill="auto"/>
            <w:noWrap/>
            <w:vAlign w:val="center"/>
          </w:tcPr>
          <w:p w14:paraId="0DDC33B7">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w:t>
            </w:r>
          </w:p>
        </w:tc>
      </w:tr>
      <w:tr w14:paraId="3627FD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7D2E67B2">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定额编号</w:t>
            </w:r>
          </w:p>
        </w:tc>
        <w:tc>
          <w:tcPr>
            <w:tcW w:w="2615" w:type="pct"/>
            <w:gridSpan w:val="4"/>
            <w:tcBorders>
              <w:tl2br w:val="nil"/>
              <w:tr2bl w:val="nil"/>
            </w:tcBorders>
            <w:shd w:val="clear" w:color="auto" w:fill="auto"/>
            <w:noWrap/>
            <w:vAlign w:val="center"/>
          </w:tcPr>
          <w:p w14:paraId="775856C2">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01163</w:t>
            </w:r>
          </w:p>
        </w:tc>
        <w:tc>
          <w:tcPr>
            <w:tcW w:w="877" w:type="pct"/>
            <w:tcBorders>
              <w:tl2br w:val="nil"/>
              <w:tr2bl w:val="nil"/>
            </w:tcBorders>
            <w:shd w:val="clear" w:color="auto" w:fill="auto"/>
            <w:noWrap/>
            <w:vAlign w:val="center"/>
          </w:tcPr>
          <w:p w14:paraId="0942D75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定额单位</w:t>
            </w:r>
          </w:p>
        </w:tc>
        <w:tc>
          <w:tcPr>
            <w:tcW w:w="882" w:type="pct"/>
            <w:tcBorders>
              <w:tl2br w:val="nil"/>
              <w:tr2bl w:val="nil"/>
            </w:tcBorders>
            <w:shd w:val="clear" w:color="auto" w:fill="auto"/>
            <w:noWrap/>
            <w:vAlign w:val="center"/>
          </w:tcPr>
          <w:p w14:paraId="134CB83B">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100m</w:t>
            </w:r>
            <w:r>
              <w:rPr>
                <w:rFonts w:hint="default" w:ascii="Times New Roman" w:hAnsi="Times New Roman" w:eastAsia="仿宋_GB2312" w:cs="Times New Roman"/>
                <w:i w:val="0"/>
                <w:color w:val="000000"/>
                <w:kern w:val="0"/>
                <w:sz w:val="18"/>
                <w:szCs w:val="18"/>
                <w:u w:val="none"/>
                <w:vertAlign w:val="superscript"/>
                <w:lang w:val="en-US" w:eastAsia="zh-CN" w:bidi="ar"/>
              </w:rPr>
              <w:t>2</w:t>
            </w:r>
          </w:p>
        </w:tc>
      </w:tr>
      <w:tr w14:paraId="6BB740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5000" w:type="pct"/>
            <w:gridSpan w:val="7"/>
            <w:tcBorders>
              <w:tl2br w:val="nil"/>
              <w:tr2bl w:val="nil"/>
            </w:tcBorders>
            <w:shd w:val="clear" w:color="auto" w:fill="auto"/>
            <w:noWrap/>
            <w:vAlign w:val="center"/>
          </w:tcPr>
          <w:p w14:paraId="2CD35D41">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工作内容：表土层剥离。</w:t>
            </w:r>
          </w:p>
        </w:tc>
      </w:tr>
      <w:tr w14:paraId="1674F1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2C4E8145">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序号</w:t>
            </w:r>
          </w:p>
        </w:tc>
        <w:tc>
          <w:tcPr>
            <w:tcW w:w="1282" w:type="pct"/>
            <w:gridSpan w:val="2"/>
            <w:tcBorders>
              <w:tl2br w:val="nil"/>
              <w:tr2bl w:val="nil"/>
            </w:tcBorders>
            <w:shd w:val="clear" w:color="auto" w:fill="auto"/>
            <w:noWrap/>
            <w:vAlign w:val="center"/>
          </w:tcPr>
          <w:p w14:paraId="58BB4013">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名称及规格</w:t>
            </w:r>
          </w:p>
        </w:tc>
        <w:tc>
          <w:tcPr>
            <w:tcW w:w="641" w:type="pct"/>
            <w:tcBorders>
              <w:tl2br w:val="nil"/>
              <w:tr2bl w:val="nil"/>
            </w:tcBorders>
            <w:shd w:val="clear" w:color="auto" w:fill="auto"/>
            <w:noWrap/>
            <w:vAlign w:val="center"/>
          </w:tcPr>
          <w:p w14:paraId="06964DA8">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单位</w:t>
            </w:r>
          </w:p>
        </w:tc>
        <w:tc>
          <w:tcPr>
            <w:tcW w:w="691" w:type="pct"/>
            <w:tcBorders>
              <w:tl2br w:val="nil"/>
              <w:tr2bl w:val="nil"/>
            </w:tcBorders>
            <w:shd w:val="clear" w:color="auto" w:fill="auto"/>
            <w:noWrap/>
            <w:vAlign w:val="center"/>
          </w:tcPr>
          <w:p w14:paraId="41F025D7">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数量</w:t>
            </w:r>
          </w:p>
        </w:tc>
        <w:tc>
          <w:tcPr>
            <w:tcW w:w="877" w:type="pct"/>
            <w:tcBorders>
              <w:tl2br w:val="nil"/>
              <w:tr2bl w:val="nil"/>
            </w:tcBorders>
            <w:shd w:val="clear" w:color="auto" w:fill="auto"/>
            <w:noWrap/>
            <w:vAlign w:val="center"/>
          </w:tcPr>
          <w:p w14:paraId="4B5BB00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单价（元）</w:t>
            </w:r>
          </w:p>
        </w:tc>
        <w:tc>
          <w:tcPr>
            <w:tcW w:w="882" w:type="pct"/>
            <w:tcBorders>
              <w:tl2br w:val="nil"/>
              <w:tr2bl w:val="nil"/>
            </w:tcBorders>
            <w:shd w:val="clear" w:color="auto" w:fill="auto"/>
            <w:noWrap/>
            <w:vAlign w:val="center"/>
          </w:tcPr>
          <w:p w14:paraId="73F4FB80">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合计（元）</w:t>
            </w:r>
          </w:p>
        </w:tc>
      </w:tr>
      <w:tr w14:paraId="3F1299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7BCAF545">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一</w:t>
            </w:r>
          </w:p>
        </w:tc>
        <w:tc>
          <w:tcPr>
            <w:tcW w:w="1282" w:type="pct"/>
            <w:gridSpan w:val="2"/>
            <w:tcBorders>
              <w:tl2br w:val="nil"/>
              <w:tr2bl w:val="nil"/>
            </w:tcBorders>
            <w:shd w:val="clear" w:color="auto" w:fill="auto"/>
            <w:noWrap/>
            <w:vAlign w:val="center"/>
          </w:tcPr>
          <w:p w14:paraId="3737B082">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直接费</w:t>
            </w:r>
          </w:p>
        </w:tc>
        <w:tc>
          <w:tcPr>
            <w:tcW w:w="641" w:type="pct"/>
            <w:tcBorders>
              <w:tl2br w:val="nil"/>
              <w:tr2bl w:val="nil"/>
            </w:tcBorders>
            <w:shd w:val="clear" w:color="auto" w:fill="auto"/>
            <w:noWrap/>
            <w:vAlign w:val="center"/>
          </w:tcPr>
          <w:p w14:paraId="7A85DBC2">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691" w:type="pct"/>
            <w:tcBorders>
              <w:tl2br w:val="nil"/>
              <w:tr2bl w:val="nil"/>
            </w:tcBorders>
            <w:shd w:val="clear" w:color="auto" w:fill="auto"/>
            <w:noWrap/>
            <w:vAlign w:val="center"/>
          </w:tcPr>
          <w:p w14:paraId="008A3DDC">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77" w:type="pct"/>
            <w:tcBorders>
              <w:tl2br w:val="nil"/>
              <w:tr2bl w:val="nil"/>
            </w:tcBorders>
            <w:shd w:val="clear" w:color="auto" w:fill="auto"/>
            <w:noWrap/>
            <w:vAlign w:val="center"/>
          </w:tcPr>
          <w:p w14:paraId="440E9B8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82" w:type="pct"/>
            <w:tcBorders>
              <w:tl2br w:val="nil"/>
              <w:tr2bl w:val="nil"/>
            </w:tcBorders>
            <w:shd w:val="clear" w:color="auto" w:fill="auto"/>
            <w:noWrap/>
            <w:vAlign w:val="center"/>
          </w:tcPr>
          <w:p w14:paraId="1A06E19F">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43.58 </w:t>
            </w:r>
          </w:p>
        </w:tc>
      </w:tr>
      <w:tr w14:paraId="313695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6411D3BF">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（一）</w:t>
            </w:r>
          </w:p>
        </w:tc>
        <w:tc>
          <w:tcPr>
            <w:tcW w:w="1282" w:type="pct"/>
            <w:gridSpan w:val="2"/>
            <w:tcBorders>
              <w:tl2br w:val="nil"/>
              <w:tr2bl w:val="nil"/>
            </w:tcBorders>
            <w:shd w:val="clear" w:color="auto" w:fill="auto"/>
            <w:noWrap/>
            <w:vAlign w:val="center"/>
          </w:tcPr>
          <w:p w14:paraId="17CF03CA">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基本直接费</w:t>
            </w:r>
          </w:p>
        </w:tc>
        <w:tc>
          <w:tcPr>
            <w:tcW w:w="641" w:type="pct"/>
            <w:tcBorders>
              <w:tl2br w:val="nil"/>
              <w:tr2bl w:val="nil"/>
            </w:tcBorders>
            <w:shd w:val="clear" w:color="auto" w:fill="auto"/>
            <w:noWrap/>
            <w:vAlign w:val="center"/>
          </w:tcPr>
          <w:p w14:paraId="31E63D60">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691" w:type="pct"/>
            <w:tcBorders>
              <w:tl2br w:val="nil"/>
              <w:tr2bl w:val="nil"/>
            </w:tcBorders>
            <w:shd w:val="clear" w:color="auto" w:fill="auto"/>
            <w:noWrap/>
            <w:vAlign w:val="center"/>
          </w:tcPr>
          <w:p w14:paraId="2ADC010A">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77" w:type="pct"/>
            <w:tcBorders>
              <w:tl2br w:val="nil"/>
              <w:tr2bl w:val="nil"/>
            </w:tcBorders>
            <w:shd w:val="clear" w:color="auto" w:fill="auto"/>
            <w:noWrap/>
            <w:vAlign w:val="center"/>
          </w:tcPr>
          <w:p w14:paraId="69A9EBAF">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82" w:type="pct"/>
            <w:tcBorders>
              <w:tl2br w:val="nil"/>
              <w:tr2bl w:val="nil"/>
            </w:tcBorders>
            <w:shd w:val="clear" w:color="auto" w:fill="auto"/>
            <w:noWrap/>
            <w:vAlign w:val="center"/>
          </w:tcPr>
          <w:p w14:paraId="34692FB7">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42.73 </w:t>
            </w:r>
          </w:p>
        </w:tc>
      </w:tr>
      <w:tr w14:paraId="082C56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7EC21884">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w:t>
            </w:r>
          </w:p>
        </w:tc>
        <w:tc>
          <w:tcPr>
            <w:tcW w:w="1282" w:type="pct"/>
            <w:gridSpan w:val="2"/>
            <w:tcBorders>
              <w:tl2br w:val="nil"/>
              <w:tr2bl w:val="nil"/>
            </w:tcBorders>
            <w:shd w:val="clear" w:color="auto" w:fill="auto"/>
            <w:noWrap/>
            <w:vAlign w:val="center"/>
          </w:tcPr>
          <w:p w14:paraId="2CDC2146">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人工费</w:t>
            </w:r>
          </w:p>
        </w:tc>
        <w:tc>
          <w:tcPr>
            <w:tcW w:w="641" w:type="pct"/>
            <w:tcBorders>
              <w:tl2br w:val="nil"/>
              <w:tr2bl w:val="nil"/>
            </w:tcBorders>
            <w:shd w:val="clear" w:color="auto" w:fill="auto"/>
            <w:noWrap/>
            <w:vAlign w:val="center"/>
          </w:tcPr>
          <w:p w14:paraId="4AC2C66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工时</w:t>
            </w:r>
          </w:p>
        </w:tc>
        <w:tc>
          <w:tcPr>
            <w:tcW w:w="691" w:type="pct"/>
            <w:tcBorders>
              <w:tl2br w:val="nil"/>
              <w:tr2bl w:val="nil"/>
            </w:tcBorders>
            <w:shd w:val="clear" w:color="auto" w:fill="auto"/>
            <w:noWrap/>
            <w:vAlign w:val="center"/>
          </w:tcPr>
          <w:p w14:paraId="7462FB65">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0.70 </w:t>
            </w:r>
          </w:p>
        </w:tc>
        <w:tc>
          <w:tcPr>
            <w:tcW w:w="877" w:type="pct"/>
            <w:tcBorders>
              <w:tl2br w:val="nil"/>
              <w:tr2bl w:val="nil"/>
            </w:tcBorders>
            <w:shd w:val="clear" w:color="auto" w:fill="auto"/>
            <w:noWrap/>
            <w:vAlign w:val="center"/>
          </w:tcPr>
          <w:p w14:paraId="6B64AC3C">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6.38 </w:t>
            </w:r>
          </w:p>
        </w:tc>
        <w:tc>
          <w:tcPr>
            <w:tcW w:w="882" w:type="pct"/>
            <w:tcBorders>
              <w:tl2br w:val="nil"/>
              <w:tr2bl w:val="nil"/>
            </w:tcBorders>
            <w:shd w:val="clear" w:color="auto" w:fill="auto"/>
            <w:noWrap/>
            <w:vAlign w:val="center"/>
          </w:tcPr>
          <w:p w14:paraId="324788D1">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4.47 </w:t>
            </w:r>
          </w:p>
        </w:tc>
      </w:tr>
      <w:tr w14:paraId="0C526E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3FA08F18">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w:t>
            </w:r>
          </w:p>
        </w:tc>
        <w:tc>
          <w:tcPr>
            <w:tcW w:w="1282" w:type="pct"/>
            <w:gridSpan w:val="2"/>
            <w:tcBorders>
              <w:tl2br w:val="nil"/>
              <w:tr2bl w:val="nil"/>
            </w:tcBorders>
            <w:shd w:val="clear" w:color="auto" w:fill="auto"/>
            <w:noWrap/>
            <w:vAlign w:val="center"/>
          </w:tcPr>
          <w:p w14:paraId="4C8E3314">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材料费</w:t>
            </w:r>
          </w:p>
        </w:tc>
        <w:tc>
          <w:tcPr>
            <w:tcW w:w="641" w:type="pct"/>
            <w:tcBorders>
              <w:tl2br w:val="nil"/>
              <w:tr2bl w:val="nil"/>
            </w:tcBorders>
            <w:shd w:val="clear" w:color="auto" w:fill="auto"/>
            <w:noWrap/>
            <w:vAlign w:val="center"/>
          </w:tcPr>
          <w:p w14:paraId="65636B0C">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691" w:type="pct"/>
            <w:tcBorders>
              <w:tl2br w:val="nil"/>
              <w:tr2bl w:val="nil"/>
            </w:tcBorders>
            <w:shd w:val="clear" w:color="auto" w:fill="auto"/>
            <w:noWrap/>
            <w:vAlign w:val="center"/>
          </w:tcPr>
          <w:p w14:paraId="4874A354">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77" w:type="pct"/>
            <w:tcBorders>
              <w:tl2br w:val="nil"/>
              <w:tr2bl w:val="nil"/>
            </w:tcBorders>
            <w:shd w:val="clear" w:color="auto" w:fill="auto"/>
            <w:noWrap/>
            <w:vAlign w:val="center"/>
          </w:tcPr>
          <w:p w14:paraId="628C6F25">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82" w:type="pct"/>
            <w:tcBorders>
              <w:tl2br w:val="nil"/>
              <w:tr2bl w:val="nil"/>
            </w:tcBorders>
            <w:shd w:val="clear" w:color="auto" w:fill="auto"/>
            <w:noWrap/>
            <w:vAlign w:val="center"/>
          </w:tcPr>
          <w:p w14:paraId="47DA27AA">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6.21 </w:t>
            </w:r>
          </w:p>
        </w:tc>
      </w:tr>
      <w:tr w14:paraId="2F0131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6B82B470">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1282" w:type="pct"/>
            <w:gridSpan w:val="2"/>
            <w:tcBorders>
              <w:tl2br w:val="nil"/>
              <w:tr2bl w:val="nil"/>
            </w:tcBorders>
            <w:shd w:val="clear" w:color="auto" w:fill="auto"/>
            <w:noWrap/>
            <w:vAlign w:val="center"/>
          </w:tcPr>
          <w:p w14:paraId="4BF54F08">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零星材料费</w:t>
            </w:r>
          </w:p>
        </w:tc>
        <w:tc>
          <w:tcPr>
            <w:tcW w:w="641" w:type="pct"/>
            <w:tcBorders>
              <w:tl2br w:val="nil"/>
              <w:tr2bl w:val="nil"/>
            </w:tcBorders>
            <w:shd w:val="clear" w:color="auto" w:fill="auto"/>
            <w:noWrap/>
            <w:vAlign w:val="center"/>
          </w:tcPr>
          <w:p w14:paraId="14286096">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w:t>
            </w:r>
          </w:p>
        </w:tc>
        <w:tc>
          <w:tcPr>
            <w:tcW w:w="691" w:type="pct"/>
            <w:tcBorders>
              <w:tl2br w:val="nil"/>
              <w:tr2bl w:val="nil"/>
            </w:tcBorders>
            <w:shd w:val="clear" w:color="auto" w:fill="auto"/>
            <w:noWrap/>
            <w:vAlign w:val="center"/>
          </w:tcPr>
          <w:p w14:paraId="0FC3296F">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17.00 </w:t>
            </w:r>
          </w:p>
        </w:tc>
        <w:tc>
          <w:tcPr>
            <w:tcW w:w="877" w:type="pct"/>
            <w:tcBorders>
              <w:tl2br w:val="nil"/>
              <w:tr2bl w:val="nil"/>
            </w:tcBorders>
            <w:shd w:val="clear" w:color="auto" w:fill="auto"/>
            <w:noWrap/>
            <w:vAlign w:val="center"/>
          </w:tcPr>
          <w:p w14:paraId="1A6A05D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36.52 </w:t>
            </w:r>
          </w:p>
        </w:tc>
        <w:tc>
          <w:tcPr>
            <w:tcW w:w="882" w:type="pct"/>
            <w:tcBorders>
              <w:tl2br w:val="nil"/>
              <w:tr2bl w:val="nil"/>
            </w:tcBorders>
            <w:shd w:val="clear" w:color="auto" w:fill="auto"/>
            <w:noWrap/>
            <w:vAlign w:val="center"/>
          </w:tcPr>
          <w:p w14:paraId="37EFFC16">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6.21 </w:t>
            </w:r>
          </w:p>
        </w:tc>
      </w:tr>
      <w:tr w14:paraId="4F0D8D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3AF948BF">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w:t>
            </w:r>
          </w:p>
        </w:tc>
        <w:tc>
          <w:tcPr>
            <w:tcW w:w="1282" w:type="pct"/>
            <w:gridSpan w:val="2"/>
            <w:tcBorders>
              <w:tl2br w:val="nil"/>
              <w:tr2bl w:val="nil"/>
            </w:tcBorders>
            <w:shd w:val="clear" w:color="auto" w:fill="auto"/>
            <w:noWrap/>
            <w:vAlign w:val="center"/>
          </w:tcPr>
          <w:p w14:paraId="2015BE03">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机械使用费</w:t>
            </w:r>
          </w:p>
        </w:tc>
        <w:tc>
          <w:tcPr>
            <w:tcW w:w="641" w:type="pct"/>
            <w:tcBorders>
              <w:tl2br w:val="nil"/>
              <w:tr2bl w:val="nil"/>
            </w:tcBorders>
            <w:shd w:val="clear" w:color="auto" w:fill="auto"/>
            <w:noWrap/>
            <w:vAlign w:val="center"/>
          </w:tcPr>
          <w:p w14:paraId="4D4A0273">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691" w:type="pct"/>
            <w:tcBorders>
              <w:tl2br w:val="nil"/>
              <w:tr2bl w:val="nil"/>
            </w:tcBorders>
            <w:shd w:val="clear" w:color="auto" w:fill="auto"/>
            <w:noWrap/>
            <w:vAlign w:val="center"/>
          </w:tcPr>
          <w:p w14:paraId="55615C4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77" w:type="pct"/>
            <w:tcBorders>
              <w:tl2br w:val="nil"/>
              <w:tr2bl w:val="nil"/>
            </w:tcBorders>
            <w:shd w:val="clear" w:color="auto" w:fill="auto"/>
            <w:noWrap/>
            <w:vAlign w:val="center"/>
          </w:tcPr>
          <w:p w14:paraId="71D60A66">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82" w:type="pct"/>
            <w:tcBorders>
              <w:tl2br w:val="nil"/>
              <w:tr2bl w:val="nil"/>
            </w:tcBorders>
            <w:shd w:val="clear" w:color="auto" w:fill="auto"/>
            <w:noWrap/>
            <w:vAlign w:val="center"/>
          </w:tcPr>
          <w:p w14:paraId="4742C112">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32.05 </w:t>
            </w:r>
          </w:p>
        </w:tc>
      </w:tr>
      <w:tr w14:paraId="509D5B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08D3AD7B">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1282" w:type="pct"/>
            <w:gridSpan w:val="2"/>
            <w:tcBorders>
              <w:tl2br w:val="nil"/>
              <w:tr2bl w:val="nil"/>
            </w:tcBorders>
            <w:shd w:val="clear" w:color="auto" w:fill="auto"/>
            <w:noWrap/>
            <w:vAlign w:val="center"/>
          </w:tcPr>
          <w:p w14:paraId="67143585">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推土机59kW</w:t>
            </w:r>
          </w:p>
        </w:tc>
        <w:tc>
          <w:tcPr>
            <w:tcW w:w="641" w:type="pct"/>
            <w:tcBorders>
              <w:tl2br w:val="nil"/>
              <w:tr2bl w:val="nil"/>
            </w:tcBorders>
            <w:shd w:val="clear" w:color="auto" w:fill="auto"/>
            <w:noWrap/>
            <w:vAlign w:val="center"/>
          </w:tcPr>
          <w:p w14:paraId="345D180F">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台时</w:t>
            </w:r>
          </w:p>
        </w:tc>
        <w:tc>
          <w:tcPr>
            <w:tcW w:w="691" w:type="pct"/>
            <w:tcBorders>
              <w:tl2br w:val="nil"/>
              <w:tr2bl w:val="nil"/>
            </w:tcBorders>
            <w:shd w:val="clear" w:color="auto" w:fill="auto"/>
            <w:noWrap/>
            <w:vAlign w:val="center"/>
          </w:tcPr>
          <w:p w14:paraId="1C9CCF60">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0.57</w:t>
            </w:r>
          </w:p>
        </w:tc>
        <w:tc>
          <w:tcPr>
            <w:tcW w:w="877" w:type="pct"/>
            <w:tcBorders>
              <w:tl2br w:val="nil"/>
              <w:tr2bl w:val="nil"/>
            </w:tcBorders>
            <w:shd w:val="clear" w:color="auto" w:fill="auto"/>
            <w:noWrap/>
            <w:vAlign w:val="center"/>
          </w:tcPr>
          <w:p w14:paraId="76DABCAE">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56.24 </w:t>
            </w:r>
          </w:p>
        </w:tc>
        <w:tc>
          <w:tcPr>
            <w:tcW w:w="882" w:type="pct"/>
            <w:tcBorders>
              <w:tl2br w:val="nil"/>
              <w:tr2bl w:val="nil"/>
            </w:tcBorders>
            <w:shd w:val="clear" w:color="auto" w:fill="auto"/>
            <w:noWrap/>
            <w:vAlign w:val="center"/>
          </w:tcPr>
          <w:p w14:paraId="4997CA9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32.05 </w:t>
            </w:r>
          </w:p>
        </w:tc>
      </w:tr>
      <w:tr w14:paraId="4895DB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11D424A5">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（二）</w:t>
            </w:r>
          </w:p>
        </w:tc>
        <w:tc>
          <w:tcPr>
            <w:tcW w:w="1282" w:type="pct"/>
            <w:gridSpan w:val="2"/>
            <w:tcBorders>
              <w:tl2br w:val="nil"/>
              <w:tr2bl w:val="nil"/>
            </w:tcBorders>
            <w:shd w:val="clear" w:color="auto" w:fill="auto"/>
            <w:noWrap/>
            <w:vAlign w:val="center"/>
          </w:tcPr>
          <w:p w14:paraId="33BFE697">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其他直接费</w:t>
            </w:r>
          </w:p>
        </w:tc>
        <w:tc>
          <w:tcPr>
            <w:tcW w:w="641" w:type="pct"/>
            <w:tcBorders>
              <w:tl2br w:val="nil"/>
              <w:tr2bl w:val="nil"/>
            </w:tcBorders>
            <w:shd w:val="clear" w:color="auto" w:fill="auto"/>
            <w:noWrap/>
            <w:vAlign w:val="center"/>
          </w:tcPr>
          <w:p w14:paraId="44EE0506">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w:t>
            </w:r>
          </w:p>
        </w:tc>
        <w:tc>
          <w:tcPr>
            <w:tcW w:w="691" w:type="pct"/>
            <w:tcBorders>
              <w:tl2br w:val="nil"/>
              <w:tr2bl w:val="nil"/>
            </w:tcBorders>
            <w:shd w:val="clear" w:color="auto" w:fill="auto"/>
            <w:noWrap/>
            <w:vAlign w:val="center"/>
          </w:tcPr>
          <w:p w14:paraId="622E25F3">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2.00 </w:t>
            </w:r>
          </w:p>
        </w:tc>
        <w:tc>
          <w:tcPr>
            <w:tcW w:w="877" w:type="pct"/>
            <w:tcBorders>
              <w:tl2br w:val="nil"/>
              <w:tr2bl w:val="nil"/>
            </w:tcBorders>
            <w:shd w:val="clear" w:color="auto" w:fill="auto"/>
            <w:noWrap/>
            <w:vAlign w:val="center"/>
          </w:tcPr>
          <w:p w14:paraId="56E571EE">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42.73 </w:t>
            </w:r>
          </w:p>
        </w:tc>
        <w:tc>
          <w:tcPr>
            <w:tcW w:w="882" w:type="pct"/>
            <w:tcBorders>
              <w:tl2br w:val="nil"/>
              <w:tr2bl w:val="nil"/>
            </w:tcBorders>
            <w:shd w:val="clear" w:color="auto" w:fill="auto"/>
            <w:noWrap/>
            <w:vAlign w:val="center"/>
          </w:tcPr>
          <w:p w14:paraId="63CCB2E5">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0.85 </w:t>
            </w:r>
          </w:p>
        </w:tc>
      </w:tr>
      <w:tr w14:paraId="74D4C8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3F6179AC">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二</w:t>
            </w:r>
          </w:p>
        </w:tc>
        <w:tc>
          <w:tcPr>
            <w:tcW w:w="1282" w:type="pct"/>
            <w:gridSpan w:val="2"/>
            <w:tcBorders>
              <w:tl2br w:val="nil"/>
              <w:tr2bl w:val="nil"/>
            </w:tcBorders>
            <w:shd w:val="clear" w:color="auto" w:fill="auto"/>
            <w:noWrap/>
            <w:vAlign w:val="center"/>
          </w:tcPr>
          <w:p w14:paraId="671A6CDE">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间接费</w:t>
            </w:r>
          </w:p>
        </w:tc>
        <w:tc>
          <w:tcPr>
            <w:tcW w:w="641" w:type="pct"/>
            <w:tcBorders>
              <w:tl2br w:val="nil"/>
              <w:tr2bl w:val="nil"/>
            </w:tcBorders>
            <w:shd w:val="clear" w:color="auto" w:fill="auto"/>
            <w:noWrap/>
            <w:vAlign w:val="center"/>
          </w:tcPr>
          <w:p w14:paraId="35655F4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w:t>
            </w:r>
          </w:p>
        </w:tc>
        <w:tc>
          <w:tcPr>
            <w:tcW w:w="691" w:type="pct"/>
            <w:tcBorders>
              <w:tl2br w:val="nil"/>
              <w:tr2bl w:val="nil"/>
            </w:tcBorders>
            <w:shd w:val="clear" w:color="auto" w:fill="auto"/>
            <w:noWrap/>
            <w:vAlign w:val="center"/>
          </w:tcPr>
          <w:p w14:paraId="76B4D86A">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5.00 </w:t>
            </w:r>
          </w:p>
        </w:tc>
        <w:tc>
          <w:tcPr>
            <w:tcW w:w="877" w:type="pct"/>
            <w:tcBorders>
              <w:tl2br w:val="nil"/>
              <w:tr2bl w:val="nil"/>
            </w:tcBorders>
            <w:shd w:val="clear" w:color="auto" w:fill="auto"/>
            <w:noWrap/>
            <w:vAlign w:val="center"/>
          </w:tcPr>
          <w:p w14:paraId="339392C6">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43.58 </w:t>
            </w:r>
          </w:p>
        </w:tc>
        <w:tc>
          <w:tcPr>
            <w:tcW w:w="882" w:type="pct"/>
            <w:tcBorders>
              <w:tl2br w:val="nil"/>
              <w:tr2bl w:val="nil"/>
            </w:tcBorders>
            <w:shd w:val="clear" w:color="auto" w:fill="auto"/>
            <w:noWrap/>
            <w:vAlign w:val="center"/>
          </w:tcPr>
          <w:p w14:paraId="133BC522">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2.18 </w:t>
            </w:r>
          </w:p>
        </w:tc>
      </w:tr>
      <w:tr w14:paraId="1F40B1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11002974">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三</w:t>
            </w:r>
          </w:p>
        </w:tc>
        <w:tc>
          <w:tcPr>
            <w:tcW w:w="1282" w:type="pct"/>
            <w:gridSpan w:val="2"/>
            <w:tcBorders>
              <w:tl2br w:val="nil"/>
              <w:tr2bl w:val="nil"/>
            </w:tcBorders>
            <w:shd w:val="clear" w:color="auto" w:fill="auto"/>
            <w:noWrap/>
            <w:vAlign w:val="center"/>
          </w:tcPr>
          <w:p w14:paraId="4EA22072">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利润</w:t>
            </w:r>
          </w:p>
        </w:tc>
        <w:tc>
          <w:tcPr>
            <w:tcW w:w="641" w:type="pct"/>
            <w:tcBorders>
              <w:tl2br w:val="nil"/>
              <w:tr2bl w:val="nil"/>
            </w:tcBorders>
            <w:shd w:val="clear" w:color="auto" w:fill="auto"/>
            <w:noWrap/>
            <w:vAlign w:val="center"/>
          </w:tcPr>
          <w:p w14:paraId="70331103">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w:t>
            </w:r>
          </w:p>
        </w:tc>
        <w:tc>
          <w:tcPr>
            <w:tcW w:w="691" w:type="pct"/>
            <w:tcBorders>
              <w:tl2br w:val="nil"/>
              <w:tr2bl w:val="nil"/>
            </w:tcBorders>
            <w:shd w:val="clear" w:color="auto" w:fill="auto"/>
            <w:noWrap/>
            <w:vAlign w:val="center"/>
          </w:tcPr>
          <w:p w14:paraId="2AB7EE60">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7.00 </w:t>
            </w:r>
          </w:p>
        </w:tc>
        <w:tc>
          <w:tcPr>
            <w:tcW w:w="877" w:type="pct"/>
            <w:tcBorders>
              <w:tl2br w:val="nil"/>
              <w:tr2bl w:val="nil"/>
            </w:tcBorders>
            <w:shd w:val="clear" w:color="auto" w:fill="auto"/>
            <w:noWrap/>
            <w:vAlign w:val="center"/>
          </w:tcPr>
          <w:p w14:paraId="15F5CA0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45.76 </w:t>
            </w:r>
          </w:p>
        </w:tc>
        <w:tc>
          <w:tcPr>
            <w:tcW w:w="882" w:type="pct"/>
            <w:tcBorders>
              <w:tl2br w:val="nil"/>
              <w:tr2bl w:val="nil"/>
            </w:tcBorders>
            <w:shd w:val="clear" w:color="auto" w:fill="auto"/>
            <w:noWrap/>
            <w:vAlign w:val="center"/>
          </w:tcPr>
          <w:p w14:paraId="08188CBE">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3.20 </w:t>
            </w:r>
          </w:p>
        </w:tc>
      </w:tr>
      <w:tr w14:paraId="2E29E6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3CD79AF6">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四</w:t>
            </w:r>
          </w:p>
        </w:tc>
        <w:tc>
          <w:tcPr>
            <w:tcW w:w="1282" w:type="pct"/>
            <w:gridSpan w:val="2"/>
            <w:tcBorders>
              <w:tl2br w:val="nil"/>
              <w:tr2bl w:val="nil"/>
            </w:tcBorders>
            <w:shd w:val="clear" w:color="auto" w:fill="auto"/>
            <w:noWrap/>
            <w:vAlign w:val="center"/>
          </w:tcPr>
          <w:p w14:paraId="1482F99A">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材料补差</w:t>
            </w:r>
          </w:p>
        </w:tc>
        <w:tc>
          <w:tcPr>
            <w:tcW w:w="641" w:type="pct"/>
            <w:tcBorders>
              <w:tl2br w:val="nil"/>
              <w:tr2bl w:val="nil"/>
            </w:tcBorders>
            <w:shd w:val="clear" w:color="auto" w:fill="auto"/>
            <w:noWrap/>
            <w:vAlign w:val="center"/>
          </w:tcPr>
          <w:p w14:paraId="39AF4875">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691" w:type="pct"/>
            <w:tcBorders>
              <w:tl2br w:val="nil"/>
              <w:tr2bl w:val="nil"/>
            </w:tcBorders>
            <w:shd w:val="clear" w:color="auto" w:fill="auto"/>
            <w:noWrap/>
            <w:vAlign w:val="center"/>
          </w:tcPr>
          <w:p w14:paraId="0BB38FB7">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77" w:type="pct"/>
            <w:tcBorders>
              <w:tl2br w:val="nil"/>
              <w:tr2bl w:val="nil"/>
            </w:tcBorders>
            <w:shd w:val="clear" w:color="auto" w:fill="auto"/>
            <w:noWrap/>
            <w:vAlign w:val="center"/>
          </w:tcPr>
          <w:p w14:paraId="1996B09D">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82" w:type="pct"/>
            <w:tcBorders>
              <w:tl2br w:val="nil"/>
              <w:tr2bl w:val="nil"/>
            </w:tcBorders>
            <w:shd w:val="clear" w:color="auto" w:fill="auto"/>
            <w:noWrap/>
            <w:vAlign w:val="center"/>
          </w:tcPr>
          <w:p w14:paraId="174824E2">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20.75 </w:t>
            </w:r>
          </w:p>
        </w:tc>
      </w:tr>
      <w:tr w14:paraId="173A9F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03628260">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641" w:type="pct"/>
            <w:tcBorders>
              <w:tl2br w:val="nil"/>
              <w:tr2bl w:val="nil"/>
            </w:tcBorders>
            <w:shd w:val="clear" w:color="auto" w:fill="auto"/>
            <w:noWrap/>
            <w:vAlign w:val="center"/>
          </w:tcPr>
          <w:p w14:paraId="79AF175C">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机械</w:t>
            </w:r>
          </w:p>
        </w:tc>
        <w:tc>
          <w:tcPr>
            <w:tcW w:w="641" w:type="pct"/>
            <w:tcBorders>
              <w:tl2br w:val="nil"/>
              <w:tr2bl w:val="nil"/>
            </w:tcBorders>
            <w:shd w:val="clear" w:color="auto" w:fill="auto"/>
            <w:noWrap/>
            <w:vAlign w:val="center"/>
          </w:tcPr>
          <w:p w14:paraId="0D64DBBD">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柴油</w:t>
            </w:r>
          </w:p>
        </w:tc>
        <w:tc>
          <w:tcPr>
            <w:tcW w:w="641" w:type="pct"/>
            <w:tcBorders>
              <w:tl2br w:val="nil"/>
              <w:tr2bl w:val="nil"/>
            </w:tcBorders>
            <w:shd w:val="clear" w:color="auto" w:fill="auto"/>
            <w:noWrap/>
            <w:vAlign w:val="center"/>
          </w:tcPr>
          <w:p w14:paraId="3CD9F093">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kg</w:t>
            </w:r>
          </w:p>
        </w:tc>
        <w:tc>
          <w:tcPr>
            <w:tcW w:w="691" w:type="pct"/>
            <w:tcBorders>
              <w:tl2br w:val="nil"/>
              <w:tr2bl w:val="nil"/>
            </w:tcBorders>
            <w:shd w:val="clear" w:color="auto" w:fill="auto"/>
            <w:noWrap/>
            <w:vAlign w:val="center"/>
          </w:tcPr>
          <w:p w14:paraId="7089755B">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3.93 </w:t>
            </w:r>
          </w:p>
        </w:tc>
        <w:tc>
          <w:tcPr>
            <w:tcW w:w="877" w:type="pct"/>
            <w:tcBorders>
              <w:tl2br w:val="nil"/>
              <w:tr2bl w:val="nil"/>
            </w:tcBorders>
            <w:shd w:val="clear" w:color="auto" w:fill="auto"/>
            <w:noWrap/>
            <w:vAlign w:val="center"/>
          </w:tcPr>
          <w:p w14:paraId="4DE6C638">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5.28 </w:t>
            </w:r>
          </w:p>
        </w:tc>
        <w:tc>
          <w:tcPr>
            <w:tcW w:w="882" w:type="pct"/>
            <w:tcBorders>
              <w:tl2br w:val="nil"/>
              <w:tr2bl w:val="nil"/>
            </w:tcBorders>
            <w:shd w:val="clear" w:color="auto" w:fill="auto"/>
            <w:noWrap/>
            <w:vAlign w:val="center"/>
          </w:tcPr>
          <w:p w14:paraId="1E2861CE">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20.75 </w:t>
            </w:r>
          </w:p>
        </w:tc>
      </w:tr>
      <w:tr w14:paraId="766924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12E6EC58">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五</w:t>
            </w:r>
          </w:p>
        </w:tc>
        <w:tc>
          <w:tcPr>
            <w:tcW w:w="1282" w:type="pct"/>
            <w:gridSpan w:val="2"/>
            <w:tcBorders>
              <w:tl2br w:val="nil"/>
              <w:tr2bl w:val="nil"/>
            </w:tcBorders>
            <w:shd w:val="clear" w:color="auto" w:fill="auto"/>
            <w:noWrap/>
            <w:vAlign w:val="center"/>
          </w:tcPr>
          <w:p w14:paraId="5346A8D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税金</w:t>
            </w:r>
          </w:p>
        </w:tc>
        <w:tc>
          <w:tcPr>
            <w:tcW w:w="641" w:type="pct"/>
            <w:tcBorders>
              <w:tl2br w:val="nil"/>
              <w:tr2bl w:val="nil"/>
            </w:tcBorders>
            <w:shd w:val="clear" w:color="auto" w:fill="auto"/>
            <w:noWrap/>
            <w:vAlign w:val="center"/>
          </w:tcPr>
          <w:p w14:paraId="611C95C8">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w:t>
            </w:r>
          </w:p>
        </w:tc>
        <w:tc>
          <w:tcPr>
            <w:tcW w:w="691" w:type="pct"/>
            <w:tcBorders>
              <w:tl2br w:val="nil"/>
              <w:tr2bl w:val="nil"/>
            </w:tcBorders>
            <w:shd w:val="clear" w:color="auto" w:fill="auto"/>
            <w:noWrap/>
            <w:vAlign w:val="center"/>
          </w:tcPr>
          <w:p w14:paraId="40BBF0CD">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9.00 </w:t>
            </w:r>
          </w:p>
        </w:tc>
        <w:tc>
          <w:tcPr>
            <w:tcW w:w="877" w:type="pct"/>
            <w:tcBorders>
              <w:tl2br w:val="nil"/>
              <w:tr2bl w:val="nil"/>
            </w:tcBorders>
            <w:shd w:val="clear" w:color="auto" w:fill="auto"/>
            <w:noWrap/>
            <w:vAlign w:val="center"/>
          </w:tcPr>
          <w:p w14:paraId="72F35E65">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69.72 </w:t>
            </w:r>
          </w:p>
        </w:tc>
        <w:tc>
          <w:tcPr>
            <w:tcW w:w="882" w:type="pct"/>
            <w:tcBorders>
              <w:tl2br w:val="nil"/>
              <w:tr2bl w:val="nil"/>
            </w:tcBorders>
            <w:shd w:val="clear" w:color="auto" w:fill="auto"/>
            <w:noWrap/>
            <w:vAlign w:val="center"/>
          </w:tcPr>
          <w:p w14:paraId="64CF9D8B">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6.27 </w:t>
            </w:r>
          </w:p>
        </w:tc>
      </w:tr>
      <w:tr w14:paraId="2920CE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49ACE8FC">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概算</w:t>
            </w:r>
          </w:p>
        </w:tc>
        <w:tc>
          <w:tcPr>
            <w:tcW w:w="1282" w:type="pct"/>
            <w:gridSpan w:val="2"/>
            <w:tcBorders>
              <w:tl2br w:val="nil"/>
              <w:tr2bl w:val="nil"/>
            </w:tcBorders>
            <w:shd w:val="clear" w:color="auto" w:fill="auto"/>
            <w:noWrap/>
            <w:vAlign w:val="center"/>
          </w:tcPr>
          <w:p w14:paraId="089F145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合计</w:t>
            </w:r>
          </w:p>
        </w:tc>
        <w:tc>
          <w:tcPr>
            <w:tcW w:w="641" w:type="pct"/>
            <w:tcBorders>
              <w:tl2br w:val="nil"/>
              <w:tr2bl w:val="nil"/>
            </w:tcBorders>
            <w:shd w:val="clear" w:color="auto" w:fill="auto"/>
            <w:noWrap/>
            <w:vAlign w:val="center"/>
          </w:tcPr>
          <w:p w14:paraId="3C87C1C3">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691" w:type="pct"/>
            <w:tcBorders>
              <w:tl2br w:val="nil"/>
              <w:tr2bl w:val="nil"/>
            </w:tcBorders>
            <w:shd w:val="clear" w:color="auto" w:fill="auto"/>
            <w:noWrap/>
            <w:vAlign w:val="center"/>
          </w:tcPr>
          <w:p w14:paraId="4825ED63">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77" w:type="pct"/>
            <w:tcBorders>
              <w:tl2br w:val="nil"/>
              <w:tr2bl w:val="nil"/>
            </w:tcBorders>
            <w:shd w:val="clear" w:color="auto" w:fill="auto"/>
            <w:noWrap/>
            <w:vAlign w:val="center"/>
          </w:tcPr>
          <w:p w14:paraId="65B508DA">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82" w:type="pct"/>
            <w:tcBorders>
              <w:tl2br w:val="nil"/>
              <w:tr2bl w:val="nil"/>
            </w:tcBorders>
            <w:shd w:val="clear" w:color="auto" w:fill="auto"/>
            <w:noWrap/>
            <w:vAlign w:val="center"/>
          </w:tcPr>
          <w:p w14:paraId="02110D9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75.99 </w:t>
            </w:r>
          </w:p>
        </w:tc>
      </w:tr>
    </w:tbl>
    <w:p w14:paraId="0F09A4C8">
      <w:pPr>
        <w:keepNext w:val="0"/>
        <w:keepLines w:val="0"/>
        <w:pageBreakBefore w:val="0"/>
        <w:widowControl w:val="0"/>
        <w:kinsoku/>
        <w:wordWrap/>
        <w:overflowPunct/>
        <w:topLinePunct w:val="0"/>
        <w:autoSpaceDE/>
        <w:autoSpaceDN/>
        <w:bidi w:val="0"/>
        <w:adjustRightInd/>
        <w:snapToGrid/>
        <w:spacing w:beforeLines="50" w:line="240" w:lineRule="auto"/>
        <w:jc w:val="center"/>
        <w:textAlignment w:val="auto"/>
        <w:rPr>
          <w:rFonts w:hint="default" w:ascii="Times New Roman" w:hAnsi="Times New Roman" w:eastAsia="仿宋_GB2312" w:cs="Times New Roman"/>
          <w:b/>
          <w:bCs/>
          <w:color w:val="auto"/>
          <w:sz w:val="21"/>
          <w:lang w:val="en-US" w:eastAsia="zh-CN"/>
        </w:rPr>
      </w:pPr>
    </w:p>
    <w:tbl>
      <w:tblPr>
        <w:tblStyle w:val="18"/>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136"/>
        <w:gridCol w:w="1165"/>
        <w:gridCol w:w="1165"/>
        <w:gridCol w:w="1165"/>
        <w:gridCol w:w="1258"/>
        <w:gridCol w:w="1595"/>
        <w:gridCol w:w="1606"/>
      </w:tblGrid>
      <w:tr w14:paraId="647464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3085722A">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fldChar w:fldCharType="begin"/>
            </w:r>
            <w:r>
              <w:rPr>
                <w:rFonts w:hint="default" w:ascii="Times New Roman" w:hAnsi="Times New Roman" w:eastAsia="仿宋_GB2312" w:cs="Times New Roman"/>
                <w:i w:val="0"/>
                <w:color w:val="000000"/>
                <w:kern w:val="0"/>
                <w:sz w:val="18"/>
                <w:szCs w:val="18"/>
                <w:u w:val="none"/>
                <w:lang w:val="en-US" w:eastAsia="zh-CN" w:bidi="ar"/>
              </w:rPr>
              <w:instrText xml:space="preserve"> HYPERLINK "" \l "工程单价汇总表!G7" </w:instrText>
            </w:r>
            <w:r>
              <w:rPr>
                <w:rFonts w:hint="default" w:ascii="Times New Roman" w:hAnsi="Times New Roman" w:eastAsia="仿宋_GB2312" w:cs="Times New Roman"/>
                <w:i w:val="0"/>
                <w:color w:val="000000"/>
                <w:kern w:val="0"/>
                <w:sz w:val="18"/>
                <w:szCs w:val="18"/>
                <w:u w:val="none"/>
                <w:lang w:val="en-US" w:eastAsia="zh-CN" w:bidi="ar"/>
              </w:rPr>
              <w:fldChar w:fldCharType="separate"/>
            </w:r>
            <w:r>
              <w:rPr>
                <w:rFonts w:hint="default" w:ascii="Times New Roman" w:hAnsi="Times New Roman" w:eastAsia="仿宋_GB2312" w:cs="Times New Roman"/>
                <w:i w:val="0"/>
                <w:color w:val="000000"/>
                <w:kern w:val="0"/>
                <w:sz w:val="18"/>
                <w:szCs w:val="18"/>
                <w:u w:val="none"/>
                <w:lang w:val="en-US" w:eastAsia="zh-CN" w:bidi="ar"/>
              </w:rPr>
              <w:t>工程名称</w:t>
            </w:r>
            <w:r>
              <w:rPr>
                <w:rFonts w:hint="default" w:ascii="Times New Roman" w:hAnsi="Times New Roman" w:eastAsia="仿宋_GB2312" w:cs="Times New Roman"/>
                <w:i w:val="0"/>
                <w:color w:val="000000"/>
                <w:kern w:val="0"/>
                <w:sz w:val="18"/>
                <w:szCs w:val="18"/>
                <w:u w:val="none"/>
                <w:lang w:val="en-US" w:eastAsia="zh-CN" w:bidi="ar"/>
              </w:rPr>
              <w:fldChar w:fldCharType="end"/>
            </w:r>
          </w:p>
        </w:tc>
        <w:tc>
          <w:tcPr>
            <w:tcW w:w="2615" w:type="pct"/>
            <w:gridSpan w:val="4"/>
            <w:tcBorders>
              <w:tl2br w:val="nil"/>
              <w:tr2bl w:val="nil"/>
            </w:tcBorders>
            <w:shd w:val="clear" w:color="auto" w:fill="auto"/>
            <w:noWrap/>
            <w:vAlign w:val="center"/>
          </w:tcPr>
          <w:p w14:paraId="60CF48EE">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表土回覆</w:t>
            </w:r>
          </w:p>
        </w:tc>
        <w:tc>
          <w:tcPr>
            <w:tcW w:w="877" w:type="pct"/>
            <w:tcBorders>
              <w:tl2br w:val="nil"/>
              <w:tr2bl w:val="nil"/>
            </w:tcBorders>
            <w:shd w:val="clear" w:color="auto" w:fill="auto"/>
            <w:noWrap/>
            <w:vAlign w:val="center"/>
          </w:tcPr>
          <w:p w14:paraId="4ECB2271">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单价编号</w:t>
            </w:r>
          </w:p>
        </w:tc>
        <w:tc>
          <w:tcPr>
            <w:tcW w:w="882" w:type="pct"/>
            <w:tcBorders>
              <w:tl2br w:val="nil"/>
              <w:tr2bl w:val="nil"/>
            </w:tcBorders>
            <w:shd w:val="clear" w:color="auto" w:fill="auto"/>
            <w:noWrap/>
            <w:vAlign w:val="center"/>
          </w:tcPr>
          <w:p w14:paraId="3A9A86C5">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w:t>
            </w:r>
          </w:p>
        </w:tc>
      </w:tr>
      <w:tr w14:paraId="67990E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0D40D226">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定额编号</w:t>
            </w:r>
          </w:p>
        </w:tc>
        <w:tc>
          <w:tcPr>
            <w:tcW w:w="2615" w:type="pct"/>
            <w:gridSpan w:val="4"/>
            <w:tcBorders>
              <w:tl2br w:val="nil"/>
              <w:tr2bl w:val="nil"/>
            </w:tcBorders>
            <w:shd w:val="clear" w:color="auto" w:fill="auto"/>
            <w:noWrap/>
            <w:vAlign w:val="center"/>
          </w:tcPr>
          <w:p w14:paraId="7D50EF84">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01166</w:t>
            </w:r>
          </w:p>
        </w:tc>
        <w:tc>
          <w:tcPr>
            <w:tcW w:w="877" w:type="pct"/>
            <w:tcBorders>
              <w:tl2br w:val="nil"/>
              <w:tr2bl w:val="nil"/>
            </w:tcBorders>
            <w:shd w:val="clear" w:color="auto" w:fill="auto"/>
            <w:noWrap/>
            <w:vAlign w:val="center"/>
          </w:tcPr>
          <w:p w14:paraId="77B5B65D">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定额单位</w:t>
            </w:r>
          </w:p>
        </w:tc>
        <w:tc>
          <w:tcPr>
            <w:tcW w:w="882" w:type="pct"/>
            <w:tcBorders>
              <w:tl2br w:val="nil"/>
              <w:tr2bl w:val="nil"/>
            </w:tcBorders>
            <w:shd w:val="clear" w:color="auto" w:fill="auto"/>
            <w:noWrap/>
            <w:vAlign w:val="center"/>
          </w:tcPr>
          <w:p w14:paraId="0958F68D">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100m</w:t>
            </w:r>
            <w:r>
              <w:rPr>
                <w:rFonts w:hint="default" w:ascii="Times New Roman" w:hAnsi="Times New Roman" w:eastAsia="仿宋_GB2312" w:cs="Times New Roman"/>
                <w:i w:val="0"/>
                <w:color w:val="000000"/>
                <w:kern w:val="0"/>
                <w:sz w:val="18"/>
                <w:szCs w:val="18"/>
                <w:u w:val="none"/>
                <w:vertAlign w:val="superscript"/>
                <w:lang w:val="en-US" w:eastAsia="zh-CN" w:bidi="ar"/>
              </w:rPr>
              <w:t>3</w:t>
            </w:r>
            <w:r>
              <w:rPr>
                <w:rFonts w:hint="default" w:ascii="Times New Roman" w:hAnsi="Times New Roman" w:eastAsia="仿宋_GB2312" w:cs="Times New Roman"/>
                <w:i w:val="0"/>
                <w:color w:val="000000"/>
                <w:kern w:val="0"/>
                <w:sz w:val="18"/>
                <w:szCs w:val="18"/>
                <w:u w:val="none"/>
                <w:lang w:val="en-US" w:eastAsia="zh-CN" w:bidi="ar"/>
              </w:rPr>
              <w:t>堆方</w:t>
            </w:r>
          </w:p>
        </w:tc>
      </w:tr>
      <w:tr w14:paraId="4EF271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5000" w:type="pct"/>
            <w:gridSpan w:val="7"/>
            <w:tcBorders>
              <w:tl2br w:val="nil"/>
              <w:tr2bl w:val="nil"/>
            </w:tcBorders>
            <w:shd w:val="clear" w:color="auto" w:fill="auto"/>
            <w:noWrap/>
            <w:vAlign w:val="center"/>
          </w:tcPr>
          <w:p w14:paraId="7CDAE49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工作内容：就近取土、覆土。</w:t>
            </w:r>
          </w:p>
        </w:tc>
      </w:tr>
      <w:tr w14:paraId="12756B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623EC206">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序号</w:t>
            </w:r>
          </w:p>
        </w:tc>
        <w:tc>
          <w:tcPr>
            <w:tcW w:w="1282" w:type="pct"/>
            <w:gridSpan w:val="2"/>
            <w:tcBorders>
              <w:tl2br w:val="nil"/>
              <w:tr2bl w:val="nil"/>
            </w:tcBorders>
            <w:shd w:val="clear" w:color="auto" w:fill="auto"/>
            <w:noWrap/>
            <w:vAlign w:val="center"/>
          </w:tcPr>
          <w:p w14:paraId="0CAA70E4">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名称及规格</w:t>
            </w:r>
          </w:p>
        </w:tc>
        <w:tc>
          <w:tcPr>
            <w:tcW w:w="641" w:type="pct"/>
            <w:tcBorders>
              <w:tl2br w:val="nil"/>
              <w:tr2bl w:val="nil"/>
            </w:tcBorders>
            <w:shd w:val="clear" w:color="auto" w:fill="auto"/>
            <w:noWrap/>
            <w:vAlign w:val="center"/>
          </w:tcPr>
          <w:p w14:paraId="6D30DBBC">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单位</w:t>
            </w:r>
          </w:p>
        </w:tc>
        <w:tc>
          <w:tcPr>
            <w:tcW w:w="691" w:type="pct"/>
            <w:tcBorders>
              <w:tl2br w:val="nil"/>
              <w:tr2bl w:val="nil"/>
            </w:tcBorders>
            <w:shd w:val="clear" w:color="auto" w:fill="auto"/>
            <w:noWrap/>
            <w:vAlign w:val="center"/>
          </w:tcPr>
          <w:p w14:paraId="1E07B0B0">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数量</w:t>
            </w:r>
          </w:p>
        </w:tc>
        <w:tc>
          <w:tcPr>
            <w:tcW w:w="877" w:type="pct"/>
            <w:tcBorders>
              <w:tl2br w:val="nil"/>
              <w:tr2bl w:val="nil"/>
            </w:tcBorders>
            <w:shd w:val="clear" w:color="auto" w:fill="auto"/>
            <w:noWrap/>
            <w:vAlign w:val="center"/>
          </w:tcPr>
          <w:p w14:paraId="774F12D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单价（元）</w:t>
            </w:r>
          </w:p>
        </w:tc>
        <w:tc>
          <w:tcPr>
            <w:tcW w:w="882" w:type="pct"/>
            <w:tcBorders>
              <w:tl2br w:val="nil"/>
              <w:tr2bl w:val="nil"/>
            </w:tcBorders>
            <w:shd w:val="clear" w:color="auto" w:fill="auto"/>
            <w:noWrap/>
            <w:vAlign w:val="center"/>
          </w:tcPr>
          <w:p w14:paraId="350340B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合计（元）</w:t>
            </w:r>
          </w:p>
        </w:tc>
      </w:tr>
      <w:tr w14:paraId="4BDED6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089AA63A">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一</w:t>
            </w:r>
          </w:p>
        </w:tc>
        <w:tc>
          <w:tcPr>
            <w:tcW w:w="1282" w:type="pct"/>
            <w:gridSpan w:val="2"/>
            <w:tcBorders>
              <w:tl2br w:val="nil"/>
              <w:tr2bl w:val="nil"/>
            </w:tcBorders>
            <w:shd w:val="clear" w:color="auto" w:fill="auto"/>
            <w:noWrap/>
            <w:vAlign w:val="center"/>
          </w:tcPr>
          <w:p w14:paraId="7307EC3A">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直接费</w:t>
            </w:r>
          </w:p>
        </w:tc>
        <w:tc>
          <w:tcPr>
            <w:tcW w:w="641" w:type="pct"/>
            <w:tcBorders>
              <w:tl2br w:val="nil"/>
              <w:tr2bl w:val="nil"/>
            </w:tcBorders>
            <w:shd w:val="clear" w:color="auto" w:fill="auto"/>
            <w:noWrap/>
            <w:vAlign w:val="center"/>
          </w:tcPr>
          <w:p w14:paraId="37E684B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691" w:type="pct"/>
            <w:tcBorders>
              <w:tl2br w:val="nil"/>
              <w:tr2bl w:val="nil"/>
            </w:tcBorders>
            <w:shd w:val="clear" w:color="auto" w:fill="auto"/>
            <w:noWrap/>
            <w:vAlign w:val="center"/>
          </w:tcPr>
          <w:p w14:paraId="5AAEE615">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77" w:type="pct"/>
            <w:tcBorders>
              <w:tl2br w:val="nil"/>
              <w:tr2bl w:val="nil"/>
            </w:tcBorders>
            <w:shd w:val="clear" w:color="auto" w:fill="auto"/>
            <w:noWrap/>
            <w:vAlign w:val="center"/>
          </w:tcPr>
          <w:p w14:paraId="5341FAB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82" w:type="pct"/>
            <w:tcBorders>
              <w:tl2br w:val="nil"/>
              <w:tr2bl w:val="nil"/>
            </w:tcBorders>
            <w:shd w:val="clear" w:color="auto" w:fill="auto"/>
            <w:noWrap/>
            <w:vAlign w:val="center"/>
          </w:tcPr>
          <w:p w14:paraId="5FB743E5">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203.20 </w:t>
            </w:r>
          </w:p>
        </w:tc>
      </w:tr>
      <w:tr w14:paraId="16A24C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581346F3">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（一）</w:t>
            </w:r>
          </w:p>
        </w:tc>
        <w:tc>
          <w:tcPr>
            <w:tcW w:w="1282" w:type="pct"/>
            <w:gridSpan w:val="2"/>
            <w:tcBorders>
              <w:tl2br w:val="nil"/>
              <w:tr2bl w:val="nil"/>
            </w:tcBorders>
            <w:shd w:val="clear" w:color="auto" w:fill="auto"/>
            <w:noWrap/>
            <w:vAlign w:val="center"/>
          </w:tcPr>
          <w:p w14:paraId="5FB220F5">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基本直接费</w:t>
            </w:r>
          </w:p>
        </w:tc>
        <w:tc>
          <w:tcPr>
            <w:tcW w:w="641" w:type="pct"/>
            <w:tcBorders>
              <w:tl2br w:val="nil"/>
              <w:tr2bl w:val="nil"/>
            </w:tcBorders>
            <w:shd w:val="clear" w:color="auto" w:fill="auto"/>
            <w:noWrap/>
            <w:vAlign w:val="center"/>
          </w:tcPr>
          <w:p w14:paraId="268DFA40">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691" w:type="pct"/>
            <w:tcBorders>
              <w:tl2br w:val="nil"/>
              <w:tr2bl w:val="nil"/>
            </w:tcBorders>
            <w:shd w:val="clear" w:color="auto" w:fill="auto"/>
            <w:noWrap/>
            <w:vAlign w:val="center"/>
          </w:tcPr>
          <w:p w14:paraId="3B8F83B3">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77" w:type="pct"/>
            <w:tcBorders>
              <w:tl2br w:val="nil"/>
              <w:tr2bl w:val="nil"/>
            </w:tcBorders>
            <w:shd w:val="clear" w:color="auto" w:fill="auto"/>
            <w:noWrap/>
            <w:vAlign w:val="center"/>
          </w:tcPr>
          <w:p w14:paraId="16A849B8">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82" w:type="pct"/>
            <w:tcBorders>
              <w:tl2br w:val="nil"/>
              <w:tr2bl w:val="nil"/>
            </w:tcBorders>
            <w:shd w:val="clear" w:color="auto" w:fill="auto"/>
            <w:noWrap/>
            <w:vAlign w:val="center"/>
          </w:tcPr>
          <w:p w14:paraId="279055B7">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199.21 </w:t>
            </w:r>
          </w:p>
        </w:tc>
      </w:tr>
      <w:tr w14:paraId="798A82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108F8626">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w:t>
            </w:r>
          </w:p>
        </w:tc>
        <w:tc>
          <w:tcPr>
            <w:tcW w:w="1282" w:type="pct"/>
            <w:gridSpan w:val="2"/>
            <w:tcBorders>
              <w:tl2br w:val="nil"/>
              <w:tr2bl w:val="nil"/>
            </w:tcBorders>
            <w:shd w:val="clear" w:color="auto" w:fill="auto"/>
            <w:noWrap/>
            <w:vAlign w:val="center"/>
          </w:tcPr>
          <w:p w14:paraId="3568BB4A">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人工费</w:t>
            </w:r>
          </w:p>
        </w:tc>
        <w:tc>
          <w:tcPr>
            <w:tcW w:w="641" w:type="pct"/>
            <w:tcBorders>
              <w:tl2br w:val="nil"/>
              <w:tr2bl w:val="nil"/>
            </w:tcBorders>
            <w:shd w:val="clear" w:color="auto" w:fill="auto"/>
            <w:noWrap/>
            <w:vAlign w:val="center"/>
          </w:tcPr>
          <w:p w14:paraId="7F702EF3">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工时</w:t>
            </w:r>
          </w:p>
        </w:tc>
        <w:tc>
          <w:tcPr>
            <w:tcW w:w="691" w:type="pct"/>
            <w:tcBorders>
              <w:tl2br w:val="nil"/>
              <w:tr2bl w:val="nil"/>
            </w:tcBorders>
            <w:shd w:val="clear" w:color="auto" w:fill="auto"/>
            <w:noWrap/>
            <w:vAlign w:val="center"/>
          </w:tcPr>
          <w:p w14:paraId="55E437C8">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5.00 </w:t>
            </w:r>
          </w:p>
        </w:tc>
        <w:tc>
          <w:tcPr>
            <w:tcW w:w="877" w:type="pct"/>
            <w:tcBorders>
              <w:tl2br w:val="nil"/>
              <w:tr2bl w:val="nil"/>
            </w:tcBorders>
            <w:shd w:val="clear" w:color="auto" w:fill="auto"/>
            <w:noWrap/>
            <w:vAlign w:val="center"/>
          </w:tcPr>
          <w:p w14:paraId="5079FBD6">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6.38 </w:t>
            </w:r>
          </w:p>
        </w:tc>
        <w:tc>
          <w:tcPr>
            <w:tcW w:w="882" w:type="pct"/>
            <w:tcBorders>
              <w:tl2br w:val="nil"/>
              <w:tr2bl w:val="nil"/>
            </w:tcBorders>
            <w:shd w:val="clear" w:color="auto" w:fill="auto"/>
            <w:noWrap/>
            <w:vAlign w:val="center"/>
          </w:tcPr>
          <w:p w14:paraId="2303E000">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31.90 </w:t>
            </w:r>
          </w:p>
        </w:tc>
      </w:tr>
      <w:tr w14:paraId="623E1D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3C48928B">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w:t>
            </w:r>
          </w:p>
        </w:tc>
        <w:tc>
          <w:tcPr>
            <w:tcW w:w="1282" w:type="pct"/>
            <w:gridSpan w:val="2"/>
            <w:tcBorders>
              <w:tl2br w:val="nil"/>
              <w:tr2bl w:val="nil"/>
            </w:tcBorders>
            <w:shd w:val="clear" w:color="auto" w:fill="auto"/>
            <w:noWrap/>
            <w:vAlign w:val="center"/>
          </w:tcPr>
          <w:p w14:paraId="370A51ED">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材料费</w:t>
            </w:r>
          </w:p>
        </w:tc>
        <w:tc>
          <w:tcPr>
            <w:tcW w:w="641" w:type="pct"/>
            <w:tcBorders>
              <w:tl2br w:val="nil"/>
              <w:tr2bl w:val="nil"/>
            </w:tcBorders>
            <w:shd w:val="clear" w:color="auto" w:fill="auto"/>
            <w:noWrap/>
            <w:vAlign w:val="center"/>
          </w:tcPr>
          <w:p w14:paraId="2C633AB2">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691" w:type="pct"/>
            <w:tcBorders>
              <w:tl2br w:val="nil"/>
              <w:tr2bl w:val="nil"/>
            </w:tcBorders>
            <w:shd w:val="clear" w:color="auto" w:fill="auto"/>
            <w:noWrap/>
            <w:vAlign w:val="center"/>
          </w:tcPr>
          <w:p w14:paraId="31768D67">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77" w:type="pct"/>
            <w:tcBorders>
              <w:tl2br w:val="nil"/>
              <w:tr2bl w:val="nil"/>
            </w:tcBorders>
            <w:shd w:val="clear" w:color="auto" w:fill="auto"/>
            <w:noWrap/>
            <w:vAlign w:val="center"/>
          </w:tcPr>
          <w:p w14:paraId="5C77CBD4">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82" w:type="pct"/>
            <w:tcBorders>
              <w:tl2br w:val="nil"/>
              <w:tr2bl w:val="nil"/>
            </w:tcBorders>
            <w:shd w:val="clear" w:color="auto" w:fill="auto"/>
            <w:noWrap/>
            <w:vAlign w:val="center"/>
          </w:tcPr>
          <w:p w14:paraId="4CC2F0FE">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37.25 </w:t>
            </w:r>
          </w:p>
        </w:tc>
      </w:tr>
      <w:tr w14:paraId="50138B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4AA53755">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1282" w:type="pct"/>
            <w:gridSpan w:val="2"/>
            <w:tcBorders>
              <w:tl2br w:val="nil"/>
              <w:tr2bl w:val="nil"/>
            </w:tcBorders>
            <w:shd w:val="clear" w:color="auto" w:fill="auto"/>
            <w:noWrap/>
            <w:vAlign w:val="center"/>
          </w:tcPr>
          <w:p w14:paraId="16A7AF86">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零星材料费</w:t>
            </w:r>
          </w:p>
        </w:tc>
        <w:tc>
          <w:tcPr>
            <w:tcW w:w="641" w:type="pct"/>
            <w:tcBorders>
              <w:tl2br w:val="nil"/>
              <w:tr2bl w:val="nil"/>
            </w:tcBorders>
            <w:shd w:val="clear" w:color="auto" w:fill="auto"/>
            <w:noWrap/>
            <w:vAlign w:val="center"/>
          </w:tcPr>
          <w:p w14:paraId="4F10E098">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w:t>
            </w:r>
          </w:p>
        </w:tc>
        <w:tc>
          <w:tcPr>
            <w:tcW w:w="691" w:type="pct"/>
            <w:tcBorders>
              <w:tl2br w:val="nil"/>
              <w:tr2bl w:val="nil"/>
            </w:tcBorders>
            <w:shd w:val="clear" w:color="auto" w:fill="auto"/>
            <w:noWrap/>
            <w:vAlign w:val="center"/>
          </w:tcPr>
          <w:p w14:paraId="0703F86A">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23.00 </w:t>
            </w:r>
          </w:p>
        </w:tc>
        <w:tc>
          <w:tcPr>
            <w:tcW w:w="877" w:type="pct"/>
            <w:tcBorders>
              <w:tl2br w:val="nil"/>
              <w:tr2bl w:val="nil"/>
            </w:tcBorders>
            <w:shd w:val="clear" w:color="auto" w:fill="auto"/>
            <w:noWrap/>
            <w:vAlign w:val="center"/>
          </w:tcPr>
          <w:p w14:paraId="43EAD2F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161.96 </w:t>
            </w:r>
          </w:p>
        </w:tc>
        <w:tc>
          <w:tcPr>
            <w:tcW w:w="882" w:type="pct"/>
            <w:tcBorders>
              <w:tl2br w:val="nil"/>
              <w:tr2bl w:val="nil"/>
            </w:tcBorders>
            <w:shd w:val="clear" w:color="auto" w:fill="auto"/>
            <w:noWrap/>
            <w:vAlign w:val="center"/>
          </w:tcPr>
          <w:p w14:paraId="3245CCB8">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37.25 </w:t>
            </w:r>
          </w:p>
        </w:tc>
      </w:tr>
      <w:tr w14:paraId="66AFDE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0F72FA1E">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w:t>
            </w:r>
          </w:p>
        </w:tc>
        <w:tc>
          <w:tcPr>
            <w:tcW w:w="1282" w:type="pct"/>
            <w:gridSpan w:val="2"/>
            <w:tcBorders>
              <w:tl2br w:val="nil"/>
              <w:tr2bl w:val="nil"/>
            </w:tcBorders>
            <w:shd w:val="clear" w:color="auto" w:fill="auto"/>
            <w:noWrap/>
            <w:vAlign w:val="center"/>
          </w:tcPr>
          <w:p w14:paraId="276AF5C1">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机械使用费</w:t>
            </w:r>
          </w:p>
        </w:tc>
        <w:tc>
          <w:tcPr>
            <w:tcW w:w="641" w:type="pct"/>
            <w:tcBorders>
              <w:tl2br w:val="nil"/>
              <w:tr2bl w:val="nil"/>
            </w:tcBorders>
            <w:shd w:val="clear" w:color="auto" w:fill="auto"/>
            <w:noWrap/>
            <w:vAlign w:val="center"/>
          </w:tcPr>
          <w:p w14:paraId="67AD9A80">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691" w:type="pct"/>
            <w:tcBorders>
              <w:tl2br w:val="nil"/>
              <w:tr2bl w:val="nil"/>
            </w:tcBorders>
            <w:shd w:val="clear" w:color="auto" w:fill="auto"/>
            <w:noWrap/>
            <w:vAlign w:val="center"/>
          </w:tcPr>
          <w:p w14:paraId="56F5A980">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77" w:type="pct"/>
            <w:tcBorders>
              <w:tl2br w:val="nil"/>
              <w:tr2bl w:val="nil"/>
            </w:tcBorders>
            <w:shd w:val="clear" w:color="auto" w:fill="auto"/>
            <w:noWrap/>
            <w:vAlign w:val="center"/>
          </w:tcPr>
          <w:p w14:paraId="250845DE">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82" w:type="pct"/>
            <w:tcBorders>
              <w:tl2br w:val="nil"/>
              <w:tr2bl w:val="nil"/>
            </w:tcBorders>
            <w:shd w:val="clear" w:color="auto" w:fill="auto"/>
            <w:noWrap/>
            <w:vAlign w:val="center"/>
          </w:tcPr>
          <w:p w14:paraId="5F29B43C">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130.06 </w:t>
            </w:r>
          </w:p>
        </w:tc>
      </w:tr>
      <w:tr w14:paraId="46CC88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6B340CED">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1282" w:type="pct"/>
            <w:gridSpan w:val="2"/>
            <w:tcBorders>
              <w:tl2br w:val="nil"/>
              <w:tr2bl w:val="nil"/>
            </w:tcBorders>
            <w:shd w:val="clear" w:color="auto" w:fill="auto"/>
            <w:noWrap/>
            <w:vAlign w:val="center"/>
          </w:tcPr>
          <w:p w14:paraId="6493BC3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挖掘机0.5m</w:t>
            </w:r>
            <w:r>
              <w:rPr>
                <w:rFonts w:hint="default" w:ascii="Times New Roman" w:hAnsi="Times New Roman" w:eastAsia="仿宋_GB2312" w:cs="Times New Roman"/>
                <w:i w:val="0"/>
                <w:color w:val="000000"/>
                <w:kern w:val="0"/>
                <w:sz w:val="18"/>
                <w:szCs w:val="18"/>
                <w:u w:val="none"/>
                <w:vertAlign w:val="superscript"/>
                <w:lang w:val="en-US" w:eastAsia="zh-CN" w:bidi="ar"/>
              </w:rPr>
              <w:t>3</w:t>
            </w:r>
          </w:p>
        </w:tc>
        <w:tc>
          <w:tcPr>
            <w:tcW w:w="641" w:type="pct"/>
            <w:tcBorders>
              <w:tl2br w:val="nil"/>
              <w:tr2bl w:val="nil"/>
            </w:tcBorders>
            <w:shd w:val="clear" w:color="auto" w:fill="auto"/>
            <w:noWrap/>
            <w:vAlign w:val="center"/>
          </w:tcPr>
          <w:p w14:paraId="324D6F32">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台时</w:t>
            </w:r>
          </w:p>
        </w:tc>
        <w:tc>
          <w:tcPr>
            <w:tcW w:w="691" w:type="pct"/>
            <w:tcBorders>
              <w:tl2br w:val="nil"/>
              <w:tr2bl w:val="nil"/>
            </w:tcBorders>
            <w:shd w:val="clear" w:color="auto" w:fill="auto"/>
            <w:noWrap/>
            <w:vAlign w:val="center"/>
          </w:tcPr>
          <w:p w14:paraId="4D08E74A">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1.51</w:t>
            </w:r>
          </w:p>
        </w:tc>
        <w:tc>
          <w:tcPr>
            <w:tcW w:w="877" w:type="pct"/>
            <w:tcBorders>
              <w:tl2br w:val="nil"/>
              <w:tr2bl w:val="nil"/>
            </w:tcBorders>
            <w:shd w:val="clear" w:color="auto" w:fill="auto"/>
            <w:noWrap/>
            <w:vAlign w:val="center"/>
          </w:tcPr>
          <w:p w14:paraId="1B41DC11">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86.13 </w:t>
            </w:r>
          </w:p>
        </w:tc>
        <w:tc>
          <w:tcPr>
            <w:tcW w:w="882" w:type="pct"/>
            <w:tcBorders>
              <w:tl2br w:val="nil"/>
              <w:tr2bl w:val="nil"/>
            </w:tcBorders>
            <w:shd w:val="clear" w:color="auto" w:fill="auto"/>
            <w:noWrap/>
            <w:vAlign w:val="center"/>
          </w:tcPr>
          <w:p w14:paraId="56956317">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130.06 </w:t>
            </w:r>
          </w:p>
        </w:tc>
      </w:tr>
      <w:tr w14:paraId="2CC8FB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24EA5691">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（二）</w:t>
            </w:r>
          </w:p>
        </w:tc>
        <w:tc>
          <w:tcPr>
            <w:tcW w:w="1282" w:type="pct"/>
            <w:gridSpan w:val="2"/>
            <w:tcBorders>
              <w:tl2br w:val="nil"/>
              <w:tr2bl w:val="nil"/>
            </w:tcBorders>
            <w:shd w:val="clear" w:color="auto" w:fill="auto"/>
            <w:noWrap/>
            <w:vAlign w:val="center"/>
          </w:tcPr>
          <w:p w14:paraId="70DA2CFD">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其他直接费</w:t>
            </w:r>
          </w:p>
        </w:tc>
        <w:tc>
          <w:tcPr>
            <w:tcW w:w="641" w:type="pct"/>
            <w:tcBorders>
              <w:tl2br w:val="nil"/>
              <w:tr2bl w:val="nil"/>
            </w:tcBorders>
            <w:shd w:val="clear" w:color="auto" w:fill="auto"/>
            <w:noWrap/>
            <w:vAlign w:val="center"/>
          </w:tcPr>
          <w:p w14:paraId="2D37B48B">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w:t>
            </w:r>
          </w:p>
        </w:tc>
        <w:tc>
          <w:tcPr>
            <w:tcW w:w="691" w:type="pct"/>
            <w:tcBorders>
              <w:tl2br w:val="nil"/>
              <w:tr2bl w:val="nil"/>
            </w:tcBorders>
            <w:shd w:val="clear" w:color="auto" w:fill="auto"/>
            <w:noWrap/>
            <w:vAlign w:val="center"/>
          </w:tcPr>
          <w:p w14:paraId="63349755">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2.00 </w:t>
            </w:r>
          </w:p>
        </w:tc>
        <w:tc>
          <w:tcPr>
            <w:tcW w:w="877" w:type="pct"/>
            <w:tcBorders>
              <w:tl2br w:val="nil"/>
              <w:tr2bl w:val="nil"/>
            </w:tcBorders>
            <w:shd w:val="clear" w:color="auto" w:fill="auto"/>
            <w:noWrap/>
            <w:vAlign w:val="center"/>
          </w:tcPr>
          <w:p w14:paraId="389383D8">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199.21 </w:t>
            </w:r>
          </w:p>
        </w:tc>
        <w:tc>
          <w:tcPr>
            <w:tcW w:w="882" w:type="pct"/>
            <w:tcBorders>
              <w:tl2br w:val="nil"/>
              <w:tr2bl w:val="nil"/>
            </w:tcBorders>
            <w:shd w:val="clear" w:color="auto" w:fill="auto"/>
            <w:noWrap/>
            <w:vAlign w:val="center"/>
          </w:tcPr>
          <w:p w14:paraId="5993C4FC">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3.98 </w:t>
            </w:r>
          </w:p>
        </w:tc>
      </w:tr>
      <w:tr w14:paraId="0F8055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2D73F5F3">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二</w:t>
            </w:r>
          </w:p>
        </w:tc>
        <w:tc>
          <w:tcPr>
            <w:tcW w:w="1282" w:type="pct"/>
            <w:gridSpan w:val="2"/>
            <w:tcBorders>
              <w:tl2br w:val="nil"/>
              <w:tr2bl w:val="nil"/>
            </w:tcBorders>
            <w:shd w:val="clear" w:color="auto" w:fill="auto"/>
            <w:noWrap/>
            <w:vAlign w:val="center"/>
          </w:tcPr>
          <w:p w14:paraId="2075CCCF">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间接费</w:t>
            </w:r>
          </w:p>
        </w:tc>
        <w:tc>
          <w:tcPr>
            <w:tcW w:w="641" w:type="pct"/>
            <w:tcBorders>
              <w:tl2br w:val="nil"/>
              <w:tr2bl w:val="nil"/>
            </w:tcBorders>
            <w:shd w:val="clear" w:color="auto" w:fill="auto"/>
            <w:noWrap/>
            <w:vAlign w:val="center"/>
          </w:tcPr>
          <w:p w14:paraId="0D376A24">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w:t>
            </w:r>
          </w:p>
        </w:tc>
        <w:tc>
          <w:tcPr>
            <w:tcW w:w="691" w:type="pct"/>
            <w:tcBorders>
              <w:tl2br w:val="nil"/>
              <w:tr2bl w:val="nil"/>
            </w:tcBorders>
            <w:shd w:val="clear" w:color="auto" w:fill="auto"/>
            <w:noWrap/>
            <w:vAlign w:val="center"/>
          </w:tcPr>
          <w:p w14:paraId="12034B1B">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5.00 </w:t>
            </w:r>
          </w:p>
        </w:tc>
        <w:tc>
          <w:tcPr>
            <w:tcW w:w="877" w:type="pct"/>
            <w:tcBorders>
              <w:tl2br w:val="nil"/>
              <w:tr2bl w:val="nil"/>
            </w:tcBorders>
            <w:shd w:val="clear" w:color="auto" w:fill="auto"/>
            <w:noWrap/>
            <w:vAlign w:val="center"/>
          </w:tcPr>
          <w:p w14:paraId="7D19520A">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203.20 </w:t>
            </w:r>
          </w:p>
        </w:tc>
        <w:tc>
          <w:tcPr>
            <w:tcW w:w="882" w:type="pct"/>
            <w:tcBorders>
              <w:tl2br w:val="nil"/>
              <w:tr2bl w:val="nil"/>
            </w:tcBorders>
            <w:shd w:val="clear" w:color="auto" w:fill="auto"/>
            <w:noWrap/>
            <w:vAlign w:val="center"/>
          </w:tcPr>
          <w:p w14:paraId="5564FFDA">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10.16 </w:t>
            </w:r>
          </w:p>
        </w:tc>
      </w:tr>
      <w:tr w14:paraId="13C66D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30C19171">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三</w:t>
            </w:r>
          </w:p>
        </w:tc>
        <w:tc>
          <w:tcPr>
            <w:tcW w:w="1282" w:type="pct"/>
            <w:gridSpan w:val="2"/>
            <w:tcBorders>
              <w:tl2br w:val="nil"/>
              <w:tr2bl w:val="nil"/>
            </w:tcBorders>
            <w:shd w:val="clear" w:color="auto" w:fill="auto"/>
            <w:noWrap/>
            <w:vAlign w:val="center"/>
          </w:tcPr>
          <w:p w14:paraId="39217A24">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利润</w:t>
            </w:r>
          </w:p>
        </w:tc>
        <w:tc>
          <w:tcPr>
            <w:tcW w:w="641" w:type="pct"/>
            <w:tcBorders>
              <w:tl2br w:val="nil"/>
              <w:tr2bl w:val="nil"/>
            </w:tcBorders>
            <w:shd w:val="clear" w:color="auto" w:fill="auto"/>
            <w:noWrap/>
            <w:vAlign w:val="center"/>
          </w:tcPr>
          <w:p w14:paraId="7EB4B94B">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w:t>
            </w:r>
          </w:p>
        </w:tc>
        <w:tc>
          <w:tcPr>
            <w:tcW w:w="691" w:type="pct"/>
            <w:tcBorders>
              <w:tl2br w:val="nil"/>
              <w:tr2bl w:val="nil"/>
            </w:tcBorders>
            <w:shd w:val="clear" w:color="auto" w:fill="auto"/>
            <w:noWrap/>
            <w:vAlign w:val="center"/>
          </w:tcPr>
          <w:p w14:paraId="2207AD42">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7.00 </w:t>
            </w:r>
          </w:p>
        </w:tc>
        <w:tc>
          <w:tcPr>
            <w:tcW w:w="877" w:type="pct"/>
            <w:tcBorders>
              <w:tl2br w:val="nil"/>
              <w:tr2bl w:val="nil"/>
            </w:tcBorders>
            <w:shd w:val="clear" w:color="auto" w:fill="auto"/>
            <w:noWrap/>
            <w:vAlign w:val="center"/>
          </w:tcPr>
          <w:p w14:paraId="31D128B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213.36 </w:t>
            </w:r>
          </w:p>
        </w:tc>
        <w:tc>
          <w:tcPr>
            <w:tcW w:w="882" w:type="pct"/>
            <w:tcBorders>
              <w:tl2br w:val="nil"/>
              <w:tr2bl w:val="nil"/>
            </w:tcBorders>
            <w:shd w:val="clear" w:color="auto" w:fill="auto"/>
            <w:noWrap/>
            <w:vAlign w:val="center"/>
          </w:tcPr>
          <w:p w14:paraId="746DF61D">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14.94 </w:t>
            </w:r>
          </w:p>
        </w:tc>
      </w:tr>
      <w:tr w14:paraId="2D9624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15918538">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四</w:t>
            </w:r>
          </w:p>
        </w:tc>
        <w:tc>
          <w:tcPr>
            <w:tcW w:w="1282" w:type="pct"/>
            <w:gridSpan w:val="2"/>
            <w:tcBorders>
              <w:tl2br w:val="nil"/>
              <w:tr2bl w:val="nil"/>
            </w:tcBorders>
            <w:shd w:val="clear" w:color="auto" w:fill="auto"/>
            <w:noWrap/>
            <w:vAlign w:val="center"/>
          </w:tcPr>
          <w:p w14:paraId="1D6955E8">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材料补差</w:t>
            </w:r>
          </w:p>
        </w:tc>
        <w:tc>
          <w:tcPr>
            <w:tcW w:w="641" w:type="pct"/>
            <w:tcBorders>
              <w:tl2br w:val="nil"/>
              <w:tr2bl w:val="nil"/>
            </w:tcBorders>
            <w:shd w:val="clear" w:color="auto" w:fill="auto"/>
            <w:noWrap/>
            <w:vAlign w:val="center"/>
          </w:tcPr>
          <w:p w14:paraId="2862AF9D">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691" w:type="pct"/>
            <w:tcBorders>
              <w:tl2br w:val="nil"/>
              <w:tr2bl w:val="nil"/>
            </w:tcBorders>
            <w:shd w:val="clear" w:color="auto" w:fill="auto"/>
            <w:noWrap/>
            <w:vAlign w:val="center"/>
          </w:tcPr>
          <w:p w14:paraId="75451AC4">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77" w:type="pct"/>
            <w:tcBorders>
              <w:tl2br w:val="nil"/>
              <w:tr2bl w:val="nil"/>
            </w:tcBorders>
            <w:shd w:val="clear" w:color="auto" w:fill="auto"/>
            <w:noWrap/>
            <w:vAlign w:val="center"/>
          </w:tcPr>
          <w:p w14:paraId="303514BB">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82" w:type="pct"/>
            <w:tcBorders>
              <w:tl2br w:val="nil"/>
              <w:tr2bl w:val="nil"/>
            </w:tcBorders>
            <w:shd w:val="clear" w:color="auto" w:fill="auto"/>
            <w:noWrap/>
            <w:vAlign w:val="center"/>
          </w:tcPr>
          <w:p w14:paraId="631E5F92">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76.49 </w:t>
            </w:r>
          </w:p>
        </w:tc>
      </w:tr>
      <w:tr w14:paraId="791488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5AA6BC1B">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641" w:type="pct"/>
            <w:tcBorders>
              <w:tl2br w:val="nil"/>
              <w:tr2bl w:val="nil"/>
            </w:tcBorders>
            <w:shd w:val="clear" w:color="auto" w:fill="auto"/>
            <w:noWrap/>
            <w:vAlign w:val="center"/>
          </w:tcPr>
          <w:p w14:paraId="6AE9F35B">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机械</w:t>
            </w:r>
          </w:p>
        </w:tc>
        <w:tc>
          <w:tcPr>
            <w:tcW w:w="641" w:type="pct"/>
            <w:tcBorders>
              <w:tl2br w:val="nil"/>
              <w:tr2bl w:val="nil"/>
            </w:tcBorders>
            <w:shd w:val="clear" w:color="auto" w:fill="auto"/>
            <w:noWrap/>
            <w:vAlign w:val="center"/>
          </w:tcPr>
          <w:p w14:paraId="1FBE7F7D">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柴油</w:t>
            </w:r>
          </w:p>
        </w:tc>
        <w:tc>
          <w:tcPr>
            <w:tcW w:w="641" w:type="pct"/>
            <w:tcBorders>
              <w:tl2br w:val="nil"/>
              <w:tr2bl w:val="nil"/>
            </w:tcBorders>
            <w:shd w:val="clear" w:color="auto" w:fill="auto"/>
            <w:noWrap/>
            <w:vAlign w:val="center"/>
          </w:tcPr>
          <w:p w14:paraId="748D0B74">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kg</w:t>
            </w:r>
          </w:p>
        </w:tc>
        <w:tc>
          <w:tcPr>
            <w:tcW w:w="691" w:type="pct"/>
            <w:tcBorders>
              <w:tl2br w:val="nil"/>
              <w:tr2bl w:val="nil"/>
            </w:tcBorders>
            <w:shd w:val="clear" w:color="auto" w:fill="auto"/>
            <w:noWrap/>
            <w:vAlign w:val="center"/>
          </w:tcPr>
          <w:p w14:paraId="4ED92E90">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14.50 </w:t>
            </w:r>
          </w:p>
        </w:tc>
        <w:tc>
          <w:tcPr>
            <w:tcW w:w="877" w:type="pct"/>
            <w:tcBorders>
              <w:tl2br w:val="nil"/>
              <w:tr2bl w:val="nil"/>
            </w:tcBorders>
            <w:shd w:val="clear" w:color="auto" w:fill="auto"/>
            <w:noWrap/>
            <w:vAlign w:val="center"/>
          </w:tcPr>
          <w:p w14:paraId="220AE5DC">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5.28 </w:t>
            </w:r>
          </w:p>
        </w:tc>
        <w:tc>
          <w:tcPr>
            <w:tcW w:w="882" w:type="pct"/>
            <w:tcBorders>
              <w:tl2br w:val="nil"/>
              <w:tr2bl w:val="nil"/>
            </w:tcBorders>
            <w:shd w:val="clear" w:color="auto" w:fill="auto"/>
            <w:noWrap/>
            <w:vAlign w:val="center"/>
          </w:tcPr>
          <w:p w14:paraId="58453827">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76.49 </w:t>
            </w:r>
          </w:p>
        </w:tc>
      </w:tr>
      <w:tr w14:paraId="5EA167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2E489C16">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五</w:t>
            </w:r>
          </w:p>
        </w:tc>
        <w:tc>
          <w:tcPr>
            <w:tcW w:w="1282" w:type="pct"/>
            <w:gridSpan w:val="2"/>
            <w:tcBorders>
              <w:tl2br w:val="nil"/>
              <w:tr2bl w:val="nil"/>
            </w:tcBorders>
            <w:shd w:val="clear" w:color="auto" w:fill="auto"/>
            <w:noWrap/>
            <w:vAlign w:val="center"/>
          </w:tcPr>
          <w:p w14:paraId="7480C999">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税金</w:t>
            </w:r>
          </w:p>
        </w:tc>
        <w:tc>
          <w:tcPr>
            <w:tcW w:w="641" w:type="pct"/>
            <w:tcBorders>
              <w:tl2br w:val="nil"/>
              <w:tr2bl w:val="nil"/>
            </w:tcBorders>
            <w:shd w:val="clear" w:color="auto" w:fill="auto"/>
            <w:noWrap/>
            <w:vAlign w:val="center"/>
          </w:tcPr>
          <w:p w14:paraId="6731E755">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w:t>
            </w:r>
          </w:p>
        </w:tc>
        <w:tc>
          <w:tcPr>
            <w:tcW w:w="691" w:type="pct"/>
            <w:tcBorders>
              <w:tl2br w:val="nil"/>
              <w:tr2bl w:val="nil"/>
            </w:tcBorders>
            <w:shd w:val="clear" w:color="auto" w:fill="auto"/>
            <w:noWrap/>
            <w:vAlign w:val="center"/>
          </w:tcPr>
          <w:p w14:paraId="1328F940">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9.00 </w:t>
            </w:r>
          </w:p>
        </w:tc>
        <w:tc>
          <w:tcPr>
            <w:tcW w:w="877" w:type="pct"/>
            <w:tcBorders>
              <w:tl2br w:val="nil"/>
              <w:tr2bl w:val="nil"/>
            </w:tcBorders>
            <w:shd w:val="clear" w:color="auto" w:fill="auto"/>
            <w:noWrap/>
            <w:vAlign w:val="center"/>
          </w:tcPr>
          <w:p w14:paraId="0AF448AE">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304.78 </w:t>
            </w:r>
          </w:p>
        </w:tc>
        <w:tc>
          <w:tcPr>
            <w:tcW w:w="882" w:type="pct"/>
            <w:tcBorders>
              <w:tl2br w:val="nil"/>
              <w:tr2bl w:val="nil"/>
            </w:tcBorders>
            <w:shd w:val="clear" w:color="auto" w:fill="auto"/>
            <w:noWrap/>
            <w:vAlign w:val="center"/>
          </w:tcPr>
          <w:p w14:paraId="26E5C01F">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27.43 </w:t>
            </w:r>
          </w:p>
        </w:tc>
      </w:tr>
      <w:tr w14:paraId="2ACF58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625" w:type="pct"/>
            <w:tcBorders>
              <w:tl2br w:val="nil"/>
              <w:tr2bl w:val="nil"/>
            </w:tcBorders>
            <w:shd w:val="clear" w:color="auto" w:fill="auto"/>
            <w:noWrap/>
            <w:vAlign w:val="center"/>
          </w:tcPr>
          <w:p w14:paraId="56C98E7D">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概算</w:t>
            </w:r>
          </w:p>
        </w:tc>
        <w:tc>
          <w:tcPr>
            <w:tcW w:w="1282" w:type="pct"/>
            <w:gridSpan w:val="2"/>
            <w:tcBorders>
              <w:tl2br w:val="nil"/>
              <w:tr2bl w:val="nil"/>
            </w:tcBorders>
            <w:shd w:val="clear" w:color="auto" w:fill="auto"/>
            <w:noWrap/>
            <w:vAlign w:val="center"/>
          </w:tcPr>
          <w:p w14:paraId="6E4B0B8D">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合计</w:t>
            </w:r>
          </w:p>
        </w:tc>
        <w:tc>
          <w:tcPr>
            <w:tcW w:w="641" w:type="pct"/>
            <w:tcBorders>
              <w:tl2br w:val="nil"/>
              <w:tr2bl w:val="nil"/>
            </w:tcBorders>
            <w:shd w:val="clear" w:color="auto" w:fill="auto"/>
            <w:noWrap/>
            <w:vAlign w:val="center"/>
          </w:tcPr>
          <w:p w14:paraId="65EDC470">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691" w:type="pct"/>
            <w:tcBorders>
              <w:tl2br w:val="nil"/>
              <w:tr2bl w:val="nil"/>
            </w:tcBorders>
            <w:shd w:val="clear" w:color="auto" w:fill="auto"/>
            <w:noWrap/>
            <w:vAlign w:val="center"/>
          </w:tcPr>
          <w:p w14:paraId="7C231468">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77" w:type="pct"/>
            <w:tcBorders>
              <w:tl2br w:val="nil"/>
              <w:tr2bl w:val="nil"/>
            </w:tcBorders>
            <w:shd w:val="clear" w:color="auto" w:fill="auto"/>
            <w:noWrap/>
            <w:vAlign w:val="center"/>
          </w:tcPr>
          <w:p w14:paraId="5713FA86">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882" w:type="pct"/>
            <w:tcBorders>
              <w:tl2br w:val="nil"/>
              <w:tr2bl w:val="nil"/>
            </w:tcBorders>
            <w:shd w:val="clear" w:color="auto" w:fill="auto"/>
            <w:noWrap/>
            <w:vAlign w:val="center"/>
          </w:tcPr>
          <w:p w14:paraId="4726BB1B">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332.21 </w:t>
            </w:r>
          </w:p>
        </w:tc>
      </w:tr>
    </w:tbl>
    <w:p w14:paraId="6A4CBD9C">
      <w:pPr>
        <w:keepNext w:val="0"/>
        <w:keepLines w:val="0"/>
        <w:pageBreakBefore w:val="0"/>
        <w:widowControl w:val="0"/>
        <w:kinsoku/>
        <w:wordWrap/>
        <w:overflowPunct/>
        <w:topLinePunct w:val="0"/>
        <w:autoSpaceDE/>
        <w:autoSpaceDN/>
        <w:bidi w:val="0"/>
        <w:adjustRightInd/>
        <w:snapToGrid/>
        <w:spacing w:beforeLines="50" w:line="240" w:lineRule="auto"/>
        <w:jc w:val="right"/>
        <w:textAlignment w:val="auto"/>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szCs w:val="21"/>
          <w:highlight w:val="none"/>
          <w:lang w:val="en-US" w:eastAsia="zh-CN"/>
        </w:rPr>
        <w:t xml:space="preserve">表7.1-9  </w:t>
      </w:r>
      <w:r>
        <w:rPr>
          <w:rFonts w:hint="default" w:ascii="Times New Roman" w:hAnsi="Times New Roman" w:eastAsia="仿宋_GB2312" w:cs="Times New Roman"/>
          <w:b/>
          <w:bCs/>
          <w:color w:val="auto"/>
          <w:sz w:val="21"/>
        </w:rPr>
        <w:t>施工机械台时汇总表</w:t>
      </w:r>
      <w:r>
        <w:rPr>
          <w:rFonts w:hint="default" w:ascii="Times New Roman" w:hAnsi="Times New Roman" w:eastAsia="仿宋_GB2312" w:cs="Times New Roman"/>
          <w:b/>
          <w:bCs/>
          <w:color w:val="auto"/>
          <w:sz w:val="21"/>
          <w:lang w:val="en-US" w:eastAsia="zh-CN"/>
        </w:rPr>
        <w:t xml:space="preserve">                     </w:t>
      </w:r>
      <w:r>
        <w:rPr>
          <w:rFonts w:hint="default" w:ascii="Times New Roman" w:hAnsi="Times New Roman" w:eastAsia="仿宋_GB2312" w:cs="Times New Roman"/>
          <w:b/>
          <w:bCs/>
          <w:color w:val="auto"/>
          <w:sz w:val="21"/>
        </w:rPr>
        <w:t>单位：元</w:t>
      </w:r>
    </w:p>
    <w:tbl>
      <w:tblPr>
        <w:tblStyle w:val="18"/>
        <w:tblW w:w="494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54"/>
        <w:gridCol w:w="1240"/>
        <w:gridCol w:w="725"/>
        <w:gridCol w:w="726"/>
        <w:gridCol w:w="598"/>
        <w:gridCol w:w="513"/>
        <w:gridCol w:w="598"/>
        <w:gridCol w:w="600"/>
        <w:gridCol w:w="555"/>
        <w:gridCol w:w="688"/>
        <w:gridCol w:w="688"/>
        <w:gridCol w:w="636"/>
        <w:gridCol w:w="479"/>
        <w:gridCol w:w="396"/>
      </w:tblGrid>
      <w:tr w14:paraId="6966DE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308" w:type="pct"/>
            <w:vMerge w:val="restart"/>
            <w:tcBorders>
              <w:tl2br w:val="nil"/>
              <w:tr2bl w:val="nil"/>
            </w:tcBorders>
            <w:noWrap/>
            <w:vAlign w:val="center"/>
          </w:tcPr>
          <w:p w14:paraId="58A4FA38">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序号</w:t>
            </w:r>
          </w:p>
        </w:tc>
        <w:tc>
          <w:tcPr>
            <w:tcW w:w="689" w:type="pct"/>
            <w:vMerge w:val="restart"/>
            <w:tcBorders>
              <w:tl2br w:val="nil"/>
              <w:tr2bl w:val="nil"/>
            </w:tcBorders>
            <w:noWrap/>
            <w:vAlign w:val="center"/>
          </w:tcPr>
          <w:p w14:paraId="4C02B4EC">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名称及规格</w:t>
            </w:r>
          </w:p>
        </w:tc>
        <w:tc>
          <w:tcPr>
            <w:tcW w:w="403" w:type="pct"/>
            <w:vMerge w:val="restart"/>
            <w:tcBorders>
              <w:tl2br w:val="nil"/>
              <w:tr2bl w:val="nil"/>
            </w:tcBorders>
            <w:noWrap/>
            <w:vAlign w:val="center"/>
          </w:tcPr>
          <w:p w14:paraId="788F2300">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台时费</w:t>
            </w:r>
          </w:p>
        </w:tc>
        <w:tc>
          <w:tcPr>
            <w:tcW w:w="1685" w:type="pct"/>
            <w:gridSpan w:val="5"/>
            <w:tcBorders>
              <w:tl2br w:val="nil"/>
              <w:tr2bl w:val="nil"/>
            </w:tcBorders>
            <w:noWrap/>
            <w:vAlign w:val="center"/>
          </w:tcPr>
          <w:p w14:paraId="3DEDC074">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其中</w:t>
            </w:r>
          </w:p>
        </w:tc>
        <w:tc>
          <w:tcPr>
            <w:tcW w:w="308" w:type="pct"/>
            <w:tcBorders>
              <w:tl2br w:val="nil"/>
              <w:tr2bl w:val="nil"/>
            </w:tcBorders>
            <w:noWrap/>
            <w:vAlign w:val="center"/>
          </w:tcPr>
          <w:p w14:paraId="7829F7C8">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人工</w:t>
            </w:r>
          </w:p>
        </w:tc>
        <w:tc>
          <w:tcPr>
            <w:tcW w:w="1603" w:type="pct"/>
            <w:gridSpan w:val="5"/>
            <w:tcBorders>
              <w:tl2br w:val="nil"/>
              <w:tr2bl w:val="nil"/>
            </w:tcBorders>
            <w:noWrap/>
            <w:vAlign w:val="center"/>
          </w:tcPr>
          <w:p w14:paraId="55934174">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动力燃料费kg、kg、kW.h、m3、m3</w:t>
            </w:r>
          </w:p>
        </w:tc>
      </w:tr>
      <w:tr w14:paraId="37C24D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308" w:type="pct"/>
            <w:vMerge w:val="continue"/>
            <w:tcBorders>
              <w:tl2br w:val="nil"/>
              <w:tr2bl w:val="nil"/>
            </w:tcBorders>
            <w:noWrap/>
            <w:vAlign w:val="center"/>
          </w:tcPr>
          <w:p w14:paraId="2CD97946">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689" w:type="pct"/>
            <w:vMerge w:val="continue"/>
            <w:tcBorders>
              <w:tl2br w:val="nil"/>
              <w:tr2bl w:val="nil"/>
            </w:tcBorders>
            <w:noWrap/>
            <w:vAlign w:val="center"/>
          </w:tcPr>
          <w:p w14:paraId="28162F44">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403" w:type="pct"/>
            <w:vMerge w:val="continue"/>
            <w:tcBorders>
              <w:tl2br w:val="nil"/>
              <w:tr2bl w:val="nil"/>
            </w:tcBorders>
            <w:noWrap/>
            <w:vAlign w:val="center"/>
          </w:tcPr>
          <w:p w14:paraId="185D9EA6">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403" w:type="pct"/>
            <w:tcBorders>
              <w:tl2br w:val="nil"/>
              <w:tr2bl w:val="nil"/>
            </w:tcBorders>
            <w:noWrap/>
            <w:vAlign w:val="center"/>
          </w:tcPr>
          <w:p w14:paraId="2C222FD2">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折旧费</w:t>
            </w:r>
          </w:p>
        </w:tc>
        <w:tc>
          <w:tcPr>
            <w:tcW w:w="332" w:type="pct"/>
            <w:tcBorders>
              <w:tl2br w:val="nil"/>
              <w:tr2bl w:val="nil"/>
            </w:tcBorders>
            <w:noWrap w:val="0"/>
            <w:vAlign w:val="center"/>
          </w:tcPr>
          <w:p w14:paraId="421499A5">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修炼及替</w:t>
            </w:r>
            <w:r>
              <w:rPr>
                <w:rFonts w:hint="default" w:ascii="Times New Roman" w:hAnsi="Times New Roman" w:eastAsia="仿宋_GB2312" w:cs="Times New Roman"/>
                <w:i w:val="0"/>
                <w:color w:val="000000"/>
                <w:kern w:val="0"/>
                <w:sz w:val="18"/>
                <w:szCs w:val="18"/>
                <w:u w:val="none"/>
                <w:lang w:val="en-US" w:eastAsia="zh-CN" w:bidi="ar"/>
              </w:rPr>
              <w:br w:type="textWrapping"/>
            </w:r>
            <w:r>
              <w:rPr>
                <w:rFonts w:hint="default" w:ascii="Times New Roman" w:hAnsi="Times New Roman" w:eastAsia="仿宋_GB2312" w:cs="Times New Roman"/>
                <w:i w:val="0"/>
                <w:color w:val="000000"/>
                <w:kern w:val="0"/>
                <w:sz w:val="18"/>
                <w:szCs w:val="18"/>
                <w:u w:val="none"/>
                <w:lang w:val="en-US" w:eastAsia="zh-CN" w:bidi="ar"/>
              </w:rPr>
              <w:t>换设备费</w:t>
            </w:r>
          </w:p>
        </w:tc>
        <w:tc>
          <w:tcPr>
            <w:tcW w:w="285" w:type="pct"/>
            <w:tcBorders>
              <w:tl2br w:val="nil"/>
              <w:tr2bl w:val="nil"/>
            </w:tcBorders>
            <w:noWrap w:val="0"/>
            <w:vAlign w:val="center"/>
          </w:tcPr>
          <w:p w14:paraId="1B19898B">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安装</w:t>
            </w:r>
            <w:r>
              <w:rPr>
                <w:rFonts w:hint="default" w:ascii="Times New Roman" w:hAnsi="Times New Roman" w:eastAsia="仿宋_GB2312" w:cs="Times New Roman"/>
                <w:i w:val="0"/>
                <w:color w:val="000000"/>
                <w:kern w:val="0"/>
                <w:sz w:val="18"/>
                <w:szCs w:val="18"/>
                <w:u w:val="none"/>
                <w:lang w:val="en-US" w:eastAsia="zh-CN" w:bidi="ar"/>
              </w:rPr>
              <w:br w:type="textWrapping"/>
            </w:r>
            <w:r>
              <w:rPr>
                <w:rFonts w:hint="default" w:ascii="Times New Roman" w:hAnsi="Times New Roman" w:eastAsia="仿宋_GB2312" w:cs="Times New Roman"/>
                <w:i w:val="0"/>
                <w:color w:val="000000"/>
                <w:kern w:val="0"/>
                <w:sz w:val="18"/>
                <w:szCs w:val="18"/>
                <w:u w:val="none"/>
                <w:lang w:val="en-US" w:eastAsia="zh-CN" w:bidi="ar"/>
              </w:rPr>
              <w:t>拆卸费</w:t>
            </w:r>
          </w:p>
        </w:tc>
        <w:tc>
          <w:tcPr>
            <w:tcW w:w="332" w:type="pct"/>
            <w:tcBorders>
              <w:tl2br w:val="nil"/>
              <w:tr2bl w:val="nil"/>
            </w:tcBorders>
            <w:noWrap w:val="0"/>
            <w:vAlign w:val="center"/>
          </w:tcPr>
          <w:p w14:paraId="78E58D8F">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人工费</w:t>
            </w:r>
          </w:p>
        </w:tc>
        <w:tc>
          <w:tcPr>
            <w:tcW w:w="332" w:type="pct"/>
            <w:tcBorders>
              <w:tl2br w:val="nil"/>
              <w:tr2bl w:val="nil"/>
            </w:tcBorders>
            <w:noWrap w:val="0"/>
            <w:vAlign w:val="center"/>
          </w:tcPr>
          <w:p w14:paraId="67D3CB96">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动力</w:t>
            </w:r>
            <w:r>
              <w:rPr>
                <w:rFonts w:hint="default" w:ascii="Times New Roman" w:hAnsi="Times New Roman" w:eastAsia="仿宋_GB2312" w:cs="Times New Roman"/>
                <w:i w:val="0"/>
                <w:color w:val="000000"/>
                <w:kern w:val="0"/>
                <w:sz w:val="18"/>
                <w:szCs w:val="18"/>
                <w:u w:val="none"/>
                <w:lang w:val="en-US" w:eastAsia="zh-CN" w:bidi="ar"/>
              </w:rPr>
              <w:br w:type="textWrapping"/>
            </w:r>
            <w:r>
              <w:rPr>
                <w:rFonts w:hint="default" w:ascii="Times New Roman" w:hAnsi="Times New Roman" w:eastAsia="仿宋_GB2312" w:cs="Times New Roman"/>
                <w:i w:val="0"/>
                <w:color w:val="000000"/>
                <w:kern w:val="0"/>
                <w:sz w:val="18"/>
                <w:szCs w:val="18"/>
                <w:u w:val="none"/>
                <w:lang w:val="en-US" w:eastAsia="zh-CN" w:bidi="ar"/>
              </w:rPr>
              <w:t>燃料费</w:t>
            </w:r>
          </w:p>
        </w:tc>
        <w:tc>
          <w:tcPr>
            <w:tcW w:w="308" w:type="pct"/>
            <w:tcBorders>
              <w:tl2br w:val="nil"/>
              <w:tr2bl w:val="nil"/>
            </w:tcBorders>
            <w:noWrap/>
            <w:vAlign w:val="center"/>
          </w:tcPr>
          <w:p w14:paraId="6C98F542">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工时</w:t>
            </w:r>
          </w:p>
        </w:tc>
        <w:tc>
          <w:tcPr>
            <w:tcW w:w="382" w:type="pct"/>
            <w:tcBorders>
              <w:tl2br w:val="nil"/>
              <w:tr2bl w:val="nil"/>
            </w:tcBorders>
            <w:noWrap/>
            <w:vAlign w:val="center"/>
          </w:tcPr>
          <w:p w14:paraId="43F848A7">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汽油</w:t>
            </w:r>
          </w:p>
        </w:tc>
        <w:tc>
          <w:tcPr>
            <w:tcW w:w="382" w:type="pct"/>
            <w:tcBorders>
              <w:tl2br w:val="nil"/>
              <w:tr2bl w:val="nil"/>
            </w:tcBorders>
            <w:noWrap/>
            <w:vAlign w:val="center"/>
          </w:tcPr>
          <w:p w14:paraId="48C99D2A">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柴油</w:t>
            </w:r>
          </w:p>
        </w:tc>
        <w:tc>
          <w:tcPr>
            <w:tcW w:w="353" w:type="pct"/>
            <w:tcBorders>
              <w:tl2br w:val="nil"/>
              <w:tr2bl w:val="nil"/>
            </w:tcBorders>
            <w:noWrap/>
            <w:vAlign w:val="center"/>
          </w:tcPr>
          <w:p w14:paraId="1AE5BD77">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电</w:t>
            </w:r>
          </w:p>
        </w:tc>
        <w:tc>
          <w:tcPr>
            <w:tcW w:w="266" w:type="pct"/>
            <w:tcBorders>
              <w:tl2br w:val="nil"/>
              <w:tr2bl w:val="nil"/>
            </w:tcBorders>
            <w:noWrap/>
            <w:vAlign w:val="center"/>
          </w:tcPr>
          <w:p w14:paraId="644EBC6D">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风</w:t>
            </w:r>
          </w:p>
        </w:tc>
        <w:tc>
          <w:tcPr>
            <w:tcW w:w="217" w:type="pct"/>
            <w:tcBorders>
              <w:tl2br w:val="nil"/>
              <w:tr2bl w:val="nil"/>
            </w:tcBorders>
            <w:noWrap/>
            <w:vAlign w:val="center"/>
          </w:tcPr>
          <w:p w14:paraId="264F0AFA">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水</w:t>
            </w:r>
          </w:p>
        </w:tc>
      </w:tr>
      <w:tr w14:paraId="6320CE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308" w:type="pct"/>
            <w:tcBorders>
              <w:tl2br w:val="nil"/>
              <w:tr2bl w:val="nil"/>
            </w:tcBorders>
            <w:noWrap/>
            <w:vAlign w:val="center"/>
          </w:tcPr>
          <w:p w14:paraId="5FC56505">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w:t>
            </w:r>
          </w:p>
        </w:tc>
        <w:tc>
          <w:tcPr>
            <w:tcW w:w="689" w:type="pct"/>
            <w:tcBorders>
              <w:tl2br w:val="nil"/>
              <w:tr2bl w:val="nil"/>
            </w:tcBorders>
            <w:noWrap/>
            <w:vAlign w:val="center"/>
          </w:tcPr>
          <w:p w14:paraId="2B8F670E">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挖掘机0.5m</w:t>
            </w:r>
            <w:r>
              <w:rPr>
                <w:rFonts w:hint="default" w:ascii="Times New Roman" w:hAnsi="Times New Roman" w:eastAsia="仿宋_GB2312" w:cs="Times New Roman"/>
                <w:i w:val="0"/>
                <w:color w:val="000000"/>
                <w:kern w:val="0"/>
                <w:sz w:val="18"/>
                <w:szCs w:val="18"/>
                <w:u w:val="none"/>
                <w:vertAlign w:val="superscript"/>
                <w:lang w:val="en-US" w:eastAsia="zh-CN" w:bidi="ar"/>
              </w:rPr>
              <w:t>3</w:t>
            </w:r>
          </w:p>
        </w:tc>
        <w:tc>
          <w:tcPr>
            <w:tcW w:w="403" w:type="pct"/>
            <w:tcBorders>
              <w:tl2br w:val="nil"/>
              <w:tr2bl w:val="nil"/>
            </w:tcBorders>
            <w:noWrap/>
            <w:vAlign w:val="center"/>
          </w:tcPr>
          <w:p w14:paraId="5E8D20DA">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86.13</w:t>
            </w:r>
          </w:p>
        </w:tc>
        <w:tc>
          <w:tcPr>
            <w:tcW w:w="403" w:type="pct"/>
            <w:tcBorders>
              <w:tl2br w:val="nil"/>
              <w:tr2bl w:val="nil"/>
            </w:tcBorders>
            <w:noWrap/>
            <w:vAlign w:val="center"/>
          </w:tcPr>
          <w:p w14:paraId="39C740DC">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21.28</w:t>
            </w:r>
          </w:p>
        </w:tc>
        <w:tc>
          <w:tcPr>
            <w:tcW w:w="332" w:type="pct"/>
            <w:tcBorders>
              <w:tl2br w:val="nil"/>
              <w:tr2bl w:val="nil"/>
            </w:tcBorders>
            <w:noWrap/>
            <w:vAlign w:val="center"/>
          </w:tcPr>
          <w:p w14:paraId="012ED778">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20.55</w:t>
            </w:r>
          </w:p>
        </w:tc>
        <w:tc>
          <w:tcPr>
            <w:tcW w:w="285" w:type="pct"/>
            <w:tcBorders>
              <w:tl2br w:val="nil"/>
              <w:tr2bl w:val="nil"/>
            </w:tcBorders>
            <w:noWrap/>
            <w:vAlign w:val="center"/>
          </w:tcPr>
          <w:p w14:paraId="0A127EDB">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332" w:type="pct"/>
            <w:tcBorders>
              <w:tl2br w:val="nil"/>
              <w:tr2bl w:val="nil"/>
            </w:tcBorders>
            <w:noWrap/>
            <w:vAlign w:val="center"/>
          </w:tcPr>
          <w:p w14:paraId="22F472C0">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16.80</w:t>
            </w:r>
          </w:p>
        </w:tc>
        <w:tc>
          <w:tcPr>
            <w:tcW w:w="332" w:type="pct"/>
            <w:tcBorders>
              <w:tl2br w:val="nil"/>
              <w:tr2bl w:val="nil"/>
            </w:tcBorders>
            <w:noWrap/>
            <w:vAlign w:val="center"/>
          </w:tcPr>
          <w:p w14:paraId="1E4D5077">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28.90</w:t>
            </w:r>
          </w:p>
        </w:tc>
        <w:tc>
          <w:tcPr>
            <w:tcW w:w="308" w:type="pct"/>
            <w:tcBorders>
              <w:tl2br w:val="nil"/>
              <w:tr2bl w:val="nil"/>
            </w:tcBorders>
            <w:noWrap/>
            <w:vAlign w:val="center"/>
          </w:tcPr>
          <w:p w14:paraId="564DBFF6">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2.40 </w:t>
            </w:r>
          </w:p>
        </w:tc>
        <w:tc>
          <w:tcPr>
            <w:tcW w:w="382" w:type="pct"/>
            <w:tcBorders>
              <w:tl2br w:val="nil"/>
              <w:tr2bl w:val="nil"/>
            </w:tcBorders>
            <w:noWrap/>
            <w:vAlign w:val="center"/>
          </w:tcPr>
          <w:p w14:paraId="446ADAEC">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382" w:type="pct"/>
            <w:tcBorders>
              <w:tl2br w:val="nil"/>
              <w:tr2bl w:val="nil"/>
            </w:tcBorders>
            <w:noWrap/>
            <w:vAlign w:val="center"/>
          </w:tcPr>
          <w:p w14:paraId="4C5E0EFD">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9.60</w:t>
            </w:r>
          </w:p>
        </w:tc>
        <w:tc>
          <w:tcPr>
            <w:tcW w:w="353" w:type="pct"/>
            <w:tcBorders>
              <w:tl2br w:val="nil"/>
              <w:tr2bl w:val="nil"/>
            </w:tcBorders>
            <w:noWrap/>
            <w:vAlign w:val="center"/>
          </w:tcPr>
          <w:p w14:paraId="21A04D76">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266" w:type="pct"/>
            <w:tcBorders>
              <w:tl2br w:val="nil"/>
              <w:tr2bl w:val="nil"/>
            </w:tcBorders>
            <w:noWrap/>
            <w:vAlign w:val="center"/>
          </w:tcPr>
          <w:p w14:paraId="1427B7C4">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217" w:type="pct"/>
            <w:tcBorders>
              <w:tl2br w:val="nil"/>
              <w:tr2bl w:val="nil"/>
            </w:tcBorders>
            <w:noWrap/>
            <w:vAlign w:val="center"/>
          </w:tcPr>
          <w:p w14:paraId="4E27A2B3">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r>
      <w:tr w14:paraId="32E936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308" w:type="pct"/>
            <w:tcBorders>
              <w:tl2br w:val="nil"/>
              <w:tr2bl w:val="nil"/>
            </w:tcBorders>
            <w:noWrap/>
            <w:vAlign w:val="center"/>
          </w:tcPr>
          <w:p w14:paraId="40AB4564">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w:t>
            </w:r>
          </w:p>
        </w:tc>
        <w:tc>
          <w:tcPr>
            <w:tcW w:w="689" w:type="pct"/>
            <w:tcBorders>
              <w:tl2br w:val="nil"/>
              <w:tr2bl w:val="nil"/>
            </w:tcBorders>
            <w:noWrap/>
            <w:vAlign w:val="center"/>
          </w:tcPr>
          <w:p w14:paraId="767115A3">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推土机59kW</w:t>
            </w:r>
          </w:p>
        </w:tc>
        <w:tc>
          <w:tcPr>
            <w:tcW w:w="403" w:type="pct"/>
            <w:tcBorders>
              <w:tl2br w:val="nil"/>
              <w:tr2bl w:val="nil"/>
            </w:tcBorders>
            <w:noWrap/>
            <w:vAlign w:val="center"/>
          </w:tcPr>
          <w:p w14:paraId="2987898B">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56.24</w:t>
            </w:r>
          </w:p>
        </w:tc>
        <w:tc>
          <w:tcPr>
            <w:tcW w:w="403" w:type="pct"/>
            <w:tcBorders>
              <w:tl2br w:val="nil"/>
              <w:tr2bl w:val="nil"/>
            </w:tcBorders>
            <w:noWrap/>
            <w:vAlign w:val="center"/>
          </w:tcPr>
          <w:p w14:paraId="0081A1E0">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9.17</w:t>
            </w:r>
          </w:p>
        </w:tc>
        <w:tc>
          <w:tcPr>
            <w:tcW w:w="332" w:type="pct"/>
            <w:tcBorders>
              <w:tl2br w:val="nil"/>
              <w:tr2bl w:val="nil"/>
            </w:tcBorders>
            <w:noWrap/>
            <w:vAlign w:val="center"/>
          </w:tcPr>
          <w:p w14:paraId="2FA3B9CC">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12.36</w:t>
            </w:r>
          </w:p>
        </w:tc>
        <w:tc>
          <w:tcPr>
            <w:tcW w:w="285" w:type="pct"/>
            <w:tcBorders>
              <w:tl2br w:val="nil"/>
              <w:tr2bl w:val="nil"/>
            </w:tcBorders>
            <w:noWrap/>
            <w:vAlign w:val="center"/>
          </w:tcPr>
          <w:p w14:paraId="2E90DC80">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0.47</w:t>
            </w:r>
          </w:p>
        </w:tc>
        <w:tc>
          <w:tcPr>
            <w:tcW w:w="332" w:type="pct"/>
            <w:tcBorders>
              <w:tl2br w:val="nil"/>
              <w:tr2bl w:val="nil"/>
            </w:tcBorders>
            <w:noWrap/>
            <w:vAlign w:val="center"/>
          </w:tcPr>
          <w:p w14:paraId="661D42D2">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14.70</w:t>
            </w:r>
          </w:p>
        </w:tc>
        <w:tc>
          <w:tcPr>
            <w:tcW w:w="332" w:type="pct"/>
            <w:tcBorders>
              <w:tl2br w:val="nil"/>
              <w:tr2bl w:val="nil"/>
            </w:tcBorders>
            <w:noWrap/>
            <w:vAlign w:val="center"/>
          </w:tcPr>
          <w:p w14:paraId="670EA28C">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20.84</w:t>
            </w:r>
          </w:p>
        </w:tc>
        <w:tc>
          <w:tcPr>
            <w:tcW w:w="308" w:type="pct"/>
            <w:tcBorders>
              <w:tl2br w:val="nil"/>
              <w:tr2bl w:val="nil"/>
            </w:tcBorders>
            <w:noWrap/>
            <w:vAlign w:val="center"/>
          </w:tcPr>
          <w:p w14:paraId="46DF5CB7">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2.10</w:t>
            </w:r>
          </w:p>
        </w:tc>
        <w:tc>
          <w:tcPr>
            <w:tcW w:w="382" w:type="pct"/>
            <w:tcBorders>
              <w:tl2br w:val="nil"/>
              <w:tr2bl w:val="nil"/>
            </w:tcBorders>
            <w:noWrap/>
            <w:vAlign w:val="center"/>
          </w:tcPr>
          <w:p w14:paraId="60A418F2">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382" w:type="pct"/>
            <w:tcBorders>
              <w:tl2br w:val="nil"/>
              <w:tr2bl w:val="nil"/>
            </w:tcBorders>
            <w:noWrap/>
            <w:vAlign w:val="center"/>
          </w:tcPr>
          <w:p w14:paraId="36452AE7">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6.90</w:t>
            </w:r>
          </w:p>
        </w:tc>
        <w:tc>
          <w:tcPr>
            <w:tcW w:w="353" w:type="pct"/>
            <w:tcBorders>
              <w:tl2br w:val="nil"/>
              <w:tr2bl w:val="nil"/>
            </w:tcBorders>
            <w:noWrap/>
            <w:vAlign w:val="center"/>
          </w:tcPr>
          <w:p w14:paraId="653C5400">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266" w:type="pct"/>
            <w:tcBorders>
              <w:tl2br w:val="nil"/>
              <w:tr2bl w:val="nil"/>
            </w:tcBorders>
            <w:noWrap/>
            <w:vAlign w:val="center"/>
          </w:tcPr>
          <w:p w14:paraId="0ADE179B">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217" w:type="pct"/>
            <w:tcBorders>
              <w:tl2br w:val="nil"/>
              <w:tr2bl w:val="nil"/>
            </w:tcBorders>
            <w:noWrap/>
            <w:vAlign w:val="center"/>
          </w:tcPr>
          <w:p w14:paraId="0235D136">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r>
      <w:tr w14:paraId="4F2C87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308" w:type="pct"/>
            <w:tcBorders>
              <w:tl2br w:val="nil"/>
              <w:tr2bl w:val="nil"/>
            </w:tcBorders>
            <w:noWrap/>
            <w:vAlign w:val="center"/>
          </w:tcPr>
          <w:p w14:paraId="3EC79CF5">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w:t>
            </w:r>
          </w:p>
        </w:tc>
        <w:tc>
          <w:tcPr>
            <w:tcW w:w="689" w:type="pct"/>
            <w:tcBorders>
              <w:tl2br w:val="nil"/>
              <w:tr2bl w:val="nil"/>
            </w:tcBorders>
            <w:noWrap/>
            <w:vAlign w:val="center"/>
          </w:tcPr>
          <w:p w14:paraId="0303015C">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汽车起重机8t</w:t>
            </w:r>
          </w:p>
        </w:tc>
        <w:tc>
          <w:tcPr>
            <w:tcW w:w="403" w:type="pct"/>
            <w:tcBorders>
              <w:tl2br w:val="nil"/>
              <w:tr2bl w:val="nil"/>
            </w:tcBorders>
            <w:noWrap/>
            <w:vAlign w:val="center"/>
          </w:tcPr>
          <w:p w14:paraId="3E9552AE">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60.53</w:t>
            </w:r>
          </w:p>
        </w:tc>
        <w:tc>
          <w:tcPr>
            <w:tcW w:w="403" w:type="pct"/>
            <w:tcBorders>
              <w:tl2br w:val="nil"/>
              <w:tr2bl w:val="nil"/>
            </w:tcBorders>
            <w:noWrap/>
            <w:vAlign w:val="center"/>
          </w:tcPr>
          <w:p w14:paraId="08A10322">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12.41</w:t>
            </w:r>
          </w:p>
        </w:tc>
        <w:tc>
          <w:tcPr>
            <w:tcW w:w="332" w:type="pct"/>
            <w:tcBorders>
              <w:tl2br w:val="nil"/>
              <w:tr2bl w:val="nil"/>
            </w:tcBorders>
            <w:noWrap/>
            <w:vAlign w:val="center"/>
          </w:tcPr>
          <w:p w14:paraId="7F21A4F6">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9.92</w:t>
            </w:r>
          </w:p>
        </w:tc>
        <w:tc>
          <w:tcPr>
            <w:tcW w:w="285" w:type="pct"/>
            <w:tcBorders>
              <w:tl2br w:val="nil"/>
              <w:tr2bl w:val="nil"/>
            </w:tcBorders>
            <w:noWrap/>
            <w:vAlign w:val="center"/>
          </w:tcPr>
          <w:p w14:paraId="7D95DFD0">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332" w:type="pct"/>
            <w:tcBorders>
              <w:tl2br w:val="nil"/>
              <w:tr2bl w:val="nil"/>
            </w:tcBorders>
            <w:noWrap/>
            <w:vAlign w:val="center"/>
          </w:tcPr>
          <w:p w14:paraId="07980977">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16.80</w:t>
            </w:r>
          </w:p>
        </w:tc>
        <w:tc>
          <w:tcPr>
            <w:tcW w:w="332" w:type="pct"/>
            <w:tcBorders>
              <w:tl2br w:val="nil"/>
              <w:tr2bl w:val="nil"/>
            </w:tcBorders>
            <w:noWrap/>
            <w:vAlign w:val="center"/>
          </w:tcPr>
          <w:p w14:paraId="23D5A83D">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16.01</w:t>
            </w:r>
          </w:p>
        </w:tc>
        <w:tc>
          <w:tcPr>
            <w:tcW w:w="308" w:type="pct"/>
            <w:tcBorders>
              <w:tl2br w:val="nil"/>
              <w:tr2bl w:val="nil"/>
            </w:tcBorders>
            <w:noWrap/>
            <w:vAlign w:val="center"/>
          </w:tcPr>
          <w:p w14:paraId="6822092B">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2.40</w:t>
            </w:r>
          </w:p>
        </w:tc>
        <w:tc>
          <w:tcPr>
            <w:tcW w:w="382" w:type="pct"/>
            <w:tcBorders>
              <w:tl2br w:val="nil"/>
              <w:tr2bl w:val="nil"/>
            </w:tcBorders>
            <w:noWrap/>
            <w:vAlign w:val="center"/>
          </w:tcPr>
          <w:p w14:paraId="1B7E113C">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5.30</w:t>
            </w:r>
          </w:p>
        </w:tc>
        <w:tc>
          <w:tcPr>
            <w:tcW w:w="382" w:type="pct"/>
            <w:tcBorders>
              <w:tl2br w:val="nil"/>
              <w:tr2bl w:val="nil"/>
            </w:tcBorders>
            <w:noWrap/>
            <w:vAlign w:val="center"/>
          </w:tcPr>
          <w:p w14:paraId="147EC0E7">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353" w:type="pct"/>
            <w:tcBorders>
              <w:tl2br w:val="nil"/>
              <w:tr2bl w:val="nil"/>
            </w:tcBorders>
            <w:noWrap/>
            <w:vAlign w:val="center"/>
          </w:tcPr>
          <w:p w14:paraId="35AD0176">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266" w:type="pct"/>
            <w:tcBorders>
              <w:tl2br w:val="nil"/>
              <w:tr2bl w:val="nil"/>
            </w:tcBorders>
            <w:noWrap/>
            <w:vAlign w:val="center"/>
          </w:tcPr>
          <w:p w14:paraId="564D7B7D">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217" w:type="pct"/>
            <w:tcBorders>
              <w:tl2br w:val="nil"/>
              <w:tr2bl w:val="nil"/>
            </w:tcBorders>
            <w:noWrap/>
            <w:vAlign w:val="center"/>
          </w:tcPr>
          <w:p w14:paraId="1CD32817">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r>
      <w:tr w14:paraId="3F079E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308" w:type="pct"/>
            <w:tcBorders>
              <w:tl2br w:val="nil"/>
              <w:tr2bl w:val="nil"/>
            </w:tcBorders>
            <w:noWrap/>
            <w:vAlign w:val="center"/>
          </w:tcPr>
          <w:p w14:paraId="58BE4FE8">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4</w:t>
            </w:r>
          </w:p>
        </w:tc>
        <w:tc>
          <w:tcPr>
            <w:tcW w:w="689" w:type="pct"/>
            <w:tcBorders>
              <w:tl2br w:val="nil"/>
              <w:tr2bl w:val="nil"/>
            </w:tcBorders>
            <w:noWrap/>
            <w:vAlign w:val="center"/>
          </w:tcPr>
          <w:p w14:paraId="330D4ECC">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拖拉机37kw</w:t>
            </w:r>
          </w:p>
        </w:tc>
        <w:tc>
          <w:tcPr>
            <w:tcW w:w="403" w:type="pct"/>
            <w:tcBorders>
              <w:tl2br w:val="nil"/>
              <w:tr2bl w:val="nil"/>
            </w:tcBorders>
            <w:noWrap/>
            <w:vAlign w:val="center"/>
          </w:tcPr>
          <w:p w14:paraId="69DD57EC">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27.11</w:t>
            </w:r>
          </w:p>
        </w:tc>
        <w:tc>
          <w:tcPr>
            <w:tcW w:w="403" w:type="pct"/>
            <w:tcBorders>
              <w:tl2br w:val="nil"/>
              <w:tr2bl w:val="nil"/>
            </w:tcBorders>
            <w:noWrap/>
            <w:vAlign w:val="center"/>
          </w:tcPr>
          <w:p w14:paraId="2E46BB96">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2.65</w:t>
            </w:r>
          </w:p>
        </w:tc>
        <w:tc>
          <w:tcPr>
            <w:tcW w:w="332" w:type="pct"/>
            <w:tcBorders>
              <w:tl2br w:val="nil"/>
              <w:tr2bl w:val="nil"/>
            </w:tcBorders>
            <w:noWrap/>
            <w:vAlign w:val="center"/>
          </w:tcPr>
          <w:p w14:paraId="6A230025">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4.46</w:t>
            </w:r>
          </w:p>
        </w:tc>
        <w:tc>
          <w:tcPr>
            <w:tcW w:w="285" w:type="pct"/>
            <w:tcBorders>
              <w:tl2br w:val="nil"/>
              <w:tr2bl w:val="nil"/>
            </w:tcBorders>
            <w:noWrap/>
            <w:vAlign w:val="center"/>
          </w:tcPr>
          <w:p w14:paraId="70261914">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0.97</w:t>
            </w:r>
          </w:p>
        </w:tc>
        <w:tc>
          <w:tcPr>
            <w:tcW w:w="332" w:type="pct"/>
            <w:tcBorders>
              <w:tl2br w:val="nil"/>
              <w:tr2bl w:val="nil"/>
            </w:tcBorders>
            <w:noWrap/>
            <w:vAlign w:val="center"/>
          </w:tcPr>
          <w:p w14:paraId="4BBF5BE5">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7.00</w:t>
            </w:r>
          </w:p>
        </w:tc>
        <w:tc>
          <w:tcPr>
            <w:tcW w:w="332" w:type="pct"/>
            <w:tcBorders>
              <w:tl2br w:val="nil"/>
              <w:tr2bl w:val="nil"/>
            </w:tcBorders>
            <w:noWrap/>
            <w:vAlign w:val="center"/>
          </w:tcPr>
          <w:p w14:paraId="28C472BB">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5.13</w:t>
            </w:r>
          </w:p>
        </w:tc>
        <w:tc>
          <w:tcPr>
            <w:tcW w:w="308" w:type="pct"/>
            <w:tcBorders>
              <w:tl2br w:val="nil"/>
              <w:tr2bl w:val="nil"/>
            </w:tcBorders>
            <w:noWrap/>
            <w:vAlign w:val="center"/>
          </w:tcPr>
          <w:p w14:paraId="1070AFE8">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1.00</w:t>
            </w:r>
          </w:p>
        </w:tc>
        <w:tc>
          <w:tcPr>
            <w:tcW w:w="382" w:type="pct"/>
            <w:tcBorders>
              <w:tl2br w:val="nil"/>
              <w:tr2bl w:val="nil"/>
            </w:tcBorders>
            <w:noWrap/>
            <w:vAlign w:val="center"/>
          </w:tcPr>
          <w:p w14:paraId="28348BE1">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382" w:type="pct"/>
            <w:tcBorders>
              <w:tl2br w:val="nil"/>
              <w:tr2bl w:val="nil"/>
            </w:tcBorders>
            <w:noWrap/>
            <w:vAlign w:val="center"/>
          </w:tcPr>
          <w:p w14:paraId="61C31FB0">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353" w:type="pct"/>
            <w:tcBorders>
              <w:tl2br w:val="nil"/>
              <w:tr2bl w:val="nil"/>
            </w:tcBorders>
            <w:noWrap/>
            <w:vAlign w:val="center"/>
          </w:tcPr>
          <w:p w14:paraId="39B91CFE">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8.60</w:t>
            </w:r>
          </w:p>
        </w:tc>
        <w:tc>
          <w:tcPr>
            <w:tcW w:w="266" w:type="pct"/>
            <w:tcBorders>
              <w:tl2br w:val="nil"/>
              <w:tr2bl w:val="nil"/>
            </w:tcBorders>
            <w:noWrap/>
            <w:vAlign w:val="center"/>
          </w:tcPr>
          <w:p w14:paraId="146B85BD">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217" w:type="pct"/>
            <w:tcBorders>
              <w:tl2br w:val="nil"/>
              <w:tr2bl w:val="nil"/>
            </w:tcBorders>
            <w:noWrap/>
            <w:vAlign w:val="center"/>
          </w:tcPr>
          <w:p w14:paraId="5A068006">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r>
    </w:tbl>
    <w:p w14:paraId="508DFCA1">
      <w:pPr>
        <w:widowControl/>
        <w:spacing w:before="120" w:beforeLines="50" w:line="240" w:lineRule="auto"/>
        <w:ind w:firstLine="0" w:firstLineChars="0"/>
        <w:jc w:val="right"/>
        <w:rPr>
          <w:rFonts w:hint="default" w:ascii="Times New Roman" w:hAnsi="Times New Roman" w:eastAsia="仿宋_GB2312" w:cs="Times New Roman"/>
          <w:b/>
          <w:bCs/>
          <w:color w:val="auto"/>
          <w:sz w:val="21"/>
          <w:szCs w:val="21"/>
          <w:highlight w:val="none"/>
          <w:lang w:val="en-US" w:eastAsia="zh-CN"/>
        </w:rPr>
      </w:pPr>
      <w:r>
        <w:rPr>
          <w:rFonts w:hint="default" w:ascii="Times New Roman" w:hAnsi="Times New Roman" w:eastAsia="仿宋_GB2312" w:cs="Times New Roman"/>
          <w:b/>
          <w:bCs/>
          <w:color w:val="auto"/>
          <w:sz w:val="21"/>
          <w:szCs w:val="21"/>
          <w:highlight w:val="none"/>
          <w:lang w:val="en-US" w:eastAsia="zh-CN"/>
        </w:rPr>
        <w:t xml:space="preserve">表7.1-10  主要材料单价表                    </w:t>
      </w:r>
      <w:r>
        <w:rPr>
          <w:rFonts w:hint="default" w:ascii="Times New Roman" w:hAnsi="Times New Roman" w:eastAsia="仿宋_GB2312" w:cs="Times New Roman"/>
          <w:b/>
          <w:bCs/>
          <w:color w:val="auto"/>
          <w:sz w:val="21"/>
          <w:szCs w:val="21"/>
          <w:highlight w:val="none"/>
        </w:rPr>
        <w:t>单位：元</w:t>
      </w:r>
    </w:p>
    <w:tbl>
      <w:tblPr>
        <w:tblStyle w:val="18"/>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82"/>
        <w:gridCol w:w="2109"/>
        <w:gridCol w:w="1744"/>
        <w:gridCol w:w="1065"/>
        <w:gridCol w:w="1666"/>
        <w:gridCol w:w="1637"/>
      </w:tblGrid>
      <w:tr w14:paraId="4C16A6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blHeader/>
          <w:jc w:val="center"/>
        </w:trPr>
        <w:tc>
          <w:tcPr>
            <w:tcW w:w="383" w:type="pct"/>
            <w:tcBorders>
              <w:tl2br w:val="nil"/>
              <w:tr2bl w:val="nil"/>
            </w:tcBorders>
            <w:noWrap w:val="0"/>
            <w:tcMar>
              <w:top w:w="15" w:type="dxa"/>
              <w:left w:w="15" w:type="dxa"/>
              <w:right w:w="15" w:type="dxa"/>
            </w:tcMar>
            <w:vAlign w:val="center"/>
          </w:tcPr>
          <w:p w14:paraId="0A1F6A58">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bookmarkStart w:id="184" w:name="_Toc10778"/>
            <w:r>
              <w:rPr>
                <w:rFonts w:hint="default" w:ascii="Times New Roman" w:hAnsi="Times New Roman" w:eastAsia="仿宋_GB2312" w:cs="Times New Roman"/>
                <w:i w:val="0"/>
                <w:color w:val="000000"/>
                <w:kern w:val="0"/>
                <w:sz w:val="18"/>
                <w:szCs w:val="18"/>
                <w:u w:val="none"/>
                <w:lang w:val="en-US" w:eastAsia="zh-CN" w:bidi="ar"/>
              </w:rPr>
              <w:t>序号</w:t>
            </w:r>
          </w:p>
        </w:tc>
        <w:tc>
          <w:tcPr>
            <w:tcW w:w="1184" w:type="pct"/>
            <w:tcBorders>
              <w:tl2br w:val="nil"/>
              <w:tr2bl w:val="nil"/>
            </w:tcBorders>
            <w:noWrap w:val="0"/>
            <w:tcMar>
              <w:top w:w="15" w:type="dxa"/>
              <w:left w:w="15" w:type="dxa"/>
              <w:right w:w="15" w:type="dxa"/>
            </w:tcMar>
            <w:vAlign w:val="center"/>
          </w:tcPr>
          <w:p w14:paraId="34C1870F">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材料名称</w:t>
            </w:r>
          </w:p>
        </w:tc>
        <w:tc>
          <w:tcPr>
            <w:tcW w:w="979" w:type="pct"/>
            <w:tcBorders>
              <w:tl2br w:val="nil"/>
              <w:tr2bl w:val="nil"/>
            </w:tcBorders>
            <w:noWrap w:val="0"/>
            <w:tcMar>
              <w:top w:w="15" w:type="dxa"/>
              <w:left w:w="15" w:type="dxa"/>
              <w:right w:w="15" w:type="dxa"/>
            </w:tcMar>
            <w:vAlign w:val="center"/>
          </w:tcPr>
          <w:p w14:paraId="4472A254">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规格</w:t>
            </w:r>
          </w:p>
        </w:tc>
        <w:tc>
          <w:tcPr>
            <w:tcW w:w="598" w:type="pct"/>
            <w:tcBorders>
              <w:tl2br w:val="nil"/>
              <w:tr2bl w:val="nil"/>
            </w:tcBorders>
            <w:noWrap w:val="0"/>
            <w:tcMar>
              <w:top w:w="15" w:type="dxa"/>
              <w:left w:w="15" w:type="dxa"/>
              <w:right w:w="15" w:type="dxa"/>
            </w:tcMar>
            <w:vAlign w:val="center"/>
          </w:tcPr>
          <w:p w14:paraId="675E08BB">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单位</w:t>
            </w:r>
          </w:p>
        </w:tc>
        <w:tc>
          <w:tcPr>
            <w:tcW w:w="935" w:type="pct"/>
            <w:tcBorders>
              <w:tl2br w:val="nil"/>
              <w:tr2bl w:val="nil"/>
            </w:tcBorders>
            <w:noWrap w:val="0"/>
            <w:tcMar>
              <w:top w:w="15" w:type="dxa"/>
              <w:left w:w="15" w:type="dxa"/>
              <w:right w:w="15" w:type="dxa"/>
            </w:tcMar>
            <w:vAlign w:val="center"/>
          </w:tcPr>
          <w:p w14:paraId="4325B23C">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概算价格（元）</w:t>
            </w:r>
          </w:p>
        </w:tc>
        <w:tc>
          <w:tcPr>
            <w:tcW w:w="919" w:type="pct"/>
            <w:tcBorders>
              <w:tl2br w:val="nil"/>
              <w:tr2bl w:val="nil"/>
            </w:tcBorders>
            <w:noWrap w:val="0"/>
            <w:tcMar>
              <w:top w:w="15" w:type="dxa"/>
              <w:left w:w="15" w:type="dxa"/>
              <w:right w:w="15" w:type="dxa"/>
            </w:tcMar>
            <w:vAlign w:val="center"/>
          </w:tcPr>
          <w:p w14:paraId="7D520D81">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备注</w:t>
            </w:r>
          </w:p>
        </w:tc>
      </w:tr>
      <w:tr w14:paraId="3533DF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83" w:type="pct"/>
            <w:tcBorders>
              <w:tl2br w:val="nil"/>
              <w:tr2bl w:val="nil"/>
            </w:tcBorders>
            <w:noWrap w:val="0"/>
            <w:tcMar>
              <w:top w:w="15" w:type="dxa"/>
              <w:left w:w="15" w:type="dxa"/>
              <w:right w:w="15" w:type="dxa"/>
            </w:tcMar>
            <w:vAlign w:val="center"/>
          </w:tcPr>
          <w:p w14:paraId="0EAC9B7A">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w:t>
            </w:r>
          </w:p>
        </w:tc>
        <w:tc>
          <w:tcPr>
            <w:tcW w:w="1184" w:type="pct"/>
            <w:tcBorders>
              <w:tl2br w:val="nil"/>
              <w:tr2bl w:val="nil"/>
            </w:tcBorders>
            <w:noWrap w:val="0"/>
            <w:tcMar>
              <w:top w:w="15" w:type="dxa"/>
              <w:left w:w="15" w:type="dxa"/>
              <w:right w:w="15" w:type="dxa"/>
            </w:tcMar>
            <w:vAlign w:val="center"/>
          </w:tcPr>
          <w:p w14:paraId="2CA66577">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水</w:t>
            </w:r>
          </w:p>
        </w:tc>
        <w:tc>
          <w:tcPr>
            <w:tcW w:w="979" w:type="pct"/>
            <w:tcBorders>
              <w:tl2br w:val="nil"/>
              <w:tr2bl w:val="nil"/>
            </w:tcBorders>
            <w:noWrap w:val="0"/>
            <w:tcMar>
              <w:top w:w="15" w:type="dxa"/>
              <w:left w:w="15" w:type="dxa"/>
              <w:right w:w="15" w:type="dxa"/>
            </w:tcMar>
            <w:vAlign w:val="center"/>
          </w:tcPr>
          <w:p w14:paraId="66D34ACB">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598" w:type="pct"/>
            <w:tcBorders>
              <w:tl2br w:val="nil"/>
              <w:tr2bl w:val="nil"/>
            </w:tcBorders>
            <w:noWrap w:val="0"/>
            <w:tcMar>
              <w:top w:w="15" w:type="dxa"/>
              <w:left w:w="15" w:type="dxa"/>
              <w:right w:w="15" w:type="dxa"/>
            </w:tcMar>
            <w:vAlign w:val="center"/>
          </w:tcPr>
          <w:p w14:paraId="47D3ECAE">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m³</w:t>
            </w:r>
          </w:p>
        </w:tc>
        <w:tc>
          <w:tcPr>
            <w:tcW w:w="935" w:type="pct"/>
            <w:tcBorders>
              <w:tl2br w:val="nil"/>
              <w:tr2bl w:val="nil"/>
            </w:tcBorders>
            <w:noWrap w:val="0"/>
            <w:tcMar>
              <w:top w:w="15" w:type="dxa"/>
              <w:left w:w="15" w:type="dxa"/>
              <w:right w:w="15" w:type="dxa"/>
            </w:tcMar>
            <w:vAlign w:val="center"/>
          </w:tcPr>
          <w:p w14:paraId="491E1CAA">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3.08</w:t>
            </w:r>
          </w:p>
        </w:tc>
        <w:tc>
          <w:tcPr>
            <w:tcW w:w="919" w:type="pct"/>
            <w:tcBorders>
              <w:tl2br w:val="nil"/>
              <w:tr2bl w:val="nil"/>
            </w:tcBorders>
            <w:noWrap w:val="0"/>
            <w:tcMar>
              <w:top w:w="15" w:type="dxa"/>
              <w:left w:w="15" w:type="dxa"/>
              <w:right w:w="15" w:type="dxa"/>
            </w:tcMar>
            <w:vAlign w:val="center"/>
          </w:tcPr>
          <w:p w14:paraId="1C02FD31">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主体单价</w:t>
            </w:r>
          </w:p>
        </w:tc>
      </w:tr>
      <w:tr w14:paraId="34572C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83" w:type="pct"/>
            <w:tcBorders>
              <w:tl2br w:val="nil"/>
              <w:tr2bl w:val="nil"/>
            </w:tcBorders>
            <w:noWrap w:val="0"/>
            <w:tcMar>
              <w:top w:w="15" w:type="dxa"/>
              <w:left w:w="15" w:type="dxa"/>
              <w:right w:w="15" w:type="dxa"/>
            </w:tcMar>
            <w:vAlign w:val="center"/>
          </w:tcPr>
          <w:p w14:paraId="6C0648B9">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w:t>
            </w:r>
          </w:p>
        </w:tc>
        <w:tc>
          <w:tcPr>
            <w:tcW w:w="1184" w:type="pct"/>
            <w:tcBorders>
              <w:tl2br w:val="nil"/>
              <w:tr2bl w:val="nil"/>
            </w:tcBorders>
            <w:noWrap w:val="0"/>
            <w:tcMar>
              <w:top w:w="15" w:type="dxa"/>
              <w:left w:w="15" w:type="dxa"/>
              <w:right w:w="15" w:type="dxa"/>
            </w:tcMar>
            <w:vAlign w:val="center"/>
          </w:tcPr>
          <w:p w14:paraId="2377D0E9">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电</w:t>
            </w:r>
          </w:p>
        </w:tc>
        <w:tc>
          <w:tcPr>
            <w:tcW w:w="979" w:type="pct"/>
            <w:tcBorders>
              <w:tl2br w:val="nil"/>
              <w:tr2bl w:val="nil"/>
            </w:tcBorders>
            <w:noWrap w:val="0"/>
            <w:tcMar>
              <w:top w:w="15" w:type="dxa"/>
              <w:left w:w="15" w:type="dxa"/>
              <w:right w:w="15" w:type="dxa"/>
            </w:tcMar>
            <w:vAlign w:val="center"/>
          </w:tcPr>
          <w:p w14:paraId="01598477">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598" w:type="pct"/>
            <w:tcBorders>
              <w:tl2br w:val="nil"/>
              <w:tr2bl w:val="nil"/>
            </w:tcBorders>
            <w:noWrap w:val="0"/>
            <w:tcMar>
              <w:top w:w="15" w:type="dxa"/>
              <w:left w:w="15" w:type="dxa"/>
              <w:right w:w="15" w:type="dxa"/>
            </w:tcMar>
            <w:vAlign w:val="center"/>
          </w:tcPr>
          <w:p w14:paraId="6E747527">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kw·h</w:t>
            </w:r>
          </w:p>
        </w:tc>
        <w:tc>
          <w:tcPr>
            <w:tcW w:w="935" w:type="pct"/>
            <w:tcBorders>
              <w:tl2br w:val="nil"/>
              <w:tr2bl w:val="nil"/>
            </w:tcBorders>
            <w:noWrap w:val="0"/>
            <w:tcMar>
              <w:top w:w="15" w:type="dxa"/>
              <w:left w:w="15" w:type="dxa"/>
              <w:right w:w="15" w:type="dxa"/>
            </w:tcMar>
            <w:vAlign w:val="center"/>
          </w:tcPr>
          <w:p w14:paraId="629F0108">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1.15</w:t>
            </w:r>
          </w:p>
        </w:tc>
        <w:tc>
          <w:tcPr>
            <w:tcW w:w="919" w:type="pct"/>
            <w:tcBorders>
              <w:tl2br w:val="nil"/>
              <w:tr2bl w:val="nil"/>
            </w:tcBorders>
            <w:noWrap w:val="0"/>
            <w:tcMar>
              <w:top w:w="15" w:type="dxa"/>
              <w:left w:w="15" w:type="dxa"/>
              <w:right w:w="15" w:type="dxa"/>
            </w:tcMar>
            <w:vAlign w:val="center"/>
          </w:tcPr>
          <w:p w14:paraId="465AB753">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主体单价</w:t>
            </w:r>
          </w:p>
        </w:tc>
      </w:tr>
      <w:tr w14:paraId="44BFEF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83" w:type="pct"/>
            <w:tcBorders>
              <w:tl2br w:val="nil"/>
              <w:tr2bl w:val="nil"/>
            </w:tcBorders>
            <w:noWrap w:val="0"/>
            <w:tcMar>
              <w:top w:w="15" w:type="dxa"/>
              <w:left w:w="15" w:type="dxa"/>
              <w:right w:w="15" w:type="dxa"/>
            </w:tcMar>
            <w:vAlign w:val="center"/>
          </w:tcPr>
          <w:p w14:paraId="795EB290">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w:t>
            </w:r>
          </w:p>
        </w:tc>
        <w:tc>
          <w:tcPr>
            <w:tcW w:w="1184" w:type="pct"/>
            <w:tcBorders>
              <w:tl2br w:val="nil"/>
              <w:tr2bl w:val="nil"/>
            </w:tcBorders>
            <w:noWrap w:val="0"/>
            <w:tcMar>
              <w:top w:w="15" w:type="dxa"/>
              <w:left w:w="15" w:type="dxa"/>
              <w:right w:w="15" w:type="dxa"/>
            </w:tcMar>
            <w:vAlign w:val="center"/>
          </w:tcPr>
          <w:p w14:paraId="351B231F">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风</w:t>
            </w:r>
          </w:p>
        </w:tc>
        <w:tc>
          <w:tcPr>
            <w:tcW w:w="979" w:type="pct"/>
            <w:tcBorders>
              <w:tl2br w:val="nil"/>
              <w:tr2bl w:val="nil"/>
            </w:tcBorders>
            <w:noWrap w:val="0"/>
            <w:tcMar>
              <w:top w:w="15" w:type="dxa"/>
              <w:left w:w="15" w:type="dxa"/>
              <w:right w:w="15" w:type="dxa"/>
            </w:tcMar>
            <w:vAlign w:val="center"/>
          </w:tcPr>
          <w:p w14:paraId="23B269C0">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598" w:type="pct"/>
            <w:tcBorders>
              <w:tl2br w:val="nil"/>
              <w:tr2bl w:val="nil"/>
            </w:tcBorders>
            <w:noWrap w:val="0"/>
            <w:tcMar>
              <w:top w:w="15" w:type="dxa"/>
              <w:left w:w="15" w:type="dxa"/>
              <w:right w:w="15" w:type="dxa"/>
            </w:tcMar>
            <w:vAlign w:val="center"/>
          </w:tcPr>
          <w:p w14:paraId="152DFDA8">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m³</w:t>
            </w:r>
          </w:p>
        </w:tc>
        <w:tc>
          <w:tcPr>
            <w:tcW w:w="935" w:type="pct"/>
            <w:tcBorders>
              <w:tl2br w:val="nil"/>
              <w:tr2bl w:val="nil"/>
            </w:tcBorders>
            <w:noWrap w:val="0"/>
            <w:tcMar>
              <w:top w:w="15" w:type="dxa"/>
              <w:left w:w="15" w:type="dxa"/>
              <w:right w:w="15" w:type="dxa"/>
            </w:tcMar>
            <w:vAlign w:val="center"/>
          </w:tcPr>
          <w:p w14:paraId="6F21D500">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0.15</w:t>
            </w:r>
          </w:p>
        </w:tc>
        <w:tc>
          <w:tcPr>
            <w:tcW w:w="919" w:type="pct"/>
            <w:tcBorders>
              <w:tl2br w:val="nil"/>
              <w:tr2bl w:val="nil"/>
            </w:tcBorders>
            <w:noWrap w:val="0"/>
            <w:tcMar>
              <w:top w:w="15" w:type="dxa"/>
              <w:left w:w="15" w:type="dxa"/>
              <w:right w:w="15" w:type="dxa"/>
            </w:tcMar>
            <w:vAlign w:val="center"/>
          </w:tcPr>
          <w:p w14:paraId="06D1474D">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主体单价</w:t>
            </w:r>
          </w:p>
        </w:tc>
      </w:tr>
      <w:tr w14:paraId="4DAE73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83" w:type="pct"/>
            <w:tcBorders>
              <w:tl2br w:val="nil"/>
              <w:tr2bl w:val="nil"/>
            </w:tcBorders>
            <w:noWrap w:val="0"/>
            <w:tcMar>
              <w:top w:w="15" w:type="dxa"/>
              <w:left w:w="15" w:type="dxa"/>
              <w:right w:w="15" w:type="dxa"/>
            </w:tcMar>
            <w:vAlign w:val="center"/>
          </w:tcPr>
          <w:p w14:paraId="07968800">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4</w:t>
            </w:r>
          </w:p>
        </w:tc>
        <w:tc>
          <w:tcPr>
            <w:tcW w:w="1184" w:type="pct"/>
            <w:tcBorders>
              <w:tl2br w:val="nil"/>
              <w:tr2bl w:val="nil"/>
            </w:tcBorders>
            <w:noWrap w:val="0"/>
            <w:tcMar>
              <w:top w:w="15" w:type="dxa"/>
              <w:left w:w="15" w:type="dxa"/>
              <w:right w:w="15" w:type="dxa"/>
            </w:tcMar>
            <w:vAlign w:val="center"/>
          </w:tcPr>
          <w:p w14:paraId="56765952">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煤</w:t>
            </w:r>
          </w:p>
        </w:tc>
        <w:tc>
          <w:tcPr>
            <w:tcW w:w="979" w:type="pct"/>
            <w:tcBorders>
              <w:tl2br w:val="nil"/>
              <w:tr2bl w:val="nil"/>
            </w:tcBorders>
            <w:noWrap w:val="0"/>
            <w:tcMar>
              <w:top w:w="15" w:type="dxa"/>
              <w:left w:w="15" w:type="dxa"/>
              <w:right w:w="15" w:type="dxa"/>
            </w:tcMar>
            <w:vAlign w:val="center"/>
          </w:tcPr>
          <w:p w14:paraId="6E099B72">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598" w:type="pct"/>
            <w:tcBorders>
              <w:tl2br w:val="nil"/>
              <w:tr2bl w:val="nil"/>
            </w:tcBorders>
            <w:noWrap w:val="0"/>
            <w:tcMar>
              <w:top w:w="15" w:type="dxa"/>
              <w:left w:w="15" w:type="dxa"/>
              <w:right w:w="15" w:type="dxa"/>
            </w:tcMar>
            <w:vAlign w:val="center"/>
          </w:tcPr>
          <w:p w14:paraId="2FB6AFE3">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kg</w:t>
            </w:r>
          </w:p>
        </w:tc>
        <w:tc>
          <w:tcPr>
            <w:tcW w:w="935" w:type="pct"/>
            <w:tcBorders>
              <w:tl2br w:val="nil"/>
              <w:tr2bl w:val="nil"/>
            </w:tcBorders>
            <w:noWrap w:val="0"/>
            <w:tcMar>
              <w:top w:w="15" w:type="dxa"/>
              <w:left w:w="15" w:type="dxa"/>
              <w:right w:w="15" w:type="dxa"/>
            </w:tcMar>
            <w:vAlign w:val="center"/>
          </w:tcPr>
          <w:p w14:paraId="242704BB">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0.60</w:t>
            </w:r>
          </w:p>
        </w:tc>
        <w:tc>
          <w:tcPr>
            <w:tcW w:w="919" w:type="pct"/>
            <w:tcBorders>
              <w:tl2br w:val="nil"/>
              <w:tr2bl w:val="nil"/>
            </w:tcBorders>
            <w:noWrap w:val="0"/>
            <w:tcMar>
              <w:top w:w="15" w:type="dxa"/>
              <w:left w:w="15" w:type="dxa"/>
              <w:right w:w="15" w:type="dxa"/>
            </w:tcMar>
            <w:vAlign w:val="center"/>
          </w:tcPr>
          <w:p w14:paraId="10B015C3">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主体单价</w:t>
            </w:r>
          </w:p>
        </w:tc>
      </w:tr>
      <w:tr w14:paraId="323A81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83" w:type="pct"/>
            <w:tcBorders>
              <w:tl2br w:val="nil"/>
              <w:tr2bl w:val="nil"/>
            </w:tcBorders>
            <w:noWrap w:val="0"/>
            <w:tcMar>
              <w:top w:w="15" w:type="dxa"/>
              <w:left w:w="15" w:type="dxa"/>
              <w:right w:w="15" w:type="dxa"/>
            </w:tcMar>
            <w:vAlign w:val="center"/>
          </w:tcPr>
          <w:p w14:paraId="66C4EA94">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5</w:t>
            </w:r>
          </w:p>
        </w:tc>
        <w:tc>
          <w:tcPr>
            <w:tcW w:w="1184" w:type="pct"/>
            <w:tcBorders>
              <w:tl2br w:val="nil"/>
              <w:tr2bl w:val="nil"/>
            </w:tcBorders>
            <w:noWrap w:val="0"/>
            <w:tcMar>
              <w:top w:w="15" w:type="dxa"/>
              <w:left w:w="15" w:type="dxa"/>
              <w:right w:w="15" w:type="dxa"/>
            </w:tcMar>
            <w:vAlign w:val="center"/>
          </w:tcPr>
          <w:p w14:paraId="382C4DF1">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汽油</w:t>
            </w:r>
          </w:p>
        </w:tc>
        <w:tc>
          <w:tcPr>
            <w:tcW w:w="979" w:type="pct"/>
            <w:tcBorders>
              <w:tl2br w:val="nil"/>
              <w:tr2bl w:val="nil"/>
            </w:tcBorders>
            <w:noWrap w:val="0"/>
            <w:tcMar>
              <w:top w:w="15" w:type="dxa"/>
              <w:left w:w="15" w:type="dxa"/>
              <w:right w:w="15" w:type="dxa"/>
            </w:tcMar>
            <w:vAlign w:val="center"/>
          </w:tcPr>
          <w:p w14:paraId="42DD4598">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92#</w:t>
            </w:r>
          </w:p>
        </w:tc>
        <w:tc>
          <w:tcPr>
            <w:tcW w:w="598" w:type="pct"/>
            <w:tcBorders>
              <w:tl2br w:val="nil"/>
              <w:tr2bl w:val="nil"/>
            </w:tcBorders>
            <w:noWrap w:val="0"/>
            <w:tcMar>
              <w:top w:w="15" w:type="dxa"/>
              <w:left w:w="15" w:type="dxa"/>
              <w:right w:w="15" w:type="dxa"/>
            </w:tcMar>
            <w:vAlign w:val="center"/>
          </w:tcPr>
          <w:p w14:paraId="253FA8C6">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kg</w:t>
            </w:r>
          </w:p>
        </w:tc>
        <w:tc>
          <w:tcPr>
            <w:tcW w:w="935" w:type="pct"/>
            <w:tcBorders>
              <w:tl2br w:val="nil"/>
              <w:tr2bl w:val="nil"/>
            </w:tcBorders>
            <w:noWrap w:val="0"/>
            <w:tcMar>
              <w:top w:w="15" w:type="dxa"/>
              <w:left w:w="15" w:type="dxa"/>
              <w:right w:w="15" w:type="dxa"/>
            </w:tcMar>
            <w:vAlign w:val="center"/>
          </w:tcPr>
          <w:p w14:paraId="3E949291">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8.20</w:t>
            </w:r>
          </w:p>
        </w:tc>
        <w:tc>
          <w:tcPr>
            <w:tcW w:w="919" w:type="pct"/>
            <w:tcBorders>
              <w:tl2br w:val="nil"/>
              <w:tr2bl w:val="nil"/>
            </w:tcBorders>
            <w:noWrap w:val="0"/>
            <w:tcMar>
              <w:top w:w="15" w:type="dxa"/>
              <w:left w:w="15" w:type="dxa"/>
              <w:right w:w="15" w:type="dxa"/>
            </w:tcMar>
            <w:vAlign w:val="center"/>
          </w:tcPr>
          <w:p w14:paraId="7D86468F">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主体单价</w:t>
            </w:r>
          </w:p>
        </w:tc>
      </w:tr>
      <w:tr w14:paraId="56991C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83" w:type="pct"/>
            <w:tcBorders>
              <w:tl2br w:val="nil"/>
              <w:tr2bl w:val="nil"/>
            </w:tcBorders>
            <w:noWrap w:val="0"/>
            <w:tcMar>
              <w:top w:w="15" w:type="dxa"/>
              <w:left w:w="15" w:type="dxa"/>
              <w:right w:w="15" w:type="dxa"/>
            </w:tcMar>
            <w:vAlign w:val="center"/>
          </w:tcPr>
          <w:p w14:paraId="2DDF127D">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6</w:t>
            </w:r>
          </w:p>
        </w:tc>
        <w:tc>
          <w:tcPr>
            <w:tcW w:w="1184" w:type="pct"/>
            <w:tcBorders>
              <w:tl2br w:val="nil"/>
              <w:tr2bl w:val="nil"/>
            </w:tcBorders>
            <w:noWrap w:val="0"/>
            <w:tcMar>
              <w:top w:w="15" w:type="dxa"/>
              <w:left w:w="15" w:type="dxa"/>
              <w:right w:w="15" w:type="dxa"/>
            </w:tcMar>
            <w:vAlign w:val="center"/>
          </w:tcPr>
          <w:p w14:paraId="4FFA5732">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柴油</w:t>
            </w:r>
          </w:p>
        </w:tc>
        <w:tc>
          <w:tcPr>
            <w:tcW w:w="979" w:type="pct"/>
            <w:tcBorders>
              <w:tl2br w:val="nil"/>
              <w:tr2bl w:val="nil"/>
            </w:tcBorders>
            <w:noWrap w:val="0"/>
            <w:tcMar>
              <w:top w:w="15" w:type="dxa"/>
              <w:left w:w="15" w:type="dxa"/>
              <w:right w:w="15" w:type="dxa"/>
            </w:tcMar>
            <w:vAlign w:val="center"/>
          </w:tcPr>
          <w:p w14:paraId="20352DCB">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0#</w:t>
            </w:r>
          </w:p>
        </w:tc>
        <w:tc>
          <w:tcPr>
            <w:tcW w:w="598" w:type="pct"/>
            <w:tcBorders>
              <w:tl2br w:val="nil"/>
              <w:tr2bl w:val="nil"/>
            </w:tcBorders>
            <w:noWrap w:val="0"/>
            <w:tcMar>
              <w:top w:w="15" w:type="dxa"/>
              <w:left w:w="15" w:type="dxa"/>
              <w:right w:w="15" w:type="dxa"/>
            </w:tcMar>
            <w:vAlign w:val="center"/>
          </w:tcPr>
          <w:p w14:paraId="6965F1B8">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kg</w:t>
            </w:r>
          </w:p>
        </w:tc>
        <w:tc>
          <w:tcPr>
            <w:tcW w:w="935" w:type="pct"/>
            <w:tcBorders>
              <w:tl2br w:val="nil"/>
              <w:tr2bl w:val="nil"/>
            </w:tcBorders>
            <w:noWrap w:val="0"/>
            <w:tcMar>
              <w:top w:w="15" w:type="dxa"/>
              <w:left w:w="15" w:type="dxa"/>
              <w:right w:w="15" w:type="dxa"/>
            </w:tcMar>
            <w:vAlign w:val="center"/>
          </w:tcPr>
          <w:p w14:paraId="3DC6555B">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7.71</w:t>
            </w:r>
          </w:p>
        </w:tc>
        <w:tc>
          <w:tcPr>
            <w:tcW w:w="919" w:type="pct"/>
            <w:tcBorders>
              <w:tl2br w:val="nil"/>
              <w:tr2bl w:val="nil"/>
            </w:tcBorders>
            <w:noWrap w:val="0"/>
            <w:tcMar>
              <w:top w:w="15" w:type="dxa"/>
              <w:left w:w="15" w:type="dxa"/>
              <w:right w:w="15" w:type="dxa"/>
            </w:tcMar>
            <w:vAlign w:val="center"/>
          </w:tcPr>
          <w:p w14:paraId="63D86552">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主体单价</w:t>
            </w:r>
          </w:p>
        </w:tc>
      </w:tr>
      <w:tr w14:paraId="2E3417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83" w:type="pct"/>
            <w:tcBorders>
              <w:tl2br w:val="nil"/>
              <w:tr2bl w:val="nil"/>
            </w:tcBorders>
            <w:noWrap w:val="0"/>
            <w:tcMar>
              <w:top w:w="15" w:type="dxa"/>
              <w:left w:w="15" w:type="dxa"/>
              <w:right w:w="15" w:type="dxa"/>
            </w:tcMar>
            <w:vAlign w:val="center"/>
          </w:tcPr>
          <w:p w14:paraId="5A7691CB">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7</w:t>
            </w:r>
          </w:p>
        </w:tc>
        <w:tc>
          <w:tcPr>
            <w:tcW w:w="1184" w:type="pct"/>
            <w:tcBorders>
              <w:tl2br w:val="nil"/>
              <w:tr2bl w:val="nil"/>
            </w:tcBorders>
            <w:noWrap w:val="0"/>
            <w:tcMar>
              <w:top w:w="15" w:type="dxa"/>
              <w:left w:w="15" w:type="dxa"/>
              <w:right w:w="15" w:type="dxa"/>
            </w:tcMar>
            <w:vAlign w:val="center"/>
          </w:tcPr>
          <w:p w14:paraId="76613059">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草籽</w:t>
            </w:r>
          </w:p>
        </w:tc>
        <w:tc>
          <w:tcPr>
            <w:tcW w:w="979" w:type="pct"/>
            <w:tcBorders>
              <w:tl2br w:val="nil"/>
              <w:tr2bl w:val="nil"/>
            </w:tcBorders>
            <w:noWrap w:val="0"/>
            <w:tcMar>
              <w:top w:w="15" w:type="dxa"/>
              <w:left w:w="15" w:type="dxa"/>
              <w:right w:w="15" w:type="dxa"/>
            </w:tcMar>
            <w:vAlign w:val="center"/>
          </w:tcPr>
          <w:p w14:paraId="13AEDAF0">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小麦冬等</w:t>
            </w:r>
          </w:p>
        </w:tc>
        <w:tc>
          <w:tcPr>
            <w:tcW w:w="598" w:type="pct"/>
            <w:tcBorders>
              <w:tl2br w:val="nil"/>
              <w:tr2bl w:val="nil"/>
            </w:tcBorders>
            <w:noWrap w:val="0"/>
            <w:tcMar>
              <w:top w:w="15" w:type="dxa"/>
              <w:left w:w="15" w:type="dxa"/>
              <w:right w:w="15" w:type="dxa"/>
            </w:tcMar>
            <w:vAlign w:val="center"/>
          </w:tcPr>
          <w:p w14:paraId="452556B0">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kg</w:t>
            </w:r>
          </w:p>
        </w:tc>
        <w:tc>
          <w:tcPr>
            <w:tcW w:w="935" w:type="pct"/>
            <w:tcBorders>
              <w:tl2br w:val="nil"/>
              <w:tr2bl w:val="nil"/>
            </w:tcBorders>
            <w:noWrap w:val="0"/>
            <w:tcMar>
              <w:top w:w="15" w:type="dxa"/>
              <w:left w:w="15" w:type="dxa"/>
              <w:right w:w="15" w:type="dxa"/>
            </w:tcMar>
            <w:vAlign w:val="center"/>
          </w:tcPr>
          <w:p w14:paraId="28A642DB">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60.00</w:t>
            </w:r>
          </w:p>
        </w:tc>
        <w:tc>
          <w:tcPr>
            <w:tcW w:w="919" w:type="pct"/>
            <w:tcBorders>
              <w:tl2br w:val="nil"/>
              <w:tr2bl w:val="nil"/>
            </w:tcBorders>
            <w:noWrap w:val="0"/>
            <w:tcMar>
              <w:top w:w="15" w:type="dxa"/>
              <w:left w:w="15" w:type="dxa"/>
              <w:right w:w="15" w:type="dxa"/>
            </w:tcMar>
            <w:vAlign w:val="center"/>
          </w:tcPr>
          <w:p w14:paraId="7360840A">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信息价</w:t>
            </w:r>
          </w:p>
        </w:tc>
      </w:tr>
      <w:tr w14:paraId="3520B2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83" w:type="pct"/>
            <w:tcBorders>
              <w:tl2br w:val="nil"/>
              <w:tr2bl w:val="nil"/>
            </w:tcBorders>
            <w:noWrap w:val="0"/>
            <w:tcMar>
              <w:top w:w="15" w:type="dxa"/>
              <w:left w:w="15" w:type="dxa"/>
              <w:right w:w="15" w:type="dxa"/>
            </w:tcMar>
            <w:vAlign w:val="center"/>
          </w:tcPr>
          <w:p w14:paraId="04036A53">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8</w:t>
            </w:r>
          </w:p>
        </w:tc>
        <w:tc>
          <w:tcPr>
            <w:tcW w:w="1184" w:type="pct"/>
            <w:tcBorders>
              <w:tl2br w:val="nil"/>
              <w:tr2bl w:val="nil"/>
            </w:tcBorders>
            <w:noWrap w:val="0"/>
            <w:tcMar>
              <w:top w:w="15" w:type="dxa"/>
              <w:left w:w="15" w:type="dxa"/>
              <w:right w:w="15" w:type="dxa"/>
            </w:tcMar>
            <w:vAlign w:val="center"/>
          </w:tcPr>
          <w:p w14:paraId="2B2E6999">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标准砖</w:t>
            </w:r>
          </w:p>
        </w:tc>
        <w:tc>
          <w:tcPr>
            <w:tcW w:w="979" w:type="pct"/>
            <w:tcBorders>
              <w:tl2br w:val="nil"/>
              <w:tr2bl w:val="nil"/>
            </w:tcBorders>
            <w:noWrap w:val="0"/>
            <w:tcMar>
              <w:top w:w="15" w:type="dxa"/>
              <w:left w:w="15" w:type="dxa"/>
              <w:right w:w="15" w:type="dxa"/>
            </w:tcMar>
            <w:vAlign w:val="center"/>
          </w:tcPr>
          <w:p w14:paraId="3FA6CF87">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50mm</w:t>
            </w:r>
          </w:p>
        </w:tc>
        <w:tc>
          <w:tcPr>
            <w:tcW w:w="598" w:type="pct"/>
            <w:tcBorders>
              <w:tl2br w:val="nil"/>
              <w:tr2bl w:val="nil"/>
            </w:tcBorders>
            <w:noWrap w:val="0"/>
            <w:tcMar>
              <w:top w:w="15" w:type="dxa"/>
              <w:left w:w="15" w:type="dxa"/>
              <w:right w:w="15" w:type="dxa"/>
            </w:tcMar>
            <w:vAlign w:val="center"/>
          </w:tcPr>
          <w:p w14:paraId="2DD27462">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千匹</w:t>
            </w:r>
          </w:p>
        </w:tc>
        <w:tc>
          <w:tcPr>
            <w:tcW w:w="935" w:type="pct"/>
            <w:tcBorders>
              <w:tl2br w:val="nil"/>
              <w:tr2bl w:val="nil"/>
            </w:tcBorders>
            <w:noWrap w:val="0"/>
            <w:tcMar>
              <w:top w:w="15" w:type="dxa"/>
              <w:left w:w="15" w:type="dxa"/>
              <w:right w:w="15" w:type="dxa"/>
            </w:tcMar>
            <w:vAlign w:val="center"/>
          </w:tcPr>
          <w:p w14:paraId="7EB1ED6B">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430.00</w:t>
            </w:r>
          </w:p>
        </w:tc>
        <w:tc>
          <w:tcPr>
            <w:tcW w:w="919" w:type="pct"/>
            <w:tcBorders>
              <w:tl2br w:val="nil"/>
              <w:tr2bl w:val="nil"/>
            </w:tcBorders>
            <w:noWrap w:val="0"/>
            <w:tcMar>
              <w:top w:w="15" w:type="dxa"/>
              <w:left w:w="15" w:type="dxa"/>
              <w:right w:w="15" w:type="dxa"/>
            </w:tcMar>
            <w:vAlign w:val="center"/>
          </w:tcPr>
          <w:p w14:paraId="22E2A271">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主体单价</w:t>
            </w:r>
          </w:p>
        </w:tc>
      </w:tr>
      <w:tr w14:paraId="168C0B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83" w:type="pct"/>
            <w:tcBorders>
              <w:tl2br w:val="nil"/>
              <w:tr2bl w:val="nil"/>
            </w:tcBorders>
            <w:noWrap w:val="0"/>
            <w:tcMar>
              <w:top w:w="15" w:type="dxa"/>
              <w:left w:w="15" w:type="dxa"/>
              <w:right w:w="15" w:type="dxa"/>
            </w:tcMar>
            <w:vAlign w:val="center"/>
          </w:tcPr>
          <w:p w14:paraId="2A26E1CC">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9</w:t>
            </w:r>
          </w:p>
        </w:tc>
        <w:tc>
          <w:tcPr>
            <w:tcW w:w="1184" w:type="pct"/>
            <w:tcBorders>
              <w:tl2br w:val="nil"/>
              <w:tr2bl w:val="nil"/>
            </w:tcBorders>
            <w:noWrap w:val="0"/>
            <w:tcMar>
              <w:top w:w="15" w:type="dxa"/>
              <w:left w:w="15" w:type="dxa"/>
              <w:right w:w="15" w:type="dxa"/>
            </w:tcMar>
            <w:vAlign w:val="center"/>
          </w:tcPr>
          <w:p w14:paraId="19831244">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水泥</w:t>
            </w:r>
          </w:p>
        </w:tc>
        <w:tc>
          <w:tcPr>
            <w:tcW w:w="979" w:type="pct"/>
            <w:tcBorders>
              <w:tl2br w:val="nil"/>
              <w:tr2bl w:val="nil"/>
            </w:tcBorders>
            <w:noWrap w:val="0"/>
            <w:tcMar>
              <w:top w:w="15" w:type="dxa"/>
              <w:left w:w="15" w:type="dxa"/>
              <w:right w:w="15" w:type="dxa"/>
            </w:tcMar>
            <w:vAlign w:val="center"/>
          </w:tcPr>
          <w:p w14:paraId="685D98DF">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32.5</w:t>
            </w:r>
          </w:p>
        </w:tc>
        <w:tc>
          <w:tcPr>
            <w:tcW w:w="598" w:type="pct"/>
            <w:tcBorders>
              <w:tl2br w:val="nil"/>
              <w:tr2bl w:val="nil"/>
            </w:tcBorders>
            <w:noWrap w:val="0"/>
            <w:tcMar>
              <w:top w:w="15" w:type="dxa"/>
              <w:left w:w="15" w:type="dxa"/>
              <w:right w:w="15" w:type="dxa"/>
            </w:tcMar>
            <w:vAlign w:val="center"/>
          </w:tcPr>
          <w:p w14:paraId="3B2E533C">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t</w:t>
            </w:r>
          </w:p>
        </w:tc>
        <w:tc>
          <w:tcPr>
            <w:tcW w:w="935" w:type="pct"/>
            <w:tcBorders>
              <w:tl2br w:val="nil"/>
              <w:tr2bl w:val="nil"/>
            </w:tcBorders>
            <w:noWrap w:val="0"/>
            <w:tcMar>
              <w:top w:w="15" w:type="dxa"/>
              <w:left w:w="15" w:type="dxa"/>
              <w:right w:w="15" w:type="dxa"/>
            </w:tcMar>
            <w:vAlign w:val="center"/>
          </w:tcPr>
          <w:p w14:paraId="6C2D24B8">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360.00</w:t>
            </w:r>
          </w:p>
        </w:tc>
        <w:tc>
          <w:tcPr>
            <w:tcW w:w="919" w:type="pct"/>
            <w:tcBorders>
              <w:tl2br w:val="nil"/>
              <w:tr2bl w:val="nil"/>
            </w:tcBorders>
            <w:noWrap w:val="0"/>
            <w:tcMar>
              <w:top w:w="15" w:type="dxa"/>
              <w:left w:w="15" w:type="dxa"/>
              <w:right w:w="15" w:type="dxa"/>
            </w:tcMar>
            <w:vAlign w:val="center"/>
          </w:tcPr>
          <w:p w14:paraId="25E63DB2">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主体单价</w:t>
            </w:r>
          </w:p>
        </w:tc>
      </w:tr>
      <w:tr w14:paraId="1FCC71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83" w:type="pct"/>
            <w:tcBorders>
              <w:tl2br w:val="nil"/>
              <w:tr2bl w:val="nil"/>
            </w:tcBorders>
            <w:noWrap w:val="0"/>
            <w:tcMar>
              <w:top w:w="15" w:type="dxa"/>
              <w:left w:w="15" w:type="dxa"/>
              <w:right w:w="15" w:type="dxa"/>
            </w:tcMar>
            <w:vAlign w:val="center"/>
          </w:tcPr>
          <w:p w14:paraId="2C2D0FF2">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10</w:t>
            </w:r>
          </w:p>
        </w:tc>
        <w:tc>
          <w:tcPr>
            <w:tcW w:w="1184" w:type="pct"/>
            <w:tcBorders>
              <w:tl2br w:val="nil"/>
              <w:tr2bl w:val="nil"/>
            </w:tcBorders>
            <w:noWrap w:val="0"/>
            <w:tcMar>
              <w:top w:w="15" w:type="dxa"/>
              <w:left w:w="15" w:type="dxa"/>
              <w:right w:w="15" w:type="dxa"/>
            </w:tcMar>
            <w:vAlign w:val="center"/>
          </w:tcPr>
          <w:p w14:paraId="7908908E">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干混砌筑砂浆M7.5</w:t>
            </w:r>
          </w:p>
        </w:tc>
        <w:tc>
          <w:tcPr>
            <w:tcW w:w="979" w:type="pct"/>
            <w:tcBorders>
              <w:tl2br w:val="nil"/>
              <w:tr2bl w:val="nil"/>
            </w:tcBorders>
            <w:noWrap w:val="0"/>
            <w:tcMar>
              <w:top w:w="15" w:type="dxa"/>
              <w:left w:w="15" w:type="dxa"/>
              <w:right w:w="15" w:type="dxa"/>
            </w:tcMar>
            <w:vAlign w:val="center"/>
          </w:tcPr>
          <w:p w14:paraId="5B12A430">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598" w:type="pct"/>
            <w:tcBorders>
              <w:tl2br w:val="nil"/>
              <w:tr2bl w:val="nil"/>
            </w:tcBorders>
            <w:noWrap w:val="0"/>
            <w:tcMar>
              <w:top w:w="15" w:type="dxa"/>
              <w:left w:w="15" w:type="dxa"/>
              <w:right w:w="15" w:type="dxa"/>
            </w:tcMar>
            <w:vAlign w:val="center"/>
          </w:tcPr>
          <w:p w14:paraId="54BF9EF8">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m³</w:t>
            </w:r>
          </w:p>
        </w:tc>
        <w:tc>
          <w:tcPr>
            <w:tcW w:w="935" w:type="pct"/>
            <w:tcBorders>
              <w:tl2br w:val="nil"/>
              <w:tr2bl w:val="nil"/>
            </w:tcBorders>
            <w:noWrap w:val="0"/>
            <w:tcMar>
              <w:top w:w="15" w:type="dxa"/>
              <w:left w:w="15" w:type="dxa"/>
              <w:right w:w="15" w:type="dxa"/>
            </w:tcMar>
            <w:vAlign w:val="center"/>
          </w:tcPr>
          <w:p w14:paraId="4ECC6428">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365.00</w:t>
            </w:r>
          </w:p>
        </w:tc>
        <w:tc>
          <w:tcPr>
            <w:tcW w:w="919" w:type="pct"/>
            <w:tcBorders>
              <w:tl2br w:val="nil"/>
              <w:tr2bl w:val="nil"/>
            </w:tcBorders>
            <w:noWrap w:val="0"/>
            <w:tcMar>
              <w:top w:w="15" w:type="dxa"/>
              <w:left w:w="15" w:type="dxa"/>
              <w:right w:w="15" w:type="dxa"/>
            </w:tcMar>
            <w:vAlign w:val="center"/>
          </w:tcPr>
          <w:p w14:paraId="48B45B44">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主体单价</w:t>
            </w:r>
          </w:p>
        </w:tc>
      </w:tr>
      <w:tr w14:paraId="7CA4DB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83" w:type="pct"/>
            <w:tcBorders>
              <w:tl2br w:val="nil"/>
              <w:tr2bl w:val="nil"/>
            </w:tcBorders>
            <w:noWrap w:val="0"/>
            <w:tcMar>
              <w:top w:w="15" w:type="dxa"/>
              <w:left w:w="15" w:type="dxa"/>
              <w:right w:w="15" w:type="dxa"/>
            </w:tcMar>
            <w:vAlign w:val="center"/>
          </w:tcPr>
          <w:p w14:paraId="28558449">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11</w:t>
            </w:r>
          </w:p>
        </w:tc>
        <w:tc>
          <w:tcPr>
            <w:tcW w:w="1184" w:type="pct"/>
            <w:tcBorders>
              <w:tl2br w:val="nil"/>
              <w:tr2bl w:val="nil"/>
            </w:tcBorders>
            <w:noWrap w:val="0"/>
            <w:tcMar>
              <w:top w:w="15" w:type="dxa"/>
              <w:left w:w="15" w:type="dxa"/>
              <w:right w:w="15" w:type="dxa"/>
            </w:tcMar>
            <w:vAlign w:val="center"/>
          </w:tcPr>
          <w:p w14:paraId="1AC59F28">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干混抹灰砂浆M10</w:t>
            </w:r>
          </w:p>
        </w:tc>
        <w:tc>
          <w:tcPr>
            <w:tcW w:w="979" w:type="pct"/>
            <w:tcBorders>
              <w:tl2br w:val="nil"/>
              <w:tr2bl w:val="nil"/>
            </w:tcBorders>
            <w:noWrap w:val="0"/>
            <w:tcMar>
              <w:top w:w="15" w:type="dxa"/>
              <w:left w:w="15" w:type="dxa"/>
              <w:right w:w="15" w:type="dxa"/>
            </w:tcMar>
            <w:vAlign w:val="center"/>
          </w:tcPr>
          <w:p w14:paraId="3E176EB6">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598" w:type="pct"/>
            <w:tcBorders>
              <w:tl2br w:val="nil"/>
              <w:tr2bl w:val="nil"/>
            </w:tcBorders>
            <w:noWrap w:val="0"/>
            <w:tcMar>
              <w:top w:w="15" w:type="dxa"/>
              <w:left w:w="15" w:type="dxa"/>
              <w:right w:w="15" w:type="dxa"/>
            </w:tcMar>
            <w:vAlign w:val="center"/>
          </w:tcPr>
          <w:p w14:paraId="44E656D2">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m³</w:t>
            </w:r>
          </w:p>
        </w:tc>
        <w:tc>
          <w:tcPr>
            <w:tcW w:w="935" w:type="pct"/>
            <w:tcBorders>
              <w:tl2br w:val="nil"/>
              <w:tr2bl w:val="nil"/>
            </w:tcBorders>
            <w:noWrap w:val="0"/>
            <w:tcMar>
              <w:top w:w="15" w:type="dxa"/>
              <w:left w:w="15" w:type="dxa"/>
              <w:right w:w="15" w:type="dxa"/>
            </w:tcMar>
            <w:vAlign w:val="center"/>
          </w:tcPr>
          <w:p w14:paraId="587000C1">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375.00</w:t>
            </w:r>
          </w:p>
        </w:tc>
        <w:tc>
          <w:tcPr>
            <w:tcW w:w="919" w:type="pct"/>
            <w:tcBorders>
              <w:tl2br w:val="nil"/>
              <w:tr2bl w:val="nil"/>
            </w:tcBorders>
            <w:noWrap w:val="0"/>
            <w:tcMar>
              <w:top w:w="15" w:type="dxa"/>
              <w:left w:w="15" w:type="dxa"/>
              <w:right w:w="15" w:type="dxa"/>
            </w:tcMar>
            <w:vAlign w:val="center"/>
          </w:tcPr>
          <w:p w14:paraId="6DB05D6E">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主体单价</w:t>
            </w:r>
          </w:p>
        </w:tc>
      </w:tr>
      <w:tr w14:paraId="52CACE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83" w:type="pct"/>
            <w:tcBorders>
              <w:tl2br w:val="nil"/>
              <w:tr2bl w:val="nil"/>
            </w:tcBorders>
            <w:noWrap w:val="0"/>
            <w:tcMar>
              <w:top w:w="15" w:type="dxa"/>
              <w:left w:w="15" w:type="dxa"/>
              <w:right w:w="15" w:type="dxa"/>
            </w:tcMar>
            <w:vAlign w:val="center"/>
          </w:tcPr>
          <w:p w14:paraId="2E78C4C4">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12</w:t>
            </w:r>
          </w:p>
        </w:tc>
        <w:tc>
          <w:tcPr>
            <w:tcW w:w="1184" w:type="pct"/>
            <w:tcBorders>
              <w:tl2br w:val="nil"/>
              <w:tr2bl w:val="nil"/>
            </w:tcBorders>
            <w:noWrap w:val="0"/>
            <w:tcMar>
              <w:top w:w="15" w:type="dxa"/>
              <w:left w:w="15" w:type="dxa"/>
              <w:right w:w="15" w:type="dxa"/>
            </w:tcMar>
            <w:vAlign w:val="center"/>
          </w:tcPr>
          <w:p w14:paraId="6A43365C">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C15商品砼</w:t>
            </w:r>
          </w:p>
        </w:tc>
        <w:tc>
          <w:tcPr>
            <w:tcW w:w="979" w:type="pct"/>
            <w:tcBorders>
              <w:tl2br w:val="nil"/>
              <w:tr2bl w:val="nil"/>
            </w:tcBorders>
            <w:noWrap w:val="0"/>
            <w:tcMar>
              <w:top w:w="15" w:type="dxa"/>
              <w:left w:w="15" w:type="dxa"/>
              <w:right w:w="15" w:type="dxa"/>
            </w:tcMar>
            <w:vAlign w:val="center"/>
          </w:tcPr>
          <w:p w14:paraId="44BAF0AE">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598" w:type="pct"/>
            <w:tcBorders>
              <w:tl2br w:val="nil"/>
              <w:tr2bl w:val="nil"/>
            </w:tcBorders>
            <w:noWrap w:val="0"/>
            <w:tcMar>
              <w:top w:w="15" w:type="dxa"/>
              <w:left w:w="15" w:type="dxa"/>
              <w:right w:w="15" w:type="dxa"/>
            </w:tcMar>
            <w:vAlign w:val="center"/>
          </w:tcPr>
          <w:p w14:paraId="01802DEA">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m³</w:t>
            </w:r>
          </w:p>
        </w:tc>
        <w:tc>
          <w:tcPr>
            <w:tcW w:w="935" w:type="pct"/>
            <w:tcBorders>
              <w:tl2br w:val="nil"/>
              <w:tr2bl w:val="nil"/>
            </w:tcBorders>
            <w:noWrap w:val="0"/>
            <w:tcMar>
              <w:top w:w="15" w:type="dxa"/>
              <w:left w:w="15" w:type="dxa"/>
              <w:right w:w="15" w:type="dxa"/>
            </w:tcMar>
            <w:vAlign w:val="center"/>
          </w:tcPr>
          <w:p w14:paraId="5CB92148">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398.74</w:t>
            </w:r>
          </w:p>
        </w:tc>
        <w:tc>
          <w:tcPr>
            <w:tcW w:w="919" w:type="pct"/>
            <w:tcBorders>
              <w:tl2br w:val="nil"/>
              <w:tr2bl w:val="nil"/>
            </w:tcBorders>
            <w:noWrap w:val="0"/>
            <w:tcMar>
              <w:top w:w="15" w:type="dxa"/>
              <w:left w:w="15" w:type="dxa"/>
              <w:right w:w="15" w:type="dxa"/>
            </w:tcMar>
            <w:vAlign w:val="center"/>
          </w:tcPr>
          <w:p w14:paraId="65B64B8F">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主体单价</w:t>
            </w:r>
          </w:p>
        </w:tc>
      </w:tr>
      <w:tr w14:paraId="1EB735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83" w:type="pct"/>
            <w:tcBorders>
              <w:tl2br w:val="nil"/>
              <w:tr2bl w:val="nil"/>
            </w:tcBorders>
            <w:noWrap w:val="0"/>
            <w:tcMar>
              <w:top w:w="15" w:type="dxa"/>
              <w:left w:w="15" w:type="dxa"/>
              <w:right w:w="15" w:type="dxa"/>
            </w:tcMar>
            <w:vAlign w:val="center"/>
          </w:tcPr>
          <w:p w14:paraId="7DF65356">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13</w:t>
            </w:r>
          </w:p>
        </w:tc>
        <w:tc>
          <w:tcPr>
            <w:tcW w:w="1184" w:type="pct"/>
            <w:tcBorders>
              <w:tl2br w:val="nil"/>
              <w:tr2bl w:val="nil"/>
            </w:tcBorders>
            <w:noWrap w:val="0"/>
            <w:tcMar>
              <w:top w:w="15" w:type="dxa"/>
              <w:left w:w="15" w:type="dxa"/>
              <w:right w:w="15" w:type="dxa"/>
            </w:tcMar>
            <w:vAlign w:val="center"/>
          </w:tcPr>
          <w:p w14:paraId="53A1D24D">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C20商品砼</w:t>
            </w:r>
          </w:p>
        </w:tc>
        <w:tc>
          <w:tcPr>
            <w:tcW w:w="979" w:type="pct"/>
            <w:tcBorders>
              <w:tl2br w:val="nil"/>
              <w:tr2bl w:val="nil"/>
            </w:tcBorders>
            <w:noWrap w:val="0"/>
            <w:tcMar>
              <w:top w:w="15" w:type="dxa"/>
              <w:left w:w="15" w:type="dxa"/>
              <w:right w:w="15" w:type="dxa"/>
            </w:tcMar>
            <w:vAlign w:val="center"/>
          </w:tcPr>
          <w:p w14:paraId="1D73A77C">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598" w:type="pct"/>
            <w:tcBorders>
              <w:tl2br w:val="nil"/>
              <w:tr2bl w:val="nil"/>
            </w:tcBorders>
            <w:noWrap w:val="0"/>
            <w:tcMar>
              <w:top w:w="15" w:type="dxa"/>
              <w:left w:w="15" w:type="dxa"/>
              <w:right w:w="15" w:type="dxa"/>
            </w:tcMar>
            <w:vAlign w:val="center"/>
          </w:tcPr>
          <w:p w14:paraId="3B73422E">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m³</w:t>
            </w:r>
          </w:p>
        </w:tc>
        <w:tc>
          <w:tcPr>
            <w:tcW w:w="935" w:type="pct"/>
            <w:tcBorders>
              <w:tl2br w:val="nil"/>
              <w:tr2bl w:val="nil"/>
            </w:tcBorders>
            <w:noWrap w:val="0"/>
            <w:tcMar>
              <w:top w:w="15" w:type="dxa"/>
              <w:left w:w="15" w:type="dxa"/>
              <w:right w:w="15" w:type="dxa"/>
            </w:tcMar>
            <w:vAlign w:val="center"/>
          </w:tcPr>
          <w:p w14:paraId="6367E933">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417.70</w:t>
            </w:r>
          </w:p>
        </w:tc>
        <w:tc>
          <w:tcPr>
            <w:tcW w:w="919" w:type="pct"/>
            <w:tcBorders>
              <w:tl2br w:val="nil"/>
              <w:tr2bl w:val="nil"/>
            </w:tcBorders>
            <w:noWrap w:val="0"/>
            <w:tcMar>
              <w:top w:w="15" w:type="dxa"/>
              <w:left w:w="15" w:type="dxa"/>
              <w:right w:w="15" w:type="dxa"/>
            </w:tcMar>
            <w:vAlign w:val="center"/>
          </w:tcPr>
          <w:p w14:paraId="1198E8A0">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主体单价</w:t>
            </w:r>
          </w:p>
        </w:tc>
      </w:tr>
      <w:tr w14:paraId="306579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83" w:type="pct"/>
            <w:tcBorders>
              <w:tl2br w:val="nil"/>
              <w:tr2bl w:val="nil"/>
            </w:tcBorders>
            <w:noWrap w:val="0"/>
            <w:tcMar>
              <w:top w:w="15" w:type="dxa"/>
              <w:left w:w="15" w:type="dxa"/>
              <w:right w:w="15" w:type="dxa"/>
            </w:tcMar>
            <w:vAlign w:val="center"/>
          </w:tcPr>
          <w:p w14:paraId="16AF6356">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14</w:t>
            </w:r>
          </w:p>
        </w:tc>
        <w:tc>
          <w:tcPr>
            <w:tcW w:w="1184" w:type="pct"/>
            <w:tcBorders>
              <w:tl2br w:val="nil"/>
              <w:tr2bl w:val="nil"/>
            </w:tcBorders>
            <w:noWrap w:val="0"/>
            <w:tcMar>
              <w:top w:w="15" w:type="dxa"/>
              <w:left w:w="15" w:type="dxa"/>
              <w:right w:w="15" w:type="dxa"/>
            </w:tcMar>
            <w:vAlign w:val="center"/>
          </w:tcPr>
          <w:p w14:paraId="29178C85">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C25商品砼</w:t>
            </w:r>
          </w:p>
        </w:tc>
        <w:tc>
          <w:tcPr>
            <w:tcW w:w="979" w:type="pct"/>
            <w:tcBorders>
              <w:tl2br w:val="nil"/>
              <w:tr2bl w:val="nil"/>
            </w:tcBorders>
            <w:noWrap w:val="0"/>
            <w:tcMar>
              <w:top w:w="15" w:type="dxa"/>
              <w:left w:w="15" w:type="dxa"/>
              <w:right w:w="15" w:type="dxa"/>
            </w:tcMar>
            <w:vAlign w:val="center"/>
          </w:tcPr>
          <w:p w14:paraId="76C23260">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c>
          <w:tcPr>
            <w:tcW w:w="598" w:type="pct"/>
            <w:tcBorders>
              <w:tl2br w:val="nil"/>
              <w:tr2bl w:val="nil"/>
            </w:tcBorders>
            <w:noWrap w:val="0"/>
            <w:tcMar>
              <w:top w:w="15" w:type="dxa"/>
              <w:left w:w="15" w:type="dxa"/>
              <w:right w:w="15" w:type="dxa"/>
            </w:tcMar>
            <w:vAlign w:val="center"/>
          </w:tcPr>
          <w:p w14:paraId="7213FE5D">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m³</w:t>
            </w:r>
          </w:p>
        </w:tc>
        <w:tc>
          <w:tcPr>
            <w:tcW w:w="935" w:type="pct"/>
            <w:tcBorders>
              <w:tl2br w:val="nil"/>
              <w:tr2bl w:val="nil"/>
            </w:tcBorders>
            <w:noWrap w:val="0"/>
            <w:tcMar>
              <w:top w:w="15" w:type="dxa"/>
              <w:left w:w="15" w:type="dxa"/>
              <w:right w:w="15" w:type="dxa"/>
            </w:tcMar>
            <w:vAlign w:val="center"/>
          </w:tcPr>
          <w:p w14:paraId="2082F4ED">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429.20</w:t>
            </w:r>
          </w:p>
        </w:tc>
        <w:tc>
          <w:tcPr>
            <w:tcW w:w="919" w:type="pct"/>
            <w:tcBorders>
              <w:tl2br w:val="nil"/>
              <w:tr2bl w:val="nil"/>
            </w:tcBorders>
            <w:noWrap w:val="0"/>
            <w:tcMar>
              <w:top w:w="15" w:type="dxa"/>
              <w:left w:w="15" w:type="dxa"/>
              <w:right w:w="15" w:type="dxa"/>
            </w:tcMar>
            <w:vAlign w:val="center"/>
          </w:tcPr>
          <w:p w14:paraId="5321730C">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主体单价</w:t>
            </w:r>
          </w:p>
        </w:tc>
      </w:tr>
    </w:tbl>
    <w:p w14:paraId="00EEF345">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eastAsia="ar"/>
        </w:rPr>
      </w:pPr>
      <w:r>
        <w:rPr>
          <w:rFonts w:hint="default" w:ascii="Times New Roman" w:hAnsi="Times New Roman" w:eastAsia="仿宋_GB2312" w:cs="Times New Roman"/>
          <w:b/>
          <w:bCs/>
          <w:color w:val="auto"/>
          <w:szCs w:val="24"/>
          <w:lang w:eastAsia="ar"/>
        </w:rPr>
        <w:t>7.2.水土保持效益分析</w:t>
      </w:r>
      <w:bookmarkEnd w:id="183"/>
      <w:bookmarkEnd w:id="184"/>
    </w:p>
    <w:p w14:paraId="48FD6E3E">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仿宋_GB2312" w:cs="Times New Roman"/>
          <w:b/>
          <w:bCs/>
          <w:color w:val="auto"/>
          <w:sz w:val="28"/>
          <w:szCs w:val="28"/>
          <w:lang w:bidi="ar"/>
        </w:rPr>
      </w:pPr>
      <w:bookmarkStart w:id="185" w:name="_Toc1360"/>
      <w:bookmarkStart w:id="186" w:name="_Toc3156"/>
      <w:bookmarkStart w:id="187" w:name="_Toc2548"/>
      <w:r>
        <w:rPr>
          <w:rFonts w:hint="default" w:ascii="Times New Roman" w:hAnsi="Times New Roman" w:eastAsia="仿宋_GB2312" w:cs="Times New Roman"/>
          <w:b/>
          <w:bCs/>
          <w:color w:val="auto"/>
          <w:sz w:val="28"/>
          <w:szCs w:val="28"/>
          <w:lang w:bidi="ar"/>
        </w:rPr>
        <w:t>7.2.</w:t>
      </w:r>
      <w:r>
        <w:rPr>
          <w:rFonts w:hint="default" w:ascii="Times New Roman" w:hAnsi="Times New Roman" w:eastAsia="仿宋_GB2312" w:cs="Times New Roman"/>
          <w:b/>
          <w:bCs/>
          <w:color w:val="auto"/>
          <w:sz w:val="28"/>
          <w:szCs w:val="28"/>
          <w:lang w:val="en-US" w:eastAsia="zh-CN" w:bidi="ar"/>
        </w:rPr>
        <w:t>1</w:t>
      </w:r>
      <w:r>
        <w:rPr>
          <w:rFonts w:hint="default" w:ascii="Times New Roman" w:hAnsi="Times New Roman" w:eastAsia="仿宋_GB2312" w:cs="Times New Roman"/>
          <w:b/>
          <w:bCs/>
          <w:color w:val="auto"/>
          <w:sz w:val="28"/>
          <w:szCs w:val="28"/>
          <w:lang w:bidi="ar"/>
        </w:rPr>
        <w:t xml:space="preserve"> 水土保持效益计算指标</w:t>
      </w:r>
      <w:bookmarkEnd w:id="185"/>
      <w:bookmarkEnd w:id="186"/>
      <w:bookmarkEnd w:id="187"/>
    </w:p>
    <w:p w14:paraId="57619E27">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本项目施工扰动地表面积</w:t>
      </w:r>
      <w:r>
        <w:rPr>
          <w:rFonts w:hint="default" w:ascii="Times New Roman" w:hAnsi="Times New Roman" w:eastAsia="仿宋_GB2312" w:cs="Times New Roman"/>
          <w:color w:val="auto"/>
          <w:sz w:val="24"/>
          <w:lang w:val="en-US" w:eastAsia="zh-CN" w:bidi="ar"/>
        </w:rPr>
        <w:t>0.33</w:t>
      </w:r>
      <w:r>
        <w:rPr>
          <w:rFonts w:hint="default" w:ascii="Times New Roman" w:hAnsi="Times New Roman" w:eastAsia="仿宋_GB2312" w:cs="Times New Roman"/>
          <w:color w:val="auto"/>
          <w:sz w:val="24"/>
          <w:lang w:bidi="ar"/>
        </w:rPr>
        <w:t>hm²，经过水土保持措施治理后，计算水土流失防治目标六项指标：</w:t>
      </w:r>
    </w:p>
    <w:p w14:paraId="539118D3">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1、水土流失治理度</w:t>
      </w:r>
    </w:p>
    <w:p w14:paraId="7EC8A482">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水土流失治理度=(水土流失治理面积/建设区水土流失总面积)×100%</w:t>
      </w:r>
    </w:p>
    <w:p w14:paraId="66B8B7D1">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2、土壤流失控制比</w:t>
      </w:r>
    </w:p>
    <w:p w14:paraId="47E25ADB">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土壤流失控制比＝项目区容许土壤流失量/方案实施后土壤侵蚀强度</w:t>
      </w:r>
    </w:p>
    <w:p w14:paraId="1FDF44B6">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项目区容许土壤流失量500t/km²·a。</w:t>
      </w:r>
    </w:p>
    <w:p w14:paraId="03EFC7D3">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3、渣土防护率</w:t>
      </w:r>
    </w:p>
    <w:p w14:paraId="0A5C89BE">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渣土防护率=(实际拦渣量/总弃渣量)×100%</w:t>
      </w:r>
    </w:p>
    <w:p w14:paraId="5BE07AA1">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4、表土保护率</w:t>
      </w:r>
    </w:p>
    <w:p w14:paraId="26C37B76">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表土保护率=(保护表土数量/可剥离表土总量)×100%</w:t>
      </w:r>
    </w:p>
    <w:p w14:paraId="6F6026D3">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5、林草植被恢复率</w:t>
      </w:r>
    </w:p>
    <w:p w14:paraId="3FFA90E5">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林草植被恢复系数=(林草植被面积/可恢复林草植被面积)×100%</w:t>
      </w:r>
    </w:p>
    <w:p w14:paraId="04D51C74">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6、林草覆盖率</w:t>
      </w:r>
    </w:p>
    <w:p w14:paraId="40654190">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林草覆盖率=(林草植被面积/项目建设区总面积)×100%</w:t>
      </w:r>
    </w:p>
    <w:p w14:paraId="1B6989C7">
      <w:pPr>
        <w:spacing w:line="360" w:lineRule="auto"/>
        <w:ind w:firstLine="480" w:firstLineChars="200"/>
        <w:rPr>
          <w:rFonts w:hint="default" w:ascii="Times New Roman" w:hAnsi="Times New Roman" w:eastAsia="仿宋_GB2312" w:cs="Times New Roman"/>
          <w:sz w:val="24"/>
          <w:lang w:val="zh-CN"/>
        </w:rPr>
      </w:pPr>
      <w:r>
        <w:rPr>
          <w:rFonts w:hint="default" w:ascii="Times New Roman" w:hAnsi="Times New Roman" w:eastAsia="仿宋_GB2312" w:cs="Times New Roman"/>
          <w:bCs/>
          <w:kern w:val="0"/>
          <w:sz w:val="24"/>
        </w:rPr>
        <w:t>根据</w:t>
      </w:r>
      <w:r>
        <w:rPr>
          <w:rFonts w:hint="default" w:ascii="Times New Roman" w:hAnsi="Times New Roman" w:eastAsia="仿宋_GB2312" w:cs="Times New Roman"/>
          <w:sz w:val="24"/>
          <w:lang w:val="zh-CN"/>
        </w:rPr>
        <w:t>《全国水土保持规划国家级水土流失重点预防区和重点治理区复核划分成果》（办水保</w:t>
      </w:r>
      <w:r>
        <w:rPr>
          <w:rFonts w:hint="default" w:ascii="Times New Roman" w:hAnsi="Times New Roman" w:eastAsia="仿宋_GB2312" w:cs="Times New Roman"/>
          <w:b w:val="0"/>
          <w:bCs/>
          <w:color w:val="auto"/>
          <w:sz w:val="24"/>
          <w:szCs w:val="24"/>
          <w:lang w:val="en-US" w:eastAsia="zh-CN"/>
        </w:rPr>
        <w:t>〔2013〕</w:t>
      </w:r>
      <w:r>
        <w:rPr>
          <w:rFonts w:hint="default" w:ascii="Times New Roman" w:hAnsi="Times New Roman" w:eastAsia="仿宋_GB2312" w:cs="Times New Roman"/>
          <w:sz w:val="24"/>
          <w:lang w:val="zh-CN"/>
        </w:rPr>
        <w:t>188号）</w:t>
      </w:r>
      <w:r>
        <w:rPr>
          <w:rFonts w:hint="default" w:ascii="Times New Roman" w:hAnsi="Times New Roman" w:eastAsia="仿宋_GB2312" w:cs="Times New Roman"/>
          <w:kern w:val="0"/>
          <w:sz w:val="24"/>
          <w:szCs w:val="22"/>
          <w:lang w:val="zh-CN"/>
        </w:rPr>
        <w:t>，</w:t>
      </w:r>
      <w:r>
        <w:rPr>
          <w:rFonts w:hint="default" w:ascii="Times New Roman" w:hAnsi="Times New Roman" w:eastAsia="仿宋_GB2312" w:cs="Times New Roman"/>
          <w:sz w:val="24"/>
          <w:lang w:val="zh-CN"/>
        </w:rPr>
        <w:t>项目所在地广元市</w:t>
      </w:r>
      <w:r>
        <w:rPr>
          <w:rFonts w:hint="default" w:ascii="Times New Roman" w:hAnsi="Times New Roman" w:eastAsia="仿宋_GB2312" w:cs="Times New Roman"/>
          <w:sz w:val="24"/>
          <w:lang w:val="en-US" w:eastAsia="zh-CN"/>
        </w:rPr>
        <w:t>剑阁</w:t>
      </w:r>
      <w:r>
        <w:rPr>
          <w:rFonts w:hint="default" w:ascii="Times New Roman" w:hAnsi="Times New Roman" w:eastAsia="仿宋_GB2312" w:cs="Times New Roman"/>
          <w:sz w:val="24"/>
          <w:lang w:val="zh-CN"/>
        </w:rPr>
        <w:t>县属于国家级水土流失重点</w:t>
      </w:r>
      <w:r>
        <w:rPr>
          <w:rFonts w:hint="default" w:ascii="Times New Roman" w:hAnsi="Times New Roman" w:eastAsia="仿宋_GB2312" w:cs="Times New Roman"/>
          <w:sz w:val="24"/>
          <w:lang w:val="en-US" w:eastAsia="zh-CN"/>
        </w:rPr>
        <w:t>治理</w:t>
      </w:r>
      <w:r>
        <w:rPr>
          <w:rFonts w:hint="default" w:ascii="Times New Roman" w:hAnsi="Times New Roman" w:eastAsia="仿宋_GB2312" w:cs="Times New Roman"/>
          <w:sz w:val="24"/>
          <w:lang w:val="zh-CN"/>
        </w:rPr>
        <w:t>区（嘉陵江及沱江中下游国家级水土流失重点治理区），结合《生产建设项目水土流失防治标准》（GB/T 50434-2018）第4.0.1条规定，“项目位于各级人民政府和相关机构确定的水土流失重点预防区和治理区的，应执行一级标准”，从而确定本项目水土流失防治指标值执行建设类项目一级标准。</w:t>
      </w:r>
    </w:p>
    <w:p w14:paraId="161B802F">
      <w:pPr>
        <w:spacing w:line="360" w:lineRule="auto"/>
        <w:ind w:firstLine="480" w:firstLineChars="200"/>
        <w:rPr>
          <w:rFonts w:hint="default" w:ascii="Times New Roman" w:hAnsi="Times New Roman" w:eastAsia="仿宋_GB2312" w:cs="Times New Roman"/>
          <w:sz w:val="24"/>
          <w:lang w:val="zh-CN"/>
        </w:rPr>
      </w:pPr>
      <w:r>
        <w:rPr>
          <w:rFonts w:hint="default" w:ascii="Times New Roman" w:hAnsi="Times New Roman" w:eastAsia="仿宋_GB2312" w:cs="Times New Roman"/>
          <w:sz w:val="24"/>
          <w:lang w:val="zh-CN"/>
        </w:rPr>
        <w:t>根据《水利部办公厅关于印发&lt;全国水土保持区划（试行）&gt;的通知》（办水保〔2012〕512号），项目所在地广元市</w:t>
      </w:r>
      <w:r>
        <w:rPr>
          <w:rFonts w:hint="default" w:ascii="Times New Roman" w:hAnsi="Times New Roman" w:eastAsia="仿宋_GB2312" w:cs="Times New Roman"/>
          <w:sz w:val="24"/>
          <w:lang w:val="en-US" w:eastAsia="zh-CN"/>
        </w:rPr>
        <w:t>剑阁县</w:t>
      </w:r>
      <w:r>
        <w:rPr>
          <w:rFonts w:hint="default" w:ascii="Times New Roman" w:hAnsi="Times New Roman" w:eastAsia="仿宋_GB2312" w:cs="Times New Roman"/>
          <w:sz w:val="24"/>
          <w:lang w:val="zh-CN"/>
        </w:rPr>
        <w:t>属于西南紫色土区，根据《生产建设项目水土流失防治标准》（GB/T 50434-2018）表4.0.2-6确定项目区水土流失防治指标值。</w:t>
      </w:r>
    </w:p>
    <w:p w14:paraId="7AA08213">
      <w:pPr>
        <w:widowControl/>
        <w:spacing w:line="360" w:lineRule="auto"/>
        <w:ind w:firstLine="480"/>
        <w:jc w:val="left"/>
        <w:rPr>
          <w:rFonts w:hint="default" w:ascii="Times New Roman" w:hAnsi="Times New Roman" w:eastAsia="仿宋_GB2312" w:cs="Times New Roman"/>
          <w:kern w:val="0"/>
          <w:sz w:val="24"/>
          <w:szCs w:val="21"/>
        </w:rPr>
      </w:pPr>
      <w:r>
        <w:rPr>
          <w:rFonts w:hint="default" w:ascii="Times New Roman" w:hAnsi="Times New Roman" w:eastAsia="仿宋_GB2312" w:cs="Times New Roman"/>
          <w:kern w:val="0"/>
          <w:sz w:val="24"/>
          <w:szCs w:val="22"/>
        </w:rPr>
        <w:t>本项目</w:t>
      </w:r>
      <w:r>
        <w:rPr>
          <w:rFonts w:hint="default" w:ascii="Times New Roman" w:hAnsi="Times New Roman" w:eastAsia="仿宋_GB2312" w:cs="Times New Roman"/>
          <w:kern w:val="0"/>
          <w:sz w:val="24"/>
          <w:szCs w:val="21"/>
        </w:rPr>
        <w:t>水土流失防治指标</w:t>
      </w:r>
      <w:r>
        <w:rPr>
          <w:rFonts w:hint="default" w:ascii="Times New Roman" w:hAnsi="Times New Roman" w:eastAsia="仿宋_GB2312" w:cs="Times New Roman"/>
          <w:kern w:val="0"/>
          <w:sz w:val="24"/>
          <w:szCs w:val="22"/>
        </w:rPr>
        <w:t>修正</w:t>
      </w:r>
      <w:r>
        <w:rPr>
          <w:rFonts w:hint="default" w:ascii="Times New Roman" w:hAnsi="Times New Roman" w:eastAsia="仿宋_GB2312" w:cs="Times New Roman"/>
          <w:kern w:val="0"/>
          <w:sz w:val="24"/>
          <w:szCs w:val="21"/>
        </w:rPr>
        <w:t>见表7.2-1。</w:t>
      </w:r>
    </w:p>
    <w:p w14:paraId="4A9D2CF0">
      <w:pPr>
        <w:widowControl/>
        <w:jc w:val="center"/>
        <w:rPr>
          <w:rFonts w:hint="default" w:ascii="Times New Roman" w:hAnsi="Times New Roman" w:eastAsia="仿宋_GB2312" w:cs="Times New Roman"/>
          <w:kern w:val="0"/>
          <w:sz w:val="24"/>
          <w:szCs w:val="21"/>
        </w:rPr>
      </w:pPr>
      <w:r>
        <w:rPr>
          <w:rFonts w:hint="default" w:ascii="Times New Roman" w:hAnsi="Times New Roman" w:eastAsia="仿宋_GB2312" w:cs="Times New Roman"/>
          <w:b/>
          <w:bCs/>
          <w:szCs w:val="21"/>
        </w:rPr>
        <w:t>表7.2-1  水土流失防治指标修正表</w:t>
      </w:r>
    </w:p>
    <w:tbl>
      <w:tblPr>
        <w:tblStyle w:val="18"/>
        <w:tblW w:w="89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0" w:type="dxa"/>
          <w:bottom w:w="57" w:type="dxa"/>
          <w:right w:w="0" w:type="dxa"/>
        </w:tblCellMar>
      </w:tblPr>
      <w:tblGrid>
        <w:gridCol w:w="3054"/>
        <w:gridCol w:w="1469"/>
        <w:gridCol w:w="1469"/>
        <w:gridCol w:w="1469"/>
        <w:gridCol w:w="1469"/>
      </w:tblGrid>
      <w:tr w14:paraId="62C2E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340" w:hRule="exact"/>
          <w:jc w:val="center"/>
        </w:trPr>
        <w:tc>
          <w:tcPr>
            <w:tcW w:w="3054" w:type="dxa"/>
            <w:vMerge w:val="restart"/>
            <w:tcBorders>
              <w:tl2br w:val="nil"/>
              <w:tr2bl w:val="nil"/>
            </w:tcBorders>
            <w:tcMar>
              <w:top w:w="15" w:type="dxa"/>
              <w:left w:w="15" w:type="dxa"/>
              <w:bottom w:w="0" w:type="dxa"/>
              <w:right w:w="15" w:type="dxa"/>
            </w:tcMar>
            <w:vAlign w:val="center"/>
          </w:tcPr>
          <w:p w14:paraId="19430981">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防治目标</w:t>
            </w:r>
          </w:p>
        </w:tc>
        <w:tc>
          <w:tcPr>
            <w:tcW w:w="2938" w:type="dxa"/>
            <w:gridSpan w:val="2"/>
            <w:tcBorders>
              <w:tl2br w:val="nil"/>
              <w:tr2bl w:val="nil"/>
            </w:tcBorders>
            <w:tcMar>
              <w:top w:w="15" w:type="dxa"/>
              <w:left w:w="15" w:type="dxa"/>
              <w:bottom w:w="0" w:type="dxa"/>
              <w:right w:w="15" w:type="dxa"/>
            </w:tcMar>
            <w:vAlign w:val="center"/>
          </w:tcPr>
          <w:p w14:paraId="710A19F8">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一级标准</w:t>
            </w:r>
          </w:p>
        </w:tc>
        <w:tc>
          <w:tcPr>
            <w:tcW w:w="2938" w:type="dxa"/>
            <w:gridSpan w:val="2"/>
            <w:tcBorders>
              <w:tl2br w:val="nil"/>
              <w:tr2bl w:val="nil"/>
            </w:tcBorders>
            <w:tcMar>
              <w:top w:w="15" w:type="dxa"/>
              <w:left w:w="15" w:type="dxa"/>
              <w:bottom w:w="0" w:type="dxa"/>
              <w:right w:w="15" w:type="dxa"/>
            </w:tcMar>
            <w:vAlign w:val="center"/>
          </w:tcPr>
          <w:p w14:paraId="7C482C1E">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采用标准</w:t>
            </w:r>
          </w:p>
        </w:tc>
      </w:tr>
      <w:tr w14:paraId="72A8A4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340" w:hRule="exact"/>
          <w:jc w:val="center"/>
        </w:trPr>
        <w:tc>
          <w:tcPr>
            <w:tcW w:w="3054" w:type="dxa"/>
            <w:vMerge w:val="continue"/>
            <w:tcBorders>
              <w:tl2br w:val="nil"/>
              <w:tr2bl w:val="nil"/>
            </w:tcBorders>
            <w:vAlign w:val="center"/>
          </w:tcPr>
          <w:p w14:paraId="563B766F">
            <w:pPr>
              <w:widowControl/>
              <w:spacing w:line="240" w:lineRule="auto"/>
              <w:ind w:firstLine="0" w:firstLineChars="0"/>
              <w:jc w:val="center"/>
              <w:textAlignment w:val="baseline"/>
              <w:rPr>
                <w:rFonts w:hint="default" w:ascii="Times New Roman" w:hAnsi="Times New Roman" w:eastAsia="仿宋_GB2312" w:cs="Times New Roman"/>
                <w:sz w:val="18"/>
                <w:szCs w:val="18"/>
              </w:rPr>
            </w:pPr>
          </w:p>
        </w:tc>
        <w:tc>
          <w:tcPr>
            <w:tcW w:w="1469" w:type="dxa"/>
            <w:tcBorders>
              <w:tl2br w:val="nil"/>
              <w:tr2bl w:val="nil"/>
            </w:tcBorders>
            <w:tcMar>
              <w:top w:w="15" w:type="dxa"/>
              <w:left w:w="15" w:type="dxa"/>
              <w:bottom w:w="0" w:type="dxa"/>
              <w:right w:w="15" w:type="dxa"/>
            </w:tcMar>
            <w:vAlign w:val="center"/>
          </w:tcPr>
          <w:p w14:paraId="49143436">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施工期</w:t>
            </w:r>
          </w:p>
        </w:tc>
        <w:tc>
          <w:tcPr>
            <w:tcW w:w="1469" w:type="dxa"/>
            <w:tcBorders>
              <w:tl2br w:val="nil"/>
              <w:tr2bl w:val="nil"/>
            </w:tcBorders>
            <w:vAlign w:val="center"/>
          </w:tcPr>
          <w:p w14:paraId="69B534D5">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设计水平年</w:t>
            </w:r>
          </w:p>
        </w:tc>
        <w:tc>
          <w:tcPr>
            <w:tcW w:w="1469" w:type="dxa"/>
            <w:tcBorders>
              <w:tl2br w:val="nil"/>
              <w:tr2bl w:val="nil"/>
            </w:tcBorders>
            <w:tcMar>
              <w:top w:w="15" w:type="dxa"/>
              <w:left w:w="15" w:type="dxa"/>
              <w:bottom w:w="0" w:type="dxa"/>
              <w:right w:w="15" w:type="dxa"/>
            </w:tcMar>
            <w:vAlign w:val="center"/>
          </w:tcPr>
          <w:p w14:paraId="1D5677F3">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施工期</w:t>
            </w:r>
          </w:p>
        </w:tc>
        <w:tc>
          <w:tcPr>
            <w:tcW w:w="1469" w:type="dxa"/>
            <w:tcBorders>
              <w:tl2br w:val="nil"/>
              <w:tr2bl w:val="nil"/>
            </w:tcBorders>
            <w:vAlign w:val="center"/>
          </w:tcPr>
          <w:p w14:paraId="70F3BE3B">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设计水平年</w:t>
            </w:r>
          </w:p>
        </w:tc>
      </w:tr>
      <w:tr w14:paraId="37DC6F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340" w:hRule="exact"/>
          <w:jc w:val="center"/>
        </w:trPr>
        <w:tc>
          <w:tcPr>
            <w:tcW w:w="3054" w:type="dxa"/>
            <w:tcBorders>
              <w:tl2br w:val="nil"/>
              <w:tr2bl w:val="nil"/>
            </w:tcBorders>
            <w:tcMar>
              <w:top w:w="15" w:type="dxa"/>
              <w:left w:w="15" w:type="dxa"/>
              <w:bottom w:w="0" w:type="dxa"/>
              <w:right w:w="15" w:type="dxa"/>
            </w:tcMar>
            <w:vAlign w:val="center"/>
          </w:tcPr>
          <w:p w14:paraId="28CDE678">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水土流失治理度（%）</w:t>
            </w:r>
          </w:p>
        </w:tc>
        <w:tc>
          <w:tcPr>
            <w:tcW w:w="1469" w:type="dxa"/>
            <w:tcBorders>
              <w:tl2br w:val="nil"/>
              <w:tr2bl w:val="nil"/>
            </w:tcBorders>
            <w:tcMar>
              <w:top w:w="15" w:type="dxa"/>
              <w:left w:w="15" w:type="dxa"/>
              <w:bottom w:w="0" w:type="dxa"/>
              <w:right w:w="15" w:type="dxa"/>
            </w:tcMar>
            <w:vAlign w:val="center"/>
          </w:tcPr>
          <w:p w14:paraId="794C7ECF">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469" w:type="dxa"/>
            <w:tcBorders>
              <w:tl2br w:val="nil"/>
              <w:tr2bl w:val="nil"/>
            </w:tcBorders>
            <w:vAlign w:val="center"/>
          </w:tcPr>
          <w:p w14:paraId="1F56DBF7">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97</w:t>
            </w:r>
          </w:p>
        </w:tc>
        <w:tc>
          <w:tcPr>
            <w:tcW w:w="1469" w:type="dxa"/>
            <w:tcBorders>
              <w:tl2br w:val="nil"/>
              <w:tr2bl w:val="nil"/>
            </w:tcBorders>
            <w:tcMar>
              <w:top w:w="15" w:type="dxa"/>
              <w:left w:w="15" w:type="dxa"/>
              <w:bottom w:w="0" w:type="dxa"/>
              <w:right w:w="15" w:type="dxa"/>
            </w:tcMar>
            <w:vAlign w:val="center"/>
          </w:tcPr>
          <w:p w14:paraId="57E8A77D">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469" w:type="dxa"/>
            <w:tcBorders>
              <w:tl2br w:val="nil"/>
              <w:tr2bl w:val="nil"/>
            </w:tcBorders>
            <w:vAlign w:val="center"/>
          </w:tcPr>
          <w:p w14:paraId="112D5176">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97</w:t>
            </w:r>
          </w:p>
        </w:tc>
      </w:tr>
      <w:tr w14:paraId="023FC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340" w:hRule="exact"/>
          <w:jc w:val="center"/>
        </w:trPr>
        <w:tc>
          <w:tcPr>
            <w:tcW w:w="3054" w:type="dxa"/>
            <w:tcBorders>
              <w:tl2br w:val="nil"/>
              <w:tr2bl w:val="nil"/>
            </w:tcBorders>
            <w:tcMar>
              <w:top w:w="15" w:type="dxa"/>
              <w:left w:w="15" w:type="dxa"/>
              <w:bottom w:w="0" w:type="dxa"/>
              <w:right w:w="15" w:type="dxa"/>
            </w:tcMar>
            <w:vAlign w:val="center"/>
          </w:tcPr>
          <w:p w14:paraId="12B92922">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土壤流失控制比</w:t>
            </w:r>
          </w:p>
        </w:tc>
        <w:tc>
          <w:tcPr>
            <w:tcW w:w="1469" w:type="dxa"/>
            <w:tcBorders>
              <w:tl2br w:val="nil"/>
              <w:tr2bl w:val="nil"/>
            </w:tcBorders>
            <w:tcMar>
              <w:top w:w="15" w:type="dxa"/>
              <w:left w:w="15" w:type="dxa"/>
              <w:bottom w:w="0" w:type="dxa"/>
              <w:right w:w="15" w:type="dxa"/>
            </w:tcMar>
            <w:vAlign w:val="center"/>
          </w:tcPr>
          <w:p w14:paraId="6B06B72F">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469" w:type="dxa"/>
            <w:tcBorders>
              <w:tl2br w:val="nil"/>
              <w:tr2bl w:val="nil"/>
            </w:tcBorders>
            <w:vAlign w:val="center"/>
          </w:tcPr>
          <w:p w14:paraId="57F01A48">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0.85</w:t>
            </w:r>
          </w:p>
        </w:tc>
        <w:tc>
          <w:tcPr>
            <w:tcW w:w="1469" w:type="dxa"/>
            <w:tcBorders>
              <w:tl2br w:val="nil"/>
              <w:tr2bl w:val="nil"/>
            </w:tcBorders>
            <w:tcMar>
              <w:top w:w="15" w:type="dxa"/>
              <w:left w:w="15" w:type="dxa"/>
              <w:bottom w:w="0" w:type="dxa"/>
              <w:right w:w="15" w:type="dxa"/>
            </w:tcMar>
            <w:vAlign w:val="center"/>
          </w:tcPr>
          <w:p w14:paraId="6CB06289">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469" w:type="dxa"/>
            <w:tcBorders>
              <w:tl2br w:val="nil"/>
              <w:tr2bl w:val="nil"/>
            </w:tcBorders>
            <w:vAlign w:val="center"/>
          </w:tcPr>
          <w:p w14:paraId="32982056">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1.0</w:t>
            </w:r>
          </w:p>
        </w:tc>
      </w:tr>
      <w:tr w14:paraId="2E5EDB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340" w:hRule="exact"/>
          <w:jc w:val="center"/>
        </w:trPr>
        <w:tc>
          <w:tcPr>
            <w:tcW w:w="3054" w:type="dxa"/>
            <w:tcBorders>
              <w:tl2br w:val="nil"/>
              <w:tr2bl w:val="nil"/>
            </w:tcBorders>
            <w:tcMar>
              <w:top w:w="15" w:type="dxa"/>
              <w:left w:w="15" w:type="dxa"/>
              <w:bottom w:w="0" w:type="dxa"/>
              <w:right w:w="15" w:type="dxa"/>
            </w:tcMar>
            <w:vAlign w:val="center"/>
          </w:tcPr>
          <w:p w14:paraId="0BB2BAC1">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渣土防护率（%）</w:t>
            </w:r>
          </w:p>
        </w:tc>
        <w:tc>
          <w:tcPr>
            <w:tcW w:w="1469" w:type="dxa"/>
            <w:tcBorders>
              <w:tl2br w:val="nil"/>
              <w:tr2bl w:val="nil"/>
            </w:tcBorders>
            <w:tcMar>
              <w:top w:w="15" w:type="dxa"/>
              <w:left w:w="15" w:type="dxa"/>
              <w:bottom w:w="0" w:type="dxa"/>
              <w:right w:w="15" w:type="dxa"/>
            </w:tcMar>
            <w:vAlign w:val="center"/>
          </w:tcPr>
          <w:p w14:paraId="25B25A0F">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90</w:t>
            </w:r>
          </w:p>
        </w:tc>
        <w:tc>
          <w:tcPr>
            <w:tcW w:w="1469" w:type="dxa"/>
            <w:tcBorders>
              <w:tl2br w:val="nil"/>
              <w:tr2bl w:val="nil"/>
            </w:tcBorders>
            <w:vAlign w:val="center"/>
          </w:tcPr>
          <w:p w14:paraId="15746BBB">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92</w:t>
            </w:r>
          </w:p>
        </w:tc>
        <w:tc>
          <w:tcPr>
            <w:tcW w:w="1469" w:type="dxa"/>
            <w:tcBorders>
              <w:tl2br w:val="nil"/>
              <w:tr2bl w:val="nil"/>
            </w:tcBorders>
            <w:tcMar>
              <w:top w:w="15" w:type="dxa"/>
              <w:left w:w="15" w:type="dxa"/>
              <w:bottom w:w="0" w:type="dxa"/>
              <w:right w:w="15" w:type="dxa"/>
            </w:tcMar>
            <w:vAlign w:val="center"/>
          </w:tcPr>
          <w:p w14:paraId="666FCF15">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90</w:t>
            </w:r>
          </w:p>
        </w:tc>
        <w:tc>
          <w:tcPr>
            <w:tcW w:w="1469" w:type="dxa"/>
            <w:tcBorders>
              <w:tl2br w:val="nil"/>
              <w:tr2bl w:val="nil"/>
            </w:tcBorders>
            <w:vAlign w:val="center"/>
          </w:tcPr>
          <w:p w14:paraId="58221188">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92</w:t>
            </w:r>
          </w:p>
        </w:tc>
      </w:tr>
      <w:tr w14:paraId="4E5A48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340" w:hRule="exact"/>
          <w:jc w:val="center"/>
        </w:trPr>
        <w:tc>
          <w:tcPr>
            <w:tcW w:w="3054" w:type="dxa"/>
            <w:tcBorders>
              <w:tl2br w:val="nil"/>
              <w:tr2bl w:val="nil"/>
            </w:tcBorders>
            <w:tcMar>
              <w:top w:w="15" w:type="dxa"/>
              <w:left w:w="15" w:type="dxa"/>
              <w:bottom w:w="0" w:type="dxa"/>
              <w:right w:w="15" w:type="dxa"/>
            </w:tcMar>
            <w:vAlign w:val="center"/>
          </w:tcPr>
          <w:p w14:paraId="352FF9C4">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表土保护率（%）</w:t>
            </w:r>
          </w:p>
        </w:tc>
        <w:tc>
          <w:tcPr>
            <w:tcW w:w="1469" w:type="dxa"/>
            <w:tcBorders>
              <w:tl2br w:val="nil"/>
              <w:tr2bl w:val="nil"/>
            </w:tcBorders>
            <w:tcMar>
              <w:top w:w="15" w:type="dxa"/>
              <w:left w:w="15" w:type="dxa"/>
              <w:bottom w:w="0" w:type="dxa"/>
              <w:right w:w="15" w:type="dxa"/>
            </w:tcMar>
            <w:vAlign w:val="center"/>
          </w:tcPr>
          <w:p w14:paraId="38844B7A">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92</w:t>
            </w:r>
          </w:p>
        </w:tc>
        <w:tc>
          <w:tcPr>
            <w:tcW w:w="1469" w:type="dxa"/>
            <w:tcBorders>
              <w:tl2br w:val="nil"/>
              <w:tr2bl w:val="nil"/>
            </w:tcBorders>
            <w:vAlign w:val="center"/>
          </w:tcPr>
          <w:p w14:paraId="1551580D">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92</w:t>
            </w:r>
          </w:p>
        </w:tc>
        <w:tc>
          <w:tcPr>
            <w:tcW w:w="1469" w:type="dxa"/>
            <w:tcBorders>
              <w:tl2br w:val="nil"/>
              <w:tr2bl w:val="nil"/>
            </w:tcBorders>
            <w:tcMar>
              <w:top w:w="15" w:type="dxa"/>
              <w:left w:w="15" w:type="dxa"/>
              <w:bottom w:w="0" w:type="dxa"/>
              <w:right w:w="15" w:type="dxa"/>
            </w:tcMar>
            <w:vAlign w:val="center"/>
          </w:tcPr>
          <w:p w14:paraId="1E23B61A">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92</w:t>
            </w:r>
          </w:p>
        </w:tc>
        <w:tc>
          <w:tcPr>
            <w:tcW w:w="1469" w:type="dxa"/>
            <w:tcBorders>
              <w:tl2br w:val="nil"/>
              <w:tr2bl w:val="nil"/>
            </w:tcBorders>
            <w:vAlign w:val="center"/>
          </w:tcPr>
          <w:p w14:paraId="275CDF1C">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92</w:t>
            </w:r>
          </w:p>
        </w:tc>
      </w:tr>
      <w:tr w14:paraId="26A21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340" w:hRule="exact"/>
          <w:jc w:val="center"/>
        </w:trPr>
        <w:tc>
          <w:tcPr>
            <w:tcW w:w="3054" w:type="dxa"/>
            <w:tcBorders>
              <w:tl2br w:val="nil"/>
              <w:tr2bl w:val="nil"/>
            </w:tcBorders>
            <w:tcMar>
              <w:top w:w="15" w:type="dxa"/>
              <w:left w:w="15" w:type="dxa"/>
              <w:bottom w:w="0" w:type="dxa"/>
              <w:right w:w="15" w:type="dxa"/>
            </w:tcMar>
            <w:vAlign w:val="center"/>
          </w:tcPr>
          <w:p w14:paraId="2F781807">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林草植被恢复率（%）</w:t>
            </w:r>
          </w:p>
        </w:tc>
        <w:tc>
          <w:tcPr>
            <w:tcW w:w="1469" w:type="dxa"/>
            <w:tcBorders>
              <w:tl2br w:val="nil"/>
              <w:tr2bl w:val="nil"/>
            </w:tcBorders>
            <w:tcMar>
              <w:top w:w="15" w:type="dxa"/>
              <w:left w:w="15" w:type="dxa"/>
              <w:bottom w:w="0" w:type="dxa"/>
              <w:right w:w="15" w:type="dxa"/>
            </w:tcMar>
            <w:vAlign w:val="center"/>
          </w:tcPr>
          <w:p w14:paraId="508B16DB">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469" w:type="dxa"/>
            <w:tcBorders>
              <w:tl2br w:val="nil"/>
              <w:tr2bl w:val="nil"/>
            </w:tcBorders>
            <w:vAlign w:val="center"/>
          </w:tcPr>
          <w:p w14:paraId="4BFF0D26">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97</w:t>
            </w:r>
          </w:p>
        </w:tc>
        <w:tc>
          <w:tcPr>
            <w:tcW w:w="1469" w:type="dxa"/>
            <w:tcBorders>
              <w:tl2br w:val="nil"/>
              <w:tr2bl w:val="nil"/>
            </w:tcBorders>
            <w:tcMar>
              <w:top w:w="15" w:type="dxa"/>
              <w:left w:w="15" w:type="dxa"/>
              <w:bottom w:w="0" w:type="dxa"/>
              <w:right w:w="15" w:type="dxa"/>
            </w:tcMar>
            <w:vAlign w:val="center"/>
          </w:tcPr>
          <w:p w14:paraId="0A3F8F1C">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469" w:type="dxa"/>
            <w:tcBorders>
              <w:tl2br w:val="nil"/>
              <w:tr2bl w:val="nil"/>
            </w:tcBorders>
            <w:vAlign w:val="center"/>
          </w:tcPr>
          <w:p w14:paraId="3A705686">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97</w:t>
            </w:r>
          </w:p>
        </w:tc>
      </w:tr>
      <w:tr w14:paraId="0BD28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340" w:hRule="exact"/>
          <w:jc w:val="center"/>
        </w:trPr>
        <w:tc>
          <w:tcPr>
            <w:tcW w:w="3054" w:type="dxa"/>
            <w:tcBorders>
              <w:tl2br w:val="nil"/>
              <w:tr2bl w:val="nil"/>
            </w:tcBorders>
            <w:tcMar>
              <w:top w:w="15" w:type="dxa"/>
              <w:left w:w="15" w:type="dxa"/>
              <w:bottom w:w="0" w:type="dxa"/>
              <w:right w:w="15" w:type="dxa"/>
            </w:tcMar>
            <w:vAlign w:val="center"/>
          </w:tcPr>
          <w:p w14:paraId="3EBF4F08">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林草覆盖率（%）</w:t>
            </w:r>
          </w:p>
        </w:tc>
        <w:tc>
          <w:tcPr>
            <w:tcW w:w="1469" w:type="dxa"/>
            <w:tcBorders>
              <w:tl2br w:val="nil"/>
              <w:tr2bl w:val="nil"/>
            </w:tcBorders>
            <w:tcMar>
              <w:top w:w="15" w:type="dxa"/>
              <w:left w:w="15" w:type="dxa"/>
              <w:bottom w:w="0" w:type="dxa"/>
              <w:right w:w="15" w:type="dxa"/>
            </w:tcMar>
            <w:vAlign w:val="center"/>
          </w:tcPr>
          <w:p w14:paraId="2D8DB8C6">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469" w:type="dxa"/>
            <w:tcBorders>
              <w:tl2br w:val="nil"/>
              <w:tr2bl w:val="nil"/>
            </w:tcBorders>
            <w:vAlign w:val="center"/>
          </w:tcPr>
          <w:p w14:paraId="430797AE">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23</w:t>
            </w:r>
          </w:p>
        </w:tc>
        <w:tc>
          <w:tcPr>
            <w:tcW w:w="1469" w:type="dxa"/>
            <w:tcBorders>
              <w:tl2br w:val="nil"/>
              <w:tr2bl w:val="nil"/>
            </w:tcBorders>
            <w:tcMar>
              <w:top w:w="15" w:type="dxa"/>
              <w:left w:w="15" w:type="dxa"/>
              <w:bottom w:w="0" w:type="dxa"/>
              <w:right w:w="15" w:type="dxa"/>
            </w:tcMar>
            <w:vAlign w:val="center"/>
          </w:tcPr>
          <w:p w14:paraId="0BAC3983">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469" w:type="dxa"/>
            <w:tcBorders>
              <w:tl2br w:val="nil"/>
              <w:tr2bl w:val="nil"/>
            </w:tcBorders>
            <w:vAlign w:val="center"/>
          </w:tcPr>
          <w:p w14:paraId="69522631">
            <w:pPr>
              <w:widowControl/>
              <w:spacing w:line="240" w:lineRule="auto"/>
              <w:ind w:firstLine="0" w:firstLineChars="0"/>
              <w:jc w:val="center"/>
              <w:textAlignment w:val="baseline"/>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25</w:t>
            </w:r>
          </w:p>
        </w:tc>
      </w:tr>
    </w:tbl>
    <w:p w14:paraId="72294540">
      <w:pPr>
        <w:spacing w:line="360" w:lineRule="auto"/>
        <w:ind w:firstLine="480" w:firstLineChars="200"/>
        <w:rPr>
          <w:rFonts w:hint="default" w:ascii="Times New Roman" w:hAnsi="Times New Roman" w:eastAsia="仿宋_GB2312" w:cs="Times New Roman"/>
          <w:b/>
          <w:bCs/>
          <w:color w:val="auto"/>
          <w:sz w:val="24"/>
          <w:lang w:bidi="ar"/>
        </w:rPr>
      </w:pPr>
      <w:r>
        <w:rPr>
          <w:rFonts w:hint="default" w:ascii="Times New Roman" w:hAnsi="Times New Roman" w:eastAsia="仿宋_GB2312" w:cs="Times New Roman"/>
          <w:color w:val="auto"/>
          <w:sz w:val="24"/>
          <w:lang w:bidi="ar"/>
        </w:rPr>
        <w:t>水土流失防治六项指标统计计算结果见表7.2-</w:t>
      </w:r>
      <w:r>
        <w:rPr>
          <w:rFonts w:hint="default" w:ascii="Times New Roman" w:hAnsi="Times New Roman" w:eastAsia="仿宋_GB2312" w:cs="Times New Roman"/>
          <w:color w:val="auto"/>
          <w:sz w:val="24"/>
          <w:lang w:val="en-US" w:eastAsia="zh-CN" w:bidi="ar"/>
        </w:rPr>
        <w:t>2</w:t>
      </w:r>
      <w:r>
        <w:rPr>
          <w:rFonts w:hint="default" w:ascii="Times New Roman" w:hAnsi="Times New Roman" w:eastAsia="仿宋_GB2312" w:cs="Times New Roman"/>
          <w:color w:val="auto"/>
          <w:sz w:val="24"/>
          <w:lang w:bidi="ar"/>
        </w:rPr>
        <w:t>。</w:t>
      </w:r>
    </w:p>
    <w:p w14:paraId="338A11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color w:val="auto"/>
          <w:sz w:val="21"/>
          <w:szCs w:val="21"/>
          <w:lang w:bidi="ar"/>
        </w:rPr>
      </w:pPr>
      <w:r>
        <w:rPr>
          <w:rFonts w:hint="default" w:ascii="Times New Roman" w:hAnsi="Times New Roman" w:eastAsia="仿宋_GB2312" w:cs="Times New Roman"/>
          <w:b/>
          <w:color w:val="auto"/>
          <w:sz w:val="21"/>
          <w:szCs w:val="21"/>
          <w:lang w:bidi="ar"/>
        </w:rPr>
        <w:t>表7.2-</w:t>
      </w:r>
      <w:r>
        <w:rPr>
          <w:rFonts w:hint="default" w:ascii="Times New Roman" w:hAnsi="Times New Roman" w:eastAsia="仿宋_GB2312" w:cs="Times New Roman"/>
          <w:b/>
          <w:color w:val="auto"/>
          <w:sz w:val="21"/>
          <w:szCs w:val="21"/>
          <w:lang w:val="en-US" w:eastAsia="zh-CN" w:bidi="ar"/>
        </w:rPr>
        <w:t>2</w:t>
      </w:r>
      <w:r>
        <w:rPr>
          <w:rFonts w:hint="default" w:ascii="Times New Roman" w:hAnsi="Times New Roman" w:eastAsia="仿宋_GB2312" w:cs="Times New Roman"/>
          <w:b/>
          <w:color w:val="auto"/>
          <w:sz w:val="21"/>
          <w:szCs w:val="21"/>
          <w:lang w:bidi="ar"/>
        </w:rPr>
        <w:t xml:space="preserve">  水土流失防治指标计算表</w:t>
      </w:r>
    </w:p>
    <w:tbl>
      <w:tblPr>
        <w:tblStyle w:val="1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891"/>
        <w:gridCol w:w="2750"/>
        <w:gridCol w:w="1006"/>
        <w:gridCol w:w="880"/>
        <w:gridCol w:w="1210"/>
        <w:gridCol w:w="1015"/>
      </w:tblGrid>
      <w:tr w14:paraId="2D1CD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35" w:type="pct"/>
            <w:tcBorders>
              <w:tl2br w:val="nil"/>
              <w:tr2bl w:val="nil"/>
            </w:tcBorders>
            <w:noWrap w:val="0"/>
            <w:vAlign w:val="center"/>
          </w:tcPr>
          <w:p w14:paraId="4A7C3EAA">
            <w:pPr>
              <w:spacing w:line="240" w:lineRule="auto"/>
              <w:ind w:firstLine="0" w:firstLineChars="0"/>
              <w:jc w:val="center"/>
              <w:rPr>
                <w:rFonts w:hint="default" w:ascii="Times New Roman" w:hAnsi="Times New Roman" w:eastAsia="仿宋_GB2312" w:cs="Times New Roman"/>
                <w:b w:val="0"/>
                <w:bCs/>
                <w:color w:val="auto"/>
                <w:sz w:val="18"/>
                <w:szCs w:val="18"/>
              </w:rPr>
            </w:pPr>
            <w:r>
              <w:rPr>
                <w:rFonts w:hint="default" w:ascii="Times New Roman" w:hAnsi="Times New Roman" w:eastAsia="仿宋_GB2312" w:cs="Times New Roman"/>
                <w:b w:val="0"/>
                <w:bCs/>
                <w:color w:val="auto"/>
                <w:sz w:val="18"/>
                <w:szCs w:val="18"/>
              </w:rPr>
              <w:t>防治指标</w:t>
            </w:r>
          </w:p>
        </w:tc>
        <w:tc>
          <w:tcPr>
            <w:tcW w:w="490" w:type="pct"/>
            <w:tcBorders>
              <w:tl2br w:val="nil"/>
              <w:tr2bl w:val="nil"/>
            </w:tcBorders>
            <w:noWrap w:val="0"/>
            <w:vAlign w:val="center"/>
          </w:tcPr>
          <w:p w14:paraId="4DA1AA02">
            <w:pPr>
              <w:spacing w:line="240" w:lineRule="auto"/>
              <w:ind w:firstLine="0" w:firstLineChars="0"/>
              <w:jc w:val="center"/>
              <w:rPr>
                <w:rFonts w:hint="default" w:ascii="Times New Roman" w:hAnsi="Times New Roman" w:eastAsia="仿宋_GB2312" w:cs="Times New Roman"/>
                <w:b w:val="0"/>
                <w:bCs/>
                <w:color w:val="auto"/>
                <w:sz w:val="18"/>
                <w:szCs w:val="18"/>
              </w:rPr>
            </w:pPr>
            <w:r>
              <w:rPr>
                <w:rFonts w:hint="default" w:ascii="Times New Roman" w:hAnsi="Times New Roman" w:eastAsia="仿宋_GB2312" w:cs="Times New Roman"/>
                <w:b w:val="0"/>
                <w:bCs/>
                <w:color w:val="auto"/>
                <w:sz w:val="18"/>
                <w:szCs w:val="18"/>
              </w:rPr>
              <w:t>目标值</w:t>
            </w:r>
          </w:p>
        </w:tc>
        <w:tc>
          <w:tcPr>
            <w:tcW w:w="1512" w:type="pct"/>
            <w:tcBorders>
              <w:tl2br w:val="nil"/>
              <w:tr2bl w:val="nil"/>
            </w:tcBorders>
            <w:noWrap w:val="0"/>
            <w:vAlign w:val="center"/>
          </w:tcPr>
          <w:p w14:paraId="7485565A">
            <w:pPr>
              <w:spacing w:line="240" w:lineRule="auto"/>
              <w:ind w:firstLine="0" w:firstLineChars="0"/>
              <w:jc w:val="center"/>
              <w:rPr>
                <w:rFonts w:hint="default" w:ascii="Times New Roman" w:hAnsi="Times New Roman" w:eastAsia="仿宋_GB2312" w:cs="Times New Roman"/>
                <w:b w:val="0"/>
                <w:bCs/>
                <w:color w:val="auto"/>
                <w:sz w:val="18"/>
                <w:szCs w:val="18"/>
              </w:rPr>
            </w:pPr>
            <w:r>
              <w:rPr>
                <w:rFonts w:hint="default" w:ascii="Times New Roman" w:hAnsi="Times New Roman" w:eastAsia="仿宋_GB2312" w:cs="Times New Roman"/>
                <w:b w:val="0"/>
                <w:bCs/>
                <w:color w:val="auto"/>
                <w:sz w:val="18"/>
                <w:szCs w:val="18"/>
              </w:rPr>
              <w:t>计算依据</w:t>
            </w:r>
          </w:p>
        </w:tc>
        <w:tc>
          <w:tcPr>
            <w:tcW w:w="553" w:type="pct"/>
            <w:tcBorders>
              <w:tl2br w:val="nil"/>
              <w:tr2bl w:val="nil"/>
            </w:tcBorders>
            <w:noWrap w:val="0"/>
            <w:vAlign w:val="center"/>
          </w:tcPr>
          <w:p w14:paraId="03FED058">
            <w:pPr>
              <w:spacing w:line="240" w:lineRule="auto"/>
              <w:ind w:firstLine="0" w:firstLineChars="0"/>
              <w:jc w:val="center"/>
              <w:rPr>
                <w:rFonts w:hint="default" w:ascii="Times New Roman" w:hAnsi="Times New Roman" w:eastAsia="仿宋_GB2312" w:cs="Times New Roman"/>
                <w:b w:val="0"/>
                <w:bCs/>
                <w:color w:val="auto"/>
                <w:sz w:val="18"/>
                <w:szCs w:val="18"/>
              </w:rPr>
            </w:pPr>
            <w:r>
              <w:rPr>
                <w:rFonts w:hint="default" w:ascii="Times New Roman" w:hAnsi="Times New Roman" w:eastAsia="仿宋_GB2312" w:cs="Times New Roman"/>
                <w:b w:val="0"/>
                <w:bCs/>
                <w:color w:val="auto"/>
                <w:sz w:val="18"/>
                <w:szCs w:val="18"/>
              </w:rPr>
              <w:t>单位</w:t>
            </w:r>
          </w:p>
        </w:tc>
        <w:tc>
          <w:tcPr>
            <w:tcW w:w="484" w:type="pct"/>
            <w:tcBorders>
              <w:tl2br w:val="nil"/>
              <w:tr2bl w:val="nil"/>
            </w:tcBorders>
            <w:noWrap w:val="0"/>
            <w:vAlign w:val="center"/>
          </w:tcPr>
          <w:p w14:paraId="679047A7">
            <w:pPr>
              <w:spacing w:line="240" w:lineRule="auto"/>
              <w:ind w:firstLine="0" w:firstLineChars="0"/>
              <w:jc w:val="center"/>
              <w:rPr>
                <w:rFonts w:hint="default" w:ascii="Times New Roman" w:hAnsi="Times New Roman" w:eastAsia="仿宋_GB2312" w:cs="Times New Roman"/>
                <w:b w:val="0"/>
                <w:bCs/>
                <w:color w:val="auto"/>
                <w:sz w:val="18"/>
                <w:szCs w:val="18"/>
              </w:rPr>
            </w:pPr>
            <w:r>
              <w:rPr>
                <w:rFonts w:hint="default" w:ascii="Times New Roman" w:hAnsi="Times New Roman" w:eastAsia="仿宋_GB2312" w:cs="Times New Roman"/>
                <w:b w:val="0"/>
                <w:bCs/>
                <w:color w:val="auto"/>
                <w:sz w:val="18"/>
                <w:szCs w:val="18"/>
              </w:rPr>
              <w:t>数量</w:t>
            </w:r>
          </w:p>
        </w:tc>
        <w:tc>
          <w:tcPr>
            <w:tcW w:w="665" w:type="pct"/>
            <w:tcBorders>
              <w:tl2br w:val="nil"/>
              <w:tr2bl w:val="nil"/>
            </w:tcBorders>
            <w:noWrap w:val="0"/>
            <w:vAlign w:val="center"/>
          </w:tcPr>
          <w:p w14:paraId="65492CDB">
            <w:pPr>
              <w:spacing w:line="240" w:lineRule="auto"/>
              <w:ind w:firstLine="0" w:firstLineChars="0"/>
              <w:jc w:val="center"/>
              <w:rPr>
                <w:rFonts w:hint="default" w:ascii="Times New Roman" w:hAnsi="Times New Roman" w:eastAsia="仿宋_GB2312" w:cs="Times New Roman"/>
                <w:b w:val="0"/>
                <w:bCs/>
                <w:color w:val="auto"/>
                <w:sz w:val="18"/>
                <w:szCs w:val="18"/>
              </w:rPr>
            </w:pPr>
            <w:r>
              <w:rPr>
                <w:rFonts w:hint="default" w:ascii="Times New Roman" w:hAnsi="Times New Roman" w:eastAsia="仿宋_GB2312" w:cs="Times New Roman"/>
                <w:b w:val="0"/>
                <w:bCs/>
                <w:color w:val="auto"/>
                <w:sz w:val="18"/>
                <w:szCs w:val="18"/>
              </w:rPr>
              <w:t>计算结果</w:t>
            </w:r>
          </w:p>
        </w:tc>
        <w:tc>
          <w:tcPr>
            <w:tcW w:w="558" w:type="pct"/>
            <w:tcBorders>
              <w:tl2br w:val="nil"/>
              <w:tr2bl w:val="nil"/>
            </w:tcBorders>
            <w:noWrap w:val="0"/>
            <w:vAlign w:val="center"/>
          </w:tcPr>
          <w:p w14:paraId="5F7FF772">
            <w:pPr>
              <w:spacing w:line="240" w:lineRule="auto"/>
              <w:ind w:firstLine="0" w:firstLineChars="0"/>
              <w:jc w:val="center"/>
              <w:rPr>
                <w:rFonts w:hint="default" w:ascii="Times New Roman" w:hAnsi="Times New Roman" w:eastAsia="仿宋_GB2312" w:cs="Times New Roman"/>
                <w:b w:val="0"/>
                <w:bCs/>
                <w:color w:val="auto"/>
                <w:sz w:val="18"/>
                <w:szCs w:val="18"/>
              </w:rPr>
            </w:pPr>
            <w:r>
              <w:rPr>
                <w:rFonts w:hint="default" w:ascii="Times New Roman" w:hAnsi="Times New Roman" w:eastAsia="仿宋_GB2312" w:cs="Times New Roman"/>
                <w:b w:val="0"/>
                <w:bCs/>
                <w:color w:val="auto"/>
                <w:sz w:val="18"/>
                <w:szCs w:val="18"/>
              </w:rPr>
              <w:t>达标情况</w:t>
            </w:r>
          </w:p>
        </w:tc>
      </w:tr>
      <w:tr w14:paraId="733A9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35" w:type="pct"/>
            <w:vMerge w:val="restart"/>
            <w:tcBorders>
              <w:tl2br w:val="nil"/>
              <w:tr2bl w:val="nil"/>
            </w:tcBorders>
            <w:noWrap w:val="0"/>
            <w:vAlign w:val="center"/>
          </w:tcPr>
          <w:p w14:paraId="64ECDCDF">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水土流失治理度</w:t>
            </w:r>
          </w:p>
        </w:tc>
        <w:tc>
          <w:tcPr>
            <w:tcW w:w="490" w:type="pct"/>
            <w:vMerge w:val="restart"/>
            <w:tcBorders>
              <w:tl2br w:val="nil"/>
              <w:tr2bl w:val="nil"/>
            </w:tcBorders>
            <w:noWrap w:val="0"/>
            <w:vAlign w:val="center"/>
          </w:tcPr>
          <w:p w14:paraId="1946F0CF">
            <w:pPr>
              <w:pStyle w:val="28"/>
              <w:snapToGrid w:val="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97%</w:t>
            </w:r>
          </w:p>
        </w:tc>
        <w:tc>
          <w:tcPr>
            <w:tcW w:w="1512" w:type="pct"/>
            <w:tcBorders>
              <w:tl2br w:val="nil"/>
              <w:tr2bl w:val="nil"/>
            </w:tcBorders>
            <w:noWrap w:val="0"/>
            <w:vAlign w:val="center"/>
          </w:tcPr>
          <w:p w14:paraId="683EA45F">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水土流失治理面积</w:t>
            </w:r>
          </w:p>
        </w:tc>
        <w:tc>
          <w:tcPr>
            <w:tcW w:w="553" w:type="pct"/>
            <w:tcBorders>
              <w:tl2br w:val="nil"/>
              <w:tr2bl w:val="nil"/>
            </w:tcBorders>
            <w:noWrap w:val="0"/>
            <w:vAlign w:val="center"/>
          </w:tcPr>
          <w:p w14:paraId="3465A01E">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hm²</w:t>
            </w:r>
          </w:p>
        </w:tc>
        <w:tc>
          <w:tcPr>
            <w:tcW w:w="484" w:type="pct"/>
            <w:tcBorders>
              <w:tl2br w:val="nil"/>
              <w:tr2bl w:val="nil"/>
            </w:tcBorders>
            <w:noWrap w:val="0"/>
            <w:vAlign w:val="center"/>
          </w:tcPr>
          <w:p w14:paraId="2017C472">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0.33</w:t>
            </w:r>
          </w:p>
        </w:tc>
        <w:tc>
          <w:tcPr>
            <w:tcW w:w="665" w:type="pct"/>
            <w:vMerge w:val="restart"/>
            <w:tcBorders>
              <w:tl2br w:val="nil"/>
              <w:tr2bl w:val="nil"/>
            </w:tcBorders>
            <w:noWrap w:val="0"/>
            <w:vAlign w:val="center"/>
          </w:tcPr>
          <w:p w14:paraId="30861D62">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100%</w:t>
            </w:r>
          </w:p>
        </w:tc>
        <w:tc>
          <w:tcPr>
            <w:tcW w:w="558" w:type="pct"/>
            <w:vMerge w:val="restart"/>
            <w:tcBorders>
              <w:tl2br w:val="nil"/>
              <w:tr2bl w:val="nil"/>
            </w:tcBorders>
            <w:noWrap w:val="0"/>
            <w:vAlign w:val="center"/>
          </w:tcPr>
          <w:p w14:paraId="2C74AEDD">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达标</w:t>
            </w:r>
          </w:p>
        </w:tc>
      </w:tr>
      <w:tr w14:paraId="7BA0A0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35" w:type="pct"/>
            <w:vMerge w:val="continue"/>
            <w:tcBorders>
              <w:tl2br w:val="nil"/>
              <w:tr2bl w:val="nil"/>
            </w:tcBorders>
            <w:noWrap w:val="0"/>
            <w:vAlign w:val="center"/>
          </w:tcPr>
          <w:p w14:paraId="6F696012">
            <w:pPr>
              <w:spacing w:line="240" w:lineRule="auto"/>
              <w:ind w:firstLine="0" w:firstLineChars="0"/>
              <w:jc w:val="center"/>
              <w:rPr>
                <w:rFonts w:hint="default" w:ascii="Times New Roman" w:hAnsi="Times New Roman" w:eastAsia="仿宋_GB2312" w:cs="Times New Roman"/>
                <w:color w:val="auto"/>
                <w:sz w:val="18"/>
                <w:szCs w:val="18"/>
              </w:rPr>
            </w:pPr>
          </w:p>
        </w:tc>
        <w:tc>
          <w:tcPr>
            <w:tcW w:w="490" w:type="pct"/>
            <w:vMerge w:val="continue"/>
            <w:tcBorders>
              <w:tl2br w:val="nil"/>
              <w:tr2bl w:val="nil"/>
            </w:tcBorders>
            <w:noWrap w:val="0"/>
            <w:vAlign w:val="center"/>
          </w:tcPr>
          <w:p w14:paraId="0B02EE22">
            <w:pPr>
              <w:spacing w:line="240" w:lineRule="auto"/>
              <w:ind w:firstLine="0" w:firstLineChars="0"/>
              <w:jc w:val="center"/>
              <w:rPr>
                <w:rFonts w:hint="default" w:ascii="Times New Roman" w:hAnsi="Times New Roman" w:eastAsia="仿宋_GB2312" w:cs="Times New Roman"/>
                <w:color w:val="auto"/>
                <w:sz w:val="18"/>
                <w:szCs w:val="18"/>
              </w:rPr>
            </w:pPr>
          </w:p>
        </w:tc>
        <w:tc>
          <w:tcPr>
            <w:tcW w:w="1512" w:type="pct"/>
            <w:tcBorders>
              <w:tl2br w:val="nil"/>
              <w:tr2bl w:val="nil"/>
            </w:tcBorders>
            <w:noWrap w:val="0"/>
            <w:vAlign w:val="center"/>
          </w:tcPr>
          <w:p w14:paraId="1DAF3674">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水土流失面积</w:t>
            </w:r>
          </w:p>
        </w:tc>
        <w:tc>
          <w:tcPr>
            <w:tcW w:w="553" w:type="pct"/>
            <w:tcBorders>
              <w:tl2br w:val="nil"/>
              <w:tr2bl w:val="nil"/>
            </w:tcBorders>
            <w:noWrap w:val="0"/>
            <w:vAlign w:val="center"/>
          </w:tcPr>
          <w:p w14:paraId="3967318E">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hm²</w:t>
            </w:r>
          </w:p>
        </w:tc>
        <w:tc>
          <w:tcPr>
            <w:tcW w:w="484" w:type="pct"/>
            <w:tcBorders>
              <w:tl2br w:val="nil"/>
              <w:tr2bl w:val="nil"/>
            </w:tcBorders>
            <w:noWrap w:val="0"/>
            <w:vAlign w:val="center"/>
          </w:tcPr>
          <w:p w14:paraId="1B03854E">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0.33</w:t>
            </w:r>
          </w:p>
        </w:tc>
        <w:tc>
          <w:tcPr>
            <w:tcW w:w="665" w:type="pct"/>
            <w:vMerge w:val="continue"/>
            <w:tcBorders>
              <w:tl2br w:val="nil"/>
              <w:tr2bl w:val="nil"/>
            </w:tcBorders>
            <w:noWrap w:val="0"/>
            <w:vAlign w:val="center"/>
          </w:tcPr>
          <w:p w14:paraId="0E75143D">
            <w:pPr>
              <w:spacing w:line="240" w:lineRule="auto"/>
              <w:ind w:firstLine="0" w:firstLineChars="0"/>
              <w:jc w:val="center"/>
              <w:rPr>
                <w:rFonts w:hint="default" w:ascii="Times New Roman" w:hAnsi="Times New Roman" w:eastAsia="仿宋_GB2312" w:cs="Times New Roman"/>
                <w:color w:val="auto"/>
                <w:sz w:val="18"/>
                <w:szCs w:val="18"/>
              </w:rPr>
            </w:pPr>
          </w:p>
        </w:tc>
        <w:tc>
          <w:tcPr>
            <w:tcW w:w="558" w:type="pct"/>
            <w:vMerge w:val="continue"/>
            <w:tcBorders>
              <w:tl2br w:val="nil"/>
              <w:tr2bl w:val="nil"/>
            </w:tcBorders>
            <w:noWrap w:val="0"/>
            <w:vAlign w:val="center"/>
          </w:tcPr>
          <w:p w14:paraId="53E95859">
            <w:pPr>
              <w:spacing w:line="240" w:lineRule="auto"/>
              <w:ind w:firstLine="0" w:firstLineChars="0"/>
              <w:jc w:val="center"/>
              <w:rPr>
                <w:rFonts w:hint="default" w:ascii="Times New Roman" w:hAnsi="Times New Roman" w:eastAsia="仿宋_GB2312" w:cs="Times New Roman"/>
                <w:color w:val="auto"/>
                <w:sz w:val="18"/>
                <w:szCs w:val="18"/>
              </w:rPr>
            </w:pPr>
          </w:p>
        </w:tc>
      </w:tr>
      <w:tr w14:paraId="59CB5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35" w:type="pct"/>
            <w:vMerge w:val="restart"/>
            <w:tcBorders>
              <w:tl2br w:val="nil"/>
              <w:tr2bl w:val="nil"/>
            </w:tcBorders>
            <w:noWrap w:val="0"/>
            <w:vAlign w:val="center"/>
          </w:tcPr>
          <w:p w14:paraId="66D39B92">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土壤流失控制比</w:t>
            </w:r>
          </w:p>
        </w:tc>
        <w:tc>
          <w:tcPr>
            <w:tcW w:w="490" w:type="pct"/>
            <w:vMerge w:val="restart"/>
            <w:tcBorders>
              <w:tl2br w:val="nil"/>
              <w:tr2bl w:val="nil"/>
            </w:tcBorders>
            <w:noWrap w:val="0"/>
            <w:vAlign w:val="center"/>
          </w:tcPr>
          <w:p w14:paraId="0119FE09">
            <w:pPr>
              <w:pStyle w:val="28"/>
              <w:snapToGrid w:val="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512" w:type="pct"/>
            <w:tcBorders>
              <w:tl2br w:val="nil"/>
              <w:tr2bl w:val="nil"/>
            </w:tcBorders>
            <w:noWrap w:val="0"/>
            <w:vAlign w:val="center"/>
          </w:tcPr>
          <w:p w14:paraId="4104040A">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项目区容许值</w:t>
            </w:r>
          </w:p>
        </w:tc>
        <w:tc>
          <w:tcPr>
            <w:tcW w:w="553" w:type="pct"/>
            <w:tcBorders>
              <w:tl2br w:val="nil"/>
              <w:tr2bl w:val="nil"/>
            </w:tcBorders>
            <w:noWrap w:val="0"/>
            <w:vAlign w:val="center"/>
          </w:tcPr>
          <w:p w14:paraId="36F3B7B8">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t/km²</w:t>
            </w:r>
            <w:r>
              <w:rPr>
                <w:rFonts w:hint="default" w:ascii="Times New Roman" w:hAnsi="Times New Roman" w:eastAsia="仿宋_GB2312" w:cs="Times New Roman"/>
                <w:color w:val="auto"/>
                <w:kern w:val="0"/>
                <w:sz w:val="18"/>
                <w:szCs w:val="18"/>
              </w:rPr>
              <w:t>·</w:t>
            </w:r>
            <w:r>
              <w:rPr>
                <w:rFonts w:hint="default" w:ascii="Times New Roman" w:hAnsi="Times New Roman" w:eastAsia="仿宋_GB2312" w:cs="Times New Roman"/>
                <w:color w:val="auto"/>
                <w:sz w:val="18"/>
                <w:szCs w:val="18"/>
              </w:rPr>
              <w:t>a</w:t>
            </w:r>
          </w:p>
        </w:tc>
        <w:tc>
          <w:tcPr>
            <w:tcW w:w="484" w:type="pct"/>
            <w:tcBorders>
              <w:tl2br w:val="nil"/>
              <w:tr2bl w:val="nil"/>
            </w:tcBorders>
            <w:noWrap w:val="0"/>
            <w:vAlign w:val="center"/>
          </w:tcPr>
          <w:p w14:paraId="18008AE5">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500</w:t>
            </w:r>
          </w:p>
        </w:tc>
        <w:tc>
          <w:tcPr>
            <w:tcW w:w="665" w:type="pct"/>
            <w:vMerge w:val="restart"/>
            <w:tcBorders>
              <w:tl2br w:val="nil"/>
              <w:tr2bl w:val="nil"/>
            </w:tcBorders>
            <w:noWrap w:val="0"/>
            <w:vAlign w:val="center"/>
          </w:tcPr>
          <w:p w14:paraId="63EBDA59">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1.25</w:t>
            </w:r>
          </w:p>
        </w:tc>
        <w:tc>
          <w:tcPr>
            <w:tcW w:w="558" w:type="pct"/>
            <w:vMerge w:val="restart"/>
            <w:tcBorders>
              <w:tl2br w:val="nil"/>
              <w:tr2bl w:val="nil"/>
            </w:tcBorders>
            <w:noWrap w:val="0"/>
            <w:vAlign w:val="center"/>
          </w:tcPr>
          <w:p w14:paraId="3933AA2E">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达标</w:t>
            </w:r>
          </w:p>
        </w:tc>
      </w:tr>
      <w:tr w14:paraId="5DB7AE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35" w:type="pct"/>
            <w:vMerge w:val="continue"/>
            <w:tcBorders>
              <w:tl2br w:val="nil"/>
              <w:tr2bl w:val="nil"/>
            </w:tcBorders>
            <w:noWrap w:val="0"/>
            <w:vAlign w:val="center"/>
          </w:tcPr>
          <w:p w14:paraId="6078A53F">
            <w:pPr>
              <w:spacing w:line="240" w:lineRule="auto"/>
              <w:ind w:firstLine="0" w:firstLineChars="0"/>
              <w:jc w:val="center"/>
              <w:rPr>
                <w:rFonts w:hint="default" w:ascii="Times New Roman" w:hAnsi="Times New Roman" w:eastAsia="仿宋_GB2312" w:cs="Times New Roman"/>
                <w:color w:val="auto"/>
                <w:sz w:val="18"/>
                <w:szCs w:val="18"/>
              </w:rPr>
            </w:pPr>
          </w:p>
        </w:tc>
        <w:tc>
          <w:tcPr>
            <w:tcW w:w="490" w:type="pct"/>
            <w:vMerge w:val="continue"/>
            <w:tcBorders>
              <w:tl2br w:val="nil"/>
              <w:tr2bl w:val="nil"/>
            </w:tcBorders>
            <w:noWrap w:val="0"/>
            <w:vAlign w:val="center"/>
          </w:tcPr>
          <w:p w14:paraId="67B4E984">
            <w:pPr>
              <w:spacing w:line="240" w:lineRule="auto"/>
              <w:ind w:firstLine="0" w:firstLineChars="0"/>
              <w:jc w:val="center"/>
              <w:rPr>
                <w:rFonts w:hint="default" w:ascii="Times New Roman" w:hAnsi="Times New Roman" w:eastAsia="仿宋_GB2312" w:cs="Times New Roman"/>
                <w:color w:val="auto"/>
                <w:sz w:val="18"/>
                <w:szCs w:val="18"/>
              </w:rPr>
            </w:pPr>
          </w:p>
        </w:tc>
        <w:tc>
          <w:tcPr>
            <w:tcW w:w="1512" w:type="pct"/>
            <w:tcBorders>
              <w:tl2br w:val="nil"/>
              <w:tr2bl w:val="nil"/>
            </w:tcBorders>
            <w:noWrap w:val="0"/>
            <w:vAlign w:val="center"/>
          </w:tcPr>
          <w:p w14:paraId="4EF6D31D">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方案目标值</w:t>
            </w:r>
          </w:p>
        </w:tc>
        <w:tc>
          <w:tcPr>
            <w:tcW w:w="553" w:type="pct"/>
            <w:tcBorders>
              <w:tl2br w:val="nil"/>
              <w:tr2bl w:val="nil"/>
            </w:tcBorders>
            <w:noWrap w:val="0"/>
            <w:vAlign w:val="center"/>
          </w:tcPr>
          <w:p w14:paraId="0D67EEEA">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t/km²</w:t>
            </w:r>
            <w:r>
              <w:rPr>
                <w:rFonts w:hint="default" w:ascii="Times New Roman" w:hAnsi="Times New Roman" w:eastAsia="仿宋_GB2312" w:cs="Times New Roman"/>
                <w:color w:val="auto"/>
                <w:kern w:val="0"/>
                <w:sz w:val="18"/>
                <w:szCs w:val="18"/>
              </w:rPr>
              <w:t>·</w:t>
            </w:r>
            <w:r>
              <w:rPr>
                <w:rFonts w:hint="default" w:ascii="Times New Roman" w:hAnsi="Times New Roman" w:eastAsia="仿宋_GB2312" w:cs="Times New Roman"/>
                <w:color w:val="auto"/>
                <w:sz w:val="18"/>
                <w:szCs w:val="18"/>
              </w:rPr>
              <w:t>a</w:t>
            </w:r>
          </w:p>
        </w:tc>
        <w:tc>
          <w:tcPr>
            <w:tcW w:w="484" w:type="pct"/>
            <w:tcBorders>
              <w:tl2br w:val="nil"/>
              <w:tr2bl w:val="nil"/>
            </w:tcBorders>
            <w:noWrap w:val="0"/>
            <w:vAlign w:val="center"/>
          </w:tcPr>
          <w:p w14:paraId="09CB6F30">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400</w:t>
            </w:r>
          </w:p>
        </w:tc>
        <w:tc>
          <w:tcPr>
            <w:tcW w:w="665" w:type="pct"/>
            <w:vMerge w:val="continue"/>
            <w:tcBorders>
              <w:tl2br w:val="nil"/>
              <w:tr2bl w:val="nil"/>
            </w:tcBorders>
            <w:noWrap w:val="0"/>
            <w:vAlign w:val="center"/>
          </w:tcPr>
          <w:p w14:paraId="300CA28B">
            <w:pPr>
              <w:spacing w:line="240" w:lineRule="auto"/>
              <w:ind w:firstLine="0" w:firstLineChars="0"/>
              <w:jc w:val="center"/>
              <w:rPr>
                <w:rFonts w:hint="default" w:ascii="Times New Roman" w:hAnsi="Times New Roman" w:eastAsia="仿宋_GB2312" w:cs="Times New Roman"/>
                <w:color w:val="auto"/>
                <w:sz w:val="18"/>
                <w:szCs w:val="18"/>
              </w:rPr>
            </w:pPr>
          </w:p>
        </w:tc>
        <w:tc>
          <w:tcPr>
            <w:tcW w:w="558" w:type="pct"/>
            <w:vMerge w:val="continue"/>
            <w:tcBorders>
              <w:tl2br w:val="nil"/>
              <w:tr2bl w:val="nil"/>
            </w:tcBorders>
            <w:noWrap w:val="0"/>
            <w:vAlign w:val="center"/>
          </w:tcPr>
          <w:p w14:paraId="56FA393E">
            <w:pPr>
              <w:spacing w:line="240" w:lineRule="auto"/>
              <w:ind w:firstLine="0" w:firstLineChars="0"/>
              <w:jc w:val="center"/>
              <w:rPr>
                <w:rFonts w:hint="default" w:ascii="Times New Roman" w:hAnsi="Times New Roman" w:eastAsia="仿宋_GB2312" w:cs="Times New Roman"/>
                <w:color w:val="auto"/>
                <w:sz w:val="18"/>
                <w:szCs w:val="18"/>
              </w:rPr>
            </w:pPr>
          </w:p>
        </w:tc>
      </w:tr>
      <w:tr w14:paraId="0F506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35" w:type="pct"/>
            <w:vMerge w:val="restart"/>
            <w:tcBorders>
              <w:tl2br w:val="nil"/>
              <w:tr2bl w:val="nil"/>
            </w:tcBorders>
            <w:noWrap w:val="0"/>
            <w:vAlign w:val="center"/>
          </w:tcPr>
          <w:p w14:paraId="1EE9256E">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渣土防护率</w:t>
            </w:r>
          </w:p>
        </w:tc>
        <w:tc>
          <w:tcPr>
            <w:tcW w:w="490" w:type="pct"/>
            <w:vMerge w:val="restart"/>
            <w:tcBorders>
              <w:tl2br w:val="nil"/>
              <w:tr2bl w:val="nil"/>
            </w:tcBorders>
            <w:noWrap w:val="0"/>
            <w:vAlign w:val="center"/>
          </w:tcPr>
          <w:p w14:paraId="5F831DB5">
            <w:pPr>
              <w:pStyle w:val="28"/>
              <w:snapToGrid w:val="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92%</w:t>
            </w:r>
          </w:p>
        </w:tc>
        <w:tc>
          <w:tcPr>
            <w:tcW w:w="1512" w:type="pct"/>
            <w:tcBorders>
              <w:tl2br w:val="nil"/>
              <w:tr2bl w:val="nil"/>
            </w:tcBorders>
            <w:noWrap w:val="0"/>
            <w:vAlign w:val="center"/>
          </w:tcPr>
          <w:p w14:paraId="2C2DAF1B">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highlight w:val="none"/>
              </w:rPr>
              <w:t>实际</w:t>
            </w:r>
            <w:r>
              <w:rPr>
                <w:rFonts w:hint="default" w:ascii="Times New Roman" w:hAnsi="Times New Roman" w:eastAsia="仿宋_GB2312" w:cs="Times New Roman"/>
                <w:color w:val="auto"/>
                <w:sz w:val="18"/>
                <w:szCs w:val="18"/>
                <w:highlight w:val="none"/>
                <w:lang w:val="en-US" w:eastAsia="zh-CN"/>
              </w:rPr>
              <w:t>拦挡永久弃渣和临时堆土</w:t>
            </w:r>
          </w:p>
        </w:tc>
        <w:tc>
          <w:tcPr>
            <w:tcW w:w="553" w:type="pct"/>
            <w:tcBorders>
              <w:tl2br w:val="nil"/>
              <w:tr2bl w:val="nil"/>
            </w:tcBorders>
            <w:noWrap w:val="0"/>
            <w:vAlign w:val="center"/>
          </w:tcPr>
          <w:p w14:paraId="5779E2B0">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万m³</w:t>
            </w:r>
          </w:p>
        </w:tc>
        <w:tc>
          <w:tcPr>
            <w:tcW w:w="484" w:type="pct"/>
            <w:tcBorders>
              <w:tl2br w:val="nil"/>
              <w:tr2bl w:val="nil"/>
            </w:tcBorders>
            <w:noWrap w:val="0"/>
            <w:vAlign w:val="center"/>
          </w:tcPr>
          <w:p w14:paraId="1F9C3C4B">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0.02</w:t>
            </w:r>
          </w:p>
        </w:tc>
        <w:tc>
          <w:tcPr>
            <w:tcW w:w="665" w:type="pct"/>
            <w:vMerge w:val="restart"/>
            <w:tcBorders>
              <w:tl2br w:val="nil"/>
              <w:tr2bl w:val="nil"/>
            </w:tcBorders>
            <w:noWrap w:val="0"/>
            <w:vAlign w:val="center"/>
          </w:tcPr>
          <w:p w14:paraId="3C12DFFA">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100%</w:t>
            </w:r>
          </w:p>
        </w:tc>
        <w:tc>
          <w:tcPr>
            <w:tcW w:w="558" w:type="pct"/>
            <w:vMerge w:val="restart"/>
            <w:tcBorders>
              <w:tl2br w:val="nil"/>
              <w:tr2bl w:val="nil"/>
            </w:tcBorders>
            <w:noWrap w:val="0"/>
            <w:vAlign w:val="center"/>
          </w:tcPr>
          <w:p w14:paraId="6FC30394">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达标</w:t>
            </w:r>
          </w:p>
        </w:tc>
      </w:tr>
      <w:tr w14:paraId="2E167D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35" w:type="pct"/>
            <w:vMerge w:val="continue"/>
            <w:tcBorders>
              <w:tl2br w:val="nil"/>
              <w:tr2bl w:val="nil"/>
            </w:tcBorders>
            <w:noWrap w:val="0"/>
            <w:vAlign w:val="center"/>
          </w:tcPr>
          <w:p w14:paraId="6F63BCB6">
            <w:pPr>
              <w:spacing w:line="240" w:lineRule="auto"/>
              <w:ind w:firstLine="0" w:firstLineChars="0"/>
              <w:jc w:val="center"/>
              <w:rPr>
                <w:rFonts w:hint="default" w:ascii="Times New Roman" w:hAnsi="Times New Roman" w:eastAsia="仿宋_GB2312" w:cs="Times New Roman"/>
                <w:color w:val="auto"/>
                <w:sz w:val="18"/>
                <w:szCs w:val="18"/>
              </w:rPr>
            </w:pPr>
          </w:p>
        </w:tc>
        <w:tc>
          <w:tcPr>
            <w:tcW w:w="490" w:type="pct"/>
            <w:vMerge w:val="continue"/>
            <w:tcBorders>
              <w:tl2br w:val="nil"/>
              <w:tr2bl w:val="nil"/>
            </w:tcBorders>
            <w:noWrap w:val="0"/>
            <w:vAlign w:val="center"/>
          </w:tcPr>
          <w:p w14:paraId="031785F5">
            <w:pPr>
              <w:spacing w:line="240" w:lineRule="auto"/>
              <w:ind w:firstLine="0" w:firstLineChars="0"/>
              <w:jc w:val="center"/>
              <w:rPr>
                <w:rFonts w:hint="default" w:ascii="Times New Roman" w:hAnsi="Times New Roman" w:eastAsia="仿宋_GB2312" w:cs="Times New Roman"/>
                <w:color w:val="auto"/>
                <w:sz w:val="18"/>
                <w:szCs w:val="18"/>
              </w:rPr>
            </w:pPr>
          </w:p>
        </w:tc>
        <w:tc>
          <w:tcPr>
            <w:tcW w:w="1512" w:type="pct"/>
            <w:tcBorders>
              <w:tl2br w:val="nil"/>
              <w:tr2bl w:val="nil"/>
            </w:tcBorders>
            <w:noWrap w:val="0"/>
            <w:vAlign w:val="center"/>
          </w:tcPr>
          <w:p w14:paraId="3A4F020D">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highlight w:val="none"/>
                <w:lang w:val="en-US" w:eastAsia="zh-CN"/>
              </w:rPr>
              <w:t>永久</w:t>
            </w:r>
            <w:r>
              <w:rPr>
                <w:rFonts w:hint="default" w:ascii="Times New Roman" w:hAnsi="Times New Roman" w:eastAsia="仿宋_GB2312" w:cs="Times New Roman"/>
                <w:color w:val="auto"/>
                <w:sz w:val="18"/>
                <w:szCs w:val="18"/>
                <w:highlight w:val="none"/>
              </w:rPr>
              <w:t>弃渣</w:t>
            </w:r>
            <w:r>
              <w:rPr>
                <w:rFonts w:hint="default" w:ascii="Times New Roman" w:hAnsi="Times New Roman" w:eastAsia="仿宋_GB2312" w:cs="Times New Roman"/>
                <w:color w:val="auto"/>
                <w:sz w:val="18"/>
                <w:szCs w:val="18"/>
                <w:highlight w:val="none"/>
                <w:lang w:val="en-US" w:eastAsia="zh-CN"/>
              </w:rPr>
              <w:t>和临时堆土</w:t>
            </w:r>
          </w:p>
        </w:tc>
        <w:tc>
          <w:tcPr>
            <w:tcW w:w="553" w:type="pct"/>
            <w:tcBorders>
              <w:tl2br w:val="nil"/>
              <w:tr2bl w:val="nil"/>
            </w:tcBorders>
            <w:noWrap w:val="0"/>
            <w:vAlign w:val="center"/>
          </w:tcPr>
          <w:p w14:paraId="7F893C05">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万m³</w:t>
            </w:r>
          </w:p>
        </w:tc>
        <w:tc>
          <w:tcPr>
            <w:tcW w:w="484" w:type="pct"/>
            <w:tcBorders>
              <w:tl2br w:val="nil"/>
              <w:tr2bl w:val="nil"/>
            </w:tcBorders>
            <w:noWrap w:val="0"/>
            <w:vAlign w:val="center"/>
          </w:tcPr>
          <w:p w14:paraId="60075086">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0.02</w:t>
            </w:r>
          </w:p>
        </w:tc>
        <w:tc>
          <w:tcPr>
            <w:tcW w:w="665" w:type="pct"/>
            <w:vMerge w:val="continue"/>
            <w:tcBorders>
              <w:tl2br w:val="nil"/>
              <w:tr2bl w:val="nil"/>
            </w:tcBorders>
            <w:noWrap w:val="0"/>
            <w:vAlign w:val="center"/>
          </w:tcPr>
          <w:p w14:paraId="4BDB6C90">
            <w:pPr>
              <w:spacing w:line="240" w:lineRule="auto"/>
              <w:ind w:firstLine="0" w:firstLineChars="0"/>
              <w:jc w:val="center"/>
              <w:rPr>
                <w:rFonts w:hint="default" w:ascii="Times New Roman" w:hAnsi="Times New Roman" w:eastAsia="仿宋_GB2312" w:cs="Times New Roman"/>
                <w:color w:val="auto"/>
                <w:sz w:val="18"/>
                <w:szCs w:val="18"/>
              </w:rPr>
            </w:pPr>
          </w:p>
        </w:tc>
        <w:tc>
          <w:tcPr>
            <w:tcW w:w="558" w:type="pct"/>
            <w:vMerge w:val="continue"/>
            <w:tcBorders>
              <w:tl2br w:val="nil"/>
              <w:tr2bl w:val="nil"/>
            </w:tcBorders>
            <w:noWrap w:val="0"/>
            <w:vAlign w:val="center"/>
          </w:tcPr>
          <w:p w14:paraId="7D1E6AC4">
            <w:pPr>
              <w:spacing w:line="240" w:lineRule="auto"/>
              <w:ind w:firstLine="0" w:firstLineChars="0"/>
              <w:jc w:val="center"/>
              <w:rPr>
                <w:rFonts w:hint="default" w:ascii="Times New Roman" w:hAnsi="Times New Roman" w:eastAsia="仿宋_GB2312" w:cs="Times New Roman"/>
                <w:color w:val="auto"/>
                <w:sz w:val="18"/>
                <w:szCs w:val="18"/>
              </w:rPr>
            </w:pPr>
          </w:p>
        </w:tc>
      </w:tr>
      <w:tr w14:paraId="5D214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35" w:type="pct"/>
            <w:vMerge w:val="restart"/>
            <w:tcBorders>
              <w:tl2br w:val="nil"/>
              <w:tr2bl w:val="nil"/>
            </w:tcBorders>
            <w:noWrap w:val="0"/>
            <w:vAlign w:val="center"/>
          </w:tcPr>
          <w:p w14:paraId="3F94EF60">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表土保护率</w:t>
            </w:r>
          </w:p>
        </w:tc>
        <w:tc>
          <w:tcPr>
            <w:tcW w:w="490" w:type="pct"/>
            <w:vMerge w:val="restart"/>
            <w:tcBorders>
              <w:tl2br w:val="nil"/>
              <w:tr2bl w:val="nil"/>
            </w:tcBorders>
            <w:noWrap w:val="0"/>
            <w:vAlign w:val="center"/>
          </w:tcPr>
          <w:p w14:paraId="1058A49C">
            <w:pPr>
              <w:pStyle w:val="28"/>
              <w:snapToGrid w:val="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92%</w:t>
            </w:r>
          </w:p>
        </w:tc>
        <w:tc>
          <w:tcPr>
            <w:tcW w:w="1512" w:type="pct"/>
            <w:tcBorders>
              <w:tl2br w:val="nil"/>
              <w:tr2bl w:val="nil"/>
            </w:tcBorders>
            <w:noWrap w:val="0"/>
            <w:vAlign w:val="center"/>
          </w:tcPr>
          <w:p w14:paraId="4648A36C">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保护表土数量</w:t>
            </w:r>
          </w:p>
        </w:tc>
        <w:tc>
          <w:tcPr>
            <w:tcW w:w="553" w:type="pct"/>
            <w:tcBorders>
              <w:tl2br w:val="nil"/>
              <w:tr2bl w:val="nil"/>
            </w:tcBorders>
            <w:noWrap w:val="0"/>
            <w:vAlign w:val="center"/>
          </w:tcPr>
          <w:p w14:paraId="08B0609A">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万m³</w:t>
            </w:r>
          </w:p>
        </w:tc>
        <w:tc>
          <w:tcPr>
            <w:tcW w:w="484" w:type="pct"/>
            <w:tcBorders>
              <w:tl2br w:val="nil"/>
              <w:tr2bl w:val="nil"/>
            </w:tcBorders>
            <w:noWrap w:val="0"/>
            <w:vAlign w:val="center"/>
          </w:tcPr>
          <w:p w14:paraId="37034F24">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0.02</w:t>
            </w:r>
          </w:p>
        </w:tc>
        <w:tc>
          <w:tcPr>
            <w:tcW w:w="665" w:type="pct"/>
            <w:vMerge w:val="restart"/>
            <w:tcBorders>
              <w:tl2br w:val="nil"/>
              <w:tr2bl w:val="nil"/>
            </w:tcBorders>
            <w:noWrap w:val="0"/>
            <w:vAlign w:val="center"/>
          </w:tcPr>
          <w:p w14:paraId="262F999D">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100%</w:t>
            </w:r>
          </w:p>
        </w:tc>
        <w:tc>
          <w:tcPr>
            <w:tcW w:w="558" w:type="pct"/>
            <w:vMerge w:val="restart"/>
            <w:tcBorders>
              <w:tl2br w:val="nil"/>
              <w:tr2bl w:val="nil"/>
            </w:tcBorders>
            <w:noWrap w:val="0"/>
            <w:vAlign w:val="center"/>
          </w:tcPr>
          <w:p w14:paraId="112114E5">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达标</w:t>
            </w:r>
          </w:p>
        </w:tc>
      </w:tr>
      <w:tr w14:paraId="2AF4BC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35" w:type="pct"/>
            <w:vMerge w:val="continue"/>
            <w:tcBorders>
              <w:tl2br w:val="nil"/>
              <w:tr2bl w:val="nil"/>
            </w:tcBorders>
            <w:noWrap w:val="0"/>
            <w:vAlign w:val="center"/>
          </w:tcPr>
          <w:p w14:paraId="1B68A16B">
            <w:pPr>
              <w:spacing w:line="240" w:lineRule="auto"/>
              <w:ind w:firstLine="0" w:firstLineChars="0"/>
              <w:jc w:val="center"/>
              <w:rPr>
                <w:rFonts w:hint="default" w:ascii="Times New Roman" w:hAnsi="Times New Roman" w:eastAsia="仿宋_GB2312" w:cs="Times New Roman"/>
                <w:color w:val="auto"/>
                <w:sz w:val="18"/>
                <w:szCs w:val="18"/>
              </w:rPr>
            </w:pPr>
          </w:p>
        </w:tc>
        <w:tc>
          <w:tcPr>
            <w:tcW w:w="490" w:type="pct"/>
            <w:vMerge w:val="continue"/>
            <w:tcBorders>
              <w:tl2br w:val="nil"/>
              <w:tr2bl w:val="nil"/>
            </w:tcBorders>
            <w:noWrap w:val="0"/>
            <w:vAlign w:val="center"/>
          </w:tcPr>
          <w:p w14:paraId="7092A3A8">
            <w:pPr>
              <w:spacing w:line="240" w:lineRule="auto"/>
              <w:ind w:firstLine="0" w:firstLineChars="0"/>
              <w:jc w:val="center"/>
              <w:rPr>
                <w:rFonts w:hint="default" w:ascii="Times New Roman" w:hAnsi="Times New Roman" w:eastAsia="仿宋_GB2312" w:cs="Times New Roman"/>
                <w:color w:val="auto"/>
                <w:sz w:val="18"/>
                <w:szCs w:val="18"/>
              </w:rPr>
            </w:pPr>
          </w:p>
        </w:tc>
        <w:tc>
          <w:tcPr>
            <w:tcW w:w="1512" w:type="pct"/>
            <w:tcBorders>
              <w:tl2br w:val="nil"/>
              <w:tr2bl w:val="nil"/>
            </w:tcBorders>
            <w:noWrap w:val="0"/>
            <w:vAlign w:val="center"/>
          </w:tcPr>
          <w:p w14:paraId="5DF38C49">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可剥离表土总量</w:t>
            </w:r>
          </w:p>
        </w:tc>
        <w:tc>
          <w:tcPr>
            <w:tcW w:w="553" w:type="pct"/>
            <w:tcBorders>
              <w:tl2br w:val="nil"/>
              <w:tr2bl w:val="nil"/>
            </w:tcBorders>
            <w:noWrap w:val="0"/>
            <w:vAlign w:val="center"/>
          </w:tcPr>
          <w:p w14:paraId="126F17B9">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万m³</w:t>
            </w:r>
          </w:p>
        </w:tc>
        <w:tc>
          <w:tcPr>
            <w:tcW w:w="484" w:type="pct"/>
            <w:tcBorders>
              <w:tl2br w:val="nil"/>
              <w:tr2bl w:val="nil"/>
            </w:tcBorders>
            <w:noWrap w:val="0"/>
            <w:vAlign w:val="center"/>
          </w:tcPr>
          <w:p w14:paraId="6AFF739D">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0.02</w:t>
            </w:r>
          </w:p>
        </w:tc>
        <w:tc>
          <w:tcPr>
            <w:tcW w:w="665" w:type="pct"/>
            <w:vMerge w:val="continue"/>
            <w:tcBorders>
              <w:tl2br w:val="nil"/>
              <w:tr2bl w:val="nil"/>
            </w:tcBorders>
            <w:noWrap w:val="0"/>
            <w:vAlign w:val="center"/>
          </w:tcPr>
          <w:p w14:paraId="4FC50743">
            <w:pPr>
              <w:spacing w:line="240" w:lineRule="auto"/>
              <w:ind w:firstLine="0" w:firstLineChars="0"/>
              <w:jc w:val="center"/>
              <w:rPr>
                <w:rFonts w:hint="default" w:ascii="Times New Roman" w:hAnsi="Times New Roman" w:eastAsia="仿宋_GB2312" w:cs="Times New Roman"/>
                <w:color w:val="auto"/>
                <w:sz w:val="18"/>
                <w:szCs w:val="18"/>
              </w:rPr>
            </w:pPr>
          </w:p>
        </w:tc>
        <w:tc>
          <w:tcPr>
            <w:tcW w:w="558" w:type="pct"/>
            <w:vMerge w:val="continue"/>
            <w:tcBorders>
              <w:tl2br w:val="nil"/>
              <w:tr2bl w:val="nil"/>
            </w:tcBorders>
            <w:noWrap w:val="0"/>
            <w:vAlign w:val="center"/>
          </w:tcPr>
          <w:p w14:paraId="5AF459CA">
            <w:pPr>
              <w:spacing w:line="240" w:lineRule="auto"/>
              <w:ind w:firstLine="0" w:firstLineChars="0"/>
              <w:jc w:val="center"/>
              <w:rPr>
                <w:rFonts w:hint="default" w:ascii="Times New Roman" w:hAnsi="Times New Roman" w:eastAsia="仿宋_GB2312" w:cs="Times New Roman"/>
                <w:color w:val="auto"/>
                <w:sz w:val="18"/>
                <w:szCs w:val="18"/>
              </w:rPr>
            </w:pPr>
          </w:p>
        </w:tc>
      </w:tr>
      <w:tr w14:paraId="48332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35" w:type="pct"/>
            <w:vMerge w:val="restart"/>
            <w:tcBorders>
              <w:tl2br w:val="nil"/>
              <w:tr2bl w:val="nil"/>
            </w:tcBorders>
            <w:noWrap w:val="0"/>
            <w:vAlign w:val="center"/>
          </w:tcPr>
          <w:p w14:paraId="1711F5AF">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林草植被恢复率</w:t>
            </w:r>
          </w:p>
        </w:tc>
        <w:tc>
          <w:tcPr>
            <w:tcW w:w="490" w:type="pct"/>
            <w:vMerge w:val="restart"/>
            <w:tcBorders>
              <w:tl2br w:val="nil"/>
              <w:tr2bl w:val="nil"/>
            </w:tcBorders>
            <w:noWrap w:val="0"/>
            <w:vAlign w:val="center"/>
          </w:tcPr>
          <w:p w14:paraId="78D2D5F2">
            <w:pPr>
              <w:pStyle w:val="28"/>
              <w:snapToGrid w:val="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97%</w:t>
            </w:r>
          </w:p>
        </w:tc>
        <w:tc>
          <w:tcPr>
            <w:tcW w:w="1512" w:type="pct"/>
            <w:tcBorders>
              <w:tl2br w:val="nil"/>
              <w:tr2bl w:val="nil"/>
            </w:tcBorders>
            <w:noWrap w:val="0"/>
            <w:vAlign w:val="center"/>
          </w:tcPr>
          <w:p w14:paraId="698E2898">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林草植被面积</w:t>
            </w:r>
          </w:p>
        </w:tc>
        <w:tc>
          <w:tcPr>
            <w:tcW w:w="553" w:type="pct"/>
            <w:tcBorders>
              <w:tl2br w:val="nil"/>
              <w:tr2bl w:val="nil"/>
            </w:tcBorders>
            <w:noWrap w:val="0"/>
            <w:vAlign w:val="center"/>
          </w:tcPr>
          <w:p w14:paraId="701CB064">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hm²</w:t>
            </w:r>
          </w:p>
        </w:tc>
        <w:tc>
          <w:tcPr>
            <w:tcW w:w="484" w:type="pct"/>
            <w:tcBorders>
              <w:tl2br w:val="nil"/>
              <w:tr2bl w:val="nil"/>
            </w:tcBorders>
            <w:noWrap w:val="0"/>
            <w:vAlign w:val="center"/>
          </w:tcPr>
          <w:p w14:paraId="55AF47AE">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0.12</w:t>
            </w:r>
          </w:p>
        </w:tc>
        <w:tc>
          <w:tcPr>
            <w:tcW w:w="665" w:type="pct"/>
            <w:vMerge w:val="restart"/>
            <w:tcBorders>
              <w:tl2br w:val="nil"/>
              <w:tr2bl w:val="nil"/>
            </w:tcBorders>
            <w:noWrap w:val="0"/>
            <w:vAlign w:val="center"/>
          </w:tcPr>
          <w:p w14:paraId="32D62622">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100%</w:t>
            </w:r>
          </w:p>
        </w:tc>
        <w:tc>
          <w:tcPr>
            <w:tcW w:w="558" w:type="pct"/>
            <w:vMerge w:val="restart"/>
            <w:tcBorders>
              <w:tl2br w:val="nil"/>
              <w:tr2bl w:val="nil"/>
            </w:tcBorders>
            <w:noWrap w:val="0"/>
            <w:vAlign w:val="center"/>
          </w:tcPr>
          <w:p w14:paraId="6A34F077">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达标</w:t>
            </w:r>
          </w:p>
        </w:tc>
      </w:tr>
      <w:tr w14:paraId="498821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35" w:type="pct"/>
            <w:vMerge w:val="continue"/>
            <w:tcBorders>
              <w:tl2br w:val="nil"/>
              <w:tr2bl w:val="nil"/>
            </w:tcBorders>
            <w:noWrap w:val="0"/>
            <w:vAlign w:val="center"/>
          </w:tcPr>
          <w:p w14:paraId="44297615">
            <w:pPr>
              <w:spacing w:line="240" w:lineRule="auto"/>
              <w:ind w:firstLine="0" w:firstLineChars="0"/>
              <w:jc w:val="center"/>
              <w:rPr>
                <w:rFonts w:hint="default" w:ascii="Times New Roman" w:hAnsi="Times New Roman" w:eastAsia="仿宋_GB2312" w:cs="Times New Roman"/>
                <w:color w:val="auto"/>
                <w:sz w:val="18"/>
                <w:szCs w:val="18"/>
              </w:rPr>
            </w:pPr>
          </w:p>
        </w:tc>
        <w:tc>
          <w:tcPr>
            <w:tcW w:w="490" w:type="pct"/>
            <w:vMerge w:val="continue"/>
            <w:tcBorders>
              <w:tl2br w:val="nil"/>
              <w:tr2bl w:val="nil"/>
            </w:tcBorders>
            <w:noWrap w:val="0"/>
            <w:vAlign w:val="center"/>
          </w:tcPr>
          <w:p w14:paraId="723975D6">
            <w:pPr>
              <w:spacing w:line="240" w:lineRule="auto"/>
              <w:ind w:firstLine="0" w:firstLineChars="0"/>
              <w:jc w:val="center"/>
              <w:rPr>
                <w:rFonts w:hint="default" w:ascii="Times New Roman" w:hAnsi="Times New Roman" w:eastAsia="仿宋_GB2312" w:cs="Times New Roman"/>
                <w:color w:val="auto"/>
                <w:sz w:val="18"/>
                <w:szCs w:val="18"/>
              </w:rPr>
            </w:pPr>
          </w:p>
        </w:tc>
        <w:tc>
          <w:tcPr>
            <w:tcW w:w="1512" w:type="pct"/>
            <w:tcBorders>
              <w:tl2br w:val="nil"/>
              <w:tr2bl w:val="nil"/>
            </w:tcBorders>
            <w:noWrap w:val="0"/>
            <w:vAlign w:val="center"/>
          </w:tcPr>
          <w:p w14:paraId="7EE01779">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可绿化面积</w:t>
            </w:r>
          </w:p>
        </w:tc>
        <w:tc>
          <w:tcPr>
            <w:tcW w:w="553" w:type="pct"/>
            <w:tcBorders>
              <w:tl2br w:val="nil"/>
              <w:tr2bl w:val="nil"/>
            </w:tcBorders>
            <w:noWrap w:val="0"/>
            <w:vAlign w:val="center"/>
          </w:tcPr>
          <w:p w14:paraId="6408340B">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hm²</w:t>
            </w:r>
          </w:p>
        </w:tc>
        <w:tc>
          <w:tcPr>
            <w:tcW w:w="484" w:type="pct"/>
            <w:tcBorders>
              <w:tl2br w:val="nil"/>
              <w:tr2bl w:val="nil"/>
            </w:tcBorders>
            <w:noWrap w:val="0"/>
            <w:vAlign w:val="center"/>
          </w:tcPr>
          <w:p w14:paraId="0A19F90A">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0.12</w:t>
            </w:r>
          </w:p>
        </w:tc>
        <w:tc>
          <w:tcPr>
            <w:tcW w:w="665" w:type="pct"/>
            <w:vMerge w:val="continue"/>
            <w:tcBorders>
              <w:tl2br w:val="nil"/>
              <w:tr2bl w:val="nil"/>
            </w:tcBorders>
            <w:noWrap w:val="0"/>
            <w:vAlign w:val="center"/>
          </w:tcPr>
          <w:p w14:paraId="0E80D51A">
            <w:pPr>
              <w:spacing w:line="240" w:lineRule="auto"/>
              <w:ind w:firstLine="0" w:firstLineChars="0"/>
              <w:jc w:val="center"/>
              <w:rPr>
                <w:rFonts w:hint="default" w:ascii="Times New Roman" w:hAnsi="Times New Roman" w:eastAsia="仿宋_GB2312" w:cs="Times New Roman"/>
                <w:color w:val="auto"/>
                <w:sz w:val="18"/>
                <w:szCs w:val="18"/>
              </w:rPr>
            </w:pPr>
          </w:p>
        </w:tc>
        <w:tc>
          <w:tcPr>
            <w:tcW w:w="558" w:type="pct"/>
            <w:vMerge w:val="continue"/>
            <w:tcBorders>
              <w:tl2br w:val="nil"/>
              <w:tr2bl w:val="nil"/>
            </w:tcBorders>
            <w:noWrap w:val="0"/>
            <w:vAlign w:val="center"/>
          </w:tcPr>
          <w:p w14:paraId="661FB002">
            <w:pPr>
              <w:spacing w:line="240" w:lineRule="auto"/>
              <w:ind w:firstLine="0" w:firstLineChars="0"/>
              <w:jc w:val="center"/>
              <w:rPr>
                <w:rFonts w:hint="default" w:ascii="Times New Roman" w:hAnsi="Times New Roman" w:eastAsia="仿宋_GB2312" w:cs="Times New Roman"/>
                <w:color w:val="auto"/>
                <w:sz w:val="18"/>
                <w:szCs w:val="18"/>
              </w:rPr>
            </w:pPr>
          </w:p>
        </w:tc>
      </w:tr>
      <w:tr w14:paraId="2A99ED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35" w:type="pct"/>
            <w:vMerge w:val="restart"/>
            <w:tcBorders>
              <w:tl2br w:val="nil"/>
              <w:tr2bl w:val="nil"/>
            </w:tcBorders>
            <w:noWrap w:val="0"/>
            <w:vAlign w:val="center"/>
          </w:tcPr>
          <w:p w14:paraId="0DE01FE9">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林草覆盖率</w:t>
            </w:r>
          </w:p>
        </w:tc>
        <w:tc>
          <w:tcPr>
            <w:tcW w:w="490" w:type="pct"/>
            <w:vMerge w:val="restart"/>
            <w:tcBorders>
              <w:tl2br w:val="nil"/>
              <w:tr2bl w:val="nil"/>
            </w:tcBorders>
            <w:noWrap w:val="0"/>
            <w:vAlign w:val="center"/>
          </w:tcPr>
          <w:p w14:paraId="51F3D319">
            <w:pPr>
              <w:pStyle w:val="28"/>
              <w:snapToGrid w:val="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25%</w:t>
            </w:r>
          </w:p>
        </w:tc>
        <w:tc>
          <w:tcPr>
            <w:tcW w:w="1512" w:type="pct"/>
            <w:tcBorders>
              <w:tl2br w:val="nil"/>
              <w:tr2bl w:val="nil"/>
            </w:tcBorders>
            <w:noWrap w:val="0"/>
            <w:vAlign w:val="center"/>
          </w:tcPr>
          <w:p w14:paraId="48E18794">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林草总面积</w:t>
            </w:r>
          </w:p>
        </w:tc>
        <w:tc>
          <w:tcPr>
            <w:tcW w:w="553" w:type="pct"/>
            <w:tcBorders>
              <w:tl2br w:val="nil"/>
              <w:tr2bl w:val="nil"/>
            </w:tcBorders>
            <w:noWrap w:val="0"/>
            <w:vAlign w:val="center"/>
          </w:tcPr>
          <w:p w14:paraId="454F3690">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h</w:t>
            </w:r>
            <w:r>
              <w:rPr>
                <w:rFonts w:hint="default" w:ascii="Times New Roman" w:hAnsi="Times New Roman" w:eastAsia="仿宋_GB2312" w:cs="Times New Roman"/>
                <w:color w:val="auto"/>
                <w:sz w:val="18"/>
                <w:szCs w:val="18"/>
              </w:rPr>
              <w:t>m²</w:t>
            </w:r>
          </w:p>
        </w:tc>
        <w:tc>
          <w:tcPr>
            <w:tcW w:w="484" w:type="pct"/>
            <w:tcBorders>
              <w:tl2br w:val="nil"/>
              <w:tr2bl w:val="nil"/>
            </w:tcBorders>
            <w:noWrap w:val="0"/>
            <w:vAlign w:val="center"/>
          </w:tcPr>
          <w:p w14:paraId="25E77F60">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0.12</w:t>
            </w:r>
          </w:p>
        </w:tc>
        <w:tc>
          <w:tcPr>
            <w:tcW w:w="665" w:type="pct"/>
            <w:vMerge w:val="restart"/>
            <w:tcBorders>
              <w:tl2br w:val="nil"/>
              <w:tr2bl w:val="nil"/>
            </w:tcBorders>
            <w:noWrap w:val="0"/>
            <w:vAlign w:val="center"/>
          </w:tcPr>
          <w:p w14:paraId="507E719D">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36.36%</w:t>
            </w:r>
          </w:p>
        </w:tc>
        <w:tc>
          <w:tcPr>
            <w:tcW w:w="558" w:type="pct"/>
            <w:vMerge w:val="restart"/>
            <w:tcBorders>
              <w:tl2br w:val="nil"/>
              <w:tr2bl w:val="nil"/>
            </w:tcBorders>
            <w:noWrap w:val="0"/>
            <w:vAlign w:val="center"/>
          </w:tcPr>
          <w:p w14:paraId="3A5518A8">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达标</w:t>
            </w:r>
          </w:p>
        </w:tc>
      </w:tr>
      <w:tr w14:paraId="5B7FDC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35" w:type="pct"/>
            <w:vMerge w:val="continue"/>
            <w:tcBorders>
              <w:tl2br w:val="nil"/>
              <w:tr2bl w:val="nil"/>
            </w:tcBorders>
            <w:noWrap w:val="0"/>
            <w:vAlign w:val="center"/>
          </w:tcPr>
          <w:p w14:paraId="3E56D1E2">
            <w:pPr>
              <w:spacing w:line="240" w:lineRule="auto"/>
              <w:ind w:firstLine="0" w:firstLineChars="0"/>
              <w:jc w:val="center"/>
              <w:rPr>
                <w:rFonts w:hint="default" w:ascii="Times New Roman" w:hAnsi="Times New Roman" w:eastAsia="仿宋_GB2312" w:cs="Times New Roman"/>
                <w:color w:val="auto"/>
                <w:sz w:val="18"/>
                <w:szCs w:val="18"/>
              </w:rPr>
            </w:pPr>
          </w:p>
        </w:tc>
        <w:tc>
          <w:tcPr>
            <w:tcW w:w="490" w:type="pct"/>
            <w:vMerge w:val="continue"/>
            <w:tcBorders>
              <w:tl2br w:val="nil"/>
              <w:tr2bl w:val="nil"/>
            </w:tcBorders>
            <w:noWrap w:val="0"/>
            <w:vAlign w:val="center"/>
          </w:tcPr>
          <w:p w14:paraId="0E81BC2F">
            <w:pPr>
              <w:spacing w:line="240" w:lineRule="auto"/>
              <w:ind w:firstLine="0" w:firstLineChars="0"/>
              <w:jc w:val="center"/>
              <w:rPr>
                <w:rFonts w:hint="default" w:ascii="Times New Roman" w:hAnsi="Times New Roman" w:eastAsia="仿宋_GB2312" w:cs="Times New Roman"/>
                <w:color w:val="auto"/>
                <w:sz w:val="18"/>
                <w:szCs w:val="18"/>
              </w:rPr>
            </w:pPr>
          </w:p>
        </w:tc>
        <w:tc>
          <w:tcPr>
            <w:tcW w:w="1512" w:type="pct"/>
            <w:tcBorders>
              <w:tl2br w:val="nil"/>
              <w:tr2bl w:val="nil"/>
            </w:tcBorders>
            <w:noWrap w:val="0"/>
            <w:vAlign w:val="center"/>
          </w:tcPr>
          <w:p w14:paraId="22CA9C24">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项目建设区面积</w:t>
            </w:r>
          </w:p>
        </w:tc>
        <w:tc>
          <w:tcPr>
            <w:tcW w:w="553" w:type="pct"/>
            <w:tcBorders>
              <w:tl2br w:val="nil"/>
              <w:tr2bl w:val="nil"/>
            </w:tcBorders>
            <w:noWrap w:val="0"/>
            <w:vAlign w:val="center"/>
          </w:tcPr>
          <w:p w14:paraId="2EE970F3">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h</w:t>
            </w:r>
            <w:r>
              <w:rPr>
                <w:rFonts w:hint="default" w:ascii="Times New Roman" w:hAnsi="Times New Roman" w:eastAsia="仿宋_GB2312" w:cs="Times New Roman"/>
                <w:color w:val="auto"/>
                <w:sz w:val="18"/>
                <w:szCs w:val="18"/>
              </w:rPr>
              <w:t>m²</w:t>
            </w:r>
          </w:p>
        </w:tc>
        <w:tc>
          <w:tcPr>
            <w:tcW w:w="484" w:type="pct"/>
            <w:tcBorders>
              <w:tl2br w:val="nil"/>
              <w:tr2bl w:val="nil"/>
            </w:tcBorders>
            <w:noWrap w:val="0"/>
            <w:vAlign w:val="center"/>
          </w:tcPr>
          <w:p w14:paraId="467AF038">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0.33</w:t>
            </w:r>
          </w:p>
        </w:tc>
        <w:tc>
          <w:tcPr>
            <w:tcW w:w="665" w:type="pct"/>
            <w:vMerge w:val="continue"/>
            <w:tcBorders>
              <w:tl2br w:val="nil"/>
              <w:tr2bl w:val="nil"/>
            </w:tcBorders>
            <w:noWrap w:val="0"/>
            <w:vAlign w:val="center"/>
          </w:tcPr>
          <w:p w14:paraId="46EA3329">
            <w:pPr>
              <w:spacing w:line="240" w:lineRule="auto"/>
              <w:ind w:firstLine="0" w:firstLineChars="0"/>
              <w:jc w:val="center"/>
              <w:rPr>
                <w:rFonts w:hint="default" w:ascii="Times New Roman" w:hAnsi="Times New Roman" w:eastAsia="仿宋_GB2312" w:cs="Times New Roman"/>
                <w:color w:val="auto"/>
                <w:sz w:val="18"/>
                <w:szCs w:val="18"/>
              </w:rPr>
            </w:pPr>
          </w:p>
        </w:tc>
        <w:tc>
          <w:tcPr>
            <w:tcW w:w="558" w:type="pct"/>
            <w:vMerge w:val="continue"/>
            <w:tcBorders>
              <w:tl2br w:val="nil"/>
              <w:tr2bl w:val="nil"/>
            </w:tcBorders>
            <w:noWrap w:val="0"/>
            <w:vAlign w:val="center"/>
          </w:tcPr>
          <w:p w14:paraId="12FAD56C">
            <w:pPr>
              <w:spacing w:line="240" w:lineRule="auto"/>
              <w:ind w:firstLine="0" w:firstLineChars="0"/>
              <w:jc w:val="center"/>
              <w:rPr>
                <w:rFonts w:hint="default" w:ascii="Times New Roman" w:hAnsi="Times New Roman" w:eastAsia="仿宋_GB2312" w:cs="Times New Roman"/>
                <w:color w:val="auto"/>
                <w:sz w:val="18"/>
                <w:szCs w:val="18"/>
              </w:rPr>
            </w:pPr>
          </w:p>
        </w:tc>
      </w:tr>
    </w:tbl>
    <w:p w14:paraId="67D8153D">
      <w:pPr>
        <w:spacing w:line="360" w:lineRule="auto"/>
        <w:ind w:firstLine="480" w:firstLineChars="200"/>
        <w:outlineLvl w:val="9"/>
        <w:rPr>
          <w:rFonts w:hint="default" w:ascii="Times New Roman" w:hAnsi="Times New Roman" w:eastAsia="仿宋_GB2312" w:cs="Times New Roman"/>
          <w:color w:val="auto"/>
          <w:sz w:val="24"/>
          <w:lang w:bidi="ar"/>
        </w:rPr>
      </w:pPr>
      <w:bookmarkStart w:id="188" w:name="_Toc10857"/>
      <w:bookmarkStart w:id="189" w:name="_Toc5384"/>
      <w:bookmarkStart w:id="190" w:name="_Toc30612"/>
      <w:r>
        <w:rPr>
          <w:rFonts w:hint="default" w:ascii="Times New Roman" w:hAnsi="Times New Roman" w:eastAsia="仿宋_GB2312" w:cs="Times New Roman"/>
          <w:color w:val="auto"/>
          <w:sz w:val="24"/>
          <w:lang w:bidi="ar"/>
        </w:rPr>
        <w:t>由上述各项计算可以看出，通过水土保持措施治理后，本项目水土流失治理度、土壤流失控制比、渣土防护率、</w:t>
      </w:r>
      <w:r>
        <w:rPr>
          <w:rFonts w:hint="default" w:ascii="Times New Roman" w:hAnsi="Times New Roman" w:eastAsia="仿宋_GB2312" w:cs="Times New Roman"/>
          <w:color w:val="auto"/>
          <w:sz w:val="24"/>
          <w:lang w:eastAsia="zh-CN" w:bidi="ar"/>
        </w:rPr>
        <w:t>表土保护率、</w:t>
      </w:r>
      <w:r>
        <w:rPr>
          <w:rFonts w:hint="default" w:ascii="Times New Roman" w:hAnsi="Times New Roman" w:eastAsia="仿宋_GB2312" w:cs="Times New Roman"/>
          <w:color w:val="auto"/>
          <w:sz w:val="24"/>
          <w:lang w:bidi="ar"/>
        </w:rPr>
        <w:t>林草植被恢复率</w:t>
      </w:r>
      <w:r>
        <w:rPr>
          <w:rFonts w:hint="default" w:ascii="Times New Roman" w:hAnsi="Times New Roman" w:eastAsia="仿宋_GB2312" w:cs="Times New Roman"/>
          <w:color w:val="auto"/>
          <w:sz w:val="24"/>
          <w:lang w:eastAsia="zh-CN" w:bidi="ar"/>
        </w:rPr>
        <w:t>、</w:t>
      </w:r>
      <w:r>
        <w:rPr>
          <w:rFonts w:hint="default" w:ascii="Times New Roman" w:hAnsi="Times New Roman" w:eastAsia="仿宋_GB2312" w:cs="Times New Roman"/>
          <w:color w:val="auto"/>
          <w:sz w:val="24"/>
          <w:lang w:val="en-US" w:eastAsia="zh-CN" w:bidi="ar"/>
        </w:rPr>
        <w:t>林草覆盖率</w:t>
      </w:r>
      <w:r>
        <w:rPr>
          <w:rFonts w:hint="default" w:ascii="Times New Roman" w:hAnsi="Times New Roman" w:eastAsia="仿宋_GB2312" w:cs="Times New Roman"/>
          <w:color w:val="auto"/>
          <w:sz w:val="24"/>
          <w:lang w:bidi="ar"/>
        </w:rPr>
        <w:t>均能够达到</w:t>
      </w:r>
      <w:r>
        <w:rPr>
          <w:rFonts w:hint="default" w:ascii="Times New Roman" w:hAnsi="Times New Roman" w:eastAsia="仿宋_GB2312" w:cs="Times New Roman"/>
          <w:bCs/>
          <w:color w:val="auto"/>
          <w:sz w:val="24"/>
          <w:lang w:val="zh-CN" w:bidi="ar"/>
        </w:rPr>
        <w:t>西南紫色土区水土流失防治指标一级标准，项目建设合理可行。</w:t>
      </w:r>
    </w:p>
    <w:p w14:paraId="559D05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仿宋_GB2312" w:cs="Times New Roman"/>
          <w:sz w:val="24"/>
          <w:lang w:bidi="ar"/>
        </w:rPr>
      </w:pPr>
      <w:r>
        <w:rPr>
          <w:rFonts w:hint="default" w:ascii="Times New Roman" w:hAnsi="Times New Roman" w:eastAsia="仿宋_GB2312" w:cs="Times New Roman"/>
          <w:sz w:val="24"/>
          <w:lang w:bidi="ar"/>
        </w:rPr>
        <w:t>项目区土壤侵蚀模数背景值为</w:t>
      </w:r>
      <w:r>
        <w:rPr>
          <w:rFonts w:hint="default" w:ascii="Times New Roman" w:hAnsi="Times New Roman" w:eastAsia="仿宋_GB2312" w:cs="Times New Roman"/>
          <w:sz w:val="24"/>
          <w:lang w:val="en-US" w:eastAsia="zh-CN" w:bidi="ar"/>
        </w:rPr>
        <w:t>850</w:t>
      </w:r>
      <w:r>
        <w:rPr>
          <w:rFonts w:hint="default" w:ascii="Times New Roman" w:hAnsi="Times New Roman" w:eastAsia="仿宋_GB2312" w:cs="Times New Roman"/>
          <w:sz w:val="24"/>
          <w:lang w:bidi="ar"/>
        </w:rPr>
        <w:t>t/km²·a，通过采取各种水土保持措施治理后，项目区土壤侵蚀模数平均值达到</w:t>
      </w:r>
      <w:r>
        <w:rPr>
          <w:rFonts w:hint="default" w:ascii="Times New Roman" w:hAnsi="Times New Roman" w:eastAsia="仿宋_GB2312" w:cs="Times New Roman"/>
          <w:sz w:val="24"/>
          <w:lang w:val="en-US" w:eastAsia="zh-CN" w:bidi="ar"/>
        </w:rPr>
        <w:t>400</w:t>
      </w:r>
      <w:r>
        <w:rPr>
          <w:rFonts w:hint="default" w:ascii="Times New Roman" w:hAnsi="Times New Roman" w:eastAsia="仿宋_GB2312" w:cs="Times New Roman"/>
          <w:sz w:val="24"/>
          <w:lang w:bidi="ar"/>
        </w:rPr>
        <w:t>t/km²·a，减少土壤流失量</w:t>
      </w:r>
      <w:r>
        <w:rPr>
          <w:rFonts w:hint="default" w:ascii="Times New Roman" w:hAnsi="Times New Roman" w:cs="Times New Roman"/>
          <w:kern w:val="0"/>
          <w:sz w:val="24"/>
          <w:lang w:val="en-US" w:eastAsia="zh-CN"/>
        </w:rPr>
        <w:t>6.62</w:t>
      </w:r>
      <w:r>
        <w:rPr>
          <w:rFonts w:hint="default" w:ascii="Times New Roman" w:hAnsi="Times New Roman" w:eastAsia="仿宋_GB2312" w:cs="Times New Roman"/>
          <w:sz w:val="24"/>
          <w:lang w:bidi="ar"/>
        </w:rPr>
        <w:t>t。</w:t>
      </w:r>
    </w:p>
    <w:p w14:paraId="0EF164D2">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仿宋_GB2312" w:cs="Times New Roman"/>
          <w:b/>
          <w:bCs/>
          <w:color w:val="auto"/>
          <w:sz w:val="28"/>
          <w:szCs w:val="28"/>
          <w:lang w:bidi="ar"/>
        </w:rPr>
      </w:pPr>
      <w:r>
        <w:rPr>
          <w:rFonts w:hint="default" w:ascii="Times New Roman" w:hAnsi="Times New Roman" w:eastAsia="仿宋_GB2312" w:cs="Times New Roman"/>
          <w:b/>
          <w:bCs/>
          <w:color w:val="auto"/>
          <w:sz w:val="28"/>
          <w:szCs w:val="28"/>
          <w:lang w:bidi="ar"/>
        </w:rPr>
        <w:t>7.2.2 水土保持效益分析</w:t>
      </w:r>
      <w:bookmarkEnd w:id="188"/>
      <w:bookmarkEnd w:id="189"/>
      <w:bookmarkEnd w:id="190"/>
    </w:p>
    <w:p w14:paraId="5B0033C8">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1、保土效益</w:t>
      </w:r>
    </w:p>
    <w:p w14:paraId="7AB2AD7D">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各防治区域经主体工程已具有水保功能措施防护治理后，流失的土壤得到有效的控制，土壤流失控制比达到</w:t>
      </w:r>
      <w:r>
        <w:rPr>
          <w:rFonts w:hint="default" w:ascii="Times New Roman" w:hAnsi="Times New Roman" w:eastAsia="仿宋_GB2312" w:cs="Times New Roman"/>
          <w:color w:val="auto"/>
          <w:sz w:val="24"/>
          <w:lang w:val="en-US" w:eastAsia="zh-CN" w:bidi="ar"/>
        </w:rPr>
        <w:t>1.25</w:t>
      </w:r>
      <w:r>
        <w:rPr>
          <w:rFonts w:hint="default" w:ascii="Times New Roman" w:hAnsi="Times New Roman" w:eastAsia="仿宋_GB2312" w:cs="Times New Roman"/>
          <w:color w:val="auto"/>
          <w:sz w:val="24"/>
          <w:lang w:bidi="ar"/>
        </w:rPr>
        <w:t>，整个项目区土壤侵蚀模数可下降到</w:t>
      </w:r>
      <w:r>
        <w:rPr>
          <w:rFonts w:hint="default" w:ascii="Times New Roman" w:hAnsi="Times New Roman" w:eastAsia="仿宋_GB2312" w:cs="Times New Roman"/>
          <w:color w:val="auto"/>
          <w:sz w:val="24"/>
          <w:lang w:val="en-US" w:eastAsia="zh-CN" w:bidi="ar"/>
        </w:rPr>
        <w:t>原背景侵蚀模数</w:t>
      </w:r>
      <w:r>
        <w:rPr>
          <w:rFonts w:hint="default" w:ascii="Times New Roman" w:hAnsi="Times New Roman" w:eastAsia="仿宋_GB2312" w:cs="Times New Roman"/>
          <w:color w:val="auto"/>
          <w:sz w:val="24"/>
          <w:lang w:bidi="ar"/>
        </w:rPr>
        <w:t>，项目区水土流失将得到很好的治理，达到了方案目标的要求。</w:t>
      </w:r>
    </w:p>
    <w:p w14:paraId="1C065D4C">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2、生态效益</w:t>
      </w:r>
    </w:p>
    <w:p w14:paraId="1FB35CDB">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通过在</w:t>
      </w:r>
      <w:r>
        <w:rPr>
          <w:rFonts w:hint="default" w:ascii="Times New Roman" w:hAnsi="Times New Roman" w:eastAsia="仿宋_GB2312" w:cs="Times New Roman"/>
          <w:color w:val="auto"/>
          <w:sz w:val="24"/>
          <w:lang w:eastAsia="zh-CN" w:bidi="ar"/>
        </w:rPr>
        <w:t>建设期间</w:t>
      </w:r>
      <w:r>
        <w:rPr>
          <w:rFonts w:hint="default" w:ascii="Times New Roman" w:hAnsi="Times New Roman" w:eastAsia="仿宋_GB2312" w:cs="Times New Roman"/>
          <w:color w:val="auto"/>
          <w:sz w:val="24"/>
          <w:lang w:bidi="ar"/>
        </w:rPr>
        <w:t>采取必要的排水</w:t>
      </w:r>
      <w:r>
        <w:rPr>
          <w:rFonts w:hint="default" w:ascii="Times New Roman" w:hAnsi="Times New Roman" w:eastAsia="仿宋_GB2312" w:cs="Times New Roman"/>
          <w:color w:val="auto"/>
          <w:sz w:val="24"/>
          <w:lang w:val="en-US" w:eastAsia="zh-CN" w:bidi="ar"/>
        </w:rPr>
        <w:t>及</w:t>
      </w:r>
      <w:r>
        <w:rPr>
          <w:rFonts w:hint="default" w:ascii="Times New Roman" w:hAnsi="Times New Roman" w:eastAsia="仿宋_GB2312" w:cs="Times New Roman"/>
          <w:color w:val="auto"/>
          <w:sz w:val="24"/>
          <w:lang w:bidi="ar"/>
        </w:rPr>
        <w:t>绿化等水土流失综合防治措施，能够有效减少工程建设区的新增水土流失，增大防治责任区范围内的绿化面积，促进生态系统的良性循环。</w:t>
      </w:r>
    </w:p>
    <w:p w14:paraId="363FA34B">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3、社会效益</w:t>
      </w:r>
    </w:p>
    <w:p w14:paraId="4BCD06EF">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通过认真贯彻水土保持法规，因地制宜地采取水土保持预防措施、治理措施、监测检查督促等措施，使项目在</w:t>
      </w:r>
      <w:r>
        <w:rPr>
          <w:rFonts w:hint="default" w:ascii="Times New Roman" w:hAnsi="Times New Roman" w:eastAsia="仿宋_GB2312" w:cs="Times New Roman"/>
          <w:color w:val="auto"/>
          <w:sz w:val="24"/>
          <w:lang w:eastAsia="zh-CN" w:bidi="ar"/>
        </w:rPr>
        <w:t>建设期间</w:t>
      </w:r>
      <w:r>
        <w:rPr>
          <w:rFonts w:hint="default" w:ascii="Times New Roman" w:hAnsi="Times New Roman" w:eastAsia="仿宋_GB2312" w:cs="Times New Roman"/>
          <w:color w:val="auto"/>
          <w:sz w:val="24"/>
          <w:lang w:bidi="ar"/>
        </w:rPr>
        <w:t>可能造成的水土流失及危害降到容许范围内，从而确保项目正常进行。项目建设与区域化建设、产业发展相结合，与绿化相协调，促进项目区社会经济发展。通过实施水土保持方案，控制水土流失，避免造成水土流失危害，从而促进项目区国民经济、社会事业稳步发展，将产生巨大的社会效益。</w:t>
      </w:r>
    </w:p>
    <w:p w14:paraId="7E729922">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4、经济效益</w:t>
      </w:r>
    </w:p>
    <w:p w14:paraId="63641028">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通过实施水土保持</w:t>
      </w:r>
      <w:r>
        <w:rPr>
          <w:rFonts w:hint="default" w:ascii="Times New Roman" w:hAnsi="Times New Roman" w:eastAsia="仿宋_GB2312" w:cs="Times New Roman"/>
          <w:color w:val="auto"/>
          <w:sz w:val="24"/>
          <w:lang w:eastAsia="zh-CN" w:bidi="ar"/>
        </w:rPr>
        <w:t>措施</w:t>
      </w:r>
      <w:r>
        <w:rPr>
          <w:rFonts w:hint="default" w:ascii="Times New Roman" w:hAnsi="Times New Roman" w:eastAsia="仿宋_GB2312" w:cs="Times New Roman"/>
          <w:color w:val="auto"/>
          <w:sz w:val="24"/>
          <w:lang w:bidi="ar"/>
        </w:rPr>
        <w:t>，有效地预防和治理可能造成的水土流失，控制、减少、避免项目建设可能给项目区造成的水土流失危害，从而保障了项目发挥最佳的投资效益，这是最大的经济效益。</w:t>
      </w:r>
    </w:p>
    <w:p w14:paraId="634528FC">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lang w:bidi="ar"/>
        </w:rPr>
        <w:t>通过损益分析可知，本项目水土保持措施带来的综合效益较明显，基础效益能够满足方案设定的目标值，生态效益和社会效益相协调，对于防治项目区水土流失起着十分重要的作用，因此在项目实施的过程中，贯彻落实水保方案提出的</w:t>
      </w:r>
      <w:r>
        <w:rPr>
          <w:rFonts w:hint="default" w:ascii="Times New Roman" w:hAnsi="Times New Roman" w:eastAsia="仿宋_GB2312" w:cs="Times New Roman"/>
          <w:color w:val="auto"/>
          <w:sz w:val="24"/>
          <w:lang w:val="en-US" w:eastAsia="zh-CN" w:bidi="ar"/>
        </w:rPr>
        <w:t>水土保持</w:t>
      </w:r>
      <w:r>
        <w:rPr>
          <w:rFonts w:hint="default" w:ascii="Times New Roman" w:hAnsi="Times New Roman" w:eastAsia="仿宋_GB2312" w:cs="Times New Roman"/>
          <w:color w:val="auto"/>
          <w:sz w:val="24"/>
          <w:lang w:bidi="ar"/>
        </w:rPr>
        <w:t>措施是必要和行之有效的。</w:t>
      </w:r>
    </w:p>
    <w:p w14:paraId="13F4F02A">
      <w:pPr>
        <w:spacing w:line="360" w:lineRule="auto"/>
        <w:rPr>
          <w:rFonts w:hint="default" w:ascii="Times New Roman" w:hAnsi="Times New Roman" w:eastAsia="仿宋_GB2312" w:cs="Times New Roman"/>
          <w:color w:val="auto"/>
          <w:sz w:val="28"/>
          <w:szCs w:val="28"/>
          <w:lang w:bidi="ar"/>
        </w:rPr>
        <w:sectPr>
          <w:headerReference r:id="rId32" w:type="default"/>
          <w:pgSz w:w="11906" w:h="16838"/>
          <w:pgMar w:top="1327" w:right="1514" w:bottom="1327" w:left="1514" w:header="851" w:footer="992" w:gutter="0"/>
          <w:pgBorders>
            <w:top w:val="none" w:sz="0" w:space="0"/>
            <w:left w:val="none" w:sz="0" w:space="0"/>
            <w:bottom w:val="none" w:sz="0" w:space="0"/>
            <w:right w:val="none" w:sz="0" w:space="0"/>
          </w:pgBorders>
          <w:pgNumType w:fmt="decimal"/>
          <w:cols w:space="720" w:num="1"/>
          <w:docGrid w:linePitch="312" w:charSpace="0"/>
        </w:sectPr>
      </w:pPr>
    </w:p>
    <w:p w14:paraId="28F54146">
      <w:pPr>
        <w:pStyle w:val="2"/>
        <w:keepNext/>
        <w:keepLines/>
        <w:pageBreakBefore w:val="0"/>
        <w:widowControl w:val="0"/>
        <w:kinsoku/>
        <w:wordWrap/>
        <w:overflowPunct/>
        <w:topLinePunct w:val="0"/>
        <w:autoSpaceDE/>
        <w:autoSpaceDN/>
        <w:bidi w:val="0"/>
        <w:adjustRightInd/>
        <w:snapToGrid/>
        <w:spacing w:before="313" w:beforeLines="100" w:after="313" w:afterLines="100"/>
        <w:textAlignment w:val="auto"/>
        <w:rPr>
          <w:rFonts w:hint="default" w:ascii="Times New Roman" w:hAnsi="Times New Roman" w:eastAsia="仿宋_GB2312" w:cs="Times New Roman"/>
          <w:b/>
          <w:color w:val="auto"/>
          <w:lang w:val="en-US" w:eastAsia="zh-CN"/>
        </w:rPr>
      </w:pPr>
      <w:bookmarkStart w:id="191" w:name="_Toc31481"/>
      <w:bookmarkStart w:id="192" w:name="_Toc24145"/>
      <w:r>
        <w:rPr>
          <w:rFonts w:hint="default" w:ascii="Times New Roman" w:hAnsi="Times New Roman" w:eastAsia="仿宋_GB2312" w:cs="Times New Roman"/>
          <w:b/>
          <w:color w:val="auto"/>
          <w:lang w:val="en-US" w:eastAsia="zh-CN"/>
        </w:rPr>
        <w:t>8 结论与建议</w:t>
      </w:r>
      <w:bookmarkEnd w:id="191"/>
      <w:bookmarkEnd w:id="192"/>
    </w:p>
    <w:p w14:paraId="3879E2EE">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eastAsia="ar"/>
        </w:rPr>
      </w:pPr>
      <w:bookmarkStart w:id="193" w:name="_Toc4957"/>
      <w:bookmarkStart w:id="194" w:name="_Toc17859"/>
      <w:bookmarkStart w:id="195" w:name="_Toc9332"/>
      <w:bookmarkStart w:id="196" w:name="_Toc20003"/>
      <w:bookmarkStart w:id="197" w:name="_Toc25456"/>
      <w:bookmarkStart w:id="198" w:name="_Toc8244"/>
      <w:bookmarkStart w:id="199" w:name="_Toc22726"/>
      <w:r>
        <w:rPr>
          <w:rFonts w:hint="default" w:ascii="Times New Roman" w:hAnsi="Times New Roman" w:eastAsia="仿宋_GB2312" w:cs="Times New Roman"/>
          <w:b/>
          <w:bCs/>
          <w:color w:val="auto"/>
          <w:szCs w:val="24"/>
          <w:lang w:val="en-US" w:eastAsia="zh-CN"/>
        </w:rPr>
        <w:t>8.1 组织管理</w:t>
      </w:r>
      <w:bookmarkEnd w:id="193"/>
      <w:bookmarkEnd w:id="194"/>
      <w:r>
        <w:rPr>
          <w:rFonts w:hint="default" w:ascii="Times New Roman" w:hAnsi="Times New Roman" w:eastAsia="仿宋_GB2312" w:cs="Times New Roman"/>
          <w:b/>
          <w:bCs/>
          <w:color w:val="auto"/>
          <w:szCs w:val="24"/>
          <w:lang w:val="en-US" w:eastAsia="zh-CN"/>
        </w:rPr>
        <w:t xml:space="preserve"> </w:t>
      </w:r>
    </w:p>
    <w:p w14:paraId="0F926660">
      <w:pPr>
        <w:spacing w:beforeLines="0" w:afterLines="0" w:line="360" w:lineRule="auto"/>
        <w:ind w:firstLine="480" w:firstLineChars="200"/>
        <w:outlineLvl w:val="9"/>
        <w:rPr>
          <w:rFonts w:hint="default" w:ascii="Times New Roman" w:hAnsi="Times New Roman" w:eastAsia="仿宋_GB2312" w:cs="Times New Roman"/>
          <w:b w:val="0"/>
          <w:bCs w:val="0"/>
          <w:color w:val="auto"/>
          <w:kern w:val="2"/>
          <w:sz w:val="24"/>
          <w:szCs w:val="24"/>
          <w:lang w:val="zh-CN" w:eastAsia="zh-CN" w:bidi="ar-SA"/>
        </w:rPr>
      </w:pPr>
      <w:bookmarkStart w:id="200" w:name="_Toc11509"/>
      <w:r>
        <w:rPr>
          <w:rFonts w:hint="default" w:ascii="Times New Roman" w:hAnsi="Times New Roman" w:eastAsia="仿宋_GB2312" w:cs="Times New Roman"/>
          <w:b w:val="0"/>
          <w:bCs w:val="0"/>
          <w:color w:val="auto"/>
          <w:kern w:val="2"/>
          <w:sz w:val="24"/>
          <w:szCs w:val="24"/>
          <w:lang w:val="zh-CN" w:eastAsia="zh-CN" w:bidi="ar-SA"/>
        </w:rPr>
        <w:t>本工程的水土保持工程较简单，水土保持工程纳入主体施工组织统一管理。建设期间，抽调专业技术人员负责水土保持工作的管理和组织实施工作，加强水土保持宣传，施工现场制定水土保持宣传标语、横幅或制定水土保持宣传册等，并组织相应人员培训，强化水土保持意识，明确水土流失的防治责任和义务。协调各项水土保持措施与主体工程同步实施，同期完成，做好施工过程的质量检查、验收和评定，对施工安全教育、安全检查做好记录和整理工作等，并积极配合水行政主管部门负责监督检查。建设单位应在水保方案批复后及时向审批水土保持方案的水行政主管部门备案，为便于</w:t>
      </w:r>
      <w:r>
        <w:rPr>
          <w:rFonts w:hint="default" w:ascii="Times New Roman" w:hAnsi="Times New Roman" w:eastAsia="仿宋_GB2312" w:cs="Times New Roman"/>
          <w:b w:val="0"/>
          <w:bCs w:val="0"/>
          <w:color w:val="auto"/>
          <w:kern w:val="2"/>
          <w:sz w:val="24"/>
          <w:szCs w:val="24"/>
          <w:lang w:val="en-US" w:eastAsia="zh-CN" w:bidi="ar-SA"/>
        </w:rPr>
        <w:t>后续</w:t>
      </w:r>
      <w:r>
        <w:rPr>
          <w:rFonts w:hint="default" w:ascii="Times New Roman" w:hAnsi="Times New Roman" w:eastAsia="仿宋_GB2312" w:cs="Times New Roman"/>
          <w:b w:val="0"/>
          <w:bCs w:val="0"/>
          <w:color w:val="auto"/>
          <w:kern w:val="2"/>
          <w:sz w:val="24"/>
          <w:szCs w:val="24"/>
          <w:lang w:val="zh-CN" w:eastAsia="zh-CN" w:bidi="ar-SA"/>
        </w:rPr>
        <w:t>管理，建设单位应对水土保持方案设计资料及图表、年度施工进度、年度经费使用等技术经济指标、水土保持效益指标以及验收的全部文件、报告、图表等资料归档管理。</w:t>
      </w:r>
    </w:p>
    <w:p w14:paraId="5C7420B9">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val="en-US" w:eastAsia="zh-CN"/>
        </w:rPr>
      </w:pPr>
      <w:bookmarkStart w:id="201" w:name="_Toc3871"/>
      <w:r>
        <w:rPr>
          <w:rFonts w:hint="default" w:ascii="Times New Roman" w:hAnsi="Times New Roman" w:eastAsia="仿宋_GB2312" w:cs="Times New Roman"/>
          <w:b/>
          <w:bCs/>
          <w:color w:val="auto"/>
          <w:szCs w:val="24"/>
          <w:lang w:val="en-US" w:eastAsia="zh-CN"/>
        </w:rPr>
        <w:t>8.2 后续设计</w:t>
      </w:r>
      <w:bookmarkEnd w:id="200"/>
      <w:bookmarkEnd w:id="201"/>
      <w:r>
        <w:rPr>
          <w:rFonts w:hint="default" w:ascii="Times New Roman" w:hAnsi="Times New Roman" w:eastAsia="仿宋_GB2312" w:cs="Times New Roman"/>
          <w:b/>
          <w:bCs/>
          <w:color w:val="auto"/>
          <w:szCs w:val="24"/>
          <w:lang w:val="en-US" w:eastAsia="zh-CN"/>
        </w:rPr>
        <w:t xml:space="preserve"> </w:t>
      </w:r>
    </w:p>
    <w:p w14:paraId="4F5B308C">
      <w:pPr>
        <w:widowControl w:val="0"/>
        <w:spacing w:line="360" w:lineRule="auto"/>
        <w:ind w:firstLine="480" w:firstLineChars="200"/>
        <w:jc w:val="both"/>
        <w:rPr>
          <w:rFonts w:hint="default" w:ascii="Times New Roman" w:hAnsi="Times New Roman" w:eastAsia="仿宋_GB2312" w:cs="Times New Roman"/>
          <w:color w:val="auto"/>
          <w:sz w:val="24"/>
          <w:szCs w:val="24"/>
          <w:highlight w:val="none"/>
        </w:rPr>
      </w:pPr>
      <w:bookmarkStart w:id="202" w:name="_Toc6077"/>
      <w:r>
        <w:rPr>
          <w:rFonts w:hint="default" w:ascii="Times New Roman" w:hAnsi="Times New Roman" w:eastAsia="仿宋_GB2312" w:cs="Times New Roman"/>
          <w:color w:val="auto"/>
          <w:sz w:val="24"/>
          <w:szCs w:val="24"/>
          <w:highlight w:val="none"/>
          <w:lang w:val="en-US" w:eastAsia="zh-CN"/>
        </w:rPr>
        <w:t>本项目已完工，工程建设期间，主体工程设计单位已将排水设施、景观绿化等措施纳入主体一并设计，且后续施工过程中基本未发生大的变更，现各项水土保持措施均已完成且运行良好，因此本方案不再提出后续设计要求</w:t>
      </w:r>
      <w:r>
        <w:rPr>
          <w:rFonts w:hint="default" w:ascii="Times New Roman" w:hAnsi="Times New Roman" w:eastAsia="仿宋_GB2312" w:cs="Times New Roman"/>
          <w:color w:val="auto"/>
          <w:sz w:val="24"/>
          <w:szCs w:val="24"/>
          <w:highlight w:val="none"/>
        </w:rPr>
        <w:t>。</w:t>
      </w:r>
    </w:p>
    <w:p w14:paraId="11008C02">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val="en-US" w:eastAsia="zh-CN"/>
        </w:rPr>
      </w:pPr>
      <w:bookmarkStart w:id="203" w:name="_Toc23359"/>
      <w:r>
        <w:rPr>
          <w:rFonts w:hint="default" w:ascii="Times New Roman" w:hAnsi="Times New Roman" w:eastAsia="仿宋_GB2312" w:cs="Times New Roman"/>
          <w:b/>
          <w:bCs/>
          <w:color w:val="auto"/>
          <w:szCs w:val="24"/>
          <w:lang w:val="en-US" w:eastAsia="zh-CN"/>
        </w:rPr>
        <w:t>8.3 水土保持监测</w:t>
      </w:r>
      <w:bookmarkEnd w:id="202"/>
      <w:bookmarkEnd w:id="203"/>
      <w:r>
        <w:rPr>
          <w:rFonts w:hint="default" w:ascii="Times New Roman" w:hAnsi="Times New Roman" w:eastAsia="仿宋_GB2312" w:cs="Times New Roman"/>
          <w:b/>
          <w:bCs/>
          <w:color w:val="auto"/>
          <w:szCs w:val="24"/>
          <w:lang w:val="en-US" w:eastAsia="zh-CN"/>
        </w:rPr>
        <w:t xml:space="preserve"> </w:t>
      </w:r>
    </w:p>
    <w:p w14:paraId="1DA1810F">
      <w:pPr>
        <w:keepNext w:val="0"/>
        <w:keepLines w:val="0"/>
        <w:pageBreakBefore w:val="0"/>
        <w:widowControl w:val="0"/>
        <w:kinsoku/>
        <w:wordWrap/>
        <w:overflowPunct/>
        <w:topLinePunct w:val="0"/>
        <w:autoSpaceDE/>
        <w:autoSpaceDN/>
        <w:bidi w:val="0"/>
        <w:adjustRightInd/>
        <w:snapToGrid/>
        <w:spacing w:after="120" w:afterLines="50" w:line="416" w:lineRule="auto"/>
        <w:ind w:firstLine="480" w:firstLineChars="200"/>
        <w:textAlignment w:val="auto"/>
        <w:outlineLvl w:val="9"/>
        <w:rPr>
          <w:rFonts w:hint="default" w:ascii="Times New Roman" w:hAnsi="Times New Roman" w:eastAsia="仿宋_GB2312" w:cs="Times New Roman"/>
          <w:b w:val="0"/>
          <w:bCs w:val="0"/>
          <w:color w:val="auto"/>
          <w:kern w:val="2"/>
          <w:sz w:val="24"/>
          <w:szCs w:val="24"/>
          <w:highlight w:val="none"/>
          <w:lang w:val="zh-CN" w:eastAsia="zh-CN" w:bidi="ar-SA"/>
        </w:rPr>
      </w:pPr>
      <w:bookmarkStart w:id="204" w:name="_Toc14145"/>
      <w:r>
        <w:rPr>
          <w:rFonts w:hint="default" w:ascii="Times New Roman" w:hAnsi="Times New Roman" w:eastAsia="仿宋_GB2312" w:cs="Times New Roman"/>
          <w:b w:val="0"/>
          <w:bCs w:val="0"/>
          <w:color w:val="auto"/>
          <w:kern w:val="2"/>
          <w:sz w:val="24"/>
          <w:szCs w:val="24"/>
          <w:highlight w:val="none"/>
          <w:lang w:val="zh-CN" w:eastAsia="zh-CN" w:bidi="ar-SA"/>
        </w:rPr>
        <w:t>本项目已完工，因此不再对水土保持监测做出相关要求，经调查回顾，工程建设期间未发生水土流失危害事件。建设期间采取了一些列临时防护措施减少施工造成的水土流失，目前项目区内的排水设施、植被绿化等水土保持措施运行良好，能够起到较好的水土保持作用。</w:t>
      </w:r>
    </w:p>
    <w:p w14:paraId="62447CC4">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val="en-US" w:eastAsia="zh-CN"/>
        </w:rPr>
      </w:pPr>
      <w:bookmarkStart w:id="205" w:name="_Toc19994"/>
      <w:r>
        <w:rPr>
          <w:rFonts w:hint="default" w:ascii="Times New Roman" w:hAnsi="Times New Roman" w:eastAsia="仿宋_GB2312" w:cs="Times New Roman"/>
          <w:b/>
          <w:bCs/>
          <w:color w:val="auto"/>
          <w:szCs w:val="24"/>
          <w:lang w:val="en-US" w:eastAsia="zh-CN"/>
        </w:rPr>
        <w:t>8.4 水土保持监理</w:t>
      </w:r>
      <w:bookmarkEnd w:id="204"/>
      <w:bookmarkEnd w:id="205"/>
      <w:r>
        <w:rPr>
          <w:rFonts w:hint="default" w:ascii="Times New Roman" w:hAnsi="Times New Roman" w:eastAsia="仿宋_GB2312" w:cs="Times New Roman"/>
          <w:b/>
          <w:bCs/>
          <w:color w:val="auto"/>
          <w:szCs w:val="24"/>
          <w:lang w:val="en-US" w:eastAsia="zh-CN"/>
        </w:rPr>
        <w:t xml:space="preserve"> </w:t>
      </w:r>
    </w:p>
    <w:p w14:paraId="35FCB5D3">
      <w:pPr>
        <w:widowControl w:val="0"/>
        <w:spacing w:line="360" w:lineRule="auto"/>
        <w:ind w:firstLine="480" w:firstLineChars="200"/>
        <w:jc w:val="both"/>
        <w:rPr>
          <w:rFonts w:hint="default" w:ascii="Times New Roman" w:hAnsi="Times New Roman" w:eastAsia="仿宋_GB2312" w:cs="Times New Roman"/>
          <w:color w:val="auto"/>
          <w:sz w:val="24"/>
          <w:szCs w:val="21"/>
          <w:highlight w:val="none"/>
          <w:lang w:val="zh-CN" w:eastAsia="zh-CN"/>
        </w:rPr>
      </w:pPr>
      <w:bookmarkStart w:id="206" w:name="_Toc13899"/>
      <w:r>
        <w:rPr>
          <w:rFonts w:hint="default" w:ascii="Times New Roman" w:hAnsi="Times New Roman" w:eastAsia="仿宋_GB2312" w:cs="Times New Roman"/>
          <w:color w:val="auto"/>
          <w:sz w:val="24"/>
          <w:szCs w:val="21"/>
          <w:highlight w:val="none"/>
          <w:lang w:val="zh-CN" w:eastAsia="zh-CN"/>
        </w:rPr>
        <w:t>本项目已</w:t>
      </w:r>
      <w:r>
        <w:rPr>
          <w:rFonts w:hint="default" w:ascii="Times New Roman" w:hAnsi="Times New Roman" w:eastAsia="仿宋_GB2312" w:cs="Times New Roman"/>
          <w:color w:val="auto"/>
          <w:sz w:val="24"/>
          <w:szCs w:val="21"/>
          <w:highlight w:val="none"/>
          <w:lang w:val="en-US" w:eastAsia="zh-CN"/>
        </w:rPr>
        <w:t>完工</w:t>
      </w:r>
      <w:r>
        <w:rPr>
          <w:rFonts w:hint="default" w:ascii="Times New Roman" w:hAnsi="Times New Roman" w:eastAsia="仿宋_GB2312" w:cs="Times New Roman"/>
          <w:color w:val="auto"/>
          <w:sz w:val="24"/>
          <w:szCs w:val="21"/>
          <w:highlight w:val="none"/>
          <w:lang w:val="zh-CN" w:eastAsia="zh-CN"/>
        </w:rPr>
        <w:t>，由于工程投资较小，工程建设期间水土保持监理由主体工程监理一并实施，因此本方案不再提出水土保持监理要求。</w:t>
      </w:r>
    </w:p>
    <w:p w14:paraId="45252091">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val="en-US" w:eastAsia="zh-CN"/>
        </w:rPr>
      </w:pPr>
      <w:bookmarkStart w:id="207" w:name="_Toc28549"/>
      <w:r>
        <w:rPr>
          <w:rFonts w:hint="default" w:ascii="Times New Roman" w:hAnsi="Times New Roman" w:eastAsia="仿宋_GB2312" w:cs="Times New Roman"/>
          <w:b/>
          <w:bCs/>
          <w:color w:val="auto"/>
          <w:szCs w:val="24"/>
          <w:lang w:val="en-US" w:eastAsia="zh-CN"/>
        </w:rPr>
        <w:t>8.5水土保持施工</w:t>
      </w:r>
      <w:bookmarkEnd w:id="206"/>
      <w:bookmarkEnd w:id="207"/>
      <w:r>
        <w:rPr>
          <w:rFonts w:hint="default" w:ascii="Times New Roman" w:hAnsi="Times New Roman" w:eastAsia="仿宋_GB2312" w:cs="Times New Roman"/>
          <w:b/>
          <w:bCs/>
          <w:color w:val="auto"/>
          <w:szCs w:val="24"/>
          <w:lang w:val="en-US" w:eastAsia="zh-CN"/>
        </w:rPr>
        <w:t xml:space="preserve"> </w:t>
      </w:r>
    </w:p>
    <w:p w14:paraId="21300C3B">
      <w:pPr>
        <w:widowControl w:val="0"/>
        <w:spacing w:line="360" w:lineRule="auto"/>
        <w:ind w:firstLine="480" w:firstLineChars="200"/>
        <w:jc w:val="both"/>
        <w:rPr>
          <w:rFonts w:hint="default" w:ascii="Times New Roman" w:hAnsi="Times New Roman" w:eastAsia="仿宋_GB2312" w:cs="Times New Roman"/>
          <w:color w:val="auto"/>
          <w:sz w:val="24"/>
          <w:szCs w:val="24"/>
          <w:highlight w:val="none"/>
          <w:lang w:val="zh-CN" w:eastAsia="zh-CN"/>
        </w:rPr>
      </w:pPr>
      <w:bookmarkStart w:id="208" w:name="_Toc26839"/>
      <w:r>
        <w:rPr>
          <w:rFonts w:hint="default" w:ascii="Times New Roman" w:hAnsi="Times New Roman" w:eastAsia="仿宋_GB2312" w:cs="Times New Roman"/>
          <w:color w:val="auto"/>
          <w:sz w:val="24"/>
          <w:szCs w:val="24"/>
          <w:highlight w:val="none"/>
          <w:lang w:val="zh-CN" w:eastAsia="zh-CN"/>
        </w:rPr>
        <w:t>本项目已完工，工程建设期间，建设单位已将水土保持施工纳入主体工程一并实施，施工单位同为主体工程施工单位。</w:t>
      </w:r>
    </w:p>
    <w:p w14:paraId="1D2B02F4">
      <w:pPr>
        <w:widowControl w:val="0"/>
        <w:spacing w:line="360" w:lineRule="auto"/>
        <w:ind w:firstLine="480" w:firstLineChars="200"/>
        <w:jc w:val="both"/>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sz w:val="24"/>
          <w:szCs w:val="24"/>
          <w:highlight w:val="none"/>
          <w:lang w:val="zh-CN" w:eastAsia="zh-CN"/>
        </w:rPr>
        <w:t>建设期间对场地建设范围进行了</w:t>
      </w:r>
      <w:r>
        <w:rPr>
          <w:rFonts w:hint="default" w:ascii="Times New Roman" w:hAnsi="Times New Roman" w:eastAsia="仿宋_GB2312" w:cs="Times New Roman"/>
          <w:color w:val="auto"/>
          <w:sz w:val="24"/>
          <w:szCs w:val="24"/>
          <w:highlight w:val="none"/>
          <w:lang w:val="en-US" w:eastAsia="zh-CN"/>
        </w:rPr>
        <w:t>排水及绿化设施建设</w:t>
      </w:r>
      <w:r>
        <w:rPr>
          <w:rFonts w:hint="default" w:ascii="Times New Roman" w:hAnsi="Times New Roman" w:eastAsia="仿宋_GB2312" w:cs="Times New Roman"/>
          <w:color w:val="auto"/>
          <w:sz w:val="24"/>
          <w:szCs w:val="24"/>
          <w:highlight w:val="none"/>
          <w:lang w:val="zh-CN" w:eastAsia="zh-CN"/>
        </w:rPr>
        <w:t>，并严格控制和管理了车辆机械的运行范围，减少对周边环境的扰动；施工单位严格按照工程设计图纸和施工技术要求进行施工，工程质量满足相关要求；现阶段所有水土保持措施均已完工且运行良好，因此本方案不再提出水土保持施工要求</w:t>
      </w:r>
      <w:r>
        <w:rPr>
          <w:rFonts w:hint="default" w:ascii="Times New Roman" w:hAnsi="Times New Roman" w:eastAsia="仿宋_GB2312" w:cs="Times New Roman"/>
          <w:color w:val="auto"/>
          <w:sz w:val="24"/>
          <w:szCs w:val="24"/>
          <w:highlight w:val="none"/>
          <w:lang w:val="zh-CN"/>
        </w:rPr>
        <w:t>。</w:t>
      </w:r>
    </w:p>
    <w:p w14:paraId="3F16C562">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val="en-US" w:eastAsia="zh-CN"/>
        </w:rPr>
      </w:pPr>
      <w:bookmarkStart w:id="209" w:name="_Toc24130"/>
      <w:r>
        <w:rPr>
          <w:rFonts w:hint="default" w:ascii="Times New Roman" w:hAnsi="Times New Roman" w:eastAsia="仿宋_GB2312" w:cs="Times New Roman"/>
          <w:b/>
          <w:bCs/>
          <w:color w:val="auto"/>
          <w:szCs w:val="24"/>
          <w:lang w:val="en-US" w:eastAsia="zh-CN"/>
        </w:rPr>
        <w:t>8.6 水土保持设施验收</w:t>
      </w:r>
      <w:bookmarkEnd w:id="208"/>
      <w:bookmarkEnd w:id="209"/>
      <w:r>
        <w:rPr>
          <w:rFonts w:hint="default" w:ascii="Times New Roman" w:hAnsi="Times New Roman" w:eastAsia="仿宋_GB2312" w:cs="Times New Roman"/>
          <w:b/>
          <w:bCs/>
          <w:color w:val="auto"/>
          <w:szCs w:val="24"/>
          <w:lang w:val="en-US" w:eastAsia="zh-CN"/>
        </w:rPr>
        <w:t xml:space="preserve"> </w:t>
      </w:r>
    </w:p>
    <w:bookmarkEnd w:id="195"/>
    <w:bookmarkEnd w:id="196"/>
    <w:bookmarkEnd w:id="197"/>
    <w:bookmarkEnd w:id="198"/>
    <w:bookmarkEnd w:id="199"/>
    <w:p w14:paraId="22494606">
      <w:pPr>
        <w:widowControl w:val="0"/>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根据《水利部关于加强事中事后监管规范生产建设项目水土保持设施自主验收的通知》（水保</w:t>
      </w:r>
      <w:r>
        <w:rPr>
          <w:rFonts w:hint="default" w:ascii="Times New Roman" w:hAnsi="Times New Roman" w:eastAsia="仿宋_GB2312" w:cs="Times New Roman"/>
          <w:b w:val="0"/>
          <w:bCs/>
          <w:color w:val="auto"/>
          <w:sz w:val="24"/>
          <w:szCs w:val="24"/>
          <w:lang w:val="en-US" w:eastAsia="zh-CN"/>
        </w:rPr>
        <w:t>〔2017〕</w:t>
      </w:r>
      <w:r>
        <w:rPr>
          <w:rFonts w:hint="default" w:ascii="Times New Roman" w:hAnsi="Times New Roman" w:eastAsia="仿宋_GB2312" w:cs="Times New Roman"/>
          <w:color w:val="auto"/>
          <w:sz w:val="24"/>
          <w:szCs w:val="24"/>
          <w:lang w:val="en-US" w:eastAsia="zh-CN"/>
        </w:rPr>
        <w:t>365号）、《生产建设项目水土保持方案管理办法》（水利部令第53号），生产建设单位应按照有关要求委托具有独立承担民事责任能力且具有相应水土保持技术条件的企业法人/事业单位法人或其他组织编制水土保持设施验收报告，承担生产建设项目水土保持方案技术评审。</w:t>
      </w:r>
    </w:p>
    <w:p w14:paraId="3C2D5FFF">
      <w:pPr>
        <w:widowControl w:val="0"/>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根据《水利部关于进一步深化“放管服”改革全面加强水土保持监管的意见》（水</w:t>
      </w:r>
    </w:p>
    <w:p w14:paraId="02B69CD5">
      <w:pPr>
        <w:widowControl w:val="0"/>
        <w:spacing w:line="360" w:lineRule="auto"/>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保</w:t>
      </w:r>
      <w:r>
        <w:rPr>
          <w:rFonts w:hint="default" w:ascii="Times New Roman" w:hAnsi="Times New Roman" w:eastAsia="仿宋_GB2312" w:cs="Times New Roman"/>
          <w:b w:val="0"/>
          <w:bCs/>
          <w:color w:val="auto"/>
          <w:sz w:val="24"/>
          <w:szCs w:val="24"/>
          <w:lang w:val="en-US" w:eastAsia="zh-CN"/>
        </w:rPr>
        <w:t>〔2019〕</w:t>
      </w:r>
      <w:r>
        <w:rPr>
          <w:rFonts w:hint="default" w:ascii="Times New Roman" w:hAnsi="Times New Roman" w:eastAsia="仿宋_GB2312" w:cs="Times New Roman"/>
          <w:color w:val="auto"/>
          <w:sz w:val="24"/>
          <w:szCs w:val="24"/>
          <w:lang w:val="en-US" w:eastAsia="zh-CN"/>
        </w:rPr>
        <w:t>160号），水土保持设施验收材料完整、符合格式要求且已向社会公开的，报水行政主管部门备案，水土保持设施自主验收报备应当提交水土保持设施验收鉴定书。</w:t>
      </w:r>
    </w:p>
    <w:p w14:paraId="05193BAF">
      <w:pPr>
        <w:widowControl w:val="0"/>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水行政主管部门对本项目进行批复后，方案编制单位需将水土保持方案及时录入水土保持监管系统。工程验收后，验收单位及时将水土保持设施验收鉴定书录入监管系统。</w:t>
      </w:r>
    </w:p>
    <w:p w14:paraId="02CAC8EA">
      <w:pPr>
        <w:widowControl w:val="0"/>
        <w:spacing w:line="360" w:lineRule="auto"/>
        <w:ind w:firstLine="480" w:firstLineChars="200"/>
        <w:jc w:val="both"/>
        <w:rPr>
          <w:rFonts w:hint="default" w:ascii="Times New Roman" w:hAnsi="Times New Roman" w:eastAsia="仿宋_GB2312" w:cs="Times New Roman"/>
          <w:color w:val="auto"/>
          <w:sz w:val="24"/>
          <w:szCs w:val="24"/>
          <w:lang w:val="zh-CN"/>
        </w:rPr>
      </w:pPr>
      <w:r>
        <w:rPr>
          <w:rFonts w:hint="default" w:ascii="Times New Roman" w:hAnsi="Times New Roman" w:eastAsia="仿宋_GB2312" w:cs="Times New Roman"/>
          <w:color w:val="auto"/>
          <w:sz w:val="24"/>
          <w:szCs w:val="24"/>
          <w:lang w:val="en-US" w:eastAsia="zh-CN"/>
        </w:rPr>
        <w:t>信息管理：水行政主管部门对本项目进行批复后，方案编制单位需将水土保持方案及时录入水土保持监管系统。工程验收后，验收单位及时将水土保持设施验收鉴定书录入监管系统</w:t>
      </w:r>
      <w:r>
        <w:rPr>
          <w:rFonts w:hint="default" w:ascii="Times New Roman" w:hAnsi="Times New Roman" w:eastAsia="仿宋_GB2312" w:cs="Times New Roman"/>
          <w:color w:val="auto"/>
          <w:sz w:val="24"/>
          <w:szCs w:val="24"/>
          <w:lang w:val="zh-CN"/>
        </w:rPr>
        <w:t>。</w:t>
      </w:r>
    </w:p>
    <w:p w14:paraId="11D54C11">
      <w:pPr>
        <w:widowControl w:val="0"/>
        <w:spacing w:line="360" w:lineRule="auto"/>
        <w:ind w:firstLine="420" w:firstLineChars="200"/>
        <w:jc w:val="both"/>
        <w:rPr>
          <w:rFonts w:hint="default" w:ascii="Times New Roman" w:hAnsi="Times New Roman" w:eastAsia="仿宋_GB2312" w:cs="Times New Roman"/>
          <w:color w:val="auto"/>
          <w:szCs w:val="24"/>
        </w:rPr>
      </w:pPr>
    </w:p>
    <w:p w14:paraId="70086E81">
      <w:pPr>
        <w:widowControl w:val="0"/>
        <w:spacing w:line="360" w:lineRule="auto"/>
        <w:ind w:firstLine="480" w:firstLineChars="200"/>
        <w:jc w:val="both"/>
        <w:rPr>
          <w:rFonts w:hint="default" w:ascii="Times New Roman" w:hAnsi="Times New Roman" w:eastAsia="仿宋_GB2312" w:cs="Times New Roman"/>
          <w:color w:val="auto"/>
          <w:sz w:val="24"/>
          <w:szCs w:val="24"/>
          <w:highlight w:val="none"/>
          <w:lang w:val="en-US" w:eastAsia="zh-CN"/>
        </w:rPr>
      </w:pPr>
    </w:p>
    <w:p w14:paraId="34BF3DAB">
      <w:pPr>
        <w:rPr>
          <w:rFonts w:hint="default" w:ascii="Times New Roman" w:hAnsi="Times New Roman" w:cs="Times New Roman"/>
        </w:rPr>
      </w:pPr>
    </w:p>
    <w:p w14:paraId="694627A8">
      <w:pPr>
        <w:rPr>
          <w:rFonts w:hint="default" w:ascii="Times New Roman" w:hAnsi="Times New Roman" w:cs="Times New Roman"/>
        </w:rPr>
      </w:pPr>
    </w:p>
    <w:p w14:paraId="77A19D75">
      <w:pPr>
        <w:rPr>
          <w:rFonts w:hint="default" w:ascii="Times New Roman" w:hAnsi="Times New Roman" w:cs="Times New Roman"/>
        </w:rPr>
      </w:pPr>
    </w:p>
    <w:p w14:paraId="2C5BC306">
      <w:pPr>
        <w:rPr>
          <w:rFonts w:hint="default" w:ascii="Times New Roman" w:hAnsi="Times New Roman" w:cs="Times New Roman"/>
        </w:rPr>
      </w:pPr>
    </w:p>
    <w:p w14:paraId="38787920">
      <w:pP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561965" cy="8923655"/>
            <wp:effectExtent l="0" t="0" r="635" b="6985"/>
            <wp:docPr id="22" name="图片 22" descr="专家签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专家签字_01"/>
                    <pic:cNvPicPr>
                      <a:picLocks noChangeAspect="1"/>
                    </pic:cNvPicPr>
                  </pic:nvPicPr>
                  <pic:blipFill>
                    <a:blip r:embed="rId48"/>
                    <a:srcRect l="12125" t="7517" r="11178" b="5419"/>
                    <a:stretch>
                      <a:fillRect/>
                    </a:stretch>
                  </pic:blipFill>
                  <pic:spPr>
                    <a:xfrm>
                      <a:off x="0" y="0"/>
                      <a:ext cx="5561965" cy="8923655"/>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596255" cy="7148195"/>
            <wp:effectExtent l="0" t="0" r="12065" b="14605"/>
            <wp:docPr id="15" name="图片 15" descr="专家签字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专家签字_02"/>
                    <pic:cNvPicPr>
                      <a:picLocks noChangeAspect="1"/>
                    </pic:cNvPicPr>
                  </pic:nvPicPr>
                  <pic:blipFill>
                    <a:blip r:embed="rId49"/>
                    <a:srcRect l="12283" t="7581" r="11144" b="23222"/>
                    <a:stretch>
                      <a:fillRect/>
                    </a:stretch>
                  </pic:blipFill>
                  <pic:spPr>
                    <a:xfrm>
                      <a:off x="0" y="0"/>
                      <a:ext cx="5596255" cy="7148195"/>
                    </a:xfrm>
                    <a:prstGeom prst="rect">
                      <a:avLst/>
                    </a:prstGeom>
                  </pic:spPr>
                </pic:pic>
              </a:graphicData>
            </a:graphic>
          </wp:inline>
        </w:drawing>
      </w:r>
    </w:p>
    <w:p w14:paraId="2CB84F8C">
      <w:pPr>
        <w:rPr>
          <w:rFonts w:hint="default" w:ascii="Times New Roman" w:hAnsi="Times New Roman" w:cs="Times New Roman"/>
        </w:rPr>
      </w:pPr>
    </w:p>
    <w:p w14:paraId="188994C2">
      <w:pPr>
        <w:rPr>
          <w:rFonts w:hint="default" w:ascii="Times New Roman" w:hAnsi="Times New Roman" w:cs="Times New Roman"/>
        </w:rPr>
      </w:pPr>
    </w:p>
    <w:p w14:paraId="633F6DBE">
      <w:pPr>
        <w:rPr>
          <w:rFonts w:hint="default" w:ascii="Times New Roman" w:hAnsi="Times New Roman" w:cs="Times New Roman"/>
        </w:rPr>
      </w:pPr>
    </w:p>
    <w:sectPr>
      <w:headerReference r:id="rId33" w:type="default"/>
      <w:headerReference r:id="rId34" w:type="even"/>
      <w:pgSz w:w="11906" w:h="16838"/>
      <w:pgMar w:top="1327" w:right="1514" w:bottom="1327" w:left="1514"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F8B61">
    <w:pPr>
      <w:pStyle w:val="9"/>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02430">
    <w:pPr>
      <w:pStyle w:val="9"/>
      <w:ind w:right="360" w:firstLine="360"/>
      <w:jc w:val="right"/>
      <w:rPr>
        <w:rFonts w:hint="eastAsia" w:ascii="仿宋_GB2312" w:hAnsi="仿宋_GB2312" w:eastAsia="仿宋_GB2312" w:cs="仿宋_GB2312"/>
        <w:lang w:eastAsia="zh-CN"/>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E4B3A">
                          <w:pPr>
                            <w:pStyle w:val="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04E4B3A">
                    <w:pPr>
                      <w:pStyle w:val="9"/>
                    </w:pPr>
                    <w:r>
                      <w:fldChar w:fldCharType="begin"/>
                    </w:r>
                    <w:r>
                      <w:instrText xml:space="preserve"> PAGE  \* MERGEFORMAT </w:instrText>
                    </w:r>
                    <w:r>
                      <w:fldChar w:fldCharType="separate"/>
                    </w:r>
                    <w:r>
                      <w:t>- 1 -</w:t>
                    </w:r>
                    <w:r>
                      <w:fldChar w:fldCharType="end"/>
                    </w:r>
                  </w:p>
                </w:txbxContent>
              </v:textbox>
            </v:shape>
          </w:pict>
        </mc:Fallback>
      </mc:AlternateContent>
    </w:r>
    <w:r>
      <w:rPr>
        <w:rFonts w:hint="eastAsia"/>
        <w:lang w:eastAsia="zh-CN"/>
      </w:rPr>
      <w:t xml:space="preserve">                                           </w:t>
    </w:r>
    <w:r>
      <w:rPr>
        <w:rFonts w:hint="eastAsia"/>
        <w:lang w:val="en-US" w:eastAsia="zh-CN"/>
      </w:rPr>
      <w:t xml:space="preserve">            </w:t>
    </w:r>
    <w:r>
      <w:rPr>
        <w:rFonts w:hint="eastAsia" w:ascii="仿宋" w:hAnsi="仿宋" w:eastAsia="仿宋" w:cs="仿宋"/>
        <w:sz w:val="21"/>
        <w:szCs w:val="21"/>
        <w:lang w:val="en-US" w:eastAsia="zh-CN" w:bidi="ar-SA"/>
      </w:rPr>
      <w:t>四川一砚工程设计有限公司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B209D">
    <w:pPr>
      <w:pStyle w:val="9"/>
      <w:ind w:right="360" w:firstLine="360"/>
      <w:jc w:val="right"/>
      <w:rPr>
        <w:rFonts w:hint="eastAsia"/>
        <w:lang w:eastAsia="zh-CN"/>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423C46">
                          <w:pPr>
                            <w:pStyle w:val="9"/>
                          </w:pPr>
                          <w:r>
                            <w:fldChar w:fldCharType="begin"/>
                          </w:r>
                          <w:r>
                            <w:instrText xml:space="preserve"> PAGE  \* MERGEFORMAT </w:instrText>
                          </w:r>
                          <w:r>
                            <w:fldChar w:fldCharType="separate"/>
                          </w:r>
                          <w:r>
                            <w:t>- 10 -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61423C46">
                    <w:pPr>
                      <w:pStyle w:val="9"/>
                    </w:pPr>
                    <w:r>
                      <w:fldChar w:fldCharType="begin"/>
                    </w:r>
                    <w:r>
                      <w:instrText xml:space="preserve"> PAGE  \* MERGEFORMAT </w:instrText>
                    </w:r>
                    <w:r>
                      <w:fldChar w:fldCharType="separate"/>
                    </w:r>
                    <w:r>
                      <w:t>- 10 -</w:t>
                    </w:r>
                    <w:r>
                      <w:fldChar w:fldCharType="end"/>
                    </w:r>
                  </w:p>
                </w:txbxContent>
              </v:textbox>
            </v:shape>
          </w:pict>
        </mc:Fallback>
      </mc:AlternateContent>
    </w:r>
    <w:r>
      <w:rPr>
        <w:rFonts w:hint="eastAsia"/>
        <w:lang w:eastAsia="zh-CN"/>
      </w:rPr>
      <w:t xml:space="preserve">                                           </w:t>
    </w:r>
    <w:r>
      <w:rPr>
        <w:rFonts w:hint="eastAsia"/>
        <w:lang w:val="en-US" w:eastAsia="zh-CN"/>
      </w:rPr>
      <w:t xml:space="preserve">          </w:t>
    </w:r>
    <w:r>
      <w:rPr>
        <w:rFonts w:hint="eastAsia" w:ascii="仿宋" w:hAnsi="仿宋" w:eastAsia="仿宋" w:cs="仿宋"/>
        <w:sz w:val="21"/>
        <w:szCs w:val="21"/>
        <w:lang w:val="en-US" w:eastAsia="zh-CN" w:bidi="ar-SA"/>
      </w:rPr>
      <w:t>四川一砚工程设计有限公司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385A0">
    <w:pPr>
      <w:pStyle w:val="9"/>
      <w:ind w:firstLine="360"/>
      <w:jc w:val="right"/>
      <w:rPr>
        <w:rFonts w:hint="eastAsia" w:ascii="仿宋" w:hAnsi="仿宋" w:eastAsia="仿宋"/>
        <w:sz w:val="21"/>
        <w:szCs w:val="21"/>
      </w:rPr>
    </w:pPr>
    <w:r>
      <w:rPr>
        <w:rFonts w:hint="eastAsia"/>
      </w:rPr>
      <w:t xml:space="preserve">                    </w:t>
    </w:r>
    <w:r>
      <w:rPr>
        <w:rFonts w:hint="eastAsia" w:ascii="仿宋" w:hAnsi="仿宋" w:eastAsia="仿宋"/>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DDD6F">
    <w:pPr>
      <w:pStyle w:val="9"/>
      <w:framePr w:wrap="around" w:vAnchor="text" w:hAnchor="margin" w:xAlign="center" w:y="1"/>
      <w:ind w:firstLine="360"/>
      <w:rPr>
        <w:rStyle w:val="22"/>
      </w:rPr>
    </w:pPr>
    <w:r>
      <w:fldChar w:fldCharType="begin"/>
    </w:r>
    <w:r>
      <w:rPr>
        <w:rStyle w:val="22"/>
        <w:sz w:val="18"/>
      </w:rPr>
      <w:instrText xml:space="preserve">PAGE  </w:instrText>
    </w:r>
    <w:r>
      <w:fldChar w:fldCharType="separate"/>
    </w:r>
    <w:r>
      <w:rPr>
        <w:rStyle w:val="22"/>
        <w:sz w:val="18"/>
      </w:rPr>
      <w:t>II</w:t>
    </w:r>
    <w:r>
      <w:fldChar w:fldCharType="end"/>
    </w:r>
  </w:p>
  <w:p w14:paraId="040A3C34">
    <w:pPr>
      <w:pStyle w:val="9"/>
      <w:pBdr>
        <w:top w:val="single" w:color="auto" w:sz="4" w:space="1"/>
      </w:pBdr>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E7791">
    <w:pPr>
      <w:pStyle w:val="9"/>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4136B">
    <w:pPr>
      <w:widowControl w:val="0"/>
      <w:snapToGrid w:val="0"/>
      <w:spacing w:line="360" w:lineRule="auto"/>
      <w:ind w:firstLine="0" w:firstLineChars="0"/>
      <w:jc w:val="right"/>
      <w:rPr>
        <w:rFonts w:hint="eastAsia" w:ascii="仿宋" w:hAnsi="仿宋" w:eastAsia="仿宋" w:cs="仿宋"/>
        <w:sz w:val="18"/>
        <w:szCs w:val="18"/>
        <w:lang w:val="en-US" w:eastAsia="zh-CN" w:bidi="ar-SA"/>
      </w:rPr>
    </w:pPr>
    <w:r>
      <w:rPr>
        <w:rFonts w:hint="eastAsia" w:ascii="仿宋" w:hAnsi="仿宋" w:eastAsia="仿宋" w:cs="仿宋"/>
        <w:sz w:val="21"/>
        <w:szCs w:val="21"/>
        <w:lang w:val="en-US" w:eastAsia="zh-CN" w:bidi="ar-SA"/>
      </w:rPr>
      <mc:AlternateContent>
        <mc:Choice Requires="wps">
          <w:drawing>
            <wp:anchor distT="0" distB="0" distL="114300" distR="114300" simplePos="0" relativeHeight="251665408" behindDoc="0" locked="0" layoutInCell="1" allowOverlap="1">
              <wp:simplePos x="0" y="0"/>
              <wp:positionH relativeFrom="margin">
                <wp:posOffset>2753360</wp:posOffset>
              </wp:positionH>
              <wp:positionV relativeFrom="paragraph">
                <wp:posOffset>0</wp:posOffset>
              </wp:positionV>
              <wp:extent cx="114935" cy="19685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14935" cy="196850"/>
                      </a:xfrm>
                      <a:prstGeom prst="rect">
                        <a:avLst/>
                      </a:prstGeom>
                      <a:noFill/>
                      <a:ln w="15875">
                        <a:noFill/>
                      </a:ln>
                    </wps:spPr>
                    <wps:txbx>
                      <w:txbxContent>
                        <w:p w14:paraId="3F8CA288">
                          <w:pPr>
                            <w:widowControl w:val="0"/>
                            <w:snapToGrid w:val="0"/>
                            <w:spacing w:line="360" w:lineRule="auto"/>
                            <w:ind w:firstLine="0" w:firstLineChars="0"/>
                            <w:jc w:val="center"/>
                            <w:rPr>
                              <w:rFonts w:ascii="Times New Roman" w:hAnsi="Times New Roman" w:eastAsia="宋体" w:cs="Times New Roman"/>
                              <w:sz w:val="18"/>
                              <w:szCs w:val="18"/>
                              <w:lang w:val="en-US" w:eastAsia="zh-CN" w:bidi="ar-SA"/>
                            </w:rPr>
                          </w:pPr>
                        </w:p>
                      </w:txbxContent>
                    </wps:txbx>
                    <wps:bodyPr wrap="none" lIns="0" tIns="0" rIns="0" bIns="0">
                      <a:spAutoFit/>
                    </wps:bodyPr>
                  </wps:wsp>
                </a:graphicData>
              </a:graphic>
            </wp:anchor>
          </w:drawing>
        </mc:Choice>
        <mc:Fallback>
          <w:pict>
            <v:shape id="_x0000_s1026" o:spid="_x0000_s1026" o:spt="202" type="#_x0000_t202" style="position:absolute;left:0pt;margin-left:216.8pt;margin-top:0pt;height:15.5pt;width:9.05pt;mso-position-horizontal-relative:margin;mso-wrap-style:none;z-index:251665408;mso-width-relative:page;mso-height-relative:page;" filled="f" stroked="f" coordsize="21600,21600" o:gfxdata="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51PDXXAAAABwEAAA8AAAAAAAAAAQAgAAAAIgAA&#10;AGRycy9kb3ducmV2LnhtbFBLAQIUABQAAAAIAIdO4kDH9Pgd0AEAAJUDAAAOAAAAAAAAAAEAIAAA&#10;ACYBAABkcnMvZTJvRG9jLnhtbFBLBQYAAAAABgAGAFkBAABoBQAAAAA=&#10;">
              <v:fill on="f" focussize="0,0"/>
              <v:stroke on="f" weight="1.25pt"/>
              <v:imagedata o:title=""/>
              <o:lock v:ext="edit" aspectratio="f"/>
              <v:textbox inset="0mm,0mm,0mm,0mm" style="mso-fit-shape-to-text:t;">
                <w:txbxContent>
                  <w:p w14:paraId="3F8CA288">
                    <w:pPr>
                      <w:widowControl w:val="0"/>
                      <w:snapToGrid w:val="0"/>
                      <w:spacing w:line="360" w:lineRule="auto"/>
                      <w:ind w:firstLine="0" w:firstLineChars="0"/>
                      <w:jc w:val="center"/>
                      <w:rPr>
                        <w:rFonts w:ascii="Times New Roman" w:hAnsi="Times New Roman" w:eastAsia="宋体" w:cs="Times New Roman"/>
                        <w:sz w:val="18"/>
                        <w:szCs w:val="18"/>
                        <w:lang w:val="en-US" w:eastAsia="zh-CN" w:bidi="ar-SA"/>
                      </w:rPr>
                    </w:pPr>
                  </w:p>
                </w:txbxContent>
              </v:textbox>
            </v:shape>
          </w:pict>
        </mc:Fallback>
      </mc:AlternateContent>
    </w:r>
    <w:r>
      <w:rPr>
        <w:rFonts w:hint="eastAsia" w:ascii="仿宋" w:hAnsi="仿宋" w:eastAsia="仿宋" w:cs="仿宋"/>
        <w:sz w:val="21"/>
        <w:szCs w:val="21"/>
        <w:lang w:val="en-US" w:eastAsia="zh-CN" w:bidi="ar-SA"/>
      </w:rPr>
      <w:t>四川一砚工程设计有限公司</w:t>
    </w:r>
  </w:p>
  <w:p w14:paraId="3628E038">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87014">
    <w:pPr>
      <w:widowControl w:val="0"/>
      <w:snapToGrid w:val="0"/>
      <w:spacing w:line="360" w:lineRule="auto"/>
      <w:ind w:firstLine="0" w:firstLineChars="0"/>
      <w:jc w:val="right"/>
      <w:rPr>
        <w:rFonts w:hint="eastAsia" w:ascii="仿宋" w:hAnsi="仿宋" w:eastAsia="仿宋" w:cs="仿宋"/>
        <w:sz w:val="18"/>
        <w:szCs w:val="18"/>
        <w:lang w:val="en-US" w:eastAsia="zh-CN" w:bidi="ar-SA"/>
      </w:rPr>
    </w:pPr>
    <w:r>
      <w:rPr>
        <w:rFonts w:hint="eastAsia" w:ascii="仿宋" w:hAnsi="仿宋" w:eastAsia="仿宋" w:cs="仿宋"/>
        <w:sz w:val="21"/>
        <w:szCs w:val="21"/>
        <w:lang w:val="en-US" w:eastAsia="zh-CN" w:bidi="ar-SA"/>
      </w:rPr>
      <mc:AlternateContent>
        <mc:Choice Requires="wps">
          <w:drawing>
            <wp:anchor distT="0" distB="0" distL="114300" distR="114300" simplePos="0" relativeHeight="251688960" behindDoc="0" locked="0" layoutInCell="1" allowOverlap="1">
              <wp:simplePos x="0" y="0"/>
              <wp:positionH relativeFrom="margin">
                <wp:posOffset>2966720</wp:posOffset>
              </wp:positionH>
              <wp:positionV relativeFrom="paragraph">
                <wp:posOffset>152400</wp:posOffset>
              </wp:positionV>
              <wp:extent cx="114935" cy="19685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14935" cy="196850"/>
                      </a:xfrm>
                      <a:prstGeom prst="rect">
                        <a:avLst/>
                      </a:prstGeom>
                      <a:noFill/>
                      <a:ln w="15875">
                        <a:noFill/>
                      </a:ln>
                    </wps:spPr>
                    <wps:txbx>
                      <w:txbxContent>
                        <w:p w14:paraId="7C53812C">
                          <w:pPr>
                            <w:widowControl w:val="0"/>
                            <w:snapToGrid w:val="0"/>
                            <w:spacing w:line="360" w:lineRule="auto"/>
                            <w:ind w:firstLine="0" w:firstLineChars="0"/>
                            <w:jc w:val="center"/>
                            <w:rPr>
                              <w:rFonts w:ascii="Times New Roman" w:hAnsi="Times New Roman" w:eastAsia="宋体" w:cs="Times New Roman"/>
                              <w:sz w:val="18"/>
                              <w:szCs w:val="18"/>
                              <w:lang w:val="en-US" w:eastAsia="zh-CN" w:bidi="ar-SA"/>
                            </w:rPr>
                          </w:pPr>
                        </w:p>
                      </w:txbxContent>
                    </wps:txbx>
                    <wps:bodyPr wrap="none" lIns="0" tIns="0" rIns="0" bIns="0">
                      <a:spAutoFit/>
                    </wps:bodyPr>
                  </wps:wsp>
                </a:graphicData>
              </a:graphic>
            </wp:anchor>
          </w:drawing>
        </mc:Choice>
        <mc:Fallback>
          <w:pict>
            <v:shape id="_x0000_s1026" o:spid="_x0000_s1026" o:spt="202" type="#_x0000_t202" style="position:absolute;left:0pt;margin-left:233.6pt;margin-top:12pt;height:15.5pt;width:9.05pt;mso-position-horizontal-relative:margin;mso-wrap-style:none;z-index:251688960;mso-width-relative:page;mso-height-relative:page;" filled="f" stroked="f" coordsize="21600,21600" o:gfxdata="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CSST2QAAAAkBAAAPAAAAAAAAAAEAIAAA&#10;ACIAAABkcnMvZG93bnJldi54bWxQSwECFAAUAAAACACHTuJAjm9TQ9IBAACXAwAADgAAAAAAAAAB&#10;ACAAAAAoAQAAZHJzL2Uyb0RvYy54bWxQSwUGAAAAAAYABgBZAQAAbAUAAAAA&#10;">
              <v:fill on="f" focussize="0,0"/>
              <v:stroke on="f" weight="1.25pt"/>
              <v:imagedata o:title=""/>
              <o:lock v:ext="edit" aspectratio="f"/>
              <v:textbox inset="0mm,0mm,0mm,0mm" style="mso-fit-shape-to-text:t;">
                <w:txbxContent>
                  <w:p w14:paraId="7C53812C">
                    <w:pPr>
                      <w:widowControl w:val="0"/>
                      <w:snapToGrid w:val="0"/>
                      <w:spacing w:line="360" w:lineRule="auto"/>
                      <w:ind w:firstLine="0" w:firstLineChars="0"/>
                      <w:jc w:val="center"/>
                      <w:rPr>
                        <w:rFonts w:ascii="Times New Roman" w:hAnsi="Times New Roman" w:eastAsia="宋体" w:cs="Times New Roman"/>
                        <w:sz w:val="18"/>
                        <w:szCs w:val="18"/>
                        <w:lang w:val="en-US" w:eastAsia="zh-CN" w:bidi="ar-SA"/>
                      </w:rPr>
                    </w:pPr>
                  </w:p>
                </w:txbxContent>
              </v:textbox>
            </v:shape>
          </w:pict>
        </mc:Fallback>
      </mc:AlternateContent>
    </w:r>
    <w:r>
      <w:rPr>
        <w:rFonts w:hint="eastAsia" w:ascii="仿宋" w:hAnsi="仿宋" w:eastAsia="仿宋" w:cs="仿宋"/>
        <w:sz w:val="21"/>
        <w:szCs w:val="21"/>
        <w:lang w:val="en-US" w:eastAsia="zh-CN" w:bidi="ar-SA"/>
      </w:rPr>
      <w:t>四川一砚工程设计有限公司</w:t>
    </w:r>
    <w:r>
      <w:rPr>
        <w:rFonts w:hint="eastAsia"/>
      </w:rPr>
      <w:t xml:space="preserve">                                                     </w:t>
    </w:r>
    <w:r>
      <w:rPr>
        <w:rFonts w:hint="eastAsia" w:ascii="仿宋" w:hAnsi="仿宋" w:eastAsia="仿宋" w:cs="仿宋"/>
        <w:sz w:val="21"/>
        <w:szCs w:val="21"/>
        <w:lang w:val="en-US" w:eastAsia="zh-CN" w:bidi="ar-SA"/>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14935" cy="19685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14935" cy="196850"/>
                      </a:xfrm>
                      <a:prstGeom prst="rect">
                        <a:avLst/>
                      </a:prstGeom>
                      <a:noFill/>
                      <a:ln w="15875">
                        <a:noFill/>
                      </a:ln>
                    </wps:spPr>
                    <wps:txbx>
                      <w:txbxContent>
                        <w:p w14:paraId="1A2A8D72">
                          <w:pPr>
                            <w:widowControl w:val="0"/>
                            <w:snapToGrid w:val="0"/>
                            <w:spacing w:line="360" w:lineRule="auto"/>
                            <w:ind w:firstLine="0" w:firstLineChars="0"/>
                            <w:jc w:val="center"/>
                            <w:rPr>
                              <w:rFonts w:ascii="Times New Roman" w:hAnsi="Times New Roman" w:eastAsia="宋体" w:cs="Times New Roman"/>
                              <w:sz w:val="18"/>
                              <w:szCs w:val="18"/>
                              <w:lang w:val="en-US" w:eastAsia="zh-CN" w:bidi="ar-SA"/>
                            </w:rPr>
                          </w:pPr>
                        </w:p>
                      </w:txbxContent>
                    </wps:txbx>
                    <wps:bodyPr wrap="none" lIns="0" tIns="0" rIns="0" bIns="0">
                      <a:spAutoFit/>
                    </wps:bodyPr>
                  </wps:wsp>
                </a:graphicData>
              </a:graphic>
            </wp:anchor>
          </w:drawing>
        </mc:Choice>
        <mc:Fallback>
          <w:pict>
            <v:shape id="_x0000_s1026" o:spid="_x0000_s1026" o:spt="202" type="#_x0000_t202" style="position:absolute;left:0pt;margin-top:0pt;height:15.5pt;width:9.05pt;mso-position-horizontal:center;mso-position-horizontal-relative:margin;mso-wrap-style:none;z-index:251688960;mso-width-relative:page;mso-height-relative:page;" filled="f" stroked="f" coordsize="21600,21600" o:gfxdata="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0z9EMNQAAAADAQAADwAAAAAAAAABACAAAAAiAAAA&#10;ZHJzL2Rvd25yZXYueG1sUEsBAhQAFAAAAAgAh07iQGG90yvSAQAAlwMAAA4AAAAAAAAAAQAgAAAA&#10;IwEAAGRycy9lMm9Eb2MueG1sUEsFBgAAAAAGAAYAWQEAAGcFAAAAAA==&#10;">
              <v:fill on="f" focussize="0,0"/>
              <v:stroke on="f" weight="1.25pt"/>
              <v:imagedata o:title=""/>
              <o:lock v:ext="edit" aspectratio="f"/>
              <v:textbox inset="0mm,0mm,0mm,0mm" style="mso-fit-shape-to-text:t;">
                <w:txbxContent>
                  <w:p w14:paraId="1A2A8D72">
                    <w:pPr>
                      <w:widowControl w:val="0"/>
                      <w:snapToGrid w:val="0"/>
                      <w:spacing w:line="360" w:lineRule="auto"/>
                      <w:ind w:firstLine="0" w:firstLineChars="0"/>
                      <w:jc w:val="center"/>
                      <w:rPr>
                        <w:rFonts w:ascii="Times New Roman" w:hAnsi="Times New Roman" w:eastAsia="宋体" w:cs="Times New Roman"/>
                        <w:sz w:val="18"/>
                        <w:szCs w:val="18"/>
                        <w:lang w:val="en-US" w:eastAsia="zh-CN" w:bidi="ar-SA"/>
                      </w:rPr>
                    </w:pPr>
                  </w:p>
                </w:txbxContent>
              </v:textbox>
            </v:shape>
          </w:pict>
        </mc:Fallback>
      </mc:AlternateContent>
    </w:r>
  </w:p>
  <w:p w14:paraId="6DC69933">
    <w:pPr>
      <w:pStyle w:val="9"/>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88C4A">
    <w:pPr>
      <w:pStyle w:val="9"/>
      <w:jc w:val="cente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FF34D5">
                          <w:pPr>
                            <w:pStyle w:val="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16FF34D5">
                    <w:pPr>
                      <w:pStyle w:val="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8FF19">
    <w:pPr>
      <w:widowControl w:val="0"/>
      <w:snapToGrid w:val="0"/>
      <w:spacing w:line="360" w:lineRule="auto"/>
      <w:jc w:val="right"/>
      <w:rPr>
        <w:rFonts w:hint="eastAsia" w:ascii="仿宋" w:hAnsi="仿宋" w:eastAsia="仿宋" w:cs="仿宋"/>
        <w:sz w:val="21"/>
        <w:szCs w:val="21"/>
        <w:lang w:val="en-US" w:eastAsia="zh-CN" w:bidi="ar-SA"/>
      </w:rPr>
    </w:pPr>
  </w:p>
  <w:p w14:paraId="30037C41">
    <w:pPr>
      <w:widowControl w:val="0"/>
      <w:snapToGrid w:val="0"/>
      <w:spacing w:line="360" w:lineRule="auto"/>
      <w:jc w:val="right"/>
      <w:rPr>
        <w:rFonts w:hint="eastAsia" w:ascii="仿宋" w:hAnsi="仿宋" w:eastAsia="仿宋" w:cs="仿宋"/>
        <w:sz w:val="18"/>
        <w:szCs w:val="18"/>
        <w:lang w:val="en-US" w:eastAsia="zh-CN" w:bidi="ar-SA"/>
      </w:rPr>
    </w:pPr>
    <w:r>
      <w:rPr>
        <w:rFonts w:hint="eastAsia" w:ascii="仿宋" w:hAnsi="仿宋" w:eastAsia="仿宋" w:cs="仿宋"/>
        <w:sz w:val="21"/>
        <w:szCs w:val="21"/>
        <w:lang w:val="en-US" w:eastAsia="zh-CN" w:bidi="ar-SA"/>
      </w:rPr>
      <mc:AlternateContent>
        <mc:Choice Requires="wps">
          <w:drawing>
            <wp:anchor distT="0" distB="0" distL="114300" distR="114300" simplePos="0" relativeHeight="251664384" behindDoc="0" locked="0" layoutInCell="1" allowOverlap="1">
              <wp:simplePos x="0" y="0"/>
              <wp:positionH relativeFrom="margin">
                <wp:posOffset>2814320</wp:posOffset>
              </wp:positionH>
              <wp:positionV relativeFrom="paragraph">
                <wp:posOffset>0</wp:posOffset>
              </wp:positionV>
              <wp:extent cx="114935" cy="19685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14935" cy="196850"/>
                      </a:xfrm>
                      <a:prstGeom prst="rect">
                        <a:avLst/>
                      </a:prstGeom>
                      <a:noFill/>
                      <a:ln w="15875">
                        <a:noFill/>
                      </a:ln>
                    </wps:spPr>
                    <wps:txbx>
                      <w:txbxContent>
                        <w:p w14:paraId="15EF5B85">
                          <w:pPr>
                            <w:widowControl w:val="0"/>
                            <w:snapToGrid w:val="0"/>
                            <w:spacing w:line="360" w:lineRule="auto"/>
                            <w:ind w:firstLine="0" w:firstLineChars="0"/>
                            <w:jc w:val="center"/>
                            <w:rPr>
                              <w:rFonts w:ascii="Times New Roman" w:hAnsi="Times New Roman" w:eastAsia="宋体" w:cs="Times New Roman"/>
                              <w:sz w:val="18"/>
                              <w:szCs w:val="18"/>
                              <w:lang w:val="en-US" w:eastAsia="zh-CN" w:bidi="ar-SA"/>
                            </w:rPr>
                          </w:pPr>
                        </w:p>
                      </w:txbxContent>
                    </wps:txbx>
                    <wps:bodyPr wrap="none" lIns="0" tIns="0" rIns="0" bIns="0">
                      <a:spAutoFit/>
                    </wps:bodyPr>
                  </wps:wsp>
                </a:graphicData>
              </a:graphic>
            </wp:anchor>
          </w:drawing>
        </mc:Choice>
        <mc:Fallback>
          <w:pict>
            <v:shape id="_x0000_s1026" o:spid="_x0000_s1026" o:spt="202" type="#_x0000_t202" style="position:absolute;left:0pt;margin-left:221.6pt;margin-top:0pt;height:15.5pt;width:9.05pt;mso-position-horizontal-relative:margin;mso-wrap-style:none;z-index:251664384;mso-width-relative:page;mso-height-relative:page;" filled="f" stroked="f" coordsize="21600,21600" o:gfxdata="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ixdjO1wAAAAcBAAAPAAAAAAAAAAEAIAAAACIA&#10;AABkcnMvZG93bnJldi54bWxQSwECFAAUAAAACACHTuJAe9ZMo9EBAACXAwAADgAAAAAAAAABACAA&#10;AAAmAQAAZHJzL2Uyb0RvYy54bWxQSwUGAAAAAAYABgBZAQAAaQUAAAAA&#10;">
              <v:fill on="f" focussize="0,0"/>
              <v:stroke on="f" weight="1.25pt"/>
              <v:imagedata o:title=""/>
              <o:lock v:ext="edit" aspectratio="f"/>
              <v:textbox inset="0mm,0mm,0mm,0mm" style="mso-fit-shape-to-text:t;">
                <w:txbxContent>
                  <w:p w14:paraId="15EF5B85">
                    <w:pPr>
                      <w:widowControl w:val="0"/>
                      <w:snapToGrid w:val="0"/>
                      <w:spacing w:line="360" w:lineRule="auto"/>
                      <w:ind w:firstLine="0" w:firstLineChars="0"/>
                      <w:jc w:val="center"/>
                      <w:rPr>
                        <w:rFonts w:ascii="Times New Roman" w:hAnsi="Times New Roman" w:eastAsia="宋体" w:cs="Times New Roman"/>
                        <w:sz w:val="18"/>
                        <w:szCs w:val="18"/>
                        <w:lang w:val="en-US" w:eastAsia="zh-CN" w:bidi="ar-SA"/>
                      </w:rPr>
                    </w:pPr>
                  </w:p>
                </w:txbxContent>
              </v:textbox>
            </v:shape>
          </w:pict>
        </mc:Fallback>
      </mc:AlternateContent>
    </w:r>
    <w:r>
      <w:rPr>
        <w:rFonts w:hint="eastAsia" w:ascii="仿宋" w:hAnsi="仿宋" w:eastAsia="仿宋" w:cs="仿宋"/>
        <w:sz w:val="21"/>
        <w:szCs w:val="21"/>
        <w:lang w:val="en-US" w:eastAsia="zh-CN" w:bidi="ar-SA"/>
      </w:rPr>
      <w:t>四川一砚工程设计有限公司</w:t>
    </w:r>
  </w:p>
  <w:p w14:paraId="6CD7C3E4">
    <w:pPr>
      <w:pStyle w:val="9"/>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80F60">
                          <w:pPr>
                            <w:pStyle w:val="9"/>
                            <w:jc w:val="both"/>
                          </w:pPr>
                          <w:r>
                            <w:rPr>
                              <w:rFonts w:hint="eastAsia"/>
                            </w:rPr>
                            <w:t xml:space="preserve"> </w:t>
                          </w:r>
                          <w:r>
                            <w:rPr>
                              <w:rFonts w:hint="eastAsia"/>
                              <w:lang w:val="en-US" w:eastAsia="zh-CN"/>
                            </w:rPr>
                            <w:t xml:space="preserve"> </w:t>
                          </w:r>
                          <w:r>
                            <w:fldChar w:fldCharType="begin"/>
                          </w:r>
                          <w:r>
                            <w:instrText xml:space="preserve"> PAGE   \* MERGEFORMAT </w:instrText>
                          </w:r>
                          <w:r>
                            <w:fldChar w:fldCharType="separate"/>
                          </w:r>
                          <w:r>
                            <w:rPr>
                              <w:lang w:val="zh-CN"/>
                            </w:rPr>
                            <w:t>2</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Es+A5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OmEs+A5AgAAcQQAAA4AAAAAAAAAAQAgAAAAHwEAAGRycy9lMm9Eb2Mu&#10;eG1sUEsFBgAAAAAGAAYAWQEAAMoFAAAAAA==&#10;">
              <v:fill on="f" focussize="0,0"/>
              <v:stroke on="f" weight="0.5pt"/>
              <v:imagedata o:title=""/>
              <o:lock v:ext="edit" aspectratio="f"/>
              <v:textbox inset="0mm,0mm,0mm,0mm" style="mso-fit-shape-to-text:t;">
                <w:txbxContent>
                  <w:p w14:paraId="7B080F60">
                    <w:pPr>
                      <w:pStyle w:val="9"/>
                      <w:jc w:val="both"/>
                    </w:pPr>
                    <w:r>
                      <w:rPr>
                        <w:rFonts w:hint="eastAsia"/>
                      </w:rPr>
                      <w:t xml:space="preserve"> </w:t>
                    </w:r>
                    <w:r>
                      <w:rPr>
                        <w:rFonts w:hint="eastAsia"/>
                        <w:lang w:val="en-US" w:eastAsia="zh-CN"/>
                      </w:rPr>
                      <w:t xml:space="preserve"> </w:t>
                    </w:r>
                    <w:r>
                      <w:fldChar w:fldCharType="begin"/>
                    </w:r>
                    <w:r>
                      <w:instrText xml:space="preserve"> PAGE   \* MERGEFORMAT </w:instrText>
                    </w:r>
                    <w:r>
                      <w:fldChar w:fldCharType="separate"/>
                    </w:r>
                    <w:r>
                      <w:rPr>
                        <w:lang w:val="zh-CN"/>
                      </w:rPr>
                      <w:t>2</w:t>
                    </w:r>
                    <w:r>
                      <w:fldChar w:fldCharType="end"/>
                    </w:r>
                    <w:r>
                      <w:rPr>
                        <w:rFonts w:hint="eastAsia"/>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9220B">
    <w:pPr>
      <w:pStyle w:val="9"/>
      <w:jc w:val="cente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9304E">
                          <w:pPr>
                            <w:pStyle w:val="9"/>
                            <w:jc w:val="center"/>
                          </w:pPr>
                          <w:r>
                            <w:rPr>
                              <w:rFonts w:hint="eastAsia"/>
                            </w:rPr>
                            <w:t xml:space="preserve">                                              </w:t>
                          </w:r>
                          <w:r>
                            <w:fldChar w:fldCharType="begin"/>
                          </w:r>
                          <w:r>
                            <w:instrText xml:space="preserve"> PAGE   \* MERGEFORMAT </w:instrText>
                          </w:r>
                          <w:r>
                            <w:fldChar w:fldCharType="separate"/>
                          </w:r>
                          <w:r>
                            <w:rPr>
                              <w:lang w:val="zh-CN"/>
                            </w:rPr>
                            <w:t>III</w:t>
                          </w:r>
                          <w:r>
                            <w:fldChar w:fldCharType="end"/>
                          </w:r>
                          <w:r>
                            <w:rPr>
                              <w:rFonts w:hint="eastAsia"/>
                            </w:rPr>
                            <w:t xml:space="preserve">               </w:t>
                          </w:r>
                          <w:r>
                            <w:rPr>
                              <w:rFonts w:hint="eastAsia" w:ascii="仿宋" w:hAnsi="仿宋" w:eastAsia="仿宋" w:cs="仿宋"/>
                              <w:sz w:val="21"/>
                              <w:szCs w:val="21"/>
                              <w:lang w:val="en-US" w:eastAsia="zh-CN" w:bidi="ar-SA"/>
                            </w:rPr>
                            <w:t>四川一砚工程设计有限公司</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IQGM6AgAAc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mCEBjOgIAAHEEAAAOAAAAAAAAAAEAIAAAAB8BAABkcnMvZTJvRG9j&#10;LnhtbFBLBQYAAAAABgAGAFkBAADLBQAAAAA=&#10;">
              <v:fill on="f" focussize="0,0"/>
              <v:stroke on="f" weight="0.5pt"/>
              <v:imagedata o:title=""/>
              <o:lock v:ext="edit" aspectratio="f"/>
              <v:textbox inset="0mm,0mm,0mm,0mm" style="mso-fit-shape-to-text:t;">
                <w:txbxContent>
                  <w:p w14:paraId="7799304E">
                    <w:pPr>
                      <w:pStyle w:val="9"/>
                      <w:jc w:val="center"/>
                    </w:pPr>
                    <w:r>
                      <w:rPr>
                        <w:rFonts w:hint="eastAsia"/>
                      </w:rPr>
                      <w:t xml:space="preserve">                                              </w:t>
                    </w:r>
                    <w:r>
                      <w:fldChar w:fldCharType="begin"/>
                    </w:r>
                    <w:r>
                      <w:instrText xml:space="preserve"> PAGE   \* MERGEFORMAT </w:instrText>
                    </w:r>
                    <w:r>
                      <w:fldChar w:fldCharType="separate"/>
                    </w:r>
                    <w:r>
                      <w:rPr>
                        <w:lang w:val="zh-CN"/>
                      </w:rPr>
                      <w:t>III</w:t>
                    </w:r>
                    <w:r>
                      <w:fldChar w:fldCharType="end"/>
                    </w:r>
                    <w:r>
                      <w:rPr>
                        <w:rFonts w:hint="eastAsia"/>
                      </w:rPr>
                      <w:t xml:space="preserve">               </w:t>
                    </w:r>
                    <w:r>
                      <w:rPr>
                        <w:rFonts w:hint="eastAsia" w:ascii="仿宋" w:hAnsi="仿宋" w:eastAsia="仿宋" w:cs="仿宋"/>
                        <w:sz w:val="21"/>
                        <w:szCs w:val="21"/>
                        <w:lang w:val="en-US" w:eastAsia="zh-CN" w:bidi="ar-SA"/>
                      </w:rPr>
                      <w:t>四川一砚工程设计有限公司</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A1993">
    <w:pPr>
      <w:pStyle w:val="10"/>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F82D8">
    <w:pPr>
      <w:pStyle w:val="10"/>
      <w:rPr>
        <w:rFonts w:hint="eastAsia"/>
        <w:lang w:eastAsia="zh-CN"/>
      </w:rPr>
    </w:pPr>
    <w:r>
      <w:rPr>
        <w:rFonts w:hint="eastAsia" w:ascii="仿宋" w:hAnsi="仿宋" w:eastAsia="仿宋" w:cs="仿宋"/>
        <w:lang w:val="en-US" w:eastAsia="zh-CN"/>
      </w:rPr>
      <w:t>1综合说明</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B5CF8">
    <w:pPr>
      <w:pStyle w:val="10"/>
      <w:rPr>
        <w:rFonts w:hint="eastAsia"/>
        <w:lang w:eastAsia="zh-CN"/>
      </w:rPr>
    </w:pPr>
    <w:r>
      <w:rPr>
        <w:rFonts w:hint="eastAsia" w:ascii="仿宋" w:hAnsi="仿宋" w:eastAsia="仿宋" w:cs="仿宋"/>
        <w:lang w:val="en-US" w:eastAsia="zh-CN"/>
      </w:rPr>
      <w:t>1综合说明</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A5B64">
    <w:pPr>
      <w:pStyle w:val="10"/>
      <w:rPr>
        <w:rFonts w:hint="default"/>
        <w:lang w:val="en-US" w:eastAsia="zh-CN"/>
      </w:rPr>
    </w:pPr>
    <w:r>
      <w:rPr>
        <w:rFonts w:hint="eastAsia" w:ascii="仿宋" w:hAnsi="仿宋" w:eastAsia="仿宋" w:cs="仿宋"/>
        <w:lang w:val="en-US" w:eastAsia="zh-CN"/>
      </w:rPr>
      <w:t>2项目概况</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0E1D8">
    <w:pPr>
      <w:pStyle w:val="10"/>
      <w:rPr>
        <w:rFonts w:hint="default"/>
        <w:lang w:val="en-US" w:eastAsia="zh-CN"/>
      </w:rPr>
    </w:pPr>
    <w:r>
      <w:rPr>
        <w:rFonts w:hint="eastAsia" w:ascii="仿宋" w:hAnsi="仿宋" w:eastAsia="仿宋" w:cs="仿宋"/>
        <w:lang w:val="en-US" w:eastAsia="zh-CN"/>
      </w:rPr>
      <w:t>3项目水土保持评价</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555DA">
    <w:pPr>
      <w:pBdr>
        <w:bottom w:val="single" w:color="auto" w:sz="4" w:space="1"/>
      </w:pBdr>
      <w:jc w:val="center"/>
      <w:rPr>
        <w:rFonts w:hint="eastAsia" w:ascii="仿宋_GB2312" w:hAnsi="宋体" w:eastAsia="仿宋_GB2312"/>
        <w:sz w:val="18"/>
        <w:szCs w:val="18"/>
        <w:lang w:eastAsia="zh-CN" w:bidi="ar"/>
      </w:rPr>
    </w:pPr>
    <w:r>
      <w:rPr>
        <w:rFonts w:hint="eastAsia" w:ascii="仿宋" w:hAnsi="仿宋" w:eastAsia="仿宋" w:cs="仿宋"/>
        <w:sz w:val="18"/>
        <w:szCs w:val="18"/>
        <w:lang w:val="en-US" w:eastAsia="zh-CN" w:bidi="ar"/>
      </w:rPr>
      <w:t>4</w:t>
    </w:r>
    <w:r>
      <w:rPr>
        <w:rFonts w:hint="eastAsia" w:ascii="仿宋" w:hAnsi="仿宋" w:eastAsia="仿宋" w:cs="仿宋"/>
        <w:sz w:val="18"/>
        <w:szCs w:val="18"/>
        <w:lang w:eastAsia="zh-CN" w:bidi="ar"/>
      </w:rPr>
      <w:t>水土流失分析</w:t>
    </w:r>
    <w:r>
      <w:rPr>
        <w:rFonts w:hint="eastAsia" w:ascii="仿宋" w:hAnsi="仿宋" w:eastAsia="仿宋" w:cs="仿宋"/>
        <w:sz w:val="18"/>
        <w:szCs w:val="18"/>
        <w:lang w:val="en-US" w:eastAsia="zh-CN" w:bidi="ar"/>
      </w:rPr>
      <w:t>与</w:t>
    </w:r>
    <w:r>
      <w:rPr>
        <w:rFonts w:hint="eastAsia" w:ascii="仿宋" w:hAnsi="仿宋" w:eastAsia="仿宋" w:cs="仿宋"/>
        <w:sz w:val="18"/>
        <w:szCs w:val="18"/>
        <w:lang w:eastAsia="zh-CN" w:bidi="ar"/>
      </w:rPr>
      <w:t>调查</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7EE52">
    <w:pPr>
      <w:pBdr>
        <w:bottom w:val="single" w:color="auto" w:sz="4" w:space="1"/>
      </w:pBdr>
      <w:jc w:val="center"/>
      <w:rPr>
        <w:rFonts w:hint="eastAsia" w:ascii="仿宋" w:hAnsi="仿宋" w:eastAsia="仿宋" w:cs="仿宋"/>
        <w:sz w:val="18"/>
        <w:szCs w:val="18"/>
        <w:lang w:bidi="ar"/>
      </w:rPr>
    </w:pPr>
    <w:r>
      <w:rPr>
        <w:rFonts w:hint="eastAsia" w:ascii="仿宋" w:hAnsi="仿宋" w:eastAsia="仿宋" w:cs="仿宋"/>
        <w:sz w:val="18"/>
        <w:szCs w:val="18"/>
        <w:lang w:bidi="ar"/>
      </w:rPr>
      <w:t>5水土流失防治目标及水土保持措施设计</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5866E">
    <w:pPr>
      <w:pBdr>
        <w:bottom w:val="single" w:color="auto" w:sz="4" w:space="1"/>
      </w:pBdr>
      <w:jc w:val="center"/>
      <w:rPr>
        <w:rFonts w:ascii="仿宋_GB2312" w:hAnsi="宋体" w:eastAsia="仿宋_GB2312"/>
        <w:sz w:val="18"/>
        <w:szCs w:val="18"/>
        <w:lang w:bidi="ar"/>
      </w:rPr>
    </w:pPr>
    <w:r>
      <w:rPr>
        <w:rFonts w:hint="eastAsia" w:ascii="仿宋_GB2312" w:hAnsi="宋体" w:eastAsia="仿宋_GB2312"/>
        <w:sz w:val="18"/>
        <w:szCs w:val="18"/>
        <w:lang w:bidi="ar"/>
      </w:rPr>
      <w:t>5水土流失防治目标及水土保持措施设计</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70AB9">
    <w:pPr>
      <w:pStyle w:val="10"/>
      <w:pBdr>
        <w:bottom w:val="single" w:color="auto" w:sz="4" w:space="1"/>
      </w:pBdr>
      <w:ind w:firstLine="0" w:firstLineChars="0"/>
      <w:rPr>
        <w:rFonts w:hint="eastAsia" w:ascii="仿宋" w:hAnsi="仿宋" w:eastAsia="仿宋" w:cs="仿宋"/>
        <w:lang w:val="en-US" w:eastAsia="zh-CN"/>
      </w:rPr>
    </w:pPr>
    <w:r>
      <w:rPr>
        <w:rFonts w:hint="eastAsia" w:ascii="仿宋" w:hAnsi="仿宋" w:eastAsia="仿宋" w:cs="仿宋"/>
        <w:lang w:val="en-US" w:eastAsia="zh-CN"/>
      </w:rPr>
      <w:t>6</w:t>
    </w:r>
    <w:r>
      <w:rPr>
        <w:rFonts w:hint="eastAsia" w:ascii="仿宋" w:hAnsi="仿宋" w:eastAsia="仿宋" w:cs="仿宋"/>
      </w:rPr>
      <w:t>水土保持</w:t>
    </w:r>
    <w:r>
      <w:rPr>
        <w:rFonts w:hint="eastAsia" w:ascii="仿宋" w:hAnsi="仿宋" w:eastAsia="仿宋" w:cs="仿宋"/>
        <w:lang w:val="en-US" w:eastAsia="zh-CN"/>
      </w:rPr>
      <w:t>监测</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C1E18">
    <w:pPr>
      <w:pStyle w:val="10"/>
      <w:pBdr>
        <w:bottom w:val="single" w:color="auto" w:sz="4" w:space="1"/>
      </w:pBdr>
      <w:ind w:firstLine="0" w:firstLineChars="0"/>
      <w:rPr>
        <w:rFonts w:hint="eastAsia" w:eastAsia="仿宋_GB2312"/>
        <w:lang w:val="en-US" w:eastAsia="zh-CN"/>
      </w:rPr>
    </w:pPr>
    <w:r>
      <w:rPr>
        <w:rFonts w:hint="eastAsia" w:hAnsi="宋体"/>
        <w:lang w:val="en-US" w:eastAsia="zh-CN"/>
      </w:rPr>
      <w:t>6</w:t>
    </w:r>
    <w:r>
      <w:rPr>
        <w:rFonts w:hint="eastAsia" w:ascii="仿宋_GB2312" w:hAnsi="华文中宋" w:eastAsia="仿宋_GB2312"/>
      </w:rPr>
      <w:t>水土保持</w:t>
    </w:r>
    <w:r>
      <w:rPr>
        <w:rFonts w:hint="eastAsia" w:ascii="仿宋_GB2312" w:hAnsi="华文中宋" w:eastAsia="仿宋_GB2312"/>
        <w:lang w:eastAsia="zh-CN"/>
      </w:rPr>
      <w:t>监测</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06A59">
    <w:pPr>
      <w:pBdr>
        <w:bottom w:val="single" w:color="auto" w:sz="4" w:space="1"/>
      </w:pBdr>
      <w:jc w:val="center"/>
      <w:rPr>
        <w:rFonts w:hint="eastAsia" w:ascii="仿宋" w:hAnsi="仿宋" w:eastAsia="仿宋" w:cs="仿宋"/>
        <w:sz w:val="18"/>
        <w:szCs w:val="18"/>
        <w:lang w:val="en-US" w:eastAsia="zh-CN" w:bidi="ar"/>
      </w:rPr>
    </w:pPr>
    <w:r>
      <w:rPr>
        <w:rFonts w:hint="eastAsia" w:ascii="仿宋" w:hAnsi="仿宋" w:eastAsia="仿宋" w:cs="仿宋"/>
        <w:sz w:val="18"/>
        <w:szCs w:val="18"/>
        <w:lang w:val="en-US" w:eastAsia="zh-CN" w:bidi="ar"/>
      </w:rPr>
      <w:t>7水土保持投资概算及效益分析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64CD3">
    <w:pPr>
      <w:pStyle w:val="10"/>
    </w:pPr>
    <w:r>
      <w:rPr>
        <w:rFonts w:hint="eastAsia" w:ascii="Times New Roman" w:hAnsi="Times New Roman" w:eastAsia="仿宋_GB2312"/>
        <w:lang w:eastAsia="zh-CN"/>
      </w:rPr>
      <w:t>剑阁县王河镇干部周转房建设项目</w:t>
    </w:r>
    <w:r>
      <w:rPr>
        <w:rFonts w:hint="eastAsia" w:ascii="Times New Roman" w:hAnsi="Times New Roman" w:eastAsia="仿宋_GB2312"/>
      </w:rPr>
      <w:t>水土保持方案报告表</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6B5F0">
    <w:pPr>
      <w:pBdr>
        <w:bottom w:val="single" w:color="auto" w:sz="4" w:space="1"/>
      </w:pBdr>
      <w:jc w:val="center"/>
      <w:rPr>
        <w:rFonts w:hint="eastAsia" w:ascii="仿宋" w:hAnsi="仿宋" w:eastAsia="仿宋" w:cs="仿宋"/>
        <w:sz w:val="18"/>
        <w:szCs w:val="18"/>
        <w:lang w:val="en-US" w:eastAsia="zh-CN" w:bidi="ar"/>
      </w:rPr>
    </w:pPr>
    <w:r>
      <w:rPr>
        <w:rFonts w:hint="eastAsia" w:ascii="仿宋" w:hAnsi="仿宋" w:eastAsia="仿宋" w:cs="仿宋"/>
        <w:sz w:val="18"/>
        <w:szCs w:val="18"/>
        <w:lang w:val="en-US" w:eastAsia="zh-CN" w:bidi="ar"/>
      </w:rPr>
      <w:t>8结论与建议</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5234B">
    <w:pPr>
      <w:pBdr>
        <w:bottom w:val="single" w:color="auto" w:sz="4" w:space="1"/>
      </w:pBdr>
      <w:jc w:val="center"/>
      <w:rPr>
        <w:rFonts w:ascii="仿宋_GB2312" w:hAnsi="宋体" w:eastAsia="仿宋_GB2312"/>
        <w:sz w:val="18"/>
        <w:szCs w:val="18"/>
        <w:lang w:bidi="ar"/>
      </w:rPr>
    </w:pPr>
    <w:r>
      <w:rPr>
        <w:rFonts w:hint="eastAsia" w:ascii="仿宋_GB2312" w:hAnsi="宋体" w:eastAsia="仿宋_GB2312"/>
        <w:sz w:val="18"/>
        <w:szCs w:val="18"/>
        <w:lang w:bidi="ar"/>
      </w:rPr>
      <w:t>附件与附图</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B2D68">
    <w:pPr>
      <w:pStyle w:val="1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6CC40">
    <w:pPr>
      <w:pStyle w:val="10"/>
      <w:rPr>
        <w:rFonts w:hint="eastAsia"/>
      </w:rPr>
    </w:pPr>
    <w:r>
      <w:rPr>
        <w:rFonts w:hint="eastAsia"/>
      </w:rPr>
      <w:t>百信商业中心项目水土保持方案报告书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CB979">
    <w:pPr>
      <w:pStyle w:val="10"/>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FB67D">
    <w:pPr>
      <w:widowControl w:val="0"/>
      <w:spacing w:line="360" w:lineRule="auto"/>
      <w:ind w:left="480" w:firstLine="0" w:firstLineChars="0"/>
      <w:jc w:val="both"/>
      <w:rPr>
        <w:rFonts w:ascii="宋体" w:hAnsi="宋体" w:cs="宋体"/>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FCD0E">
    <w:pPr>
      <w:pStyle w:val="10"/>
    </w:pPr>
    <w:r>
      <w:rPr>
        <w:rFonts w:hint="eastAsia" w:ascii="Times New Roman" w:hAnsi="Times New Roman" w:eastAsia="仿宋_GB2312"/>
        <w:lang w:eastAsia="zh-CN"/>
      </w:rPr>
      <w:t>剑阁县王河镇干部周转房建设项目</w:t>
    </w:r>
    <w:r>
      <w:rPr>
        <w:rFonts w:hint="eastAsia" w:ascii="Times New Roman" w:hAnsi="Times New Roman" w:eastAsia="仿宋_GB2312"/>
      </w:rPr>
      <w:t>水土保持方案报告表</w:t>
    </w:r>
  </w:p>
  <w:p w14:paraId="5E92AAD1">
    <w:pPr>
      <w:widowControl w:val="0"/>
      <w:spacing w:line="360" w:lineRule="auto"/>
      <w:ind w:left="480" w:firstLine="0" w:firstLineChars="0"/>
      <w:jc w:val="both"/>
      <w:rPr>
        <w:rFonts w:ascii="宋体" w:hAnsi="宋体" w:cs="宋体"/>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DB604">
    <w:pPr>
      <w:pStyle w:val="10"/>
      <w:rPr>
        <w:rFonts w:ascii="Times New Roman" w:hAnsi="Times New Roman" w:eastAsia="仿宋_GB2312"/>
      </w:rPr>
    </w:pPr>
    <w:r>
      <w:rPr>
        <w:rFonts w:hint="eastAsia" w:ascii="Times New Roman" w:hAnsi="Times New Roman" w:eastAsia="仿宋_GB2312"/>
        <w:lang w:eastAsia="zh-CN"/>
      </w:rPr>
      <w:t>目录</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93D87">
    <w:pPr>
      <w:pStyle w:val="10"/>
      <w:rPr>
        <w:rFonts w:hint="eastAsia" w:ascii="仿宋" w:hAnsi="仿宋" w:eastAsia="仿宋" w:cs="仿宋"/>
        <w:lang w:val="en-US" w:eastAsia="zh-CN"/>
      </w:rPr>
    </w:pPr>
    <w:r>
      <w:rPr>
        <w:rFonts w:hint="eastAsia" w:ascii="仿宋" w:hAnsi="仿宋" w:eastAsia="仿宋" w:cs="仿宋"/>
        <w:lang w:val="en-US" w:eastAsia="zh-CN"/>
      </w:rPr>
      <w:t>1综合说明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CB617F"/>
    <w:multiLevelType w:val="singleLevel"/>
    <w:tmpl w:val="9BCB617F"/>
    <w:lvl w:ilvl="0" w:tentative="0">
      <w:start w:val="1"/>
      <w:numFmt w:val="decimal"/>
      <w:suff w:val="nothing"/>
      <w:lvlText w:val="%1）"/>
      <w:lvlJc w:val="left"/>
    </w:lvl>
  </w:abstractNum>
  <w:abstractNum w:abstractNumId="1">
    <w:nsid w:val="D85058B2"/>
    <w:multiLevelType w:val="singleLevel"/>
    <w:tmpl w:val="D85058B2"/>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3ZWM4NGViMDczOGFjNjBhYjdlOWQyZGYxYzJiNWYifQ=="/>
  </w:docVars>
  <w:rsids>
    <w:rsidRoot w:val="00000000"/>
    <w:rsid w:val="00302A12"/>
    <w:rsid w:val="014A7668"/>
    <w:rsid w:val="02CA5D4B"/>
    <w:rsid w:val="03B94414"/>
    <w:rsid w:val="03F86B1C"/>
    <w:rsid w:val="05BD626F"/>
    <w:rsid w:val="0899706D"/>
    <w:rsid w:val="08B651F8"/>
    <w:rsid w:val="09E85885"/>
    <w:rsid w:val="0BD91F82"/>
    <w:rsid w:val="0C3152C1"/>
    <w:rsid w:val="0CC71781"/>
    <w:rsid w:val="0E4A59B1"/>
    <w:rsid w:val="0E9011A7"/>
    <w:rsid w:val="11DD55A3"/>
    <w:rsid w:val="121E0096"/>
    <w:rsid w:val="124E6F05"/>
    <w:rsid w:val="125A6BF4"/>
    <w:rsid w:val="12C85445"/>
    <w:rsid w:val="134B369A"/>
    <w:rsid w:val="136B565A"/>
    <w:rsid w:val="15E43C95"/>
    <w:rsid w:val="15F35FF8"/>
    <w:rsid w:val="16085320"/>
    <w:rsid w:val="179B5CE4"/>
    <w:rsid w:val="17CE60BA"/>
    <w:rsid w:val="18846779"/>
    <w:rsid w:val="199155F1"/>
    <w:rsid w:val="1B4F12C0"/>
    <w:rsid w:val="1B903686"/>
    <w:rsid w:val="1CDF6673"/>
    <w:rsid w:val="1DF81F98"/>
    <w:rsid w:val="1E662577"/>
    <w:rsid w:val="1ECB4B6C"/>
    <w:rsid w:val="1F15637C"/>
    <w:rsid w:val="1FCD3566"/>
    <w:rsid w:val="1FE02A1E"/>
    <w:rsid w:val="20085EE1"/>
    <w:rsid w:val="20881B4B"/>
    <w:rsid w:val="213C48E3"/>
    <w:rsid w:val="215E444C"/>
    <w:rsid w:val="22194BA0"/>
    <w:rsid w:val="2360234A"/>
    <w:rsid w:val="24014345"/>
    <w:rsid w:val="24055FD0"/>
    <w:rsid w:val="240B5FA0"/>
    <w:rsid w:val="24D56B60"/>
    <w:rsid w:val="265D0D20"/>
    <w:rsid w:val="26DC35C2"/>
    <w:rsid w:val="26DF22D6"/>
    <w:rsid w:val="276F643D"/>
    <w:rsid w:val="27FD14F4"/>
    <w:rsid w:val="28B74948"/>
    <w:rsid w:val="29183639"/>
    <w:rsid w:val="2A004862"/>
    <w:rsid w:val="2A1D6A2D"/>
    <w:rsid w:val="2ACA0963"/>
    <w:rsid w:val="2B8F5708"/>
    <w:rsid w:val="2BCB7FE2"/>
    <w:rsid w:val="2CC535DA"/>
    <w:rsid w:val="2CCF472B"/>
    <w:rsid w:val="2D0F4E77"/>
    <w:rsid w:val="2D4C4236"/>
    <w:rsid w:val="2D71550D"/>
    <w:rsid w:val="2F01691D"/>
    <w:rsid w:val="2FCF07C9"/>
    <w:rsid w:val="2FF3651D"/>
    <w:rsid w:val="2FFE2E5D"/>
    <w:rsid w:val="302A3C52"/>
    <w:rsid w:val="30654C8A"/>
    <w:rsid w:val="320E382B"/>
    <w:rsid w:val="321B7281"/>
    <w:rsid w:val="326712D2"/>
    <w:rsid w:val="32AF65DE"/>
    <w:rsid w:val="32DC62F1"/>
    <w:rsid w:val="34DE4287"/>
    <w:rsid w:val="35A64903"/>
    <w:rsid w:val="35AC2508"/>
    <w:rsid w:val="360E06CD"/>
    <w:rsid w:val="36160F00"/>
    <w:rsid w:val="370D10CA"/>
    <w:rsid w:val="380E7531"/>
    <w:rsid w:val="383E64EC"/>
    <w:rsid w:val="38DF7CCF"/>
    <w:rsid w:val="39D21B59"/>
    <w:rsid w:val="3A0A05EA"/>
    <w:rsid w:val="3B2644A5"/>
    <w:rsid w:val="3B27770B"/>
    <w:rsid w:val="3C597D99"/>
    <w:rsid w:val="3D0715A3"/>
    <w:rsid w:val="3E1A2C65"/>
    <w:rsid w:val="3E855557"/>
    <w:rsid w:val="3F4C14EF"/>
    <w:rsid w:val="40A350D5"/>
    <w:rsid w:val="410865A2"/>
    <w:rsid w:val="414D59F2"/>
    <w:rsid w:val="41CB57A3"/>
    <w:rsid w:val="42A41642"/>
    <w:rsid w:val="42B92552"/>
    <w:rsid w:val="42EB54C2"/>
    <w:rsid w:val="433C7ACC"/>
    <w:rsid w:val="43745A7C"/>
    <w:rsid w:val="457E43CC"/>
    <w:rsid w:val="47413903"/>
    <w:rsid w:val="479E0CBF"/>
    <w:rsid w:val="482642B5"/>
    <w:rsid w:val="48975226"/>
    <w:rsid w:val="48C23A6B"/>
    <w:rsid w:val="4A4200BE"/>
    <w:rsid w:val="4A6D7B23"/>
    <w:rsid w:val="4AA2030B"/>
    <w:rsid w:val="4B62209A"/>
    <w:rsid w:val="4C325FA9"/>
    <w:rsid w:val="4CA010CC"/>
    <w:rsid w:val="4D92310A"/>
    <w:rsid w:val="4DAA396C"/>
    <w:rsid w:val="4DCD0038"/>
    <w:rsid w:val="4E8D21CA"/>
    <w:rsid w:val="4FF260E2"/>
    <w:rsid w:val="51230329"/>
    <w:rsid w:val="52152393"/>
    <w:rsid w:val="526F619D"/>
    <w:rsid w:val="533E4E87"/>
    <w:rsid w:val="537100DC"/>
    <w:rsid w:val="537B63EF"/>
    <w:rsid w:val="53F31A28"/>
    <w:rsid w:val="54B95421"/>
    <w:rsid w:val="54BF03B2"/>
    <w:rsid w:val="54EA7388"/>
    <w:rsid w:val="54F66E5C"/>
    <w:rsid w:val="553B5E36"/>
    <w:rsid w:val="556628F3"/>
    <w:rsid w:val="574A6804"/>
    <w:rsid w:val="57633422"/>
    <w:rsid w:val="583C439E"/>
    <w:rsid w:val="59085D0D"/>
    <w:rsid w:val="597068EE"/>
    <w:rsid w:val="59FE03AA"/>
    <w:rsid w:val="5AD85ED5"/>
    <w:rsid w:val="5BE93A6F"/>
    <w:rsid w:val="5CFC234E"/>
    <w:rsid w:val="5D062910"/>
    <w:rsid w:val="5E500381"/>
    <w:rsid w:val="5EE055B9"/>
    <w:rsid w:val="5F181EE1"/>
    <w:rsid w:val="5FD420CB"/>
    <w:rsid w:val="5FE37B99"/>
    <w:rsid w:val="5FFE6C77"/>
    <w:rsid w:val="603E4A2C"/>
    <w:rsid w:val="60463F02"/>
    <w:rsid w:val="61A15272"/>
    <w:rsid w:val="62946B85"/>
    <w:rsid w:val="629B6165"/>
    <w:rsid w:val="632717A7"/>
    <w:rsid w:val="63CE58DF"/>
    <w:rsid w:val="643028DD"/>
    <w:rsid w:val="647C3D75"/>
    <w:rsid w:val="6642566C"/>
    <w:rsid w:val="671F4EB8"/>
    <w:rsid w:val="679D64DC"/>
    <w:rsid w:val="67B47208"/>
    <w:rsid w:val="67C43A69"/>
    <w:rsid w:val="693B5FAC"/>
    <w:rsid w:val="69FB6D03"/>
    <w:rsid w:val="6A2E45BE"/>
    <w:rsid w:val="6B193A43"/>
    <w:rsid w:val="6B656A9E"/>
    <w:rsid w:val="6BA0659B"/>
    <w:rsid w:val="6BB10325"/>
    <w:rsid w:val="6C7C2B64"/>
    <w:rsid w:val="6CC61E8B"/>
    <w:rsid w:val="6D284A9A"/>
    <w:rsid w:val="6D7D01EA"/>
    <w:rsid w:val="6D806684"/>
    <w:rsid w:val="6DC742B3"/>
    <w:rsid w:val="6F347726"/>
    <w:rsid w:val="6F5F0368"/>
    <w:rsid w:val="71C56D5B"/>
    <w:rsid w:val="72345C8F"/>
    <w:rsid w:val="725F7245"/>
    <w:rsid w:val="74933354"/>
    <w:rsid w:val="7533304D"/>
    <w:rsid w:val="75DA6B4D"/>
    <w:rsid w:val="770025E3"/>
    <w:rsid w:val="774018CA"/>
    <w:rsid w:val="77B05DB7"/>
    <w:rsid w:val="781D46BB"/>
    <w:rsid w:val="7840713B"/>
    <w:rsid w:val="78450BF6"/>
    <w:rsid w:val="78506EFD"/>
    <w:rsid w:val="789E20B4"/>
    <w:rsid w:val="78DD0E2E"/>
    <w:rsid w:val="792E168A"/>
    <w:rsid w:val="79B31B8F"/>
    <w:rsid w:val="7A0B7864"/>
    <w:rsid w:val="7A1622CC"/>
    <w:rsid w:val="7A572F57"/>
    <w:rsid w:val="7ABA48F4"/>
    <w:rsid w:val="7B114DBF"/>
    <w:rsid w:val="7B62106D"/>
    <w:rsid w:val="7BFF10BB"/>
    <w:rsid w:val="7D0A41BC"/>
    <w:rsid w:val="7E285380"/>
    <w:rsid w:val="7EA83C8C"/>
    <w:rsid w:val="7EB63BE2"/>
    <w:rsid w:val="7EF06458"/>
    <w:rsid w:val="7F495A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widowControl w:val="0"/>
      <w:spacing w:before="340" w:beforeLines="0" w:beforeAutospacing="0" w:after="330" w:afterLines="0" w:afterAutospacing="0" w:line="360" w:lineRule="auto"/>
      <w:jc w:val="center"/>
      <w:outlineLvl w:val="0"/>
    </w:pPr>
    <w:rPr>
      <w:rFonts w:ascii="Times New Roman" w:hAnsi="Times New Roman" w:eastAsia="仿宋_GB2312" w:cs="Times New Roman"/>
      <w:b/>
      <w:bCs/>
      <w:kern w:val="44"/>
      <w:sz w:val="32"/>
      <w:szCs w:val="44"/>
      <w:lang w:val="en-US" w:eastAsia="zh-CN" w:bidi="ar-SA"/>
    </w:rPr>
  </w:style>
  <w:style w:type="paragraph" w:styleId="3">
    <w:name w:val="heading 2"/>
    <w:basedOn w:val="1"/>
    <w:next w:val="1"/>
    <w:qFormat/>
    <w:uiPriority w:val="0"/>
    <w:pPr>
      <w:keepNext/>
      <w:keepLines/>
      <w:widowControl w:val="0"/>
      <w:spacing w:before="260" w:after="260" w:line="416" w:lineRule="auto"/>
      <w:jc w:val="left"/>
      <w:outlineLvl w:val="1"/>
    </w:pPr>
    <w:rPr>
      <w:rFonts w:ascii="Arial" w:hAnsi="Arial" w:eastAsia="仿宋_GB2312" w:cs="Times New Roman"/>
      <w:b/>
      <w:bCs/>
      <w:kern w:val="2"/>
      <w:sz w:val="30"/>
      <w:szCs w:val="32"/>
      <w:lang w:val="en-US" w:eastAsia="zh-CN" w:bidi="ar-SA"/>
    </w:rPr>
  </w:style>
  <w:style w:type="paragraph" w:styleId="4">
    <w:name w:val="heading 3"/>
    <w:basedOn w:val="1"/>
    <w:next w:val="1"/>
    <w:qFormat/>
    <w:uiPriority w:val="0"/>
    <w:pPr>
      <w:keepNext/>
      <w:keepLines/>
      <w:widowControl w:val="0"/>
      <w:spacing w:line="360" w:lineRule="auto"/>
      <w:jc w:val="left"/>
      <w:outlineLvl w:val="2"/>
    </w:pPr>
    <w:rPr>
      <w:rFonts w:ascii="黑体" w:hAnsi="黑体" w:eastAsia="仿宋_GB2312" w:cs="黑体"/>
      <w:bCs/>
      <w:kern w:val="2"/>
      <w:sz w:val="28"/>
      <w:szCs w:val="28"/>
      <w:lang w:val="en-US" w:eastAsia="zh-CN" w:bidi="ar-SA"/>
    </w:rPr>
  </w:style>
  <w:style w:type="paragraph" w:styleId="5">
    <w:name w:val="heading 4"/>
    <w:basedOn w:val="1"/>
    <w:next w:val="1"/>
    <w:semiHidden/>
    <w:unhideWhenUsed/>
    <w:qFormat/>
    <w:uiPriority w:val="0"/>
    <w:pPr>
      <w:keepNext/>
      <w:keepLines/>
      <w:widowControl w:val="0"/>
      <w:spacing w:before="280" w:beforeLines="0" w:beforeAutospacing="0" w:after="290" w:afterLines="0" w:afterAutospacing="0" w:line="372" w:lineRule="auto"/>
      <w:jc w:val="both"/>
      <w:outlineLvl w:val="3"/>
    </w:pPr>
    <w:rPr>
      <w:rFonts w:ascii="Arial" w:hAnsi="Arial" w:eastAsia="黑体" w:cs="Times New Roman"/>
      <w:b/>
      <w:kern w:val="2"/>
      <w:sz w:val="28"/>
      <w:szCs w:val="24"/>
      <w:lang w:val="en-US" w:eastAsia="zh-CN" w:bidi="ar-SA"/>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99"/>
    <w:pPr>
      <w:widowControl w:val="0"/>
      <w:adjustRightInd w:val="0"/>
      <w:spacing w:line="360" w:lineRule="atLeast"/>
      <w:ind w:firstLine="420"/>
      <w:jc w:val="both"/>
      <w:textAlignment w:val="baseline"/>
    </w:pPr>
    <w:rPr>
      <w:kern w:val="10"/>
      <w:szCs w:val="20"/>
    </w:rPr>
  </w:style>
  <w:style w:type="paragraph" w:styleId="7">
    <w:name w:val="annotation text"/>
    <w:semiHidden/>
    <w:qFormat/>
    <w:uiPriority w:val="0"/>
    <w:pPr>
      <w:widowControl w:val="0"/>
      <w:jc w:val="left"/>
    </w:pPr>
    <w:rPr>
      <w:rFonts w:ascii="Times New Roman" w:hAnsi="Times New Roman" w:eastAsia="宋体" w:cs="Times New Roman"/>
      <w:kern w:val="2"/>
      <w:sz w:val="21"/>
      <w:szCs w:val="24"/>
      <w:lang w:val="en-US" w:eastAsia="zh-CN" w:bidi="ar-SA"/>
    </w:rPr>
  </w:style>
  <w:style w:type="paragraph" w:styleId="8">
    <w:name w:val="Body Text"/>
    <w:basedOn w:val="1"/>
    <w:autoRedefine/>
    <w:qFormat/>
    <w:uiPriority w:val="0"/>
    <w:pPr>
      <w:widowControl w:val="0"/>
      <w:spacing w:after="120"/>
      <w:jc w:val="both"/>
    </w:pPr>
    <w:rPr>
      <w:rFonts w:ascii="Times New Roman" w:hAnsi="Times New Roman" w:eastAsia="宋体" w:cs="Times New Roman"/>
      <w:kern w:val="2"/>
      <w:sz w:val="21"/>
      <w:szCs w:val="24"/>
      <w:lang w:val="en-US" w:eastAsia="zh-CN" w:bidi="ar-SA"/>
    </w:rPr>
  </w:style>
  <w:style w:type="paragraph" w:styleId="9">
    <w:name w:val="footer"/>
    <w:basedOn w:val="1"/>
    <w:autoRedefine/>
    <w:qFormat/>
    <w:uiPriority w:val="99"/>
    <w:pPr>
      <w:widowControl w:val="0"/>
      <w:tabs>
        <w:tab w:val="center" w:pos="4153"/>
        <w:tab w:val="right" w:pos="8306"/>
      </w:tabs>
      <w:snapToGrid w:val="0"/>
      <w:jc w:val="left"/>
    </w:pPr>
    <w:rPr>
      <w:rFonts w:ascii="Times New Roman" w:hAnsi="Times New Roman" w:eastAsia="宋体" w:cs="Times New Roman"/>
      <w:kern w:val="2"/>
      <w:sz w:val="18"/>
      <w:szCs w:val="18"/>
      <w:lang w:val="en-US" w:eastAsia="zh-CN" w:bidi="ar-SA"/>
    </w:rPr>
  </w:style>
  <w:style w:type="paragraph" w:styleId="10">
    <w:name w:val="header"/>
    <w:basedOn w:val="1"/>
    <w:next w:val="1"/>
    <w:autoRedefine/>
    <w:qFormat/>
    <w:uiPriority w:val="99"/>
    <w:pPr>
      <w:widowControl w:val="0"/>
      <w:pBdr>
        <w:bottom w:val="single" w:color="auto" w:sz="6" w:space="1"/>
      </w:pBdr>
      <w:tabs>
        <w:tab w:val="center" w:pos="4153"/>
        <w:tab w:val="right" w:pos="8306"/>
      </w:tabs>
      <w:snapToGrid w:val="0"/>
      <w:jc w:val="center"/>
    </w:pPr>
    <w:rPr>
      <w:rFonts w:ascii="宋体" w:hAnsi="宋体" w:eastAsia="宋体" w:cs="Times New Roman"/>
      <w:kern w:val="2"/>
      <w:sz w:val="18"/>
      <w:szCs w:val="18"/>
      <w:lang w:val="en-US" w:eastAsia="zh-CN" w:bidi="ar-SA"/>
    </w:rPr>
  </w:style>
  <w:style w:type="paragraph" w:styleId="11">
    <w:name w:val="toc 1"/>
    <w:next w:val="1"/>
    <w:autoRedefine/>
    <w:qFormat/>
    <w:uiPriority w:val="39"/>
    <w:pPr>
      <w:widowControl w:val="0"/>
      <w:jc w:val="both"/>
    </w:pPr>
    <w:rPr>
      <w:rFonts w:ascii="Times New Roman" w:hAnsi="Times New Roman" w:eastAsia="宋体" w:cs="Times New Roman"/>
      <w:kern w:val="2"/>
      <w:sz w:val="21"/>
      <w:szCs w:val="24"/>
      <w:lang w:val="en-US" w:eastAsia="zh-CN" w:bidi="ar-SA"/>
    </w:rPr>
  </w:style>
  <w:style w:type="paragraph" w:styleId="12">
    <w:name w:val="Subtitle"/>
    <w:basedOn w:val="1"/>
    <w:next w:val="13"/>
    <w:qFormat/>
    <w:uiPriority w:val="0"/>
    <w:pPr>
      <w:widowControl w:val="0"/>
      <w:spacing w:before="240" w:after="60" w:line="312" w:lineRule="auto"/>
      <w:jc w:val="center"/>
      <w:outlineLvl w:val="1"/>
    </w:pPr>
    <w:rPr>
      <w:rFonts w:ascii="Arial" w:hAnsi="Arial"/>
      <w:b/>
      <w:kern w:val="28"/>
      <w:sz w:val="32"/>
      <w:szCs w:val="20"/>
    </w:rPr>
  </w:style>
  <w:style w:type="paragraph" w:customStyle="1" w:styleId="13">
    <w:name w:val="w正文"/>
    <w:basedOn w:val="1"/>
    <w:autoRedefine/>
    <w:qFormat/>
    <w:uiPriority w:val="99"/>
    <w:pPr>
      <w:widowControl/>
    </w:pPr>
    <w:rPr>
      <w:rFonts w:ascii="仿宋_GB2312" w:eastAsia="宋体"/>
      <w:szCs w:val="28"/>
    </w:rPr>
  </w:style>
  <w:style w:type="paragraph" w:styleId="14">
    <w:name w:val="toc 2"/>
    <w:next w:val="1"/>
    <w:autoRedefine/>
    <w:qFormat/>
    <w:uiPriority w:val="39"/>
    <w:pPr>
      <w:widowControl w:val="0"/>
      <w:ind w:left="420" w:leftChars="200"/>
      <w:jc w:val="both"/>
    </w:pPr>
    <w:rPr>
      <w:rFonts w:ascii="Times New Roman" w:hAnsi="Times New Roman" w:eastAsia="宋体" w:cs="Times New Roman"/>
      <w:kern w:val="2"/>
      <w:sz w:val="21"/>
      <w:szCs w:val="24"/>
      <w:lang w:val="en-US" w:eastAsia="zh-CN" w:bidi="ar-SA"/>
    </w:rPr>
  </w:style>
  <w:style w:type="paragraph" w:styleId="15">
    <w:name w:val="Title"/>
    <w:autoRedefine/>
    <w:qFormat/>
    <w:uiPriority w:val="0"/>
    <w:pPr>
      <w:widowControl w:val="0"/>
      <w:spacing w:before="240" w:beforeLines="0" w:beforeAutospacing="0" w:after="60" w:afterLines="0" w:afterAutospacing="0"/>
      <w:jc w:val="center"/>
      <w:outlineLvl w:val="0"/>
    </w:pPr>
    <w:rPr>
      <w:rFonts w:ascii="Arial" w:hAnsi="Arial" w:eastAsia="宋体" w:cs="Times New Roman"/>
      <w:b/>
      <w:kern w:val="2"/>
      <w:sz w:val="32"/>
      <w:szCs w:val="24"/>
      <w:lang w:val="en-US" w:eastAsia="zh-CN" w:bidi="ar-SA"/>
    </w:rPr>
  </w:style>
  <w:style w:type="paragraph" w:styleId="16">
    <w:name w:val="Body Text First Indent"/>
    <w:basedOn w:val="8"/>
    <w:next w:val="1"/>
    <w:autoRedefine/>
    <w:qFormat/>
    <w:uiPriority w:val="0"/>
    <w:pPr>
      <w:spacing w:line="360" w:lineRule="auto"/>
      <w:ind w:firstLine="420" w:firstLineChars="100"/>
    </w:pPr>
    <w:rPr>
      <w:sz w:val="24"/>
    </w:rPr>
  </w:style>
  <w:style w:type="paragraph" w:styleId="17">
    <w:name w:val="Body Text First Indent 2"/>
    <w:autoRedefine/>
    <w:unhideWhenUsed/>
    <w:qFormat/>
    <w:uiPriority w:val="0"/>
    <w:pPr>
      <w:widowControl w:val="0"/>
      <w:tabs>
        <w:tab w:val="left" w:pos="1620"/>
        <w:tab w:val="left" w:pos="3600"/>
      </w:tabs>
      <w:spacing w:after="120" w:afterLines="0"/>
      <w:ind w:left="420" w:leftChars="200" w:firstLine="420" w:firstLineChars="200"/>
      <w:jc w:val="both"/>
    </w:pPr>
    <w:rPr>
      <w:rFonts w:ascii="Times New Roman" w:hAnsi="Times New Roman" w:eastAsia="宋体" w:cs="Times New Roman"/>
      <w:kern w:val="0"/>
      <w:sz w:val="20"/>
      <w:szCs w:val="20"/>
      <w:lang w:val="en-US" w:eastAsia="zh-CN" w:bidi="ar-SA"/>
    </w:rPr>
  </w:style>
  <w:style w:type="table" w:styleId="19">
    <w:name w:val="Table Grid"/>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page number"/>
    <w:autoRedefine/>
    <w:qFormat/>
    <w:uiPriority w:val="0"/>
    <w:rPr>
      <w:rFonts w:eastAsia="仿宋_GB2312" w:cs="Times New Roman"/>
      <w:szCs w:val="24"/>
    </w:rPr>
  </w:style>
  <w:style w:type="paragraph" w:customStyle="1" w:styleId="23">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4">
    <w:name w:val="_Style 7"/>
    <w:next w:val="1"/>
    <w:autoRedefine/>
    <w:unhideWhenUsed/>
    <w:qFormat/>
    <w:uiPriority w:val="39"/>
    <w:pPr>
      <w:keepNext/>
      <w:keepLines/>
      <w:widowControl/>
      <w:spacing w:before="480" w:beforeLines="0" w:beforeAutospacing="0" w:after="0" w:afterLines="0" w:afterAutospacing="0" w:line="276" w:lineRule="auto"/>
      <w:jc w:val="left"/>
      <w:outlineLvl w:val="9"/>
    </w:pPr>
    <w:rPr>
      <w:rFonts w:ascii="Cambria" w:hAnsi="Cambria" w:eastAsia="宋体" w:cs="Times New Roman"/>
      <w:b/>
      <w:bCs/>
      <w:color w:val="365F91"/>
      <w:kern w:val="0"/>
      <w:sz w:val="28"/>
      <w:szCs w:val="28"/>
      <w:lang w:val="en-US" w:eastAsia="zh-CN" w:bidi="ar-SA"/>
    </w:rPr>
  </w:style>
  <w:style w:type="paragraph" w:customStyle="1" w:styleId="25">
    <w:name w:val="1正文版式"/>
    <w:qFormat/>
    <w:uiPriority w:val="0"/>
    <w:pPr>
      <w:widowControl w:val="0"/>
      <w:tabs>
        <w:tab w:val="left" w:pos="3514"/>
      </w:tabs>
      <w:adjustRightInd w:val="0"/>
      <w:snapToGrid w:val="0"/>
      <w:spacing w:line="480" w:lineRule="exact"/>
      <w:ind w:firstLine="200" w:firstLineChars="200"/>
      <w:jc w:val="both"/>
    </w:pPr>
    <w:rPr>
      <w:rFonts w:ascii="Times New Roman" w:hAnsi="Times New Roman" w:eastAsia="宋体" w:cs="Times New Roman"/>
      <w:kern w:val="2"/>
      <w:sz w:val="24"/>
      <w:szCs w:val="20"/>
      <w:lang w:val="en-US" w:eastAsia="zh-CN" w:bidi="ar-SA"/>
    </w:rPr>
  </w:style>
  <w:style w:type="paragraph" w:customStyle="1" w:styleId="26">
    <w:name w:val="正文 New New New New New New New New New New New New New New New New New New New"/>
    <w:autoRedefine/>
    <w:qFormat/>
    <w:uiPriority w:val="0"/>
    <w:pPr>
      <w:widowControl w:val="0"/>
      <w:jc w:val="both"/>
    </w:pPr>
    <w:rPr>
      <w:rFonts w:ascii="Times New Roman" w:hAnsi="Times New Roman" w:eastAsia="宋体" w:cs="Times New Roman"/>
      <w:kern w:val="2"/>
      <w:sz w:val="24"/>
      <w:lang w:val="en-US" w:eastAsia="zh-CN" w:bidi="ar-SA"/>
    </w:rPr>
  </w:style>
  <w:style w:type="paragraph" w:customStyle="1" w:styleId="27">
    <w:name w:val="表编号"/>
    <w:autoRedefine/>
    <w:qFormat/>
    <w:uiPriority w:val="0"/>
    <w:pPr>
      <w:widowControl w:val="0"/>
      <w:adjustRightInd w:val="0"/>
      <w:snapToGrid w:val="0"/>
      <w:jc w:val="left"/>
    </w:pPr>
    <w:rPr>
      <w:rFonts w:ascii="Times New Roman" w:hAnsi="Times New Roman" w:eastAsia="宋体" w:cs="Times New Roman"/>
      <w:b/>
      <w:kern w:val="2"/>
      <w:sz w:val="21"/>
      <w:szCs w:val="20"/>
      <w:lang w:val="en-US" w:eastAsia="zh-CN" w:bidi="ar-SA"/>
    </w:rPr>
  </w:style>
  <w:style w:type="paragraph" w:customStyle="1" w:styleId="28">
    <w:name w:val="表文"/>
    <w:next w:val="1"/>
    <w:autoRedefine/>
    <w:qFormat/>
    <w:uiPriority w:val="0"/>
    <w:pPr>
      <w:widowControl w:val="0"/>
      <w:autoSpaceDE w:val="0"/>
      <w:autoSpaceDN w:val="0"/>
      <w:adjustRightInd w:val="0"/>
      <w:spacing w:before="20"/>
      <w:jc w:val="both"/>
      <w:textAlignment w:val="baseline"/>
    </w:pPr>
    <w:rPr>
      <w:rFonts w:ascii="Times New Roman" w:hAnsi="Times New Roman" w:eastAsia="宋体" w:cs="Times New Roman"/>
      <w:kern w:val="0"/>
      <w:sz w:val="21"/>
      <w:szCs w:val="20"/>
      <w:lang w:val="en-US" w:eastAsia="zh-CN" w:bidi="ar-SA"/>
    </w:rPr>
  </w:style>
  <w:style w:type="paragraph" w:customStyle="1" w:styleId="29">
    <w:name w:val="标题4"/>
    <w:next w:val="1"/>
    <w:autoRedefine/>
    <w:qFormat/>
    <w:uiPriority w:val="0"/>
    <w:pPr>
      <w:keepNext/>
      <w:keepLines/>
      <w:widowControl w:val="0"/>
      <w:spacing w:line="360" w:lineRule="auto"/>
      <w:ind w:firstLine="0" w:firstLineChars="0"/>
      <w:jc w:val="left"/>
      <w:outlineLvl w:val="3"/>
    </w:pPr>
    <w:rPr>
      <w:rFonts w:ascii="Times New Roman" w:hAnsi="Times New Roman" w:eastAsia="宋体" w:cs="Calibri"/>
      <w:b/>
      <w:bCs/>
      <w:kern w:val="2"/>
      <w:sz w:val="28"/>
      <w:szCs w:val="18"/>
      <w:lang w:val="en-US" w:eastAsia="zh-CN" w:bidi="ar-SA"/>
    </w:rPr>
  </w:style>
  <w:style w:type="character" w:customStyle="1" w:styleId="30">
    <w:name w:val="font31"/>
    <w:basedOn w:val="20"/>
    <w:autoRedefine/>
    <w:qFormat/>
    <w:uiPriority w:val="0"/>
    <w:rPr>
      <w:rFonts w:hint="default" w:ascii="Times New Roman" w:hAnsi="Times New Roman" w:cs="Times New Roman"/>
      <w:color w:val="000000"/>
      <w:sz w:val="18"/>
      <w:szCs w:val="18"/>
      <w:u w:val="none"/>
    </w:rPr>
  </w:style>
  <w:style w:type="character" w:customStyle="1" w:styleId="31">
    <w:name w:val="font11"/>
    <w:basedOn w:val="20"/>
    <w:qFormat/>
    <w:uiPriority w:val="0"/>
    <w:rPr>
      <w:rFonts w:hint="default" w:ascii="Times New Roman" w:hAnsi="Times New Roman" w:cs="Times New Roman"/>
      <w:color w:val="000000"/>
      <w:sz w:val="18"/>
      <w:szCs w:val="18"/>
      <w:u w:val="none"/>
      <w:vertAlign w:val="superscript"/>
    </w:rPr>
  </w:style>
  <w:style w:type="character" w:customStyle="1" w:styleId="32">
    <w:name w:val="font21"/>
    <w:basedOn w:val="20"/>
    <w:autoRedefine/>
    <w:qFormat/>
    <w:uiPriority w:val="0"/>
    <w:rPr>
      <w:rFonts w:hint="default" w:ascii="Times New Roman" w:hAnsi="Times New Roman" w:cs="Times New Roman"/>
      <w:color w:val="000000"/>
      <w:sz w:val="18"/>
      <w:szCs w:val="18"/>
      <w:u w:val="none"/>
    </w:rPr>
  </w:style>
  <w:style w:type="character" w:customStyle="1" w:styleId="33">
    <w:name w:val="font51"/>
    <w:basedOn w:val="20"/>
    <w:autoRedefine/>
    <w:qFormat/>
    <w:uiPriority w:val="0"/>
    <w:rPr>
      <w:rFonts w:hint="default" w:ascii="Times New Roman" w:hAnsi="Times New Roman" w:cs="Times New Roman"/>
      <w:color w:val="000000"/>
      <w:sz w:val="18"/>
      <w:szCs w:val="18"/>
      <w:u w:val="none"/>
    </w:rPr>
  </w:style>
  <w:style w:type="character" w:customStyle="1" w:styleId="34">
    <w:name w:val="font41"/>
    <w:basedOn w:val="20"/>
    <w:autoRedefine/>
    <w:qFormat/>
    <w:uiPriority w:val="0"/>
    <w:rPr>
      <w:rFonts w:hint="default" w:ascii="仿宋_GB2312" w:eastAsia="仿宋_GB2312" w:cs="仿宋_GB2312"/>
      <w:color w:val="000000"/>
      <w:sz w:val="18"/>
      <w:szCs w:val="18"/>
      <w:u w:val="none"/>
    </w:rPr>
  </w:style>
  <w:style w:type="paragraph" w:customStyle="1" w:styleId="35">
    <w:name w:val="正文 宋体"/>
    <w:basedOn w:val="8"/>
    <w:qFormat/>
    <w:uiPriority w:val="0"/>
    <w:pPr>
      <w:autoSpaceDE/>
      <w:autoSpaceDN/>
      <w:adjustRightInd/>
      <w:snapToGrid/>
      <w:spacing w:after="0"/>
    </w:pPr>
    <w:rPr>
      <w:rFonts w:eastAsia="Times New Roman"/>
      <w:color w:val="FF0000"/>
    </w:rPr>
  </w:style>
  <w:style w:type="paragraph" w:customStyle="1" w:styleId="36">
    <w:name w:val="方案正文样式"/>
    <w:basedOn w:val="1"/>
    <w:autoRedefine/>
    <w:qFormat/>
    <w:uiPriority w:val="0"/>
    <w:pPr>
      <w:adjustRightInd w:val="0"/>
      <w:snapToGrid w:val="0"/>
      <w:spacing w:line="360" w:lineRule="auto"/>
      <w:ind w:firstLine="200" w:firstLineChars="200"/>
      <w:textAlignment w:val="baseline"/>
    </w:pPr>
    <w:rPr>
      <w:rFonts w:eastAsia="宋体"/>
      <w:snapToGrid w:val="0"/>
      <w:kern w:val="0"/>
    </w:rPr>
  </w:style>
  <w:style w:type="table" w:customStyle="1" w:styleId="3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13.jpeg"/><Relationship Id="rId48" Type="http://schemas.openxmlformats.org/officeDocument/2006/relationships/image" Target="media/image12.jpeg"/><Relationship Id="rId47" Type="http://schemas.openxmlformats.org/officeDocument/2006/relationships/image" Target="media/image11.wmf"/><Relationship Id="rId46" Type="http://schemas.openxmlformats.org/officeDocument/2006/relationships/image" Target="media/image10.wmf"/><Relationship Id="rId45" Type="http://schemas.openxmlformats.org/officeDocument/2006/relationships/image" Target="media/image9.wmf"/><Relationship Id="rId44" Type="http://schemas.openxmlformats.org/officeDocument/2006/relationships/image" Target="media/image8.wmf"/><Relationship Id="rId43" Type="http://schemas.openxmlformats.org/officeDocument/2006/relationships/oleObject" Target="embeddings/oleObject1.bin"/><Relationship Id="rId42" Type="http://schemas.openxmlformats.org/officeDocument/2006/relationships/image" Target="media/image7.png"/><Relationship Id="rId41" Type="http://schemas.openxmlformats.org/officeDocument/2006/relationships/image" Target="media/image6.jpeg"/><Relationship Id="rId40" Type="http://schemas.openxmlformats.org/officeDocument/2006/relationships/image" Target="media/image5.jpeg"/><Relationship Id="rId4" Type="http://schemas.openxmlformats.org/officeDocument/2006/relationships/header" Target="header2.xml"/><Relationship Id="rId39" Type="http://schemas.openxmlformats.org/officeDocument/2006/relationships/image" Target="media/image4.jpeg"/><Relationship Id="rId38" Type="http://schemas.openxmlformats.org/officeDocument/2006/relationships/image" Target="media/image3.jpeg"/><Relationship Id="rId37" Type="http://schemas.openxmlformats.org/officeDocument/2006/relationships/image" Target="media/image2.jpeg"/><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header" Target="header21.xml"/><Relationship Id="rId33" Type="http://schemas.openxmlformats.org/officeDocument/2006/relationships/header" Target="header20.xml"/><Relationship Id="rId32" Type="http://schemas.openxmlformats.org/officeDocument/2006/relationships/header" Target="header19.xml"/><Relationship Id="rId31" Type="http://schemas.openxmlformats.org/officeDocument/2006/relationships/header" Target="header18.xml"/><Relationship Id="rId30" Type="http://schemas.openxmlformats.org/officeDocument/2006/relationships/header" Target="header17.xml"/><Relationship Id="rId3" Type="http://schemas.openxmlformats.org/officeDocument/2006/relationships/header" Target="header1.xml"/><Relationship Id="rId29" Type="http://schemas.openxmlformats.org/officeDocument/2006/relationships/header" Target="header16.xml"/><Relationship Id="rId28" Type="http://schemas.openxmlformats.org/officeDocument/2006/relationships/header" Target="header15.xml"/><Relationship Id="rId27" Type="http://schemas.openxmlformats.org/officeDocument/2006/relationships/header" Target="header14.xml"/><Relationship Id="rId26" Type="http://schemas.openxmlformats.org/officeDocument/2006/relationships/header" Target="header13.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1627</Words>
  <Characters>2006</Characters>
  <Lines>0</Lines>
  <Paragraphs>0</Paragraphs>
  <TotalTime>8</TotalTime>
  <ScaleCrop>false</ScaleCrop>
  <LinksUpToDate>false</LinksUpToDate>
  <CharactersWithSpaces>2395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2021-05-06T01:57:00Z</dcterms:created>
  <dc:creator>Administrator</dc:creator>
  <cp:lastModifiedBy>1+1=2</cp:lastModifiedBy>
  <dcterms:modified xsi:type="dcterms:W3CDTF">2025-10-22T05:50:45Z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87BBB03C70D44D2B9A1AA7071CA4F879</vt:lpwstr>
  </property>
  <property fmtid="{D5CDD505-2E9C-101B-9397-08002B2CF9AE}" pid="4" name="KSOTemplateDocerSaveRecord">
    <vt:lpwstr>eyJoZGlkIjoiMDkwMTY4NmE0MTg3Mjg2ZmViZTk3YzI3N2M2YjQ5YzMiLCJ1c2VySWQiOiIzMzI4NTk4NDMifQ==</vt:lpwstr>
  </property>
</Properties>
</file>