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D1AF">
      <w:pPr>
        <w:spacing w:before="57" w:line="302" w:lineRule="auto"/>
        <w:ind w:left="3718" w:right="265" w:hanging="3299"/>
        <w:outlineLvl w:val="0"/>
        <w:rPr>
          <w:rFonts w:ascii="仿宋" w:hAnsi="仿宋" w:eastAsia="仿宋" w:cs="仿宋"/>
          <w:sz w:val="29"/>
          <w:szCs w:val="29"/>
        </w:rPr>
      </w:pPr>
      <w:r>
        <w:rPr>
          <w:rFonts w:ascii="仿宋" w:hAnsi="仿宋" w:eastAsia="仿宋" w:cs="仿宋"/>
          <w:b/>
          <w:bCs/>
          <w:spacing w:val="7"/>
          <w:sz w:val="29"/>
          <w:szCs w:val="29"/>
        </w:rPr>
        <w:t>剑阁县义兴镇干部职工周转房建设项目水土保持方案报告表</w:t>
      </w:r>
      <w:r>
        <w:rPr>
          <w:rFonts w:ascii="仿宋" w:hAnsi="仿宋" w:eastAsia="仿宋" w:cs="仿宋"/>
          <w:spacing w:val="3"/>
          <w:sz w:val="29"/>
          <w:szCs w:val="29"/>
        </w:rPr>
        <w:t xml:space="preserve"> </w:t>
      </w:r>
      <w:r>
        <w:rPr>
          <w:rFonts w:ascii="仿宋" w:hAnsi="仿宋" w:eastAsia="仿宋" w:cs="仿宋"/>
          <w:b/>
          <w:bCs/>
          <w:spacing w:val="-2"/>
          <w:sz w:val="29"/>
          <w:szCs w:val="29"/>
        </w:rPr>
        <w:t>专家意见</w:t>
      </w:r>
    </w:p>
    <w:p w14:paraId="2387AF63">
      <w:pPr>
        <w:spacing w:line="207" w:lineRule="exact"/>
      </w:pPr>
    </w:p>
    <w:tbl>
      <w:tblPr>
        <w:tblStyle w:val="4"/>
        <w:tblW w:w="84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3"/>
        <w:gridCol w:w="1489"/>
        <w:gridCol w:w="1259"/>
        <w:gridCol w:w="3821"/>
      </w:tblGrid>
      <w:tr w14:paraId="0D9E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13" w:type="dxa"/>
            <w:vAlign w:val="top"/>
          </w:tcPr>
          <w:p w14:paraId="7CCF56ED">
            <w:pPr>
              <w:pStyle w:val="5"/>
              <w:spacing w:before="115" w:line="219" w:lineRule="auto"/>
              <w:ind w:left="695"/>
            </w:pPr>
            <w:r>
              <w:rPr>
                <w:spacing w:val="16"/>
              </w:rPr>
              <w:t>姓名</w:t>
            </w:r>
          </w:p>
        </w:tc>
        <w:tc>
          <w:tcPr>
            <w:tcW w:w="1489" w:type="dxa"/>
            <w:vAlign w:val="top"/>
          </w:tcPr>
          <w:p w14:paraId="23B580B1">
            <w:pPr>
              <w:pStyle w:val="5"/>
              <w:spacing w:before="116" w:line="220" w:lineRule="auto"/>
              <w:ind w:left="362"/>
            </w:pPr>
            <w:r>
              <w:rPr>
                <w:spacing w:val="6"/>
              </w:rPr>
              <w:t>冷天利</w:t>
            </w:r>
          </w:p>
        </w:tc>
        <w:tc>
          <w:tcPr>
            <w:tcW w:w="1259" w:type="dxa"/>
            <w:vAlign w:val="top"/>
          </w:tcPr>
          <w:p w14:paraId="4F313ED3">
            <w:pPr>
              <w:pStyle w:val="5"/>
              <w:spacing w:before="116" w:line="220" w:lineRule="auto"/>
              <w:ind w:left="153"/>
            </w:pPr>
            <w:r>
              <w:rPr>
                <w:spacing w:val="2"/>
              </w:rPr>
              <w:t>工作单位</w:t>
            </w:r>
          </w:p>
        </w:tc>
        <w:tc>
          <w:tcPr>
            <w:tcW w:w="3821" w:type="dxa"/>
            <w:tcBorders>
              <w:right w:val="single" w:color="000000" w:sz="2" w:space="0"/>
            </w:tcBorders>
            <w:vAlign w:val="top"/>
          </w:tcPr>
          <w:p w14:paraId="67429469">
            <w:pPr>
              <w:pStyle w:val="5"/>
              <w:spacing w:before="115" w:line="219" w:lineRule="auto"/>
              <w:ind w:left="233"/>
            </w:pPr>
            <w:r>
              <w:t>乐山水土保持生态环境监测分站</w:t>
            </w:r>
          </w:p>
        </w:tc>
      </w:tr>
      <w:tr w14:paraId="03234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13" w:type="dxa"/>
            <w:vAlign w:val="top"/>
          </w:tcPr>
          <w:p w14:paraId="75E66512">
            <w:pPr>
              <w:pStyle w:val="5"/>
              <w:spacing w:before="114" w:line="221" w:lineRule="auto"/>
              <w:ind w:left="695"/>
            </w:pPr>
            <w:r>
              <w:rPr>
                <w:spacing w:val="6"/>
              </w:rPr>
              <w:t>职称</w:t>
            </w:r>
          </w:p>
        </w:tc>
        <w:tc>
          <w:tcPr>
            <w:tcW w:w="1489" w:type="dxa"/>
            <w:vAlign w:val="top"/>
          </w:tcPr>
          <w:p w14:paraId="0C05D907">
            <w:pPr>
              <w:pStyle w:val="5"/>
              <w:spacing w:before="111" w:line="219" w:lineRule="auto"/>
              <w:ind w:left="111"/>
            </w:pPr>
            <w:r>
              <w:rPr>
                <w:spacing w:val="2"/>
              </w:rPr>
              <w:t>高级工程师</w:t>
            </w:r>
          </w:p>
        </w:tc>
        <w:tc>
          <w:tcPr>
            <w:tcW w:w="5080" w:type="dxa"/>
            <w:gridSpan w:val="2"/>
            <w:tcBorders>
              <w:right w:val="single" w:color="000000" w:sz="2" w:space="0"/>
            </w:tcBorders>
            <w:vAlign w:val="top"/>
          </w:tcPr>
          <w:p w14:paraId="68ED1572">
            <w:pPr>
              <w:rPr>
                <w:rFonts w:ascii="Arial"/>
                <w:sz w:val="21"/>
              </w:rPr>
            </w:pPr>
          </w:p>
        </w:tc>
      </w:tr>
      <w:tr w14:paraId="6A8B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913" w:type="dxa"/>
            <w:vAlign w:val="top"/>
          </w:tcPr>
          <w:p w14:paraId="40188B16">
            <w:pPr>
              <w:pStyle w:val="5"/>
              <w:spacing w:before="111" w:line="219" w:lineRule="auto"/>
              <w:ind w:left="74"/>
            </w:pPr>
            <w:r>
              <w:rPr>
                <w:spacing w:val="1"/>
              </w:rPr>
              <w:t>专家库在库编码</w:t>
            </w:r>
          </w:p>
        </w:tc>
        <w:tc>
          <w:tcPr>
            <w:tcW w:w="6569" w:type="dxa"/>
            <w:gridSpan w:val="3"/>
            <w:tcBorders>
              <w:right w:val="single" w:color="000000" w:sz="2" w:space="0"/>
            </w:tcBorders>
            <w:vAlign w:val="top"/>
          </w:tcPr>
          <w:p w14:paraId="54FAA19A">
            <w:pPr>
              <w:pStyle w:val="5"/>
              <w:spacing w:before="174" w:line="183" w:lineRule="auto"/>
              <w:ind w:left="2695"/>
            </w:pPr>
            <w:r>
              <w:rPr>
                <w:b/>
                <w:bCs/>
                <w:spacing w:val="-4"/>
              </w:rPr>
              <w:t>CSZ-ST060</w:t>
            </w:r>
          </w:p>
        </w:tc>
      </w:tr>
      <w:tr w14:paraId="39935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6" w:hRule="atLeast"/>
        </w:trPr>
        <w:tc>
          <w:tcPr>
            <w:tcW w:w="8482" w:type="dxa"/>
            <w:gridSpan w:val="4"/>
            <w:tcBorders>
              <w:right w:val="single" w:color="000000" w:sz="2" w:space="0"/>
            </w:tcBorders>
            <w:vAlign w:val="top"/>
          </w:tcPr>
          <w:p w14:paraId="147E949E">
            <w:pPr>
              <w:pStyle w:val="5"/>
              <w:spacing w:before="90" w:line="347" w:lineRule="auto"/>
              <w:ind w:left="95" w:firstLine="477"/>
            </w:pPr>
            <w:r>
              <w:rPr>
                <w:spacing w:val="-9"/>
              </w:rPr>
              <w:t>根据《生产建设项目水土保持技术标准》(GB50433-2018)和《生产建设项目</w:t>
            </w:r>
            <w:r>
              <w:rPr>
                <w:spacing w:val="10"/>
              </w:rPr>
              <w:t xml:space="preserve"> </w:t>
            </w:r>
            <w:r>
              <w:t>水土流失防治标准》(GB/T50434-2018)等相关规定，于2025年10</w:t>
            </w:r>
            <w:r>
              <w:rPr>
                <w:spacing w:val="-1"/>
              </w:rPr>
              <w:t>月22日对剑</w:t>
            </w:r>
            <w:r>
              <w:t xml:space="preserve">  </w:t>
            </w:r>
            <w:r>
              <w:rPr>
                <w:spacing w:val="-12"/>
              </w:rPr>
              <w:t>阁县义兴镇人民政府建设的《剑阁县义兴镇干部职工周转房建设项目水土保持方</w:t>
            </w:r>
            <w:r>
              <w:rPr>
                <w:spacing w:val="12"/>
              </w:rPr>
              <w:t xml:space="preserve"> </w:t>
            </w:r>
            <w:r>
              <w:rPr>
                <w:spacing w:val="-1"/>
              </w:rPr>
              <w:t>案报告表》进行了技术审查，提出修改意见如下：</w:t>
            </w:r>
          </w:p>
          <w:p w14:paraId="3316F462">
            <w:pPr>
              <w:pStyle w:val="5"/>
              <w:spacing w:before="4" w:line="346" w:lineRule="auto"/>
              <w:ind w:left="15" w:firstLine="552"/>
              <w:jc w:val="both"/>
            </w:pPr>
            <w:r>
              <w:rPr>
                <w:spacing w:val="-7"/>
              </w:rPr>
              <w:t>剑阁县义兴镇干部职工周转房建设项目位于广元市剑阁县义兴镇人民政府</w:t>
            </w:r>
            <w:r>
              <w:rPr>
                <w:spacing w:val="8"/>
              </w:rPr>
              <w:t xml:space="preserve">  </w:t>
            </w:r>
            <w:r>
              <w:rPr>
                <w:spacing w:val="-15"/>
              </w:rPr>
              <w:t>西北侧，地理坐标东经105°24'19.5</w:t>
            </w:r>
            <w:r>
              <w:rPr>
                <w:spacing w:val="-16"/>
              </w:rPr>
              <w:t>388"、北纬31°53'39.8717"。项目建设性质为</w:t>
            </w:r>
            <w:r>
              <w:t xml:space="preserve">  </w:t>
            </w:r>
            <w:r>
              <w:rPr>
                <w:spacing w:val="-4"/>
              </w:rPr>
              <w:t>新建、建设类项目，项目建设内容及规模：总用地面积0.05hm²(493.23m²),建</w:t>
            </w:r>
            <w:r>
              <w:rPr>
                <w:spacing w:val="8"/>
              </w:rPr>
              <w:t xml:space="preserve">  </w:t>
            </w:r>
            <w:r>
              <w:rPr>
                <w:spacing w:val="-1"/>
              </w:rPr>
              <w:t>筑面积1330m²,均为地上建筑面积，容积率2.70,建筑密度53.40%,绿地率20%。</w:t>
            </w:r>
            <w:r>
              <w:rPr>
                <w:spacing w:val="3"/>
              </w:rPr>
              <w:t xml:space="preserve"> </w:t>
            </w:r>
            <w:r>
              <w:rPr>
                <w:spacing w:val="-2"/>
              </w:rPr>
              <w:t>建设内容包括新建干部周转房1栋(38套),配套附</w:t>
            </w:r>
            <w:r>
              <w:rPr>
                <w:spacing w:val="-3"/>
              </w:rPr>
              <w:t>属设施建设及居住设备购置。</w:t>
            </w:r>
          </w:p>
          <w:p w14:paraId="3D489791">
            <w:pPr>
              <w:pStyle w:val="5"/>
              <w:spacing w:before="3" w:line="349" w:lineRule="auto"/>
              <w:ind w:left="45" w:firstLine="529"/>
              <w:jc w:val="both"/>
            </w:pPr>
            <w:r>
              <w:rPr>
                <w:spacing w:val="-2"/>
              </w:rPr>
              <w:t>项目总占地面积为0.05hm²(493.</w:t>
            </w:r>
            <w:r>
              <w:rPr>
                <w:spacing w:val="-3"/>
              </w:rPr>
              <w:t>23m²),均为永久占地。其中建构筑物工程</w:t>
            </w:r>
            <w:r>
              <w:t xml:space="preserve"> </w:t>
            </w:r>
            <w:r>
              <w:rPr>
                <w:spacing w:val="5"/>
              </w:rPr>
              <w:t>区0.03</w:t>
            </w:r>
            <w:r>
              <w:t>hm</w:t>
            </w:r>
            <w:r>
              <w:rPr>
                <w:spacing w:val="5"/>
              </w:rPr>
              <w:t>²,硬化工程区0.01</w:t>
            </w:r>
            <w:r>
              <w:t>hm</w:t>
            </w:r>
            <w:r>
              <w:rPr>
                <w:spacing w:val="5"/>
              </w:rPr>
              <w:t>²,绿化工程</w:t>
            </w:r>
            <w:r>
              <w:rPr>
                <w:spacing w:val="4"/>
              </w:rPr>
              <w:t>区0.01</w:t>
            </w:r>
            <w:r>
              <w:t>hm</w:t>
            </w:r>
            <w:r>
              <w:rPr>
                <w:spacing w:val="4"/>
              </w:rPr>
              <w:t>²,占地类型为林地、其他</w:t>
            </w:r>
            <w:r>
              <w:t xml:space="preserve"> </w:t>
            </w:r>
            <w:r>
              <w:rPr>
                <w:spacing w:val="6"/>
              </w:rPr>
              <w:t>土地。项目挖方总量为0.09万m³(其中表土剥离0.01万m³),填方总量为0.09</w:t>
            </w:r>
            <w:r>
              <w:rPr>
                <w:spacing w:val="5"/>
              </w:rPr>
              <w:t xml:space="preserve"> </w:t>
            </w:r>
            <w:r>
              <w:rPr>
                <w:spacing w:val="11"/>
              </w:rPr>
              <w:t>万m³(其中表土回覆0.01万m³),无借方，无余方。</w:t>
            </w:r>
          </w:p>
          <w:p w14:paraId="434C0B44">
            <w:pPr>
              <w:pStyle w:val="5"/>
              <w:spacing w:before="4" w:line="346" w:lineRule="auto"/>
              <w:ind w:left="15" w:firstLine="542"/>
            </w:pPr>
            <w:r>
              <w:rPr>
                <w:spacing w:val="-4"/>
              </w:rPr>
              <w:t>2022年1月，项目取得剑阁县发展和改革局文件《剑阁县发展和改革局关</w:t>
            </w:r>
            <w:r>
              <w:rPr>
                <w:spacing w:val="8"/>
              </w:rPr>
              <w:t xml:space="preserve">  </w:t>
            </w:r>
            <w:r>
              <w:rPr>
                <w:spacing w:val="-8"/>
              </w:rPr>
              <w:t>于审批剑阁县义兴镇干部职工周转房建设项目可行性研究报告的批复》(剑发改</w:t>
            </w:r>
            <w:r>
              <w:t xml:space="preserve">  </w:t>
            </w:r>
            <w:r>
              <w:rPr>
                <w:spacing w:val="-7"/>
              </w:rPr>
              <w:t>发〔2022〕14号〕。2022年4月，四川红艺筑工程设计有限公司完成本项目的施</w:t>
            </w:r>
            <w:r>
              <w:t xml:space="preserve">  工图设计。2022年7月，本项目开工建设。2022年8月</w:t>
            </w:r>
            <w:r>
              <w:rPr>
                <w:spacing w:val="-1"/>
              </w:rPr>
              <w:t>，项目取得《中华人民</w:t>
            </w:r>
            <w:r>
              <w:t xml:space="preserve">  </w:t>
            </w:r>
            <w:r>
              <w:rPr>
                <w:spacing w:val="1"/>
              </w:rPr>
              <w:t>共和国国有建设用地划拨决定书》,电子监管号：5108232022A02659,编号：</w:t>
            </w:r>
            <w:r>
              <w:t xml:space="preserve">  </w:t>
            </w:r>
            <w:r>
              <w:rPr>
                <w:spacing w:val="-1"/>
              </w:rPr>
              <w:t>5107012022009,剑阁县人民政府划拨本项目建设面积493.23m²。2022年12月，</w:t>
            </w:r>
            <w:r>
              <w:rPr>
                <w:spacing w:val="6"/>
              </w:rPr>
              <w:t xml:space="preserve"> </w:t>
            </w:r>
            <w:r>
              <w:rPr>
                <w:spacing w:val="-12"/>
              </w:rPr>
              <w:t>项目取得《剑阁县发展和改革局文件剑阁县发展和改革局关于调整剑阁县义兴镇</w:t>
            </w:r>
            <w:r>
              <w:rPr>
                <w:spacing w:val="7"/>
              </w:rPr>
              <w:t xml:space="preserve">  </w:t>
            </w:r>
            <w:r>
              <w:rPr>
                <w:spacing w:val="-4"/>
              </w:rPr>
              <w:t>干部职工周转房建设项目规划用地的批复》(剑发改发〔2022〕306号),同意将</w:t>
            </w:r>
            <w:r>
              <w:rPr>
                <w:spacing w:val="1"/>
              </w:rPr>
              <w:t xml:space="preserve">  </w:t>
            </w:r>
            <w:r>
              <w:rPr>
                <w:spacing w:val="-6"/>
              </w:rPr>
              <w:t>原批复(剑发改发〔2022〕14号)文件中项目规</w:t>
            </w:r>
            <w:bookmarkStart w:id="0" w:name="_GoBack"/>
            <w:bookmarkEnd w:id="0"/>
            <w:r>
              <w:rPr>
                <w:spacing w:val="-6"/>
              </w:rPr>
              <w:t>划用地面积392平方米</w:t>
            </w:r>
            <w:r>
              <w:rPr>
                <w:spacing w:val="-7"/>
              </w:rPr>
              <w:t>调整为项目</w:t>
            </w:r>
            <w:r>
              <w:t xml:space="preserve"> 规划用地面积493.23平方米，原批复文件中的其余内容</w:t>
            </w:r>
            <w:r>
              <w:rPr>
                <w:spacing w:val="-1"/>
              </w:rPr>
              <w:t>不变。</w:t>
            </w:r>
          </w:p>
          <w:p w14:paraId="08DD0CE3">
            <w:pPr>
              <w:pStyle w:val="5"/>
              <w:spacing w:line="219" w:lineRule="auto"/>
              <w:jc w:val="right"/>
            </w:pPr>
            <w:r>
              <w:rPr>
                <w:spacing w:val="-3"/>
              </w:rPr>
              <w:t>项目总投资480.70万元，其中土建投资为382.18万元，资金来源为向上争</w:t>
            </w:r>
          </w:p>
        </w:tc>
      </w:tr>
    </w:tbl>
    <w:p w14:paraId="5E5373F3">
      <w:pPr>
        <w:rPr>
          <w:rFonts w:ascii="Arial"/>
          <w:sz w:val="21"/>
        </w:rPr>
      </w:pPr>
    </w:p>
    <w:p w14:paraId="25022466">
      <w:pPr>
        <w:rPr>
          <w:rFonts w:ascii="Arial" w:hAnsi="Arial" w:eastAsia="Arial" w:cs="Arial"/>
          <w:sz w:val="21"/>
          <w:szCs w:val="21"/>
        </w:rPr>
        <w:sectPr>
          <w:pgSz w:w="11920" w:h="16840"/>
          <w:pgMar w:top="1300" w:right="1675" w:bottom="0" w:left="1754" w:header="0" w:footer="0" w:gutter="0"/>
          <w:cols w:space="720" w:num="1"/>
        </w:sectPr>
      </w:pPr>
    </w:p>
    <w:tbl>
      <w:tblPr>
        <w:tblStyle w:val="4"/>
        <w:tblW w:w="8505" w:type="dxa"/>
        <w:tblInd w:w="24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505"/>
      </w:tblGrid>
      <w:tr w14:paraId="023694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810" w:hRule="atLeast"/>
        </w:trPr>
        <w:tc>
          <w:tcPr>
            <w:tcW w:w="8505" w:type="dxa"/>
            <w:vAlign w:val="top"/>
          </w:tcPr>
          <w:p w14:paraId="01844A99">
            <w:pPr>
              <w:pStyle w:val="5"/>
              <w:spacing w:before="114" w:line="357" w:lineRule="auto"/>
              <w:ind w:left="125" w:right="219" w:hanging="10"/>
              <w:rPr>
                <w:sz w:val="24"/>
                <w:szCs w:val="24"/>
              </w:rPr>
            </w:pPr>
            <w:r>
              <w:rPr>
                <w:sz w:val="24"/>
                <w:szCs w:val="24"/>
              </w:rPr>
              <w:t>取及县财政配套。据业主介绍，本项目已于2022年7月开工，2023年1月完工， 总工期为7个月。本方案为补报。</w:t>
            </w:r>
          </w:p>
          <w:p w14:paraId="0254A756">
            <w:pPr>
              <w:pStyle w:val="5"/>
              <w:spacing w:before="1" w:line="217" w:lineRule="auto"/>
              <w:ind w:left="575"/>
              <w:rPr>
                <w:sz w:val="24"/>
                <w:szCs w:val="24"/>
              </w:rPr>
            </w:pPr>
            <w:r>
              <w:rPr>
                <w:sz w:val="24"/>
                <w:szCs w:val="24"/>
              </w:rPr>
              <w:t>2023年1月，项目验收组开展了全面的分析评估工作。评估结果显示，主</w:t>
            </w:r>
          </w:p>
          <w:p w14:paraId="5D05E49B">
            <w:pPr>
              <w:pStyle w:val="5"/>
              <w:spacing w:before="176" w:line="360" w:lineRule="auto"/>
              <w:ind w:left="105" w:firstLine="10"/>
              <w:rPr>
                <w:sz w:val="24"/>
                <w:szCs w:val="24"/>
              </w:rPr>
            </w:pPr>
            <w:r>
              <w:rPr>
                <w:spacing w:val="-1"/>
                <w:sz w:val="24"/>
                <w:szCs w:val="24"/>
              </w:rPr>
              <w:t>体工程已严格按照设计文件及合同要求，圆满完成了全部建设任务；工程实体质</w:t>
            </w:r>
            <w:r>
              <w:rPr>
                <w:spacing w:val="13"/>
                <w:sz w:val="24"/>
                <w:szCs w:val="24"/>
              </w:rPr>
              <w:t xml:space="preserve"> </w:t>
            </w:r>
            <w:r>
              <w:rPr>
                <w:sz w:val="24"/>
                <w:szCs w:val="24"/>
              </w:rPr>
              <w:t>量完全符合国家相关标准规范；技术资料齐全且规范</w:t>
            </w:r>
            <w:r>
              <w:rPr>
                <w:spacing w:val="-1"/>
                <w:sz w:val="24"/>
                <w:szCs w:val="24"/>
              </w:rPr>
              <w:t>；主要使用功能经过严格试</w:t>
            </w:r>
            <w:r>
              <w:rPr>
                <w:sz w:val="24"/>
                <w:szCs w:val="24"/>
              </w:rPr>
              <w:t xml:space="preserve"> </w:t>
            </w:r>
            <w:r>
              <w:rPr>
                <w:spacing w:val="-1"/>
                <w:sz w:val="24"/>
                <w:szCs w:val="24"/>
              </w:rPr>
              <w:t>验，能够满足预期需求，不存在任何遗留质量问题。根据国家关于竣工验收的相</w:t>
            </w:r>
            <w:r>
              <w:rPr>
                <w:spacing w:val="14"/>
                <w:sz w:val="24"/>
                <w:szCs w:val="24"/>
              </w:rPr>
              <w:t xml:space="preserve"> </w:t>
            </w:r>
            <w:r>
              <w:rPr>
                <w:sz w:val="24"/>
                <w:szCs w:val="24"/>
              </w:rPr>
              <w:t>关规定，本项目主体工程顺利通过竣工验收，验收组一致同意交付使用。</w:t>
            </w:r>
          </w:p>
          <w:p w14:paraId="7C763E3D">
            <w:pPr>
              <w:pStyle w:val="5"/>
              <w:spacing w:before="28" w:line="218" w:lineRule="auto"/>
              <w:ind w:left="595"/>
              <w:rPr>
                <w:sz w:val="24"/>
                <w:szCs w:val="24"/>
              </w:rPr>
            </w:pPr>
            <w:r>
              <w:rPr>
                <w:spacing w:val="-1"/>
                <w:sz w:val="24"/>
                <w:szCs w:val="24"/>
              </w:rPr>
              <w:t>方案报告表在修改时：</w:t>
            </w:r>
          </w:p>
          <w:p w14:paraId="5DF498FF">
            <w:pPr>
              <w:pStyle w:val="5"/>
              <w:spacing w:before="166" w:line="218" w:lineRule="auto"/>
              <w:ind w:left="595"/>
              <w:rPr>
                <w:sz w:val="24"/>
                <w:szCs w:val="24"/>
              </w:rPr>
            </w:pPr>
            <w:r>
              <w:rPr>
                <w:sz w:val="24"/>
                <w:szCs w:val="24"/>
              </w:rPr>
              <w:t>1、报告表里，进一步补充项目选址水土保持评价。</w:t>
            </w:r>
          </w:p>
          <w:p w14:paraId="572618D1">
            <w:pPr>
              <w:pStyle w:val="5"/>
              <w:spacing w:before="188" w:line="219" w:lineRule="auto"/>
              <w:ind w:left="595"/>
              <w:rPr>
                <w:sz w:val="24"/>
                <w:szCs w:val="24"/>
              </w:rPr>
            </w:pPr>
            <w:r>
              <w:rPr>
                <w:sz w:val="24"/>
                <w:szCs w:val="24"/>
              </w:rPr>
              <w:t>2、复核项目与水土保持法第27条的符合性对照分析情</w:t>
            </w:r>
            <w:r>
              <w:rPr>
                <w:spacing w:val="-1"/>
                <w:sz w:val="24"/>
                <w:szCs w:val="24"/>
              </w:rPr>
              <w:t>况。</w:t>
            </w:r>
          </w:p>
          <w:p w14:paraId="0D7DFA29">
            <w:pPr>
              <w:spacing w:before="51"/>
            </w:pPr>
          </w:p>
          <w:p w14:paraId="0DC04BC0">
            <w:pPr>
              <w:spacing w:before="51"/>
            </w:pPr>
          </w:p>
          <w:tbl>
            <w:tblPr>
              <w:tblStyle w:val="4"/>
              <w:tblW w:w="6305" w:type="dxa"/>
              <w:tblInd w:w="1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704"/>
              <w:gridCol w:w="601"/>
            </w:tblGrid>
            <w:tr w14:paraId="5B8D38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0" w:hRule="atLeast"/>
              </w:trPr>
              <w:tc>
                <w:tcPr>
                  <w:tcW w:w="5704" w:type="dxa"/>
                  <w:vAlign w:val="top"/>
                </w:tcPr>
                <w:p w14:paraId="00A7F9D7">
                  <w:pPr>
                    <w:pStyle w:val="5"/>
                    <w:spacing w:line="200" w:lineRule="auto"/>
                    <w:rPr>
                      <w:sz w:val="24"/>
                      <w:szCs w:val="24"/>
                    </w:rPr>
                  </w:pPr>
                  <w:r>
                    <w:rPr>
                      <w:spacing w:val="2"/>
                      <w:sz w:val="24"/>
                      <w:szCs w:val="24"/>
                    </w:rPr>
                    <w:t>省级水土保持专家库成员(专家编号：</w:t>
                  </w:r>
                  <w:r>
                    <w:rPr>
                      <w:sz w:val="24"/>
                      <w:szCs w:val="24"/>
                    </w:rPr>
                    <w:t>CSZ</w:t>
                  </w:r>
                  <w:r>
                    <w:rPr>
                      <w:spacing w:val="2"/>
                      <w:sz w:val="24"/>
                      <w:szCs w:val="24"/>
                    </w:rPr>
                    <w:t>-</w:t>
                  </w:r>
                  <w:r>
                    <w:rPr>
                      <w:sz w:val="24"/>
                      <w:szCs w:val="24"/>
                    </w:rPr>
                    <w:t>ST</w:t>
                  </w:r>
                  <w:r>
                    <w:rPr>
                      <w:spacing w:val="2"/>
                      <w:sz w:val="24"/>
                      <w:szCs w:val="24"/>
                    </w:rPr>
                    <w:t>060):</w:t>
                  </w:r>
                </w:p>
              </w:tc>
              <w:tc>
                <w:tcPr>
                  <w:tcW w:w="601" w:type="dxa"/>
                  <w:vAlign w:val="top"/>
                </w:tcPr>
                <w:p w14:paraId="673A1A56">
                  <w:pPr>
                    <w:rPr>
                      <w:rFonts w:ascii="Arial"/>
                      <w:sz w:val="21"/>
                    </w:rPr>
                  </w:pPr>
                </w:p>
              </w:tc>
            </w:tr>
            <w:tr w14:paraId="055581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5704" w:type="dxa"/>
                  <w:vAlign w:val="top"/>
                </w:tcPr>
                <w:p w14:paraId="724EE643">
                  <w:pPr>
                    <w:pStyle w:val="5"/>
                    <w:spacing w:before="270" w:line="176" w:lineRule="auto"/>
                    <w:ind w:left="3100"/>
                    <w:rPr>
                      <w:sz w:val="24"/>
                      <w:szCs w:val="24"/>
                    </w:rPr>
                  </w:pPr>
                  <w:r>
                    <w:rPr>
                      <w:spacing w:val="3"/>
                      <w:sz w:val="24"/>
                      <w:szCs w:val="24"/>
                    </w:rPr>
                    <w:t>2025年10月22日</w:t>
                  </w:r>
                </w:p>
              </w:tc>
              <w:tc>
                <w:tcPr>
                  <w:tcW w:w="601" w:type="dxa"/>
                  <w:vAlign w:val="top"/>
                </w:tcPr>
                <w:p w14:paraId="127F2147">
                  <w:pPr>
                    <w:pStyle w:val="5"/>
                    <w:spacing w:before="31" w:line="221" w:lineRule="auto"/>
                    <w:jc w:val="right"/>
                    <w:rPr>
                      <w:sz w:val="24"/>
                      <w:szCs w:val="24"/>
                    </w:rPr>
                  </w:pPr>
                </w:p>
              </w:tc>
            </w:tr>
          </w:tbl>
          <w:p w14:paraId="2F8AAFB0">
            <w:pPr>
              <w:rPr>
                <w:rFonts w:ascii="Arial"/>
                <w:sz w:val="21"/>
              </w:rPr>
            </w:pPr>
          </w:p>
        </w:tc>
      </w:tr>
    </w:tbl>
    <w:p w14:paraId="434433A9">
      <w:pPr>
        <w:rPr>
          <w:rFonts w:ascii="Arial"/>
          <w:sz w:val="21"/>
        </w:rPr>
      </w:pPr>
    </w:p>
    <w:sectPr>
      <w:pgSz w:w="11920" w:h="16840"/>
      <w:pgMar w:top="1304" w:right="1379" w:bottom="0" w:left="17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5543D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1054</Words>
  <Characters>1324</Characters>
  <TotalTime>1</TotalTime>
  <ScaleCrop>false</ScaleCrop>
  <LinksUpToDate>false</LinksUpToDate>
  <CharactersWithSpaces>1359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2025-11-03T15:38:00Z</dcterms:created>
  <dc:creator>Administrator</dc:creator>
  <cp:lastModifiedBy>就像一只蜗牛</cp:lastModifiedBy>
  <dcterms:modified xsi:type="dcterms:W3CDTF">2025-11-03T07:40:18Z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2025-11-03T15:38:20Z</vt:filetime>
  </property>
  <property fmtid="{D5CDD505-2E9C-101B-9397-08002B2CF9AE}" pid="4" name="UsrData">
    <vt:lpwstr>69085be90fa103001f0d21b9wl</vt:lpwstr>
  </property>
  <property fmtid="{D5CDD505-2E9C-101B-9397-08002B2CF9AE}" pid="5" name="KSOTemplateDocerSaveRecord">
    <vt:lpwstr>eyJoZGlkIjoiYTQ2NjMwNjZiM2RjNTczNDZiODg1MWZiNDY4ODY3ZDQiLCJ1c2VySWQiOiIyOTMwNzg3NjUifQ==</vt:lpwstr>
  </property>
  <property fmtid="{D5CDD505-2E9C-101B-9397-08002B2CF9AE}" pid="6" name="KSOProductBuildVer">
    <vt:lpwstr>2052-12.1.0.23125</vt:lpwstr>
  </property>
  <property fmtid="{D5CDD505-2E9C-101B-9397-08002B2CF9AE}" pid="7" name="ICV">
    <vt:lpwstr>3D09BB1B1EFB477994C6F9A35A974433_12</vt:lpwstr>
  </property>
</Properties>
</file>